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940" w:right="720" w:hanging="520"/>
        <w:spacing w:after="0" w:line="256" w:lineRule="auto"/>
        <w:tabs>
          <w:tab w:leader="none" w:pos="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940" w:right="280" w:hanging="520"/>
        <w:spacing w:after="0" w:line="256" w:lineRule="auto"/>
        <w:tabs>
          <w:tab w:leader="none" w:pos="9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Title of Each Class</w:t>
            </w:r>
          </w:p>
        </w:tc>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44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2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50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820" w:type="dxa"/>
            <w:vAlign w:val="bottom"/>
          </w:tcPr>
          <w:p>
            <w:pPr>
              <w:spacing w:after="0"/>
              <w:rPr>
                <w:sz w:val="24"/>
                <w:szCs w:val="24"/>
                <w:color w:val="auto"/>
              </w:rPr>
            </w:pPr>
          </w:p>
        </w:tc>
      </w:tr>
    </w:tbl>
    <w:p>
      <w:pPr>
        <w:spacing w:after="0" w:line="107" w:lineRule="exact"/>
        <w:rPr>
          <w:sz w:val="24"/>
          <w:szCs w:val="24"/>
          <w:color w:val="auto"/>
        </w:rPr>
      </w:pPr>
    </w:p>
    <w:p>
      <w:pPr>
        <w:ind w:left="340" w:right="152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87"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2" w:orient="portrait"/>
          <w:cols w:equalWidth="0" w:num="1">
            <w:col w:w="11380"/>
          </w:cols>
          <w:pgMar w:left="240" w:top="233" w:right="279" w:bottom="0" w:gutter="0" w:footer="0" w:header="0"/>
        </w:sectPr>
      </w:pPr>
    </w:p>
    <w:p>
      <w:pPr>
        <w:spacing w:after="0" w:line="29"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902" w:orient="portrait"/>
          <w:cols w:equalWidth="0" w:num="2">
            <w:col w:w="7340" w:space="720"/>
            <w:col w:w="3320"/>
          </w:cols>
          <w:pgMar w:left="240" w:top="233" w:right="279" w:bottom="0" w:gutter="0" w:footer="0" w:header="0"/>
          <w:type w:val="continuous"/>
        </w:sectPr>
      </w:pPr>
    </w:p>
    <w:p>
      <w:pPr>
        <w:spacing w:after="0" w:line="48"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902" w:orient="portrait"/>
          <w:cols w:equalWidth="0" w:num="2">
            <w:col w:w="6940" w:space="720"/>
            <w:col w:w="372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$12.9 billion on June 30, 2012, based on a closing price of $80.81 per Common Unit as reported on the New York Stock Exchange on such date.</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20, 2013, there were 336,152,761 Common Units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10-K—2012 ANNUAL REPORT</w:t>
      </w:r>
    </w:p>
    <w:p>
      <w:pPr>
        <w:sectPr>
          <w:pgSz w:w="11900" w:h="16902"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20" w:type="dxa"/>
            <w:vAlign w:val="bottom"/>
            <w:gridSpan w:val="10"/>
            <w:vMerge w:val="restart"/>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4320" w:type="dxa"/>
            <w:vAlign w:val="bottom"/>
            <w:gridSpan w:val="10"/>
            <w:vMerge w:val="continue"/>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9480" w:type="dxa"/>
            <w:vAlign w:val="bottom"/>
            <w:gridSpan w:val="28"/>
          </w:tcPr>
          <w:p>
            <w:pPr>
              <w:ind w:left="240"/>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3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520" w:type="dxa"/>
            <w:vAlign w:val="bottom"/>
            <w:gridSpan w:val="22"/>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1B.</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140" w:type="dxa"/>
            <w:vAlign w:val="bottom"/>
            <w:tcBorders>
              <w:top w:val="single" w:sz="8" w:color="0000EE"/>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700" w:type="dxa"/>
            <w:vAlign w:val="bottom"/>
            <w:tcBorders>
              <w:top w:val="single" w:sz="8" w:color="0000EE"/>
            </w:tcBorders>
            <w:gridSpan w:val="5"/>
          </w:tcPr>
          <w:p>
            <w:pPr>
              <w:spacing w:after="0"/>
              <w:rPr>
                <w:sz w:val="17"/>
                <w:szCs w:val="17"/>
                <w:color w:val="auto"/>
              </w:rPr>
            </w:pPr>
          </w:p>
        </w:tc>
        <w:tc>
          <w:tcPr>
            <w:tcW w:w="7200" w:type="dxa"/>
            <w:vAlign w:val="bottom"/>
            <w:gridSpan w:val="19"/>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13"/>
          </w:tcPr>
          <w:p>
            <w:pPr>
              <w:jc w:val="center"/>
              <w:ind w:right="4300"/>
              <w:spacing w:after="0" w:line="196" w:lineRule="exact"/>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PART II</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6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Market for Registrant’s Common Units, Related Unitholder Matters and Issuer Purchases of Equity Securities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80" w:type="dxa"/>
            <w:vAlign w:val="bottom"/>
            <w:tcBorders>
              <w:top w:val="single" w:sz="8" w:color="0000EE"/>
            </w:tcBorders>
          </w:tcPr>
          <w:p>
            <w:pPr>
              <w:spacing w:after="0"/>
              <w:rPr>
                <w:sz w:val="17"/>
                <w:szCs w:val="17"/>
                <w:color w:val="auto"/>
              </w:rPr>
            </w:pPr>
          </w:p>
        </w:tc>
        <w:tc>
          <w:tcPr>
            <w:tcW w:w="6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1340" w:type="dxa"/>
            <w:vAlign w:val="bottom"/>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7.</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7A.</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4880" w:type="dxa"/>
            <w:vAlign w:val="bottom"/>
            <w:gridSpan w:val="11"/>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8.</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9.</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Changes in and Disagreements With Accountants on Accounting and Financial Disclosure</w:t>
              </w:r>
            </w:hyperlink>
          </w:p>
        </w:tc>
        <w:tc>
          <w:tcPr>
            <w:tcW w:w="2720" w:type="dxa"/>
            <w:vAlign w:val="bottom"/>
            <w:gridSpan w:val="3"/>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9A.</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Controls and Procedures</w:t>
              </w:r>
            </w:hyperlink>
          </w:p>
        </w:tc>
        <w:tc>
          <w:tcPr>
            <w:tcW w:w="7460" w:type="dxa"/>
            <w:vAlign w:val="bottom"/>
            <w:gridSpan w:val="21"/>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9B.</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4240" w:type="dxa"/>
            <w:vAlign w:val="bottom"/>
            <w:gridSpan w:val="7"/>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10.</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Directors and Executive Officers of Our General Partner and Corporate Governance</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11.</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12.</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Security Ownership of Certain Beneficial Owners and Management and Related Unitholder Matters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13.</w:t>
              </w:r>
            </w:hyperlink>
          </w:p>
        </w:tc>
        <w:tc>
          <w:tcPr>
            <w:tcW w:w="240" w:type="dxa"/>
            <w:vAlign w:val="bottom"/>
          </w:tcPr>
          <w:p>
            <w:pPr>
              <w:spacing w:after="0"/>
              <w:rPr>
                <w:sz w:val="17"/>
                <w:szCs w:val="17"/>
                <w:color w:val="auto"/>
              </w:rPr>
            </w:pPr>
          </w:p>
        </w:tc>
        <w:tc>
          <w:tcPr>
            <w:tcW w:w="5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Certain Relationships and Related Transactions, and Director Independence</w:t>
              </w:r>
            </w:hyperlink>
          </w:p>
        </w:tc>
        <w:tc>
          <w:tcPr>
            <w:tcW w:w="3780" w:type="dxa"/>
            <w:vAlign w:val="bottom"/>
            <w:gridSpan w:val="6"/>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14.</w:t>
              </w:r>
            </w:hyperlink>
          </w:p>
        </w:tc>
        <w:tc>
          <w:tcPr>
            <w:tcW w:w="9480" w:type="dxa"/>
            <w:vAlign w:val="bottom"/>
            <w:gridSpan w:val="28"/>
          </w:tcPr>
          <w:p>
            <w:pPr>
              <w:ind w:left="24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Accountant Fees and Services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980" w:type="dxa"/>
            <w:vAlign w:val="bottom"/>
            <w:gridSpan w:val="15"/>
          </w:tcPr>
          <w:p>
            <w:pPr>
              <w:jc w:val="center"/>
              <w:ind w:right="4260"/>
              <w:spacing w:after="0" w:line="19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IV</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15.</w:t>
              </w:r>
            </w:hyperlink>
          </w:p>
        </w:tc>
        <w:tc>
          <w:tcPr>
            <w:tcW w:w="4520" w:type="dxa"/>
            <w:vAlign w:val="bottom"/>
            <w:gridSpan w:val="14"/>
          </w:tcPr>
          <w:p>
            <w:pPr>
              <w:ind w:left="24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4260" w:type="dxa"/>
            <w:vAlign w:val="bottom"/>
            <w:gridSpan w:val="8"/>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jc w:val="both"/>
        <w:ind w:left="980" w:right="22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90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ectPr>
          <w:pgSz w:w="11900" w:h="16838" w:orient="portrait"/>
          <w:cols w:equalWidth="0" w:num="1">
            <w:col w:w="11460"/>
          </w:cols>
          <w:pgMar w:left="240" w:top="121" w:right="199" w:bottom="0" w:gutter="0" w:footer="0" w:header="0"/>
        </w:sectPr>
      </w:pPr>
    </w:p>
    <w:bookmarkStart w:id="2" w:name="page3"/>
    <w:bookmarkEnd w:id="2"/>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00" w:hanging="324"/>
        <w:spacing w:after="0" w:line="308"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Form 10-K,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Transportation, Facilities and Supply and Logistics.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formed as a master limited partnership to acquire and operate the midstream crude oil businesses and assets of a predecessor entity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completed our initial public offering in 1998. Our 2% general partner interest is held by PAA GP LLC, a Delaware limited liability company, whose sole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member is Plains AAP, L.P., a Delaware limited partnership. Plains All American GP LLC, a Delaware limited liability company, is Plains AAP, L.P.’s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References to our “general partner,” as the context requires, include any or all of PAA GP LLC, Plains AAP, L.P. and Plains All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American GP LLC. Plains AAP, L.P. and Plains All American GP LLC are owned by 19 holders. The five largest of these holders and their affiliates own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interest of approximately 95%. See Item 12. “Security Ownership of Certain Beneficial Owners and Management and Related Unitholder Matters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of General Partner Interest.”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operations are conducted through, and our operating assets are owned by, our subsidiaries. Plains All American GP LLC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 below depicts the current structure and ownership of Plains All American Pipeline, L.P. and certain subsidiaries as of February 20, 2013.</w:t>
      </w:r>
    </w:p>
    <w:p>
      <w:pPr>
        <w:sectPr>
          <w:pgSz w:w="11900" w:h="16838" w:orient="portrait"/>
          <w:cols w:equalWidth="0" w:num="1">
            <w:col w:w="11380"/>
          </w:cols>
          <w:pgMar w:left="240" w:top="341" w:right="279" w:bottom="55"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80" w:hanging="11"/>
        <w:spacing w:after="0" w:line="342" w:lineRule="auto"/>
        <w:rPr>
          <w:sz w:val="20"/>
          <w:szCs w:val="20"/>
          <w:color w:val="auto"/>
        </w:rPr>
      </w:pPr>
      <w:r>
        <w:rPr>
          <w:rFonts w:ascii="Arial" w:cs="Arial" w:eastAsia="Arial" w:hAnsi="Arial"/>
          <w:sz w:val="16"/>
          <w:szCs w:val="16"/>
          <w:color w:val="auto"/>
        </w:rPr>
        <w:t>Based on Form 4 filings for executive officers and directors and other information believed to be reliable for the remaining investors, this group, or affiliates of such investors, owns approximately 20.1 million limited partner units, representing approximately 6% of all outstanding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-5074285</wp:posOffset>
            </wp:positionV>
            <wp:extent cx="6234430" cy="4682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4430" cy="4682490"/>
                    </a:xfrm>
                    <a:prstGeom prst="rect">
                      <a:avLst/>
                    </a:prstGeom>
                    <a:noFill/>
                  </pic:spPr>
                </pic:pic>
              </a:graphicData>
            </a:graphic>
          </wp:anchor>
        </w:drawing>
      </w:r>
    </w:p>
    <w:p>
      <w:pPr>
        <w:spacing w:after="0" w:line="104"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Incentive Distribution Rights (“IDRs”). See Item 5. “Market for Registrant’s Common Units, Related Unitholder Matters and Issuer Purchases of Equity Securities” for discussion of our general partner’s incentive distribution rights.</w:t>
      </w:r>
    </w:p>
    <w:p>
      <w:pPr>
        <w:spacing w:after="0" w:line="170"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The Partnership owns approximately 64% of the equity interest in PAA Natural Gas Storage, L.P. (NYSE: PNG), including a 2% general partner interest and 62% limited partner interest, as well as incentive distribution rights. The Partnership also</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680"/>
          </w:cols>
          <w:pgMar w:left="240" w:top="1440" w:right="3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holds direct and indirect ownership interests in consolidated operating subsidiaries including, but not limited to, Plains Marketing, L.P., Plains Pipeline, L.P. and Plains Midstream Canada ULC (“PMC”).</w:t>
      </w:r>
    </w:p>
    <w:p>
      <w:pPr>
        <w:spacing w:after="0" w:line="170" w:lineRule="exact"/>
        <w:rPr>
          <w:sz w:val="20"/>
          <w:szCs w:val="20"/>
          <w:color w:val="auto"/>
        </w:rPr>
      </w:pPr>
    </w:p>
    <w:p>
      <w:pPr>
        <w:ind w:left="660" w:hanging="652"/>
        <w:spacing w:after="0" w:line="234"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Partnership holds indirect equity interests in unconsolidated entities including Settoon Towing, LLC (“Settoon Towing”), White Cliffs Pipeline, LLC (“White Cliffs”), Butte Pipe Line Company (“Butte”), Frontier Pipeline Company (“Frontier”) and Eagle Ford Pipeline LLC (“Eagle Ford Pipeline”).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NGL, natural gas and refined products in the United States and Canada by combining the strategic location and capabilities of our transportation, terminalling, storage, processing and fractionation assets with our extensive supply, logistics and distribution expertise.</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We intend to manage and grow our business by:</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4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transportation (including pipeline, rail, barge and truck), terminalling, storage, processing and fractionation assets in conjunction with our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22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and implementing internal growth projects that (i) address evolving crude oil, NGL, natural gas and refined products needs in the midstream transportation and infrastructure sector and (ii) are well positioned to benefit from long-term industry trends and opportunities;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 and</w:t>
      </w:r>
    </w:p>
    <w:p>
      <w:pPr>
        <w:sectPr>
          <w:pgSz w:w="11900" w:h="16838" w:orient="portrait"/>
          <w:cols w:equalWidth="0" w:num="1">
            <w:col w:w="11320"/>
          </w:cols>
          <w:pgMar w:left="240" w:top="1440" w:right="339" w:bottom="0" w:gutter="0" w:footer="0" w:header="0"/>
          <w:type w:val="continuous"/>
        </w:sectPr>
      </w:pPr>
    </w:p>
    <w:bookmarkStart w:id="4" w:name="page5"/>
    <w:bookmarkEnd w:id="4"/>
    <w:p>
      <w:pPr>
        <w:jc w:val="both"/>
        <w:ind w:left="980" w:right="300" w:hanging="324"/>
        <w:spacing w:after="0" w:line="264"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have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45% to 50%;</w:t>
      </w:r>
    </w:p>
    <w:p>
      <w:pPr>
        <w:spacing w:after="0" w:line="225" w:lineRule="exact"/>
        <w:rPr>
          <w:rFonts w:ascii="Arial" w:cs="Arial" w:eastAsia="Arial" w:hAnsi="Arial"/>
          <w:sz w:val="18"/>
          <w:szCs w:val="18"/>
          <w:color w:val="auto"/>
        </w:rPr>
      </w:pPr>
    </w:p>
    <w:p>
      <w:pPr>
        <w:ind w:left="980" w:hanging="324"/>
        <w:spacing w:after="0" w:line="288"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a long-term debt-to-adjusted EBITDA multiple averaging between 3.5x and 4.0x (Adjusted EBITDA is earnings before interest, taxes, depreciation and amortization, equity compensation plan charges, gains and losses from derivative activities and other selected items that impact comparability. See Item 7. “Management’s Discussion and Analysis of Financial Condition and Results of Operations — Results of Operations</w:t>
      </w:r>
    </w:p>
    <w:p>
      <w:pPr>
        <w:ind w:left="980"/>
        <w:spacing w:after="0"/>
        <w:rPr>
          <w:rFonts w:ascii="Arial" w:cs="Arial" w:eastAsia="Arial" w:hAnsi="Arial"/>
          <w:sz w:val="16"/>
          <w:szCs w:val="16"/>
          <w:color w:val="auto"/>
        </w:rPr>
      </w:pPr>
      <w:r>
        <w:rPr>
          <w:rFonts w:ascii="Arial" w:cs="Arial" w:eastAsia="Arial" w:hAnsi="Arial"/>
          <w:sz w:val="18"/>
          <w:szCs w:val="18"/>
          <w:color w:val="auto"/>
        </w:rPr>
        <w:t>— Non-GAAP Financial Measures” for a discussion of our selected items that impact comparability and our non-GAAP measures.);</w:t>
      </w:r>
    </w:p>
    <w:p>
      <w:pPr>
        <w:spacing w:after="0" w:line="210"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first two of these four metrics include long-term debt as a critical measure. We also incur short-term debt in connection with our supply and logistics activities that involve the simultaneous purchase and forward sale of crude oil, NGL and natural gas. The crude oil, NGL and natural gas purchased in these transactions are hedged. We do not consider the working capital borrowings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associated with these activities to be part of our long-term capital structure. These borrowings are self-liquidating as they are repaid with sales proceeds. We also incur short-term debt to fund New York Mercantile Exchange (“NYMEX”) and IntercontinentalExchange (“ICE”) margin requirements. In certain market conditions, these routine short-term debt levels may increase significantly above baseline levels.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for us to maintain our targeted credit profile and achieve growth through internal growth projects and acquisitions, we intend to fund 55%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225" w:lineRule="exact"/>
        <w:rPr>
          <w:sz w:val="20"/>
          <w:szCs w:val="20"/>
          <w:color w:val="auto"/>
        </w:rPr>
      </w:pPr>
    </w:p>
    <w:p>
      <w:pPr>
        <w:ind w:left="980" w:right="80" w:hanging="324"/>
        <w:spacing w:after="0" w:line="273"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Many of our transportation segment and facilities segment assets are strategically located and operationally flexible. </w:t>
      </w:r>
      <w:r>
        <w:rPr>
          <w:rFonts w:ascii="Arial" w:cs="Arial" w:eastAsia="Arial" w:hAnsi="Arial"/>
          <w:sz w:val="17"/>
          <w:szCs w:val="17"/>
          <w:color w:val="auto"/>
        </w:rPr>
        <w:t>The majority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 Our assets include pipeline, rail, barge and truck assets, which provide our customers and us with significant flexibility and optionality to satisfy demand and balance markets, particularly during a dynamic period of changing product flows.</w:t>
      </w:r>
    </w:p>
    <w:p>
      <w:pPr>
        <w:spacing w:after="0" w:line="178" w:lineRule="exact"/>
        <w:rPr>
          <w:rFonts w:ascii="Arial" w:cs="Arial" w:eastAsia="Arial" w:hAnsi="Arial"/>
          <w:sz w:val="17"/>
          <w:szCs w:val="17"/>
          <w:color w:val="auto"/>
        </w:rPr>
      </w:pPr>
    </w:p>
    <w:p>
      <w:pPr>
        <w:ind w:left="980" w:right="6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We possess specialized crude oil market knowledge. </w:t>
      </w:r>
      <w:r>
        <w:rPr>
          <w:rFonts w:ascii="Arial" w:cs="Arial" w:eastAsia="Arial" w:hAnsi="Arial"/>
          <w:sz w:val="18"/>
          <w:szCs w:val="18"/>
          <w:color w:val="auto"/>
        </w:rPr>
        <w:t>We believe our business relationships with participants in various phases of the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chain, from crude oil producers to refiners, as well as our own industry expertise, provide us with an extensive understanding of the North American physical crude oil markets.</w:t>
      </w:r>
    </w:p>
    <w:p>
      <w:pPr>
        <w:spacing w:after="0" w:line="181" w:lineRule="exact"/>
        <w:rPr>
          <w:rFonts w:ascii="Arial" w:cs="Arial" w:eastAsia="Arial" w:hAnsi="Arial"/>
          <w:sz w:val="18"/>
          <w:szCs w:val="18"/>
          <w:color w:val="auto"/>
        </w:rPr>
      </w:pPr>
    </w:p>
    <w:p>
      <w:pPr>
        <w:ind w:left="980" w:right="80" w:hanging="324"/>
        <w:spacing w:after="0" w:line="279"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Our supply and logistics activities typically generate a base level of margin with the opportunity to realize incremental margins. </w:t>
      </w:r>
      <w:r>
        <w:rPr>
          <w:rFonts w:ascii="Arial" w:cs="Arial" w:eastAsia="Arial" w:hAnsi="Arial"/>
          <w:sz w:val="17"/>
          <w:szCs w:val="17"/>
          <w:color w:val="auto"/>
        </w:rPr>
        <w:t>We believe the</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activities executed within our supply and logistics segment in combination with our risk management strategies provides us with a balance that generally affords us the flexibility to maintain a base level of margin in a variety of market conditions (subject to the effects of seasonality). In certain circumstances, we are able to realize incremental margins during volatile market conditions.</w:t>
      </w:r>
    </w:p>
    <w:p>
      <w:pPr>
        <w:spacing w:after="0" w:line="171" w:lineRule="exact"/>
        <w:rPr>
          <w:rFonts w:ascii="Arial" w:cs="Arial" w:eastAsia="Arial" w:hAnsi="Arial"/>
          <w:sz w:val="17"/>
          <w:szCs w:val="17"/>
          <w:color w:val="auto"/>
        </w:rPr>
      </w:pPr>
    </w:p>
    <w:p>
      <w:pPr>
        <w:ind w:left="980" w:right="100" w:hanging="324"/>
        <w:spacing w:after="0" w:line="276"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Over the past fifteen years, we have completed and integrated over 80 acquisitions with an aggregate purchase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$10.5 billion. We have also implemented internal expansion capital projects totaling approximately $4.2 billion. In addition, we believe we have resources to finance future strategic expansion and acquisition opportunities. As of December 31, 2012, we had approximately $2.4 billion available under our committed credit facilities, subject to continued covenant compliance.</w:t>
      </w:r>
    </w:p>
    <w:p>
      <w:pPr>
        <w:spacing w:after="0" w:line="172" w:lineRule="exact"/>
        <w:rPr>
          <w:rFonts w:ascii="Arial" w:cs="Arial" w:eastAsia="Arial" w:hAnsi="Arial"/>
          <w:sz w:val="17"/>
          <w:szCs w:val="17"/>
          <w:color w:val="auto"/>
        </w:rPr>
      </w:pPr>
    </w:p>
    <w:p>
      <w:pPr>
        <w:ind w:left="980" w:right="260" w:hanging="324"/>
        <w:spacing w:after="0" w:line="259"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28 years industry experience, and an average of 16 years with us or our predecessors and affiliates. In addition, through their ownership of common units, indirect interests in our general partner, grants of phantom units and the Class B units in Plains AAP, L.P., our management team has a vested interest in our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ectPr>
          <w:pgSz w:w="11900" w:h="16838" w:orient="portrait"/>
          <w:cols w:equalWidth="0" w:num="1">
            <w:col w:w="11400"/>
          </w:cols>
          <w:pgMar w:left="240" w:top="341" w:right="259" w:bottom="104" w:gutter="0" w:footer="0" w:header="0"/>
        </w:sectPr>
      </w:pPr>
    </w:p>
    <w:bookmarkStart w:id="5" w:name="page6"/>
    <w:bookmarkEnd w:id="5"/>
    <w:p>
      <w:pPr>
        <w:spacing w:after="0" w:line="6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acquisition of assets and businesses that are strategic and complementary to our existing operations constitutes an integral component of our business strategy and growth objectives. Such assets and businesses include crude oil related assets, refined products assets, NGL assets and natural gas storage assets, as well as other energy transportation-related assets that have characteristics and opportunities similar to these business lines and enable us to leverage our assets, knowledge and skill sets.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 (in millions). See Note 3 to our Consolidated Financial Statements for a full discussion regarding our acquisition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Acquisition</w:t>
            </w:r>
          </w:p>
        </w:tc>
        <w:tc>
          <w:tcPr>
            <w:tcW w:w="300" w:type="dxa"/>
            <w:vAlign w:val="bottom"/>
          </w:tcPr>
          <w:p>
            <w:pPr>
              <w:spacing w:after="0"/>
              <w:rPr>
                <w:sz w:val="14"/>
                <w:szCs w:val="14"/>
                <w:color w:val="auto"/>
              </w:rPr>
            </w:pPr>
          </w:p>
        </w:tc>
        <w:tc>
          <w:tcPr>
            <w:tcW w:w="1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42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Approximate</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 xml:space="preserve">Purchase Price </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195"/>
        </w:trPr>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US Development Group Crude Oil Rail Terminals</w:t>
            </w:r>
          </w:p>
        </w:tc>
        <w:tc>
          <w:tcPr>
            <w:tcW w:w="3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Dec-2012</w:t>
            </w:r>
          </w:p>
        </w:tc>
        <w:tc>
          <w:tcPr>
            <w:tcW w:w="3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Four operating crude oil rail terminals and one</w:t>
            </w:r>
          </w:p>
        </w:tc>
        <w:tc>
          <w:tcPr>
            <w:tcW w:w="28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(“USD”)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terminal under development</w:t>
            </w:r>
          </w:p>
        </w:tc>
        <w:tc>
          <w:tcPr>
            <w:tcW w:w="16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BP Canada Energy Company (“BP NGL”)</w:t>
            </w:r>
          </w:p>
        </w:tc>
        <w:tc>
          <w:tcPr>
            <w:tcW w:w="17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Apr-2012</w:t>
            </w: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NGL assets located in Canada and the upper-Midwest</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United States (“BP NGL Acquisition”)</w:t>
            </w:r>
          </w:p>
        </w:tc>
        <w:tc>
          <w:tcPr>
            <w:tcW w:w="16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36"/>
                <w:szCs w:val="36"/>
                <w:color w:val="auto"/>
                <w:vertAlign w:val="subscript"/>
              </w:rPr>
              <w:t>220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w w:val="95"/>
              </w:rPr>
              <w:t>Western Refining, Inc. Pipeline and Storage Assets</w:t>
            </w:r>
          </w:p>
        </w:tc>
        <w:tc>
          <w:tcPr>
            <w:tcW w:w="17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Dec-2011</w:t>
            </w: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Multi-product storage facility in Virginia and crude oil</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pipeline in southeastern New Mexico</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w w:val="99"/>
              </w:rPr>
              <w:t>Velocity South Texas Gathering, LLC (“Velocity”)</w:t>
            </w:r>
          </w:p>
        </w:tc>
        <w:tc>
          <w:tcPr>
            <w:tcW w:w="17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Nov-2011</w:t>
            </w: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7"/>
              </w:rPr>
              <w:t>Crude oil and condensate gathering and transportation</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assets in South Texas (“Gardendale Gathering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System”)</w:t>
            </w:r>
          </w:p>
        </w:tc>
        <w:tc>
          <w:tcPr>
            <w:tcW w:w="16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765</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w w:val="97"/>
              </w:rPr>
              <w:t>SG Resources Mississippi, LLC (“SG Resources”)</w:t>
            </w:r>
          </w:p>
        </w:tc>
        <w:tc>
          <w:tcPr>
            <w:tcW w:w="17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Feb-2011</w:t>
            </w: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Southern Pines Energy Center (“Southern Pines”)</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natural gas storage facility</w:t>
            </w:r>
          </w:p>
        </w:tc>
        <w:tc>
          <w:tcPr>
            <w:tcW w:w="16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229</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Nexen Holdings U.S.A. Inc. Gathering and</w:t>
            </w:r>
          </w:p>
        </w:tc>
        <w:tc>
          <w:tcPr>
            <w:tcW w:w="17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Dec-2010</w:t>
            </w: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7"/>
              </w:rPr>
              <w:t>Crude oil gathering business and transportation assets</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Transportation Assets (“Nexen”)</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 North Dakota and Montana</w:t>
            </w:r>
          </w:p>
        </w:tc>
        <w:tc>
          <w:tcPr>
            <w:tcW w:w="16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215</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162"/>
        </w:trPr>
        <w:tc>
          <w:tcPr>
            <w:tcW w:w="3900" w:type="dxa"/>
            <w:vAlign w:val="bottom"/>
          </w:tcPr>
          <w:p>
            <w:pPr>
              <w:spacing w:after="0" w:line="162" w:lineRule="exact"/>
              <w:rPr>
                <w:sz w:val="20"/>
                <w:szCs w:val="20"/>
                <w:color w:val="auto"/>
              </w:rPr>
            </w:pPr>
            <w:r>
              <w:rPr>
                <w:rFonts w:ascii="Arial" w:cs="Arial" w:eastAsia="Arial" w:hAnsi="Arial"/>
                <w:sz w:val="18"/>
                <w:szCs w:val="18"/>
                <w:color w:val="auto"/>
              </w:rPr>
              <w:t>PAA Natural Gas Storage, LLC (“PNGS”)</w:t>
            </w:r>
          </w:p>
        </w:tc>
        <w:tc>
          <w:tcPr>
            <w:tcW w:w="1740" w:type="dxa"/>
            <w:vAlign w:val="bottom"/>
            <w:gridSpan w:val="3"/>
          </w:tcPr>
          <w:p>
            <w:pPr>
              <w:ind w:left="300"/>
              <w:spacing w:after="0" w:line="162" w:lineRule="exact"/>
              <w:rPr>
                <w:sz w:val="20"/>
                <w:szCs w:val="20"/>
                <w:color w:val="auto"/>
              </w:rPr>
            </w:pPr>
            <w:r>
              <w:rPr>
                <w:rFonts w:ascii="Arial" w:cs="Arial" w:eastAsia="Arial" w:hAnsi="Arial"/>
                <w:sz w:val="18"/>
                <w:szCs w:val="18"/>
                <w:color w:val="auto"/>
              </w:rPr>
              <w:t>Sep-2009</w:t>
            </w:r>
          </w:p>
        </w:tc>
        <w:tc>
          <w:tcPr>
            <w:tcW w:w="4260" w:type="dxa"/>
            <w:vAlign w:val="bottom"/>
            <w:gridSpan w:val="2"/>
          </w:tcPr>
          <w:p>
            <w:pPr>
              <w:spacing w:after="0" w:line="162" w:lineRule="exact"/>
              <w:rPr>
                <w:sz w:val="20"/>
                <w:szCs w:val="20"/>
                <w:color w:val="auto"/>
              </w:rPr>
            </w:pPr>
            <w:r>
              <w:rPr>
                <w:rFonts w:ascii="Arial" w:cs="Arial" w:eastAsia="Arial" w:hAnsi="Arial"/>
                <w:sz w:val="18"/>
                <w:szCs w:val="18"/>
                <w:color w:val="auto"/>
              </w:rPr>
              <w:t>Remaining 50% interest in PNGS</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9"/>
              </w:rPr>
              <w:t>$</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900" w:type="dxa"/>
            <w:vAlign w:val="bottom"/>
          </w:tcPr>
          <w:p>
            <w:pPr>
              <w:spacing w:after="0"/>
              <w:rPr>
                <w:sz w:val="20"/>
                <w:szCs w:val="20"/>
                <w:color w:val="auto"/>
              </w:rPr>
            </w:pPr>
            <w:r>
              <w:rPr>
                <w:rFonts w:ascii="Arial" w:cs="Arial" w:eastAsia="Arial" w:hAnsi="Arial"/>
                <w:sz w:val="18"/>
                <w:szCs w:val="18"/>
                <w:color w:val="auto"/>
              </w:rPr>
              <w:t>Rainbow Pipe Line Company, Ltd. (“Rainbow”)</w:t>
            </w:r>
          </w:p>
        </w:tc>
        <w:tc>
          <w:tcPr>
            <w:tcW w:w="1740" w:type="dxa"/>
            <w:vAlign w:val="bottom"/>
            <w:gridSpan w:val="3"/>
          </w:tcPr>
          <w:p>
            <w:pPr>
              <w:ind w:left="300"/>
              <w:spacing w:after="0"/>
              <w:rPr>
                <w:sz w:val="20"/>
                <w:szCs w:val="20"/>
                <w:color w:val="auto"/>
              </w:rPr>
            </w:pPr>
            <w:r>
              <w:rPr>
                <w:rFonts w:ascii="Arial" w:cs="Arial" w:eastAsia="Arial" w:hAnsi="Arial"/>
                <w:sz w:val="18"/>
                <w:szCs w:val="18"/>
                <w:color w:val="auto"/>
              </w:rPr>
              <w:t>May-2008</w:t>
            </w:r>
          </w:p>
        </w:tc>
        <w:tc>
          <w:tcPr>
            <w:tcW w:w="4260" w:type="dxa"/>
            <w:vAlign w:val="bottom"/>
            <w:gridSpan w:val="2"/>
          </w:tcPr>
          <w:p>
            <w:pPr>
              <w:spacing w:after="0"/>
              <w:rPr>
                <w:sz w:val="20"/>
                <w:szCs w:val="20"/>
                <w:color w:val="auto"/>
              </w:rPr>
            </w:pPr>
            <w:r>
              <w:rPr>
                <w:rFonts w:ascii="Arial" w:cs="Arial" w:eastAsia="Arial" w:hAnsi="Arial"/>
                <w:sz w:val="18"/>
                <w:szCs w:val="18"/>
                <w:color w:val="auto"/>
              </w:rPr>
              <w:t>Crude oil gathering and transportation assets in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r>
              <w:rPr>
                <w:rFonts w:ascii="Arial" w:cs="Arial" w:eastAsia="Arial" w:hAnsi="Arial"/>
                <w:sz w:val="23"/>
                <w:szCs w:val="23"/>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-2066925</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-1510030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Alberta,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applicable, the approximate purchase price includes total cash paid and debt assumed, including amounts for working capital and inventory. Purchase price includes approximately $17 million of imputed interest. A prepayment of $50 million was made during 2011. Approximate purchase price of $1.192 billion, net of working capital, linefill and long-term inventory acquired. Includes two transactions with Western.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made by our subsidiary, PNG. Approximate purchase price of $750 million, net of cash and other working capital 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9" w:lineRule="exact"/>
        <w:rPr>
          <w:sz w:val="20"/>
          <w:szCs w:val="20"/>
          <w:color w:val="auto"/>
        </w:rPr>
      </w:pPr>
    </w:p>
    <w:p>
      <w:pPr>
        <w:ind w:left="20" w:right="100" w:hanging="11"/>
        <w:spacing w:after="0" w:line="250" w:lineRule="auto"/>
        <w:rPr>
          <w:sz w:val="20"/>
          <w:szCs w:val="20"/>
          <w:color w:val="auto"/>
        </w:rPr>
      </w:pPr>
      <w:r>
        <w:rPr>
          <w:rFonts w:ascii="Arial" w:cs="Arial" w:eastAsia="Arial" w:hAnsi="Arial"/>
          <w:sz w:val="18"/>
          <w:szCs w:val="18"/>
          <w:color w:val="auto"/>
        </w:rPr>
        <w:t>In connection with the PNGS acquisition we consolidated and subsequently refinanced approximately $450 million of previously non-recourse joint venture debt.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$544 million, net of linefill acquired.</w:t>
      </w:r>
    </w:p>
    <w:p>
      <w:pPr>
        <w:spacing w:after="0" w:line="200" w:lineRule="exact"/>
        <w:rPr>
          <w:sz w:val="20"/>
          <w:szCs w:val="20"/>
          <w:color w:val="auto"/>
        </w:rPr>
      </w:pPr>
    </w:p>
    <w:p>
      <w:pPr>
        <w:sectPr>
          <w:pgSz w:w="11900" w:h="16900" w:orient="portrait"/>
          <w:cols w:equalWidth="0" w:num="2">
            <w:col w:w="140" w:space="500"/>
            <w:col w:w="10780"/>
          </w:cols>
          <w:pgMar w:left="240" w:top="125"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Activities</w:t>
      </w:r>
    </w:p>
    <w:p>
      <w:pPr>
        <w:spacing w:after="0" w:line="225" w:lineRule="exact"/>
        <w:rPr>
          <w:sz w:val="20"/>
          <w:szCs w:val="20"/>
          <w:color w:val="auto"/>
        </w:rPr>
      </w:pPr>
    </w:p>
    <w:p>
      <w:pPr>
        <w:ind w:left="20" w:right="80" w:firstLine="441"/>
        <w:spacing w:after="0" w:line="272"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78"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See Item 1A. “Risk Factors—Risks Related to Our Business—If we do not make acquisitions or if we make acquisitions that fail to perform as anticipated, our future growth may be limited” and “—Our acquisition strategy involves risks that may adversely affect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United States comprises less than 5% of the world’s population, generates approximately 12% of the world’s petroleum production, and consumes approximately 21% of the world’s petroleum production. The following table sets forth projected world supply and demand for petroleum products (including crude oil and NGL) and is derived from the Energy Information Administration’s (“EIA”) Annual Energy Outlook 2013 Early Release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8"/>
                <w:szCs w:val="8"/>
                <w:b w:val="1"/>
                <w:bCs w:val="1"/>
                <w:color w:val="auto"/>
              </w:rPr>
              <w:t>(1)(2)</w:t>
            </w:r>
          </w:p>
        </w:tc>
        <w:tc>
          <w:tcPr>
            <w:tcW w:w="7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2013</w:t>
            </w:r>
          </w:p>
        </w:tc>
        <w:tc>
          <w:tcPr>
            <w:tcW w:w="2140" w:type="dxa"/>
            <w:vAlign w:val="bottom"/>
          </w:tcPr>
          <w:p>
            <w:pPr>
              <w:jc w:val="right"/>
              <w:ind w:right="888"/>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 of barrels per day)</w:t>
            </w:r>
          </w:p>
        </w:tc>
        <w:tc>
          <w:tcPr>
            <w:tcW w:w="8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Supply</w:t>
            </w:r>
          </w:p>
        </w:tc>
        <w:tc>
          <w:tcPr>
            <w:tcW w:w="4480" w:type="dxa"/>
            <w:vAlign w:val="bottom"/>
            <w:tcBorders>
              <w:bottom w:val="single" w:sz="8" w:color="CCEEFF"/>
            </w:tcBorders>
            <w:gridSpan w:val="2"/>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OECD </w:t>
            </w:r>
            <w:r>
              <w:rPr>
                <w:rFonts w:ascii="Arial" w:cs="Arial" w:eastAsia="Arial" w:hAnsi="Arial"/>
                <w:sz w:val="23"/>
                <w:szCs w:val="23"/>
                <w:color w:val="auto"/>
                <w:vertAlign w:val="superscript"/>
              </w:rPr>
              <w:t>(3)</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11.2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23.1</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23.7</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Organization of the Petroleum Exporting Countries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35.5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36.7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32.8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3"/>
          </w:tcPr>
          <w:p>
            <w:pPr>
              <w:ind w:left="160"/>
              <w:spacing w:after="0" w:line="210" w:lineRule="exact"/>
              <w:rPr>
                <w:sz w:val="20"/>
                <w:szCs w:val="20"/>
                <w:color w:val="auto"/>
              </w:rPr>
            </w:pPr>
            <w:r>
              <w:rPr>
                <w:rFonts w:ascii="Arial" w:cs="Arial" w:eastAsia="Arial" w:hAnsi="Arial"/>
                <w:sz w:val="18"/>
                <w:szCs w:val="18"/>
                <w:color w:val="auto"/>
              </w:rPr>
              <w:t xml:space="preserve">Total World Production </w:t>
            </w:r>
            <w:r>
              <w:rPr>
                <w:rFonts w:ascii="Arial" w:cs="Arial" w:eastAsia="Arial" w:hAnsi="Arial"/>
                <w:sz w:val="23"/>
                <w:szCs w:val="23"/>
                <w:color w:val="auto"/>
                <w:vertAlign w:val="superscript"/>
              </w:rPr>
              <w:t>(4)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90.5</w:t>
            </w:r>
          </w:p>
        </w:tc>
        <w:tc>
          <w:tcPr>
            <w:tcW w:w="3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93.2</w:t>
            </w:r>
          </w:p>
        </w:tc>
        <w:tc>
          <w:tcPr>
            <w:tcW w:w="3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8"/>
                <w:szCs w:val="8"/>
                <w:b w:val="1"/>
                <w:bCs w:val="1"/>
                <w:color w:val="auto"/>
              </w:rPr>
              <w:t>(1)(2)</w:t>
            </w:r>
          </w:p>
        </w:tc>
        <w:tc>
          <w:tcPr>
            <w:tcW w:w="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tcPr>
          <w:p>
            <w:pPr>
              <w:ind w:left="88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Demand</w:t>
            </w:r>
          </w:p>
        </w:tc>
        <w:tc>
          <w:tcPr>
            <w:tcW w:w="4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OECD</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19.5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26.7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26.9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45.5</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46.4</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44.3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46.8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gridSpan w:val="3"/>
            <w:shd w:val="clear" w:color="auto" w:fill="CCEEFF"/>
          </w:tcPr>
          <w:p>
            <w:pPr>
              <w:ind w:left="160"/>
              <w:spacing w:after="0" w:line="210" w:lineRule="exact"/>
              <w:rPr>
                <w:sz w:val="20"/>
                <w:szCs w:val="20"/>
                <w:color w:val="auto"/>
              </w:rPr>
            </w:pPr>
            <w:r>
              <w:rPr>
                <w:rFonts w:ascii="Arial" w:cs="Arial" w:eastAsia="Arial" w:hAnsi="Arial"/>
                <w:sz w:val="18"/>
                <w:szCs w:val="18"/>
                <w:color w:val="auto"/>
              </w:rPr>
              <w:t xml:space="preserve">Total World Consumption </w:t>
            </w:r>
            <w:r>
              <w:rPr>
                <w:rFonts w:ascii="Arial" w:cs="Arial" w:eastAsia="Arial" w:hAnsi="Arial"/>
                <w:sz w:val="23"/>
                <w:szCs w:val="23"/>
                <w:color w:val="auto"/>
                <w:vertAlign w:val="superscript"/>
              </w:rPr>
              <w:t>(4)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89.7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93.2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Production as % of World Production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U.S. Consumption as % of World Consumption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U.S. (Consumption)</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2012 amounts are derived from the EIA’s Short-Term Energy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 for Economic Co-operation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Production and consumption may not equal in every year due to inventory builds or draws.</w:t>
      </w:r>
    </w:p>
    <w:p>
      <w:pPr>
        <w:spacing w:after="0" w:line="200" w:lineRule="exact"/>
        <w:rPr>
          <w:sz w:val="20"/>
          <w:szCs w:val="20"/>
          <w:color w:val="auto"/>
        </w:rPr>
      </w:pPr>
    </w:p>
    <w:p>
      <w:pPr>
        <w:sectPr>
          <w:pgSz w:w="11900" w:h="16838" w:orient="portrait"/>
          <w:cols w:equalWidth="0" w:num="2">
            <w:col w:w="140" w:space="500"/>
            <w:col w:w="10780"/>
          </w:cols>
          <w:pgMar w:left="240" w:top="108" w:right="239" w:bottom="0" w:gutter="0" w:footer="0" w:header="0"/>
          <w:type w:val="continuous"/>
        </w:sectPr>
      </w:pPr>
    </w:p>
    <w:p>
      <w:pPr>
        <w:spacing w:after="0" w:line="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could result in lower energy prices, depending on the production responses of producers.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During the 20-year period from 1985 through 2004, U.S. refinery demand for crude oil increased approximately 29% from approximately 12.0 million barrels per day to approximately 15.5 million barrels per day. U.S. refinery demand for crude oil remained effectively flat from 2005 through 2007 at around 15.2 million barrels per day. Largely as a result of a major economic slowdown and recession, from 2008 to 2012 total U.S. petroleum consumption declined and refinery demand decreased, averaging approximately 15.0 million barrels per day for the 12 months ended November 2012. Of this amount, approximately 6.4 million barrels per day were produced domestically. Accordingly, for the 12 months ended November 2012, approximately 8.6 million barrels per day of the crude oil used by U.S. refineries were imported. This level of crude oil imports represents a meaningful change in a multi-year trend where foreign imports of crude oil tripled over a 23-year period, from approximately 3.2 million barrels per day in 1985 to approximately 10.1 million barrels per day from 2005-2007. Reduced domestic demand for petroleum products from end users and competitive challenges faced by certain U.S. refineries with limited access to domestic feedstocks as well as increased use of ethanol for blending in gasoline have been major factors contributing to the drop in refinery demand for crude oil, partially offset by rising refined products exports. Since 2000, ethanol production has grown from approximately 100,000 barrels per day to approximately 940,000 barrels per day for the 12 months ended November 2012. Growth in ethanol and other renewable fuel production is expected to continue primarily due to government mandates on production. The EIA is currently forecasting a continued gradual decline in foreign crude imports from current levels, which is attributable to increased domestic production and increased supply from other liquid products, including ethanol and biodiesel.</w:t>
      </w:r>
    </w:p>
    <w:p>
      <w:pPr>
        <w:sectPr>
          <w:pgSz w:w="11900" w:h="16838" w:orient="portrait"/>
          <w:cols w:equalWidth="0" w:num="1">
            <w:col w:w="11420"/>
          </w:cols>
          <w:pgMar w:left="240" w:top="108" w:right="239" w:bottom="0" w:gutter="0" w:footer="0" w:header="0"/>
          <w:type w:val="continuous"/>
        </w:sectPr>
      </w:pPr>
    </w:p>
    <w:bookmarkStart w:id="7" w:name="page8"/>
    <w:bookmarkEnd w:id="7"/>
    <w:p>
      <w:pPr>
        <w:ind w:right="100" w:firstLine="756"/>
        <w:spacing w:after="0" w:line="297" w:lineRule="auto"/>
        <w:rPr>
          <w:sz w:val="20"/>
          <w:szCs w:val="20"/>
          <w:color w:val="auto"/>
        </w:rPr>
      </w:pPr>
      <w:r>
        <w:rPr>
          <w:rFonts w:ascii="Arial" w:cs="Arial" w:eastAsia="Arial" w:hAnsi="Arial"/>
          <w:sz w:val="16"/>
          <w:szCs w:val="16"/>
          <w:color w:val="auto"/>
        </w:rPr>
        <w:t xml:space="preserve">The table below shows the overall domestic petroleum consumption projected out to 2020 and is derived from recent information published by the EIA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 The amounts in the 2012 column are based on the twelve months from December 2011 to November 2012</w:t>
      </w:r>
      <w:r>
        <w:rPr>
          <w:rFonts w:ascii="Arial" w:cs="Arial" w:eastAsia="Arial" w:hAnsi="Arial"/>
          <w:sz w:val="16"/>
          <w:szCs w:val="16"/>
          <w:b w:val="1"/>
          <w:bCs w:val="1"/>
          <w:color w:val="auto"/>
        </w:rPr>
        <w:t>.</w:t>
      </w:r>
      <w:r>
        <w:rPr>
          <w:rFonts w:ascii="Arial" w:cs="Arial" w:eastAsia="Arial" w:hAnsi="Arial"/>
          <w:sz w:val="16"/>
          <w:szCs w:val="16"/>
          <w:color w:val="auto"/>
        </w:rPr>
        <w:t xml:space="preserve"> We believe these trends will be subject to significant variation from time to time due to a number of factors, including the level of domestic production volumes and infrastructure limitations which impact pricing and geopolitical developments. Based on market and industry conditions throughout 2012 and conditions in early 2013, it appears domestic crude oil and NGL production levels could exceed the EIA’s forecast over the next several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8"/>
                <w:szCs w:val="8"/>
                <w:b w:val="1"/>
                <w:bCs w:val="1"/>
                <w:color w:val="auto"/>
              </w:rPr>
              <w:t>(1)</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80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tcPr>
          <w:p>
            <w:pPr>
              <w:ind w:left="88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Domestic Crude Oil Production</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Imports - Crude Oil</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Product Imports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Exports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Net Product Imports / (Exports)</w:t>
            </w: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Supply from Renewable Sources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Total Domestic Petroleum Consumption</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illustrated in the table above, imports of foreign crude oil and other petroleum products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2012 and is derived from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Petroleum Administration Defense District (in millions of barrels per day) </w:t>
            </w:r>
            <w:r>
              <w:rPr>
                <w:rFonts w:ascii="Arial" w:cs="Arial" w:eastAsia="Arial" w:hAnsi="Arial"/>
                <w:sz w:val="8"/>
                <w:szCs w:val="8"/>
                <w:b w:val="1"/>
                <w:bCs w:val="1"/>
                <w:color w:val="auto"/>
              </w:rPr>
              <w:t>(1)</w:t>
            </w:r>
          </w:p>
        </w:tc>
        <w:tc>
          <w:tcPr>
            <w:tcW w:w="280" w:type="dxa"/>
            <w:vAlign w:val="bottom"/>
            <w:vMerge w:val="restart"/>
          </w:tcPr>
          <w:p>
            <w:pPr>
              <w:spacing w:after="0"/>
              <w:rPr>
                <w:sz w:val="14"/>
                <w:szCs w:val="1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Regional</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Refinery</w:t>
            </w: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Supply</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Supply</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Demand</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Shortfall</w:t>
            </w:r>
          </w:p>
        </w:tc>
        <w:tc>
          <w:tcPr>
            <w:tcW w:w="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PADD I (East Coast)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PADD II (Midwest)</w:t>
            </w:r>
          </w:p>
        </w:tc>
        <w:tc>
          <w:tcPr>
            <w:tcW w:w="8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III (South)</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PADD IV (Rockies)</w:t>
            </w:r>
          </w:p>
        </w:tc>
        <w:tc>
          <w:tcPr>
            <w:tcW w:w="8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0.4</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V (West Coast)</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Total U.S.</w:t>
            </w: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w:t>
            </w:r>
          </w:p>
        </w:tc>
        <w:tc>
          <w:tcPr>
            <w:tcW w:w="2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or cross-foot due to rounding.</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advances in horizontal drilling and fracturing technology over the last several years and their application to various large scale resource plays, certain historical trends are being influenced. For example, PADD II production increased beginning in 2005 and as of late 2012 is approximately 1.1 million barrels per day, nearly two and a half times 2004’s level. This increase is being driven mainly by increased production from the Bakken oil formation in North Dakota using advanced horizontal drilling and fracturing technology.</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More recently, other parts of the U.S. have experienced increased production volumes from mature producing areas such as the Rockies, the Permian Basin in West Texas, as well as less developed, but quickly growing areas such as the Eagle Ford Shale in South Texas. Actual and anticipated production increases in multiple areas combined with actual and expected increased imports from Canada has strained or is expected to strain existing transportation and terminalling infrastructure in multiple areas. These developments are also resulting in changes to historical trends with respect to crude oil movements among regions of the U.S. For example, the quantity of crude oil transported from the Gulf Coast area into PADD II has declined, but the overall change in crude oil flows has resulted in an increased demand for storage and terminalling services at Cushing, Oklahoma and Patoka, Illinois.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quality of the increasing crude oil volumes, which are generally lighter (higher gravity) and sweeter (lower sulfur content) than previous production, is exacerbating the demands placed on existing infrastructure. Notably, this change in crude oil quality is in stark contrast to the sizeable, multi-year investments made by a number of U.S. refining companies in order to expand their capabilities to process heavier, sourer grades of crude oil. This divergence between readily available supplies of light sweet crude and increased refinery demand for heavy sour crude has caused differentials between crude oil grades and qualities to change relative to historical levels and become much more dynamic and volatile. The combination of (i) a significant increase in North American production volumes, (ii) a change in crude oil qualities and related differentials and (iii) a high utilization of existing pipeline and terminal infrastructure have stimulated multiple industry initiatives to build new pipeline and terminal infrastructure, convert certain pipeline assets to alternative service or reverse flows and expand the use of trucks, rail and barges for the movement of crude oil.</w:t>
      </w:r>
    </w:p>
    <w:p>
      <w:pPr>
        <w:spacing w:after="0" w:line="17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Overall, volatility in various aspects of the crude oil market including absolute price, market structure and grade and location differentials has increased over time and we expect this volatility to persist. Some factors that we believe are causing and will continue to cause volatility in the market</w:t>
      </w:r>
    </w:p>
    <w:p>
      <w:pPr>
        <w:sectPr>
          <w:pgSz w:w="11900" w:h="16838" w:orient="portrait"/>
          <w:cols w:equalWidth="0" w:num="1">
            <w:col w:w="11420"/>
          </w:cols>
          <w:pgMar w:left="240" w:top="34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include:</w:t>
      </w:r>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multi-year narrowing of the gap between supply and demand in North America;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international supply and demand related to the economic environment, geopolitical events and armed conflicts;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supply and demand imbalances and changes in refinery capacity and specific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fluctuations in absolute price as well as grade and location differentials;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in critical producing 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policy decisions made by various governments around the world attempting to navigate energy challenges.</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complexity and volatility of the crude oil market creates opportunities to solve the logistical inefficiencies inherent in the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Products Market Overview</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After transport to a refinery, the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Demand for refined products has generally been affected by price levels, economic growth trends, conservation, fuel efficiency mandates and, to a lesser extent, weather conditions. According to the EIA, petroleum consumption in the United States rose from approximately 15.7 million barrels per day in 1985 to an average of approximately 20.7 million barrels per day during the four-year period ending with 2007. From 2008 through the 12 months ended November 2012, petroleum consumption averaged approximately 19.0 million barrels per day, an approximate 8% decrease from peak levels, largely due to the economic weakness. Given this decreased demand for refined products, the increased use of ethanol and other renewable fuels and the resulting excess refining capacity, a number of U.S. refineries reduced output and, in some cases, indefinitely shut-down. The EIA is currently forecasting growth in overall refined product demand to increase marginally over the next decade.</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level of future domestic demand generally will be influenced by economic conditions as well as the absolute prices of the products. Counteracting the impact of decreased domestic refined product demand on many U.S. refineries has been the combination of a significant decrease in refined product imports and a significant increase in refined product exports. Refined product imports decreased from 3.2 million barrels per day in 2005 to an average of approximately 1.9 million barrels per day for the twelve months ended November 2012. Conversely, refined product exports increased from approximately 1.1 million barrels per day in 2005 to 2.8 million barrels per day for the twelve months ended November 2012. We believe that potential demand growth will be met primarily by the increase in mandated alternative fuels and increased utilization of existing refining capacity, which could generate demand for midstream infrastructure in certain areas, including pipelines and terminals.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are derived from natural gas production and processing activities as well as crude oil refining processes. LPG primarily includes propane, butane, and natural gasoline, which liquefy at moderate pressures thus making it easier to transport and store such products as compared to ethane. As discussed above, NGL refers to all NGL products including LPG when used in this document.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00" w:hanging="324"/>
        <w:spacing w:after="0" w:line="286"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60" w:hanging="324"/>
        <w:spacing w:after="0" w:line="286"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8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79%) of the U.S. NGL supply comes from gas processing plants, which separate a mixture of NGL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majority of gas processing plants in the U.S. are located along the Gulf Coast, in the West Texas/Oklahoma area and in the Rockies region. Smaller gas processing regions are located in Michigan and Illinois as well as the Marcellus region (which is expanding rapidly) and Southern California. In Canada, the vast majority of the processing capacity is located in Alberta, with a much smaller (but increasing) amount in British Columbia.</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NGL products from refineries represent approximately 15% of U.S.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NGL are also imported into certain regions of the U.S. from Canada and other parts of the world (approximately 6% of total supply). NGL (primarily propane) are also exported from certain regions of the United States.</w:t>
      </w:r>
    </w:p>
    <w:p>
      <w:pPr>
        <w:spacing w:after="0" w:line="170"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are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 In addition, there are several other production hubs, including Empress, Alberta and Hobbs, New Mexico. The West Virginia/Western Pennsylvania area is also rapidly developing as a meaningful NGL infrastructure hub.</w:t>
      </w:r>
    </w:p>
    <w:p>
      <w:pPr>
        <w:spacing w:after="0" w:line="187" w:lineRule="exact"/>
        <w:rPr>
          <w:sz w:val="20"/>
          <w:szCs w:val="20"/>
          <w:color w:val="auto"/>
        </w:rPr>
      </w:pPr>
    </w:p>
    <w:p>
      <w:pPr>
        <w:ind w:right="80" w:firstLine="702"/>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NGL Market Outlook. </w:t>
      </w:r>
      <w:r>
        <w:rPr>
          <w:rFonts w:ascii="Arial" w:cs="Arial" w:eastAsia="Arial" w:hAnsi="Arial"/>
          <w:sz w:val="17"/>
          <w:szCs w:val="17"/>
          <w:color w:val="auto"/>
        </w:rPr>
        <w:t>NGL supplies from gas processing plants are increasing rapidly due to the increased drilling activity in unconventional</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 plays, where producers are targeting “liquids rich” areas to capitalize on forecasted high NGL product prices (which historically have been correlated with crude oil prices). Numerous industry and financial analysts project NGL supply volumes will continue to grow over the next several years with some analysts projecting U.S. supply volumes to increase from 2012 levels over 30% by 2016. A significant amount of this volume is expected to come from recently discovered, unconventional resource plays which do not have the NGL infrastructure to process the wet natural gas or transport, fractionate, and store the NGL products. Nor are these new supply areas near historical markets for the NGL purity products. As a result of these dynamics, substantial incremental infrastructure is likely to be developed throughout the NGL value chain over the next several years, and traditional regional basis relationships could change significantly. A portion of the increased supply of NGL will likely be absorbed by the domestic petrochemical sector as low-cost feed stocks. In addition, growing production of Canadian heavy crude oil is likely to create demand for additional diluents, primarily natural gasoline and butane. The remaining product not absorbed domestically will likely drive continued growth in the NGL export market. Due to rapid increases in NGL production, the prices of NGL (particularly ethane and propane) have been pressured downward in certain locations. It is difficult to predict when such prices may rebound but this downward pressure on prices is one of the key drivers for the new infrastructure development referred to above. The NGL market is, among other things, expected to be driven by:</w:t>
      </w:r>
    </w:p>
    <w:p>
      <w:pPr>
        <w:spacing w:after="0" w:line="188" w:lineRule="exact"/>
        <w:rPr>
          <w:sz w:val="20"/>
          <w:szCs w:val="20"/>
          <w:color w:val="auto"/>
        </w:rPr>
      </w:pPr>
    </w:p>
    <w:p>
      <w:pPr>
        <w:ind w:left="5620" w:right="4080" w:hanging="4964"/>
        <w:spacing w:after="0" w:line="528" w:lineRule="auto"/>
        <w:tabs>
          <w:tab w:leader="none" w:pos="9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growth/decline rates of wet natural gas in established supply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infrastructure development costs and timing as well as development risk sharing;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rights from producers to process their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demand for NGL products;</w:t>
      </w:r>
    </w:p>
    <w:p>
      <w:pPr>
        <w:sectPr>
          <w:pgSz w:w="11900" w:h="16838" w:orient="portrait"/>
          <w:cols w:equalWidth="0" w:num="1">
            <w:col w:w="11420"/>
          </w:cols>
          <w:pgMar w:left="240" w:top="368" w:right="239" w:bottom="0" w:gutter="0" w:footer="0" w:header="0"/>
        </w:sectPr>
      </w:pPr>
    </w:p>
    <w:bookmarkStart w:id="10" w:name="page11"/>
    <w:bookmarkEnd w:id="10"/>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refinery shut downs;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alternating needs of refineries to store and blend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shifts in weather;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(and to a lesser extent imported natural gas from Canada)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for natural gas storage services in the United States is driven by:</w:t>
      </w:r>
    </w:p>
    <w:p>
      <w:pPr>
        <w:spacing w:after="0" w:line="225" w:lineRule="exact"/>
        <w:rPr>
          <w:sz w:val="20"/>
          <w:szCs w:val="20"/>
          <w:color w:val="auto"/>
        </w:rPr>
      </w:pPr>
    </w:p>
    <w:p>
      <w:pPr>
        <w:ind w:left="980" w:right="4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long-term supply and demand for natural gas and the overall lack of balance between the supply of and demand for natural gas on a seasonal, monthly, daily or hourly basis;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natural gas demand from seasonal or weather-sensitive end-users such as gas-fired power generators and residential and commercial consumers;</w:t>
      </w:r>
    </w:p>
    <w:p>
      <w:pPr>
        <w:spacing w:after="0" w:line="248" w:lineRule="exact"/>
        <w:rPr>
          <w:rFonts w:ascii="Arial" w:cs="Arial" w:eastAsia="Arial" w:hAnsi="Arial"/>
          <w:sz w:val="16"/>
          <w:szCs w:val="16"/>
          <w:color w:val="auto"/>
        </w:rPr>
      </w:pPr>
    </w:p>
    <w:p>
      <w:pPr>
        <w:ind w:left="980" w:right="10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factors that contribute to more frequent and severe imbalances between the supply of and demand for natural gas, whether caused by supply or demand fluctuations;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operational imbalances, near-term seasonal spreads, shorter-term spreads and basis differentials;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extent to which there is a surplus or shortfall of storage capacity relative to the overall demand for storage services in a given market area.</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period from 2002 through 2012, domestic natural gas consumption has grown, albeit unevenly, driven primarily by growth in the seasonal and weather-sensitive electric power generation sector, partially offset by declines in the residential and industrial sectors. For a number of years during the same period, domestic natural gas production was relatively flat and failed to keep pace with domestic consumption. Over the past several years, however, domestic natural gas production has been growing rapidly. This trend reversal is primarily due to increases in production from developing shale resource plays.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seasonality of natural gas demand has remained strong during the last decade, with consumption during the peak winter months averaging approximately 40% more than consumption during the summer months, per EIA data. This strong seasonal trend has produced seasonal spreads (the price difference between the summer and winter season) that have generally moved within a range of approximately $0.19 to $4.74 per MMBtu, with the high end of that range occurring during the 2006-2007 timeframe. However, in 2012 the seasonal spreads (Oct-Jan) for 2013-2014 and 2014-2015, which influence the rates at which we will be able to contract firm storage capacity in future years, have ranged from $0.35 to $0.48. In addition, lower short-term spreads and basis differentials have reduced overall market opportunities, which negatively impacts storage demand and value. While there are a variety of factors that have contributed to these softer market conditions, we believe the key drivers are (i) increased natural gas supplies due to production from shale resources,</w:t>
      </w:r>
    </w:p>
    <w:p>
      <w:pPr>
        <w:spacing w:after="0" w:line="3" w:lineRule="exact"/>
        <w:rPr>
          <w:sz w:val="20"/>
          <w:szCs w:val="20"/>
          <w:color w:val="auto"/>
        </w:rPr>
      </w:pPr>
    </w:p>
    <w:p>
      <w:pPr>
        <w:jc w:val="both"/>
        <w:ind w:right="120" w:firstLine="8"/>
        <w:spacing w:after="0" w:line="255"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increases in storage capacity and (iii) lower basis differentials due to expansion and improved connectivity of natural gas transportation infrastructure in the U.S. over the last five years. We believe that certain of the supply and demand factors are cyclical and self correcting over time, and that the long term outlook for storage utilization and demand is positive.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transportation, terminalling and storage facilities at major market hubs and in key oil producing basins, as well as crude oil, NGL and refined product transportation corridors in the United States and Canada.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noncontrolling interests.</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December 31, 2012, we employed a variety of owned or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17,400 miles of active crude oil, NGL and refined products pipelines and gathering systems;</w:t>
      </w:r>
    </w:p>
    <w:p>
      <w:pPr>
        <w:sectPr>
          <w:pgSz w:w="11900" w:h="16838" w:orient="portrait"/>
          <w:cols w:equalWidth="0" w:num="1">
            <w:col w:w="11420"/>
          </w:cols>
          <w:pgMar w:left="240" w:top="125" w:right="239" w:bottom="0" w:gutter="0" w:footer="0" w:header="0"/>
        </w:sectPr>
      </w:pPr>
    </w:p>
    <w:bookmarkStart w:id="11" w:name="page12"/>
    <w:bookmarkEnd w:id="11"/>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 million barrels of active, above-ground tank capacity used primarily to facilitate pipeline throughput;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582 trailers (primarily in Canada);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104 transport and storage barges and 51 transport tugs through our interest in Settoon Towing.</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tabular presentation of our active crude oil, NGL and refined products pipeline assets in the United States and Canada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grouped by geographic location: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2012 Average</w:t>
            </w:r>
          </w:p>
        </w:tc>
        <w:tc>
          <w:tcPr>
            <w:tcW w:w="0" w:type="dxa"/>
            <w:vAlign w:val="bottom"/>
          </w:tcPr>
          <w:p>
            <w:pPr>
              <w:spacing w:after="0"/>
              <w:rPr>
                <w:sz w:val="1"/>
                <w:szCs w:val="1"/>
                <w:color w:val="auto"/>
              </w:rPr>
            </w:pPr>
          </w:p>
        </w:tc>
      </w:tr>
      <w:tr>
        <w:trPr>
          <w:trHeight w:val="149"/>
        </w:trPr>
        <w:tc>
          <w:tcPr>
            <w:tcW w:w="79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6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System Miles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Net Barrels</w:t>
            </w:r>
          </w:p>
        </w:tc>
        <w:tc>
          <w:tcPr>
            <w:tcW w:w="0" w:type="dxa"/>
            <w:vAlign w:val="bottom"/>
          </w:tcPr>
          <w:p>
            <w:pPr>
              <w:spacing w:after="0"/>
              <w:rPr>
                <w:sz w:val="1"/>
                <w:szCs w:val="1"/>
                <w:color w:val="auto"/>
              </w:rPr>
            </w:pPr>
          </w:p>
        </w:tc>
      </w:tr>
      <w:tr>
        <w:trPr>
          <w:trHeight w:val="171"/>
        </w:trPr>
        <w:tc>
          <w:tcPr>
            <w:tcW w:w="7900" w:type="dxa"/>
            <w:vAlign w:val="bottom"/>
            <w:gridSpan w:val="6"/>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per Day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Permian Basin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Basin / Mesa</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Permian Basin Area Systems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b w:val="1"/>
                <w:bCs w:val="1"/>
                <w:color w:val="auto"/>
              </w:rPr>
              <w:t>Permian Basin Subtotal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3,551</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b w:val="1"/>
                <w:bCs w:val="1"/>
                <w:color w:val="auto"/>
              </w:rPr>
              <w:t>Eagle Ford Area Systems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b w:val="1"/>
                <w:bCs w:val="1"/>
                <w:color w:val="auto"/>
              </w:rPr>
              <w:t>Western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All American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Line 63 / Line 2000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b w:val="1"/>
                <w:bCs w:val="1"/>
                <w:color w:val="auto"/>
              </w:rPr>
              <w:t>Western Subtotal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b w:val="1"/>
                <w:bCs w:val="1"/>
                <w:color w:val="auto"/>
              </w:rPr>
              <w:t>Rocky Mountain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Bakken Area Systems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Salt Lake City Area Systems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982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1,323</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Rocky Mountain Subtotal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Gulf Coast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631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b w:val="1"/>
                <w:bCs w:val="1"/>
                <w:color w:val="auto"/>
              </w:rPr>
              <w:t>Gulf Coast Subtotal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1,576</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b w:val="1"/>
                <w:bCs w:val="1"/>
                <w:color w:val="auto"/>
              </w:rPr>
              <w:t>Central</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Mid-Continent Area Systems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Central Subtotal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Refined Products Pipelines</w:t>
            </w:r>
          </w:p>
        </w:tc>
        <w:tc>
          <w:tcPr>
            <w:tcW w:w="166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b w:val="1"/>
                <w:bCs w:val="1"/>
                <w:color w:val="auto"/>
              </w:rPr>
              <w:t>903</w:t>
            </w:r>
          </w:p>
        </w:tc>
        <w:tc>
          <w:tcPr>
            <w:tcW w:w="14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United States Total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13,040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Canada</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Crude Oil Pipelines: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color w:val="auto"/>
              </w:rPr>
              <w:t>Rainbow</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b w:val="1"/>
                <w:bCs w:val="1"/>
                <w:color w:val="auto"/>
              </w:rPr>
              <w:t>Crude Oil Pipelines Subtotal</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color w:val="auto"/>
              </w:rPr>
              <w:t>NGL Pipelines: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434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b w:val="1"/>
                <w:bCs w:val="1"/>
                <w:color w:val="auto"/>
              </w:rPr>
              <w:t>NGL Pipelines Subtotal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Canada 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4,368</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17,408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180" w:hanging="5612"/>
        <w:spacing w:after="0" w:line="461" w:lineRule="auto"/>
        <w:tabs>
          <w:tab w:leader="none" w:pos="813"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Ownership percentage varies on each pipeline and gathering system ranging from approximately 20% to 100%.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240" w:top="341" w:right="639" w:bottom="0" w:gutter="0" w:footer="0" w:header="0"/>
        </w:sectPr>
      </w:pPr>
    </w:p>
    <w:bookmarkStart w:id="12" w:name="page13"/>
    <w:bookmarkEnd w:id="12"/>
    <w:p>
      <w:pPr>
        <w:spacing w:after="0" w:line="73"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912" w:orient="portrait"/>
          <w:cols w:equalWidth="0" w:num="1">
            <w:col w:w="11420"/>
          </w:cols>
          <w:pgMar w:left="240" w:top="368" w:right="239"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Represents average volume for the entire year attributable to our interest.</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Non-operated pipeline.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Pipelines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Permian Basin</w:t>
      </w:r>
    </w:p>
    <w:p>
      <w:pPr>
        <w:spacing w:after="0" w:line="200" w:lineRule="exact"/>
        <w:rPr>
          <w:sz w:val="20"/>
          <w:szCs w:val="20"/>
          <w:color w:val="auto"/>
        </w:rPr>
      </w:pPr>
    </w:p>
    <w:p>
      <w:pPr>
        <w:sectPr>
          <w:pgSz w:w="11900" w:h="16912" w:orient="portrait"/>
          <w:cols w:equalWidth="0" w:num="2">
            <w:col w:w="140" w:space="520"/>
            <w:col w:w="10760"/>
          </w:cols>
          <w:pgMar w:left="240" w:top="368" w:right="239" w:bottom="0" w:gutter="0" w:footer="0" w:header="0"/>
          <w:type w:val="continuous"/>
        </w:sectPr>
      </w:pPr>
    </w:p>
    <w:p>
      <w:pPr>
        <w:spacing w:after="0" w:line="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Basin Pipeline System. </w:t>
      </w:r>
      <w:r>
        <w:rPr>
          <w:rFonts w:ascii="Arial" w:cs="Arial" w:eastAsia="Arial" w:hAnsi="Arial"/>
          <w:sz w:val="16"/>
          <w:szCs w:val="16"/>
          <w:color w:val="auto"/>
        </w:rPr>
        <w:t>We own an approximate 87% undivided joint interest in and are the operator of the Basin Pipeline system. The Basin system</w:t>
      </w:r>
      <w:r>
        <w:rPr>
          <w:rFonts w:ascii="Arial" w:cs="Arial" w:eastAsia="Arial" w:hAnsi="Arial"/>
          <w:sz w:val="16"/>
          <w:szCs w:val="16"/>
          <w:i w:val="1"/>
          <w:iCs w:val="1"/>
          <w:color w:val="auto"/>
        </w:rPr>
        <w:t xml:space="preserve"> </w:t>
      </w:r>
      <w:r>
        <w:rPr>
          <w:rFonts w:ascii="Arial" w:cs="Arial" w:eastAsia="Arial" w:hAnsi="Arial"/>
          <w:sz w:val="16"/>
          <w:szCs w:val="16"/>
          <w:color w:val="auto"/>
        </w:rPr>
        <w:t>is a primary route for transporting crude oil from the Permian Basin (in west Texas and southern New Mexico) to Cushing, Oklahoma, for further delivery to Mid-Continent and Midwest refining centers. The Basin system accommodates three primary movements of crude oil: (i) barrels that are shipped from Jal, New Mexico to the West Texas markets of Wink/Hendrick and Midland; (ii) barrels that are shipped from Midland to connecting carriers at Colorado City, Texas or Wichita Falls, Texas; and (iii) barrels that are shipped from Jal, Midland, Colorado City and Wichita Falls to connecting carriers at Cushing.</w:t>
      </w:r>
    </w:p>
    <w:p>
      <w:pPr>
        <w:spacing w:after="0" w:line="15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The Basin system is an approximate 520-mile mainline, telescoping crude oil system with a system capacity ranging from approximately 144,000 barrels per day to 450,000 barrels per day (approximately 125,000 barrels per day to 392,000 barrels per day attributable to our interest) depending on the segment. During 2012, we completed two expansion projects on the Basin system including (i) increasing capacity from 400,000 to 450,000 barrels per day (from 348,000 barrels per day to 392,000 barrels per day attributable to our interest) on crude oil movements from Colorado City to Cushing and</w:t>
      </w:r>
    </w:p>
    <w:p>
      <w:pPr>
        <w:spacing w:after="0" w:line="2" w:lineRule="exact"/>
        <w:rPr>
          <w:sz w:val="20"/>
          <w:szCs w:val="20"/>
          <w:color w:val="auto"/>
        </w:rPr>
      </w:pPr>
    </w:p>
    <w:p>
      <w:pPr>
        <w:ind w:right="100" w:firstLine="8"/>
        <w:spacing w:after="0" w:line="254"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capacity from 144,000 to 240,000 barrels per day (from 125,000 barrels per day to 209,000 barrels per day attributable to our interest) on movements from Wink/Hendrick to Midland. System throughput (as measured by system deliveries) was approximately 506,000 barrels per day (attributable to our interest) during 2012. The system also includes approximately 6 million barrels of tankage located along the system. The Basin system is subject to tariff rates regulated by the Federal Energy Regulatory Commission (“FERC”).</w:t>
      </w:r>
    </w:p>
    <w:p>
      <w:pPr>
        <w:spacing w:after="0" w:line="1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Mesa Pipeline System. </w:t>
      </w:r>
      <w:r>
        <w:rPr>
          <w:rFonts w:ascii="Arial" w:cs="Arial" w:eastAsia="Arial" w:hAnsi="Arial"/>
          <w:sz w:val="18"/>
          <w:szCs w:val="18"/>
          <w:color w:val="auto"/>
        </w:rPr>
        <w:t>We own an approximate 63% interest in and are the operator of the Mesa Pipeline system, which transports crude oil from</w:t>
      </w:r>
      <w:r>
        <w:rPr>
          <w:rFonts w:ascii="Arial" w:cs="Arial" w:eastAsia="Arial" w:hAnsi="Arial"/>
          <w:sz w:val="18"/>
          <w:szCs w:val="18"/>
          <w:i w:val="1"/>
          <w:iCs w:val="1"/>
          <w:color w:val="auto"/>
        </w:rPr>
        <w:t xml:space="preserve"> </w:t>
      </w:r>
      <w:r>
        <w:rPr>
          <w:rFonts w:ascii="Arial" w:cs="Arial" w:eastAsia="Arial" w:hAnsi="Arial"/>
          <w:sz w:val="18"/>
          <w:szCs w:val="18"/>
          <w:color w:val="auto"/>
        </w:rPr>
        <w:t>Midland to a refinery at Big Spring, Texas and to connecting carriers at Colorado City. The Mesa system is an 80-mile mainline with a system capacity of up to 400,000 barrels per day (approximately 252,000 barrels per day attributable to our interest). System throughput (as measured by system deliveries) was approximately 190,000 barrels per day (attributable to our interest) during 2012.</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Permian Basin Area Systems. </w:t>
      </w:r>
      <w:r>
        <w:rPr>
          <w:rFonts w:ascii="Arial" w:cs="Arial" w:eastAsia="Arial" w:hAnsi="Arial"/>
          <w:sz w:val="16"/>
          <w:szCs w:val="16"/>
          <w:color w:val="auto"/>
        </w:rPr>
        <w:t>We operate wholly owned systems of approximately 3,000 miles that aggregate receipts from wellhead gathering lines</w:t>
      </w:r>
      <w:r>
        <w:rPr>
          <w:rFonts w:ascii="Arial" w:cs="Arial" w:eastAsia="Arial" w:hAnsi="Arial"/>
          <w:sz w:val="16"/>
          <w:szCs w:val="16"/>
          <w:i w:val="1"/>
          <w:iCs w:val="1"/>
          <w:color w:val="auto"/>
        </w:rPr>
        <w:t xml:space="preserve"> </w:t>
      </w:r>
      <w:r>
        <w:rPr>
          <w:rFonts w:ascii="Arial" w:cs="Arial" w:eastAsia="Arial" w:hAnsi="Arial"/>
          <w:sz w:val="16"/>
          <w:szCs w:val="16"/>
          <w:color w:val="auto"/>
        </w:rPr>
        <w:t>and bulk truck injection locations into a combination of 4- to 16-inch diameter trunk lines for transportation and delivery into the Basin system at Jal, Wink and Midland as well as our terminal facilities in Midland. These systems are subject to tariff rates regulated by either the FERC or state regulatory agencies. For 2012, combined throughput on the Permian Basin area systems totaled an average of approximately 461,000 barrels per day.</w:t>
      </w:r>
    </w:p>
    <w:p>
      <w:pPr>
        <w:spacing w:after="0" w:line="15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During 2011 and 2012, we commenced construction of multiple expansion and extension projects servicing the Bone Spring, Spraberry and Wolfberry producing areas in the Permian Basin. These projects, which included adding over 145 miles of pipeline and approximately 200,000 barrels of additional gathering capacity, interconnect with our Basin system as well as third-party systems. Portions of these projects were placed into service during 2012, with the remainder expected to be completed during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Eagle Ford Area</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Eagle Ford Area Systems. </w:t>
      </w:r>
      <w:r>
        <w:rPr>
          <w:rFonts w:ascii="Arial" w:cs="Arial" w:eastAsia="Arial" w:hAnsi="Arial"/>
          <w:sz w:val="16"/>
          <w:szCs w:val="16"/>
          <w:color w:val="auto"/>
        </w:rPr>
        <w:t>In November 2011, we acquired from Velocity a condensate gathering system (the “Gardendale Gathering System”) that</w:t>
      </w:r>
      <w:r>
        <w:rPr>
          <w:rFonts w:ascii="Arial" w:cs="Arial" w:eastAsia="Arial" w:hAnsi="Arial"/>
          <w:sz w:val="16"/>
          <w:szCs w:val="16"/>
          <w:i w:val="1"/>
          <w:iCs w:val="1"/>
          <w:color w:val="auto"/>
        </w:rPr>
        <w:t xml:space="preserve"> </w:t>
      </w:r>
      <w:r>
        <w:rPr>
          <w:rFonts w:ascii="Arial" w:cs="Arial" w:eastAsia="Arial" w:hAnsi="Arial"/>
          <w:sz w:val="16"/>
          <w:szCs w:val="16"/>
          <w:color w:val="auto"/>
        </w:rPr>
        <w:t>was in the advanced stages of construction in the Eagle Ford area of South Texas. The Gardendale Gathering System currently consists of approximately 115 miles of pipeline with a capacity of approximately 150,000 barrels per day and terminals at Gardendale and Catarina with aggregate storage capacity of approximately 185,000 barrels. In December 2012, we acquired approximately 30 miles of crude oil and condensate pipelines with a throughput capacity of approximately 50,000 barrels per day that complement our existing Gardendale Gathering System assets.</w:t>
      </w:r>
    </w:p>
    <w:p>
      <w:pPr>
        <w:spacing w:after="0" w:line="15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August 2012, we formed Eagle Ford Pipeline LLC with Enterprise Products Partners (“Enterprise”) for the purpose of developing a crude oil pipeline system in the Eagle Ford Area. This system will include a 175-mile crude oil and condensate pipeline, a marine terminal facility and approximately 1.8 million barrels of operational storage capacity across the system. The project is designed to provide approximately 350,000 barrels per day of take-away capacity from the western region of the Eagle Ford play to Corpus Christi, Texas refining markets and to Houston via an Enterprise connection at Lyssy, Texas and is supported by long-term throughput agreements. The system is expected to be placed into service during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Western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All American Pipeline System. </w:t>
      </w:r>
      <w:r>
        <w:rPr>
          <w:rFonts w:ascii="Arial" w:cs="Arial" w:eastAsia="Arial" w:hAnsi="Arial"/>
          <w:sz w:val="17"/>
          <w:szCs w:val="17"/>
          <w:color w:val="auto"/>
        </w:rPr>
        <w:t>We own a 100% interest in the All American Pipeline system. The All American Pipeline is a common carrier crude</w:t>
      </w:r>
      <w:r>
        <w:rPr>
          <w:rFonts w:ascii="Arial" w:cs="Arial" w:eastAsia="Arial" w:hAnsi="Arial"/>
          <w:sz w:val="17"/>
          <w:szCs w:val="17"/>
          <w:i w:val="1"/>
          <w:iCs w:val="1"/>
          <w:color w:val="auto"/>
        </w:rPr>
        <w:t xml:space="preserve"> </w:t>
      </w:r>
      <w:r>
        <w:rPr>
          <w:rFonts w:ascii="Arial" w:cs="Arial" w:eastAsia="Arial" w:hAnsi="Arial"/>
          <w:sz w:val="17"/>
          <w:szCs w:val="17"/>
          <w:color w:val="auto"/>
        </w:rPr>
        <w:t>oil pipeline system that transports crude oil produced from two outer continental shelf, or OCS, fields offshore California via connecting pipelines to refinery markets in California. The system at Las Flores receives crude oil from ExxonMobil’s Santa Ynez field, while the system at Gaviota receives crude oil from the Plains Exploration and Production Company-operated Point Arguello field. These systems both terminate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in decline. See Item 1A. “Risk Factors” for discussion of the estimated impact of a decline in volumes.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Line 63. </w:t>
      </w:r>
      <w:r>
        <w:rPr>
          <w:rFonts w:ascii="Arial" w:cs="Arial" w:eastAsia="Arial" w:hAnsi="Arial"/>
          <w:sz w:val="16"/>
          <w:szCs w:val="16"/>
          <w:color w:val="auto"/>
        </w:rPr>
        <w:t>We own a 100% interest in the Line 63 system. The Line 63 system is an intrastate common carrier crude oil pipeline system that transports</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produced in the San Joaquin Valley and California OCS to refineries and terminal facilities in the Los Angeles Basin and in Bakersfield. The Line 63 system consists of a 144-mile trunk pipeline (of which 102 miles is 14-inch pipe and 42 miles is 16-inch pipe), originating at our Kelley Pump Station in Kern</w:t>
      </w:r>
    </w:p>
    <w:p>
      <w:pPr>
        <w:sectPr>
          <w:pgSz w:w="11900" w:h="16912" w:orient="portrait"/>
          <w:cols w:equalWidth="0" w:num="1">
            <w:col w:w="11420"/>
          </w:cols>
          <w:pgMar w:left="240" w:top="368" w:right="239" w:bottom="0" w:gutter="0" w:footer="0" w:header="0"/>
          <w:type w:val="continuous"/>
        </w:sectPr>
      </w:pPr>
    </w:p>
    <w:bookmarkStart w:id="13" w:name="page14"/>
    <w:bookmarkEnd w:id="13"/>
    <w:p>
      <w:pPr>
        <w:spacing w:after="0" w:line="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County, California and terminating at our West Hynes Station in Long Beach, California. The trunk pipeline has a capacity of approximately 110,000 barrels per day. The Line 63 system includes 5 miles of distribution pipelines in the Los Angeles Basin, with a throughput capacity of approximately 144,000 barrels per day, and 148 miles of gathering pipelines in the San Joaquin Valley, with a throughput capacity of approximately 72,000 barrels per day. We also have approximately 1 million barrels of storage capacity on this system. These storage assets are used primarily to facilitate the transportation of crude oil on the Line 63 system.</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In 2013, we commenced a project to place this idle segment into service. We expect the project to be completed by July 2014. For 2012, combined throughput on Line 63 totaled an average of approximately 66,000 barrels per day.</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100% of Line 2000, an intrastate common carrier crude oil pipeline that originates at our Emidio Pump Station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All American Pipeline System) and transports crude oil produced in the San Joaquin Valley and California OCS to refineries and terminal facilities in the Los Angeles Basin. Line 2000 is a 130-mile, 20-inch trunk pipeline with a throughput capacity of approximately 130,000 barrels per day. During 2012, throughput on Line 2000 (excluding Line 63 volumes) averaged approximately 62,000 barrels per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Rocky Mountain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the Baker, Trenton and Whitetail gathering systems as well as the Robinson Lake and Bakken North</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The gathering systems consist of 919 miles of pipelines and transported approximately 96,000 barrels per day for 2012. The Robinson Lake pipeline was acquired in December 2010 and consists of 35 miles of 8-inch pipeline with throughput capacity of up to 60,000 barrels per day. For 2012, throughput on the Robinson Lake pipeline was approximately 34,000 barrels per day. During 2012, we completed construction of our Bakken North Pipeline System, a 80-mile, 12-inch crude oil pipeline with an initial design capacity of approximately 50,000 barrels that extends from Trenton, North Dakota to the southern end of our currently idle Wascana Pipeline. The Wascana Pipeline reversal is pending connection to a third-party pipeline, which is expected to occur during mid-2013.</w:t>
      </w:r>
    </w:p>
    <w:p>
      <w:pPr>
        <w:spacing w:after="0" w:line="18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 xml:space="preserve">Salt Lake City Area Systems. </w:t>
      </w:r>
      <w:r>
        <w:rPr>
          <w:rFonts w:ascii="Arial" w:cs="Arial" w:eastAsia="Arial" w:hAnsi="Arial"/>
          <w:sz w:val="17"/>
          <w:szCs w:val="17"/>
          <w:color w:val="auto"/>
        </w:rPr>
        <w:t>We operate the Salt Lake City and Wahsatch pipeline systems, in which we own interests of between 75% and 100%.</w:t>
      </w:r>
      <w:r>
        <w:rPr>
          <w:rFonts w:ascii="Arial" w:cs="Arial" w:eastAsia="Arial" w:hAnsi="Arial"/>
          <w:sz w:val="17"/>
          <w:szCs w:val="17"/>
          <w:i w:val="1"/>
          <w:iCs w:val="1"/>
          <w:color w:val="auto"/>
        </w:rPr>
        <w:t xml:space="preserve"> </w:t>
      </w:r>
      <w:r>
        <w:rPr>
          <w:rFonts w:ascii="Arial" w:cs="Arial" w:eastAsia="Arial" w:hAnsi="Arial"/>
          <w:sz w:val="17"/>
          <w:szCs w:val="17"/>
          <w:color w:val="auto"/>
        </w:rPr>
        <w:t>These systems include interstate and intrastate common carrier crude oil pipeline systems that transport crude oil produced in Canada and the U.S. Rocky Mountain region to refiners in Salt Lake City, Utah and to other pipelines at Ft. Laramie, Wyoming. These pipeline systems consist of 693 miles of pipelines and approximately 1 million barrels of storage capacity. These systems have a maximum throughput capacity of (i) approximately 20,000 barrels per day from Wamsutter, Wyoming to Ft. Laramie, Wyoming, (ii) approximately 49,000 barrels per day from Wamsutter, Wyoming to Wahsatch, Utah and (iii) approximately 120,000 barrels per day from Wahsatch, Utah to Salt Lake City, Utah. For 2012, throughput on the Salt Lake City and Wahsatch pipeline systems in total averaged approximately 140,000 barrels per day.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Included in the Salt Lake City Area systems is our 22% interest in Frontier Pipeline, an interstate common carrier crude oil pipeline that consists of a 289-mile trunk pipeline with a maximum throughput capacity of 79,000 barrels per day and three storage tanks. Frontier Pipeline originates in Casper, Wyoming and delivers crude oil into the Salt Lake City Pipeline System. For 2012, throughput on Frontier averaged approximately 9,000 barrels per day (attributable to our interest).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the White Cliffs Pipeline, a 527-mile, 12-inch common carrier pipeline that originates</w:t>
      </w:r>
      <w:r>
        <w:rPr>
          <w:rFonts w:ascii="Arial" w:cs="Arial" w:eastAsia="Arial" w:hAnsi="Arial"/>
          <w:sz w:val="18"/>
          <w:szCs w:val="18"/>
          <w:i w:val="1"/>
          <w:iCs w:val="1"/>
          <w:color w:val="auto"/>
        </w:rPr>
        <w:t xml:space="preserve"> </w:t>
      </w:r>
      <w:r>
        <w:rPr>
          <w:rFonts w:ascii="Arial" w:cs="Arial" w:eastAsia="Arial" w:hAnsi="Arial"/>
          <w:sz w:val="18"/>
          <w:szCs w:val="18"/>
          <w:color w:val="auto"/>
        </w:rPr>
        <w:t>in Platteville, Colorado and terminates in Cushing, Oklahoma. Rose Rock Midstream, L.P. serves as the operator of the pipeline. For 2012, throughput on White Cliffs Pipeline averaged approximately 18,000 barrels per day (attributable to our interest). In 2012, White Cliffs announced an expansion project that will increase total system capacity from 70,000 barrels per day to 150,000 barrels per day and is underpinned by long-term shipper commitments. This expansion is expected to be completed in the first half of 2014.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Gulf Coast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Capline Pipeline System. </w:t>
      </w:r>
      <w:r>
        <w:rPr>
          <w:rFonts w:ascii="Arial" w:cs="Arial" w:eastAsia="Arial" w:hAnsi="Arial"/>
          <w:sz w:val="18"/>
          <w:szCs w:val="18"/>
          <w:color w:val="auto"/>
        </w:rPr>
        <w:t>The Capline Pipeline system, in which we own an aggregate undivided joint interest of approximately 54%, is a 631-mile,</w:t>
      </w:r>
      <w:r>
        <w:rPr>
          <w:rFonts w:ascii="Arial" w:cs="Arial" w:eastAsia="Arial" w:hAnsi="Arial"/>
          <w:sz w:val="18"/>
          <w:szCs w:val="18"/>
          <w:i w:val="1"/>
          <w:iCs w:val="1"/>
          <w:color w:val="auto"/>
        </w:rPr>
        <w:t xml:space="preserve"> </w:t>
      </w:r>
      <w:r>
        <w:rPr>
          <w:rFonts w:ascii="Arial" w:cs="Arial" w:eastAsia="Arial" w:hAnsi="Arial"/>
          <w:sz w:val="18"/>
          <w:szCs w:val="18"/>
          <w:color w:val="auto"/>
        </w:rPr>
        <w:t>40-inch mainline crude oil pipeline originating in St. James, Louisiana, and terminating in Patoka, Illinois. We also own a 100% interest in approximately 720,000 barrels of tankage located at Patoka, Illinois.</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 Throughput on our interest averaged approximately 146,000 barrels per day during 2012.</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Central</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the Cleveland Sand, Granite Wash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Mississippian/Lime resource plays of Western and Central Oklahoma, Southwest Kansas and the eastern Texas Panhandle. These systems consist of approximately 2,000 miles of pipeline with transportation and delivery into and out of our terminal facilities at Cushing. For 2012, combined throughput on the Mid-Continent Area systems totaled an average of approximately 249,000 barrels per day.</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January 2012, we completed the conversion of an existing Oklahoma NGL pipeline into crude oil service. The pipeline extends from Medford, Oklahoma to our terminal facility at Cushing. The pipeline provided an initial crude oil throughput capacity of 12,000 barrels per day and was expanded to 25,000 barrels per day in July 2012.</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2012, we began construction on a new 170-mile pipeline to service the increasing Mississippian Lime crude oil production in northern Oklahoma and Southern Kansas. This pipeline is designed to provide approximately 150,000 barrels per day (approximately 175,000 barrels per day in conjunction with</w:t>
      </w:r>
    </w:p>
    <w:p>
      <w:pPr>
        <w:sectPr>
          <w:pgSz w:w="11900" w:h="16908" w:orient="portrait"/>
          <w:cols w:equalWidth="0" w:num="1">
            <w:col w:w="11420"/>
          </w:cols>
          <w:pgMar w:left="240" w:top="125" w:right="239" w:bottom="0" w:gutter="0" w:footer="0" w:header="0"/>
        </w:sectPr>
      </w:pPr>
    </w:p>
    <w:bookmarkStart w:id="14" w:name="page15"/>
    <w:bookmarkEnd w:id="14"/>
    <w:p>
      <w:pPr>
        <w:spacing w:after="0" w:line="6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Medford-to-Cushing pipeline conversion) of crude oil transportation to our terminal facilities at Cushing. This pipeline is expected to go into service by mid-2013. In early 2013, we announced a 55-mile extension of this pipeline, which will provide up to 75,000 barrels per day of crude oil throughput capacity and is supported by a long-term commitment from an area producer. This extension is expected to be brought into service in the fourth quarter of 2013.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 Refined Products Pipelines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own and operate pipeline systems of approximately 900 miles that receive and deliver refined products throughout Wyoming, South Dakota, Colorado, New Mexico and Texas. Total average throughput on these systems during 2012 was approximately 116,000 barrels per day. In February 2013, we signed a definitive agreement to sell certain of these refined products pipeline systems and related assets. We expect the transaction to close during the second quarter of 2013. See Notes 3 and 6 to our Consolidated Financial Statements for further discussion regarding these assets.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Manito. </w:t>
      </w:r>
      <w:r>
        <w:rPr>
          <w:rFonts w:ascii="Arial" w:cs="Arial" w:eastAsia="Arial" w:hAnsi="Arial"/>
          <w:sz w:val="18"/>
          <w:szCs w:val="18"/>
          <w:color w:val="auto"/>
        </w:rPr>
        <w:t>We own a 100% interest in the Manito heavy oil system. This 555-mile system is comprised of the Manito pipeline, the North Sask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Bodo/Cactus Lake 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334 miles of pipeline, and the mainline segment originates at Dulwich and terminates at Kerrobert, Saskatchewan. The Bodo/Cactus Lake pipeline is 137 miles long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and originates in Bodo, Alberta and also terminates at our Kerrobert storage facility. The Kerrobert storage and terminalling facility is connected to the Enbridge pipeline system and can both receive and deliver heavy crude from and to the Enbridge pipeline system. For 2012, approximately 57,000 barrels per day of crude oil were transported on the Manito system.</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Rainbow System. </w:t>
      </w:r>
      <w:r>
        <w:rPr>
          <w:rFonts w:ascii="Arial" w:cs="Arial" w:eastAsia="Arial" w:hAnsi="Arial"/>
          <w:sz w:val="16"/>
          <w:szCs w:val="16"/>
          <w:color w:val="auto"/>
        </w:rPr>
        <w:t>We own a 100% interest in the Rainbow system. The Rainbow system consists of a 480-mile, 20-inch to 24-inch mainline crude</w:t>
      </w:r>
      <w:r>
        <w:rPr>
          <w:rFonts w:ascii="Arial" w:cs="Arial" w:eastAsia="Arial" w:hAnsi="Arial"/>
          <w:sz w:val="16"/>
          <w:szCs w:val="16"/>
          <w:i w:val="1"/>
          <w:iCs w:val="1"/>
          <w:color w:val="auto"/>
        </w:rPr>
        <w:t xml:space="preserve"> </w:t>
      </w:r>
      <w:r>
        <w:rPr>
          <w:rFonts w:ascii="Arial" w:cs="Arial" w:eastAsia="Arial" w:hAnsi="Arial"/>
          <w:sz w:val="16"/>
          <w:szCs w:val="16"/>
          <w:color w:val="auto"/>
        </w:rPr>
        <w:t>oil pipeline extending from the Norman Wells Pipeline connection in Zama, Alberta to Edmonton, Alberta and has 279 miles of gathering pipelines. The system has a throughput capacity of approximately 220,000 barrels per day and transported approximately 145,000 barrels per day during 2012.</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2012, we commenced construction on a 187-mile, 10-inch pipeline to transport diluent north from Edmonton, Alberta to our Nipisi truck terminal in Northern Alberta. The pipeline is projected to have an initial capacity of 35,000 barrels per day and to be expandable to 70,000 barrels per day. We expect this project in service by mid-2013.</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The Rangeland system consists of a 670 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675 miles of 3-inch to 8-inch gathering pipelines. The Rangeland system transports NGL mix, butane, condensate, light sweet crude and light sour crude either north to Edmonton, Alberta or south to the U.S./Canadian border near Cutbank, Montana, where it connects to our Western Corridor system. Total average throughput during 2012 on the Rangeland system was approximately 62,000 barrels per day.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Co-Ed Pipeline System. </w:t>
      </w:r>
      <w:r>
        <w:rPr>
          <w:rFonts w:ascii="Arial" w:cs="Arial" w:eastAsia="Arial" w:hAnsi="Arial"/>
          <w:sz w:val="18"/>
          <w:szCs w:val="18"/>
          <w:color w:val="auto"/>
        </w:rPr>
        <w:t>As part of the BP NGL acquisition completed during the first half of 2012, we became 100% owners and operators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Co-Ed NGL Pipeline System. The Co-Ed NGL system consists of approximately 813 miles of 3-inch to 10-inch pipeline. This pipeline gathers NGL from approximately 35 field gas processing plants located in the Cochrane, Alberta to Edmonton, Alberta region, as well as gathers all of the NGL produced at the Cochrane Straddle Plant. The Co-Ed NGL system has throughput capacity of approximately 72,000 barrels per day. During 2012, throughput averaged approximately 44,000 barrels per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NGL fractionation and isomerization services and natural gas processing services. We generate revenue through a combination of month-to-month and multi-year leases and processing arrangements. 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processing services.</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2012,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approximately 74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22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93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16 Bcf of base gas in storage facilities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eleven natural gas processing plants located throughout Canada and the Gulf Coast area of the United States;</w:t>
      </w:r>
    </w:p>
    <w:p>
      <w:pPr>
        <w:spacing w:after="0" w:line="225" w:lineRule="exact"/>
        <w:rPr>
          <w:rFonts w:ascii="Arial" w:cs="Arial" w:eastAsia="Arial" w:hAnsi="Arial"/>
          <w:sz w:val="18"/>
          <w:szCs w:val="18"/>
          <w:color w:val="auto"/>
        </w:rPr>
      </w:pPr>
    </w:p>
    <w:p>
      <w:pPr>
        <w:ind w:left="980" w:right="320" w:hanging="324"/>
        <w:spacing w:after="0" w:line="342" w:lineRule="auto"/>
        <w:tabs>
          <w:tab w:leader="none" w:pos="9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seven fractionation plants located throughout Canada and the United States with an aggregate gross processing capacity of approximately 272,100 barrels per day, and an isomerization and fractionation facility in California with an aggregate processing capacity of approximately</w:t>
      </w:r>
    </w:p>
    <w:p>
      <w:pPr>
        <w:sectPr>
          <w:pgSz w:w="11900" w:h="16908" w:orient="portrait"/>
          <w:cols w:equalWidth="0" w:num="1">
            <w:col w:w="11420"/>
          </w:cols>
          <w:pgMar w:left="240" w:top="125" w:right="239" w:bottom="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color w:val="auto"/>
        </w:rPr>
        <w:t>14,000 barrels per day;</w:t>
      </w:r>
    </w:p>
    <w:p>
      <w:pPr>
        <w:spacing w:after="0" w:line="22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1,400 miles of active crude oil, NGL, natural gas and refined products pipelines that support our facilities assets; and</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 crude oil and NGL rail terminals located throughout the United States and Canada. See “Rail Facilities” below for an overview of various terminals and “Supply and Logistics” regarding our use of railcars.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tabular presentation of our active facilities segment storage and service assets in the United States and Canada as of December 31, 2012, grouped by product and service type and capacity and volume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Cushing</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Kerrobert</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LA Basin</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Martinez and Richmond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Mobile and Ten Mile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Patoka</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Philadelphia Area</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 James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Other</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Bumstead</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Fort Saskatchewan</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Sarnia Area</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Tirzah</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Other</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Salt-caverns (Pine Prairie and Southern Pines)</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Depleted Reservoir (Bluewater)</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Total Gas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Gross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Processing</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300" w:type="dxa"/>
            <w:vAlign w:val="bottom"/>
            <w:vMerge w:val="restart"/>
          </w:tcPr>
          <w:p>
            <w:pPr>
              <w:spacing w:after="0"/>
              <w:rPr>
                <w:sz w:val="12"/>
                <w:szCs w:val="12"/>
                <w:color w:val="auto"/>
              </w:rPr>
            </w:pPr>
          </w:p>
        </w:tc>
        <w:tc>
          <w:tcPr>
            <w:tcW w:w="14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Ownership Interest</w:t>
            </w:r>
          </w:p>
        </w:tc>
        <w:tc>
          <w:tcPr>
            <w:tcW w:w="300" w:type="dxa"/>
            <w:vAlign w:val="bottom"/>
            <w:vMerge w:val="restart"/>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(Bcf/d)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United States Gulf Coast Area</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Canada</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36-100%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300" w:type="dxa"/>
            <w:vAlign w:val="bottom"/>
            <w:vMerge w:val="restart"/>
          </w:tcPr>
          <w:p>
            <w:pPr>
              <w:spacing w:after="0"/>
              <w:rPr>
                <w:sz w:val="12"/>
                <w:szCs w:val="12"/>
                <w:color w:val="auto"/>
              </w:rPr>
            </w:pPr>
          </w:p>
        </w:tc>
        <w:tc>
          <w:tcPr>
            <w:tcW w:w="14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Ownership Interest</w:t>
            </w:r>
          </w:p>
        </w:tc>
        <w:tc>
          <w:tcPr>
            <w:tcW w:w="300" w:type="dxa"/>
            <w:vAlign w:val="bottom"/>
            <w:vMerge w:val="restart"/>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(Bpd)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Fort Saskatchewan</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Sarnia</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62-84%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62,800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Shafter</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i w:val="1"/>
                <w:iCs w:val="1"/>
                <w:color w:val="auto"/>
              </w:rPr>
              <w:t>Other</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68-100%</w:t>
            </w:r>
          </w:p>
        </w:tc>
        <w:tc>
          <w:tcPr>
            <w:tcW w:w="1480" w:type="dxa"/>
            <w:vAlign w:val="bottom"/>
          </w:tcPr>
          <w:p>
            <w:pPr>
              <w:jc w:val="right"/>
              <w:spacing w:after="0"/>
              <w:rPr>
                <w:sz w:val="20"/>
                <w:szCs w:val="20"/>
                <w:color w:val="auto"/>
              </w:rPr>
            </w:pPr>
            <w:r>
              <w:rPr>
                <w:rFonts w:ascii="Arial" w:cs="Arial" w:eastAsia="Arial" w:hAnsi="Arial"/>
                <w:sz w:val="18"/>
                <w:szCs w:val="18"/>
                <w:color w:val="auto"/>
              </w:rPr>
              <w:t>11,830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27,100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Crude Oil and NGL Rail Facilities</w:t>
            </w: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(5)</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 xml:space="preserve">Capacity </w:t>
            </w:r>
            <w:r>
              <w:rPr>
                <w:rFonts w:ascii="Arial" w:cs="Arial" w:eastAsia="Arial" w:hAnsi="Arial"/>
                <w:sz w:val="8"/>
                <w:szCs w:val="8"/>
                <w:b w:val="1"/>
                <w:bCs w:val="1"/>
                <w:color w:val="auto"/>
                <w:w w:val="97"/>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(Bpd)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Crude Oil Rail Facilities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Rack Spots</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180"/>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i w:val="1"/>
                <w:iCs w:val="1"/>
                <w:color w:val="auto"/>
                <w:vertAlign w:val="superscript"/>
              </w:rPr>
              <w:t>(6)</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ind w:right="354"/>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Amount includes 1.6 million barrels of capacity for which we hold lease options (1.1 million barrels of which have been exercised).</w:t>
      </w:r>
    </w:p>
    <w:p>
      <w:pPr>
        <w:spacing w:after="0" w:line="179"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While natural gas processing inlet volumes and capacity amounts are presented, they currently are not a significant driver of our segment results.</w:t>
      </w:r>
    </w:p>
    <w:p>
      <w:pPr>
        <w:sectPr>
          <w:pgSz w:w="11900" w:h="16838" w:orient="portrait"/>
          <w:cols w:equalWidth="0" w:num="1">
            <w:col w:w="11460"/>
          </w:cols>
          <w:pgMar w:left="240" w:top="125" w:right="199" w:bottom="0" w:gutter="0" w:footer="0" w:header="0"/>
        </w:sectPr>
      </w:pPr>
    </w:p>
    <w:bookmarkStart w:id="16" w:name="page17"/>
    <w:bookmarkEnd w:id="16"/>
    <w:p>
      <w:pPr>
        <w:ind w:left="340" w:right="140" w:hanging="332"/>
        <w:spacing w:after="0" w:line="238" w:lineRule="auto"/>
        <w:tabs>
          <w:tab w:leader="none" w:pos="328"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Inlet volumes represent average inlet volumes for the entire year, except for the facilities we acquired as part of the BP NGL Acquisition. Inlet volumes for these facilities are calculated based on a 275-day period, which was the number of days we owned the assets during 2012.</w:t>
      </w:r>
    </w:p>
    <w:p>
      <w:pPr>
        <w:spacing w:after="0" w:line="203" w:lineRule="exact"/>
        <w:rPr>
          <w:rFonts w:ascii="Arial" w:cs="Arial" w:eastAsia="Arial" w:hAnsi="Arial"/>
          <w:sz w:val="22"/>
          <w:szCs w:val="22"/>
          <w:color w:val="auto"/>
          <w:vertAlign w:val="superscript"/>
        </w:rPr>
      </w:pPr>
    </w:p>
    <w:p>
      <w:pPr>
        <w:ind w:left="340" w:right="120" w:hanging="332"/>
        <w:spacing w:after="0" w:line="227"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Gross capacity represents original facility design specifications. Actual usable capacity in certain instances is limited by seasonality and other factors as well as by incremental capital investments necessary to effectively utilize full capacity.</w:t>
      </w:r>
    </w:p>
    <w:p>
      <w:pPr>
        <w:spacing w:after="0" w:line="168"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Capacity transported will vary according to specification of product moved.</w:t>
      </w:r>
    </w:p>
    <w:p>
      <w:pPr>
        <w:spacing w:after="0" w:line="201" w:lineRule="exact"/>
        <w:rPr>
          <w:rFonts w:ascii="Arial" w:cs="Arial" w:eastAsia="Arial" w:hAnsi="Arial"/>
          <w:sz w:val="23"/>
          <w:szCs w:val="23"/>
          <w:color w:val="auto"/>
          <w:vertAlign w:val="superscript"/>
        </w:rPr>
      </w:pPr>
    </w:p>
    <w:p>
      <w:pPr>
        <w:ind w:left="340" w:right="740" w:hanging="332"/>
        <w:spacing w:after="0" w:line="227"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Major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Cushing Terminal. </w:t>
      </w:r>
      <w:r>
        <w:rPr>
          <w:rFonts w:ascii="Arial" w:cs="Arial" w:eastAsia="Arial" w:hAnsi="Arial"/>
          <w:sz w:val="17"/>
          <w:szCs w:val="17"/>
          <w:color w:val="auto"/>
        </w:rPr>
        <w:t>Our Cushing, Oklahoma Terminal (the “Cushing Terminal”) is located at the Cushing Interchange, one of the largest wet-barrel</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The facility is designed to handle multiple grades of crude oil while minimizing the interface and enabling deliveries to connecting carriers at their maximum rate.</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Since 1999, we have completed multiple expansions, which have increased the capacity of the Cushing Terminal to a total of approximately 19 million barrels. During 2012, we commenced our Phase XII terminal expansion, which includes adding approximately 1 million barrels of storage capacity through the construction of four 270,000 barrel tanks. We expect three of these tanks to be in service during the first quarter of 2013, with the last tank placed in service during the second half of 2013.</w:t>
      </w:r>
    </w:p>
    <w:p>
      <w:pPr>
        <w:spacing w:after="0" w:line="187"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i w:val="1"/>
          <w:iCs w:val="1"/>
          <w:color w:val="auto"/>
        </w:rPr>
        <w:t xml:space="preserve">Kerrobert Terminal. </w:t>
      </w:r>
      <w:r>
        <w:rPr>
          <w:rFonts w:ascii="Arial" w:cs="Arial" w:eastAsia="Arial" w:hAnsi="Arial"/>
          <w:sz w:val="16"/>
          <w:szCs w:val="16"/>
          <w:color w:val="auto"/>
        </w:rPr>
        <w:t>We own a crude oil and condensate storage and terminalling facility, which is located near Kerrobert, Saskatchewan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connected to our Manito and Cactus Lake pipeline systems. The total storage capacity at the Kerrobert terminal is approximately 1 million barrels. This facility is also connected to the Enbridge pipeline system and can both receive and deliver heavy crude from and to the Enbridge pipeline system.</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L.A. Basin. </w:t>
      </w:r>
      <w:r>
        <w:rPr>
          <w:rFonts w:ascii="Arial" w:cs="Arial" w:eastAsia="Arial" w:hAnsi="Arial"/>
          <w:sz w:val="17"/>
          <w:szCs w:val="17"/>
          <w:color w:val="auto"/>
        </w:rPr>
        <w:t>We own four crude oil and refined product storage facilities in the Los Angeles area with a total of approximately 9 million barrels of</w:t>
      </w:r>
      <w:r>
        <w:rPr>
          <w:rFonts w:ascii="Arial" w:cs="Arial" w:eastAsia="Arial" w:hAnsi="Arial"/>
          <w:sz w:val="17"/>
          <w:szCs w:val="17"/>
          <w:i w:val="1"/>
          <w:iCs w:val="1"/>
          <w:color w:val="auto"/>
        </w:rPr>
        <w:t xml:space="preserve"> </w:t>
      </w:r>
      <w:r>
        <w:rPr>
          <w:rFonts w:ascii="Arial" w:cs="Arial" w:eastAsia="Arial" w:hAnsi="Arial"/>
          <w:sz w:val="17"/>
          <w:szCs w:val="17"/>
          <w:color w:val="auto"/>
        </w:rPr>
        <w:t>storage capacity in service and a distribution pipeline system of approximately 50 miles of pipeline in the Los Angeles Basin. Approximately 8 million barrels of the storage capacity are used for commercial service and approximately 1 million barrels are used primarily for throughput to other storage tanks and for displacement oil and do not generate revenue independently.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78"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service). Our San Francisco area terminals have approximately</w:t>
      </w:r>
    </w:p>
    <w:p>
      <w:pPr>
        <w:ind w:right="140"/>
        <w:spacing w:after="0" w:line="323" w:lineRule="auto"/>
        <w:rPr>
          <w:sz w:val="20"/>
          <w:szCs w:val="20"/>
          <w:color w:val="auto"/>
        </w:rPr>
      </w:pPr>
      <w:r>
        <w:rPr>
          <w:rFonts w:ascii="Arial" w:cs="Arial" w:eastAsia="Arial" w:hAnsi="Arial"/>
          <w:sz w:val="16"/>
          <w:szCs w:val="16"/>
          <w:color w:val="auto"/>
        </w:rPr>
        <w:t>5 million barrels of combined storage capacity that are connected to area refineries through a network of owned and third-party pipelines that carry crude oil and refined products to and from area refineries. The terminals have dock facilities and our Richmond terminal is also able to receive products by rail.</w:t>
      </w:r>
    </w:p>
    <w:p>
      <w:pPr>
        <w:spacing w:after="0" w:line="139" w:lineRule="exact"/>
        <w:rPr>
          <w:sz w:val="20"/>
          <w:szCs w:val="20"/>
          <w:color w:val="auto"/>
        </w:rPr>
      </w:pPr>
    </w:p>
    <w:p>
      <w:pPr>
        <w:ind w:right="640" w:firstLine="648"/>
        <w:spacing w:after="0" w:line="259" w:lineRule="auto"/>
        <w:rPr>
          <w:sz w:val="20"/>
          <w:szCs w:val="20"/>
          <w:color w:val="auto"/>
        </w:rPr>
      </w:pPr>
      <w:r>
        <w:rPr>
          <w:rFonts w:ascii="Arial" w:cs="Arial" w:eastAsia="Arial" w:hAnsi="Arial"/>
          <w:sz w:val="18"/>
          <w:szCs w:val="18"/>
          <w:i w:val="1"/>
          <w:iCs w:val="1"/>
          <w:color w:val="auto"/>
        </w:rPr>
        <w:t xml:space="preserve">Mobile and Ten Mile Terminal. </w:t>
      </w:r>
      <w:r>
        <w:rPr>
          <w:rFonts w:ascii="Arial" w:cs="Arial" w:eastAsia="Arial" w:hAnsi="Arial"/>
          <w:sz w:val="18"/>
          <w:szCs w:val="18"/>
          <w:color w:val="auto"/>
        </w:rPr>
        <w:t>We have a marine terminal in Mobile, Alabama (the “Mobile Terminal”) that has current useable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million barrels. Approximately 3 million barrels of additional storage capacity is available at our nearby Ten Mile Facility, which is connected to our Mobile Terminal via a 36-inch pipeline. Approximately two-thirds of the additional storage capacity at Ten Mile is included in our transportation segment.</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has approximately 6 million barrels of storage capacity and the associated manifold and header system at the</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Interchange located in southern Illinois. Patoka is a growing regional hub with access to domestic and foreign crude oil for certain volumes moving north on the Capline system as well as Canadian barrels moving south. During 2012, we completed construction of Phase IV at our Patoka Terminal, which included two 286,000 barrel crude oil tanks and one 400,000 barrel crude oil tank.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i w:val="1"/>
          <w:iCs w:val="1"/>
          <w:color w:val="auto"/>
        </w:rPr>
        <w:t xml:space="preserve">Philadelphia Area Terminals. </w:t>
      </w:r>
      <w:r>
        <w:rPr>
          <w:rFonts w:ascii="Arial" w:cs="Arial" w:eastAsia="Arial" w:hAnsi="Arial"/>
          <w:sz w:val="18"/>
          <w:szCs w:val="18"/>
          <w:color w:val="auto"/>
        </w:rPr>
        <w:t>We own four refined product terminals in the Philadelphia, Pennsylvania area. Our Philadelphia area terminals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storage capacity of approximately 4 million barrels. The terminals have 20 truck loading lanes, two barge docks and a ship dock. The Philadelphia area terminals provide services and products to all of the refiners in the Philadelphia harbor, and include two dock facilities. The Philadelphia area terminals also receive products from connecting pipelines and offer truck loading services.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We have approximately 8 million barrels of crude oil storage capacity at the St. James crude oil interchange in Louisiana,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one of the three most liquid crude oil interchanges in the United States. The facility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our rail unloading facility. See “Rail Facilities” below for further discussion.</w:t>
      </w:r>
    </w:p>
    <w:p>
      <w:pPr>
        <w:sectPr>
          <w:pgSz w:w="11900" w:h="16838" w:orient="portrait"/>
          <w:cols w:equalWidth="0" w:num="1">
            <w:col w:w="11420"/>
          </w:cols>
          <w:pgMar w:left="240" w:top="341" w:right="239" w:bottom="0" w:gutter="0" w:footer="0" w:header="0"/>
        </w:sectPr>
      </w:pPr>
    </w:p>
    <w:bookmarkStart w:id="17" w:name="page18"/>
    <w:bookmarkEnd w:id="17"/>
    <w:p>
      <w:pPr>
        <w:spacing w:after="0" w:line="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2012, we completed our Phase IV expansion at the St. James Terminal, which included the construction of an additional 1 million barrels of crude oil storage capacity and is supported by multi-year contracts and throughput arrangements with third-party customers. We have begun construction of our Phase V expansion, which will increase storage capacity by an additional 1.1 million barrels. We expect this construction to be completed near the end of 2013.</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During late 2011, we acquired the idled Western Refinery in Yorktown, Virginia and are operating it as a terminal. This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has approximately 6 million barrels of storage for crude oil, black oil, propane, butane and refined products, including 1.6 million barrels of capacity for which we hold lease options (1.1 million barrels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 We are in the process of making a number of modifications to the Yorktown facility, which will enhance the capabilities of the rail system, the dock facilities and related infrastructure, and increase connectivity and flexibility within the terminal itself. We expect to complete these projects by mid-2013.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approximately 3 million barrels of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(approximately 2 million barrels of useable capacity), the facility’s primary assets include three salt-dome storage caverns, a 30-car rail rack and six truck racks.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2010, we began upgrading and improving our Bumstead NGL storage facility, which will increase the useable capacity by approximately 700,000 barrels. This project is expected to be completed during 2013.</w:t>
      </w:r>
    </w:p>
    <w:p>
      <w:pPr>
        <w:spacing w:after="0" w:line="170"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The Fort Saskatchewan facility is located approximately 16 miles northeast of Edmonton, Alberta in one of the key North</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NGL hubs. The facility is a receipt, storage, fractionation and delivery facility for NGL and is connected to other major NGL plants and pipeline systems in the area. The facility’s primary assets include 10 storage caverns with approximately 4 million barrels in useable storage capacity. NGL mix and spec products can be delivered to the Enbridge and Cochin pipeline in addition to the propane truck loading rack at the facility.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6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The Sarnia facility is a large NGL fractionation, storage and shipping facility located on a 380 acre plant site in the Sarnia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Valley. There are 36 multi-product rail 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3 million barrels in useable storage capacity.</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Windsor storage terminal in Windsor, Canada, is a pipeline hub and underground storage facility. The facility is served by three Plains owned receipt/dispatch pipelines, the Cochin pipeline and rail and truck offloading. There are eight storage caverns on site with a useable capacity of approximately 3 million barrels. The primary terminal assets consist of 16 multi-product rail tank car loading spots and a propane truck loading rack.</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a Plains owned pipeline. On site are seven storage caverns with useable capacity of approximately 2 million barrels and 28 multi-product rail tank car loading spots and six tank truck loading racks.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62-mile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Salt Cavern Storage Facilities. </w:t>
      </w:r>
      <w:r>
        <w:rPr>
          <w:rFonts w:ascii="Arial" w:cs="Arial" w:eastAsia="Arial" w:hAnsi="Arial"/>
          <w:sz w:val="18"/>
          <w:szCs w:val="18"/>
          <w:color w:val="auto"/>
        </w:rPr>
        <w:t>We own two FERC regulated, high deliverability salt cavern natural gas storage facilities located on the Gulf Coast.</w:t>
      </w:r>
      <w:r>
        <w:rPr>
          <w:rFonts w:ascii="Arial" w:cs="Arial" w:eastAsia="Arial" w:hAnsi="Arial"/>
          <w:sz w:val="18"/>
          <w:szCs w:val="18"/>
          <w:i w:val="1"/>
          <w:iCs w:val="1"/>
          <w:color w:val="auto"/>
        </w:rPr>
        <w:t xml:space="preserve"> </w:t>
      </w:r>
      <w:r>
        <w:rPr>
          <w:rFonts w:ascii="Arial" w:cs="Arial" w:eastAsia="Arial" w:hAnsi="Arial"/>
          <w:sz w:val="18"/>
          <w:szCs w:val="18"/>
          <w:color w:val="auto"/>
        </w:rPr>
        <w:t>Our Pine Prairie facility is located in Evangeline, Rapides and Acadian Parishes, Louisiana and is permitted for up to 80 Bcf of working gas capacity, which includes 32 Bcf of incremental capacity that was approved by the FERC subject to the requirement that Pine Prairie conduct an open season in accordance with applicable FERC policy. Our Southern Pines facility is located in Greene County Mississippi and is permitted for up to 40 Bcf of working gas capacity. During 2012, we placed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into commercial service an aggregate of approximately 17 Bcf of working gas capacity at our Pine Prairie and Southern Pines facilities, including expansions of existing caverns and the addition of a new cavern at both Pine Prairie and Southern Pines. These two facilities had an aggregate working gas capacity as of December 31, 2012 of approximately 67 Bcf. During 2013, our expansion plans include the creation of approximately 6.5 Bcf of working gas capacity from incremental leaching activities, which capacity will be placed into service during 2013 and 2014.</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Both of these facilities are strategically located and have a diverse group of customers, including utilities, pipelines, producers, power generators, marketers and liquefied natural gas (“LNG”) exporters, whose storage needs include both traditional seasonal storage services and short-term storage services. Pine Prairie is strategically positioned relative to several major market hubs, including the Henry Hub (the delivery point for NYMEX natural gas futures contracts and located approximately 50 miles southeast of Pine Prairie), the Carthage Hub (located in East Texas), and the Perryville Hub (located in North Louisiana), and to existing and proposed LNG import and export facilities.</w:t>
      </w:r>
    </w:p>
    <w:p>
      <w:pPr>
        <w:spacing w:after="0" w:line="18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Pine Prairie’s pipeline header system, which includes an aggregate of approximately 80 miles of 24-inch diameter pipe located within a 20-mile radius of Pine Prairie, is directly connected to eight large-diameter interstate pipelines through nine interconnects that service both conventional and unconventional natural gas production in Texas and Louisiana, including production from existing and emerging shale plays, as well as the Gulf of Mexico. These interconnects also provide direct or indirect access to each of the market hubs described above and to consumer and industrial markets in the Gulf Coast, Midwest, Northeast and Southeast regions of the United States. Pine Prairie’s peak daily injection and withdrawal rates are 2.4 Bcf and 3.2 Bcf, respectively, and Pine Prairie has a total of 71,000 horsepower of compression capacity currently in service with another 27,500 horsepower of permitted capacity.</w:t>
      </w:r>
    </w:p>
    <w:p>
      <w:pPr>
        <w:sectPr>
          <w:pgSz w:w="11900" w:h="16842" w:orient="portrait"/>
          <w:cols w:equalWidth="0" w:num="1">
            <w:col w:w="11420"/>
          </w:cols>
          <w:pgMar w:left="240" w:top="125" w:right="239" w:bottom="0" w:gutter="0" w:footer="0" w:header="0"/>
        </w:sectPr>
      </w:pPr>
    </w:p>
    <w:bookmarkStart w:id="18" w:name="page19"/>
    <w:bookmarkEnd w:id="18"/>
    <w:p>
      <w:pPr>
        <w:spacing w:after="0" w:line="1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Southern Pines’ pipeline header system, which includes an aggregate of 60 miles of 24-inch diameter pipe, is connected to 4 major natural gas pipelines servicing the Gulf Coast, Northeast, Mid-Atlantic and Southeastern U.S. markets. Southern Pines’ peak daily injection and withdrawal rates are 1.2 Bcf and 2.4 Bcf, respectively, and Southern Pines has a total of 48,000 horsepower of compression capacity currently in service.</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Depleted Reservoir Facility (Bluewater). </w:t>
      </w:r>
      <w:r>
        <w:rPr>
          <w:rFonts w:ascii="Arial" w:cs="Arial" w:eastAsia="Arial" w:hAnsi="Arial"/>
          <w:sz w:val="16"/>
          <w:szCs w:val="16"/>
          <w:color w:val="auto"/>
        </w:rPr>
        <w:t>Bluewater is located in the State of Michigan and primarily services seasonal storage needs throughout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Midwestern and Northeastern portions of the U.S. and the Southeastern portion of Canada. Accordingly, Bluewater’s customers consist primarily of pipelines, utilities and marketers seeking seasonal storage services. Bluewater’s 30-mile, 20-inch diameter pipeline header system is supported by 13,350 horsepower of compression and connects with three interstate and three natural gas utility pipelines that provide access to the major market hubs of Chicago, Illinois and Dawn, Ontario, which supply natural gas to eastern Ontario and the northeastern United States. These interconnects also provide access to natural gas utilities that serve local markets in Michigan and Ontario. Bluewater’s peak daily injection and withdrawal rates are 0.5 Bcf and 0.8 Bcf, respectively.</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Bluewater has total working gas storage capacity of approximately 26.0 Bcf in two depleted reservoirs and is permitted for an additional 3.0 Bcf of working gas storage capacity. We expect to increase Bluewater’s working gas capacity by approximately 1.0 Bcf ratably over a 7 to 8-year period in connection with an ongoing liquids removal project. Bluewater also leases third-party storage capacity and pipeline transportation capacity from time to time to increase its operational flexibility and enhance its service offerings. In addition, on December 14, 2012, the FERC granted Bluewater to place in service the St. Clair River Crossing Replacement facilities located in St. Clair County, Michigan. Facilities included the construction of a 20-inch pipeline with a permitted capacity for up to 300 million cubic feet (“MMcf”) per day that connects Bluewater to a Canadian pipeline owned by an affiliate of Spectra Energy. The new facilities replaced a 12-inch pipeline that was permitted for up to 250 MMcf per day and leased from Nova Chemical through January 2013.</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own and operate five natural gas processing plants located in Louisiana and Alabama with an aggregate natural gas processing capacity of approximately 0.6 Bcf per day. In January 2013, we completed construction of a condensate stabilization facility in South Texas designed to extract NGL from condensate, which will enable condensate to meet specifications of pipelines originating out of Gardendale, Texas. This facility will have a total capacity of approximately 80,000 barrels per day.</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also own and/or operate four straddle plants and two field gas processing plants located in Western Canada with an aggregate gross natural gas processing capacity of approximately 5.9 Bcf per day and long-term liquid supply contracts relating to a third-party owned straddle plant with gross processing capacity of approximately 2.5 Bcf per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95,000 barrels per day (feedstock capacity)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both spec NGL products and a C3/C4 mix for delivery to the Sarnia facility via the Enbridge pipeline.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fractionation feedstock is supplied via the Fort Saskatchewan Pipeline System which connects to the Co-Ed pipeline system. Through ownership in the Keyera Fort Saskatchewan fractionation plant, we have additional fractionation capacity, net to our share of 6,300 barrels per day.</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Kalkaska Pipeline, and from refineries, gas plants and chemical plants in the area. The fractionation unit has a gross capacity of 120,000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14,000 barrels per day and NGL fractionation capacity of approximately 12,000 barrels per day. During 2011, we commenced our Shafter Expansion Project. This project will include the construction of a 15-mile NGL pipeline system that will be capable of delivering up to 10,000 barrels per day from Occidental Petroleum Corporation’s Elk Hills Gas plant to our Shafter facility. It will also include enhancements to our storage and rail facilities and is expected to be placed into service in the first quarter of 2014.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own four active crude oil and condensate rail loading terminals, with one additional terminal being developed. Our active terminals service production in the Niobrara, Eagle Ford and Bakken shale formations and are located in Carr, Colorado; Gardendale, Texas; Manitou, North Dakota; and Van Hook, North Dakota and have a combined loading capacity of approximately 140,000 barrels per day.</w:t>
      </w:r>
    </w:p>
    <w:p>
      <w:pPr>
        <w:spacing w:after="0" w:line="181" w:lineRule="exact"/>
        <w:rPr>
          <w:sz w:val="20"/>
          <w:szCs w:val="20"/>
          <w:color w:val="auto"/>
        </w:rPr>
      </w:pPr>
    </w:p>
    <w:p>
      <w:pPr>
        <w:ind w:right="60" w:firstLine="720"/>
        <w:spacing w:after="0" w:line="255" w:lineRule="auto"/>
        <w:rPr>
          <w:sz w:val="20"/>
          <w:szCs w:val="20"/>
          <w:color w:val="auto"/>
        </w:rPr>
      </w:pPr>
      <w:r>
        <w:rPr>
          <w:rFonts w:ascii="Arial" w:cs="Arial" w:eastAsia="Arial" w:hAnsi="Arial"/>
          <w:sz w:val="18"/>
          <w:szCs w:val="18"/>
          <w:color w:val="auto"/>
        </w:rPr>
        <w:t>During 2012, we began pre-construction activities, which include obtaining necessary permits, on a new rail facility in Tampa, Colorado. This facility will be designed to receive crude oil via truck and pipeline and to load unit trains at a rate of up to 68,000 barrels per day. We anticipate commencing construction on this project, which is supported by firm contracts, in early-2013, and the facility is expected to be in service by the second half of 2013. In addition, we are currently expanding the Carr, Colorado and Van Hook, North Dakota terminals. These expansions are expected to be completed in the second half of 2013. After our various terminal expansion and development activities are complete, our expected loading capacity will be over 265,000 barrels per day.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own one active crude oil rail unloading terminal and have two additional unloading terminals under construction and development. Our terminal at St. James, Louisiana is connected to an active rail unloading facility and has been expanded to unload 52 railcars at a time with capacity to unload 140,000 barrels of sweet crude oil per day.</w:t>
      </w:r>
    </w:p>
    <w:p>
      <w:pPr>
        <w:sectPr>
          <w:pgSz w:w="11900" w:h="16850" w:orient="portrait"/>
          <w:cols w:equalWidth="0" w:num="1">
            <w:col w:w="11400"/>
          </w:cols>
          <w:pgMar w:left="240" w:top="341" w:right="259" w:bottom="0" w:gutter="0" w:footer="0" w:header="0"/>
        </w:sectPr>
      </w:pPr>
    </w:p>
    <w:bookmarkStart w:id="19" w:name="page20"/>
    <w:bookmarkEnd w:id="19"/>
    <w:p>
      <w:pPr>
        <w:ind w:right="40" w:firstLine="648"/>
        <w:spacing w:after="0" w:line="297" w:lineRule="auto"/>
        <w:rPr>
          <w:sz w:val="20"/>
          <w:szCs w:val="20"/>
          <w:color w:val="auto"/>
        </w:rPr>
      </w:pPr>
      <w:r>
        <w:rPr>
          <w:rFonts w:ascii="Arial" w:cs="Arial" w:eastAsia="Arial" w:hAnsi="Arial"/>
          <w:sz w:val="16"/>
          <w:szCs w:val="16"/>
          <w:color w:val="auto"/>
        </w:rPr>
        <w:t>We are currently developing a crude oil rail facility at our multi-product terminal in Yorktown, Virginia. The rail facility will receive unit trains and is expected to have a capacity of 140,000 barrels per day upon its completion projected to occur during the second half of 2013. In connection with our 2012 acquisition of rail terminals from US Development Group, we acquired a project to construct a crude oil unloading terminal near Bakersfield, California, This project is expected to reach completion during the first half of 2014 at which point this terminal will have capacity to unload 68,000 barrels per day when construction is complete. We expect total unloading capacity of approximately 400,000 barrels per day after our rail unloading projects are in service.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own eighteen operational NGL rail facilities located throughout the United States and Canada that are strategically located near NGL storage, pipelines, gas production or propane distribution centers. Our NGL rail facilities currently have 247 railcar rack spots and 833 railcar storage spots and we have the ability to switch our own rail cars at six of these terminals.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resale or exchange of crude oil and NGL at various points along the distribution chain to refiners or other resellers to maximize profits; and</w:t>
      </w:r>
    </w:p>
    <w:p>
      <w:pPr>
        <w:spacing w:after="0" w:line="248" w:lineRule="exact"/>
        <w:rPr>
          <w:rFonts w:ascii="Arial" w:cs="Arial" w:eastAsia="Arial" w:hAnsi="Arial"/>
          <w:sz w:val="16"/>
          <w:szCs w:val="16"/>
          <w:color w:val="auto"/>
        </w:rPr>
      </w:pPr>
    </w:p>
    <w:p>
      <w:pPr>
        <w:ind w:left="980" w:right="28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to various delivery points, including but not limited to refineries, connecting carriers and fractionation facilities.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majority of activities that are carried out within our supply and logistics segment are designed to produce a stable baseline of results in a variety of market conditions, while at the same time provide upside potential associated with opportunities inherent in volatile market conditions (including opportunities to benefit from fluctuating crude oil quality differentials). These activities utilize storage facilities at major interchange and terminalling locations and various hedging strategies to provide a balance. The tankage that is used to support our arbitrage activities positions us to capture margins in a contango market or when the market switches from contango to backwardation. See “—Impact of Commodity Price Volatility and Dynamic Market Conditions on Our Business Model” below for further discussion.</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substantial working inventories associated with its merchant activities, as of December 31, 2012, our supply and logistics segment also owned significant volumes of crude oil and NGL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spacing w:after="0" w:line="187"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815 trucks and 926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5,380 railcars (net of railcars subleased to other parties).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2012 (in thousands of barrels per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460" w:type="dxa"/>
            <w:vAlign w:val="bottom"/>
            <w:gridSpan w:val="3"/>
          </w:tcPr>
          <w:p>
            <w:pPr>
              <w:ind w:left="420"/>
              <w:spacing w:after="0"/>
              <w:rPr>
                <w:sz w:val="20"/>
                <w:szCs w:val="20"/>
                <w:color w:val="auto"/>
              </w:rPr>
            </w:pPr>
            <w:r>
              <w:rPr>
                <w:rFonts w:ascii="Arial" w:cs="Arial" w:eastAsia="Arial" w:hAnsi="Arial"/>
                <w:sz w:val="14"/>
                <w:szCs w:val="14"/>
                <w:b w:val="1"/>
                <w:bCs w:val="1"/>
                <w:color w:val="auto"/>
              </w:rPr>
              <w:t>Volumes</w:t>
            </w:r>
          </w:p>
        </w:tc>
      </w:tr>
      <w:tr>
        <w:trPr>
          <w:trHeight w:val="210"/>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NGL sales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0"/>
        </w:trPr>
        <w:tc>
          <w:tcPr>
            <w:tcW w:w="9560" w:type="dxa"/>
            <w:vAlign w:val="bottom"/>
          </w:tcPr>
          <w:p>
            <w:pPr>
              <w:ind w:left="180"/>
              <w:spacing w:after="0"/>
              <w:rPr>
                <w:sz w:val="20"/>
                <w:szCs w:val="20"/>
                <w:color w:val="auto"/>
              </w:rPr>
            </w:pPr>
            <w:r>
              <w:rPr>
                <w:rFonts w:ascii="Arial" w:cs="Arial" w:eastAsia="Arial" w:hAnsi="Arial"/>
                <w:sz w:val="18"/>
                <w:szCs w:val="18"/>
                <w:color w:val="auto"/>
              </w:rPr>
              <w:t>Supply &amp; Logistics activities 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that we have established long-term, broad-based relationships with the crude oil and NGL producers in our areas of operations. These contracts generally range in term from a thirty-day evergreen to five years, with the majority ranging from thirty days to one year and a limited number of contracts extending to approximately ten years. We utilize our truck fleet and gathering pipelines as well as leased railcars, third-party pipelines, trucks and barges to transport the crude oil to market. In addition, we purchase foreign crude oil. Under these contracts we may purchase crude oil upon delivery in the U.S. or we may purchase crude oil in foreign locations and transport it on third-party tankers.</w:t>
      </w:r>
    </w:p>
    <w:p>
      <w:pPr>
        <w:sectPr>
          <w:pgSz w:w="11900" w:h="16838" w:orient="portrait"/>
          <w:cols w:equalWidth="0" w:num="1">
            <w:col w:w="11420"/>
          </w:cols>
          <w:pgMar w:left="240" w:top="341" w:right="239" w:bottom="0" w:gutter="0" w:footer="0" w:header="0"/>
        </w:sectPr>
      </w:pPr>
    </w:p>
    <w:bookmarkStart w:id="20" w:name="page21"/>
    <w:bookmarkEnd w:id="20"/>
    <w:p>
      <w:pPr>
        <w:ind w:right="200" w:firstLine="648"/>
        <w:spacing w:after="0" w:line="308" w:lineRule="auto"/>
        <w:rPr>
          <w:sz w:val="20"/>
          <w:szCs w:val="20"/>
          <w:color w:val="auto"/>
        </w:rPr>
      </w:pPr>
      <w:r>
        <w:rPr>
          <w:rFonts w:ascii="Arial" w:cs="Arial" w:eastAsia="Arial" w:hAnsi="Arial"/>
          <w:sz w:val="17"/>
          <w:szCs w:val="17"/>
          <w:color w:val="auto"/>
        </w:rPr>
        <w:t>We purchase NGL from producers, refiners, and other NGL marketing companies under contracts that generally range from immediate delivery to one year in term. We utilize our trucking fleet as well as leased railcars, third-party tank trucks or pipelines to transport NGL.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purchasing crude oil from producers, we purchase both domestic and foreign crude oil and refined products in bulk at major pipeline terminal locations and barge facilities. We also purchase NGL in bulk at major pipeline terminal points and storage facilities from major integrated oil companies, large independent producers or other NGL marketing companies or processors. Crude oil, refined products and NGL are purchased in bulk when we believe additional opportunities exist to realize margins further downstream in the crude oil, refined products or NGL distribution chain. The opportunities to earn additional margins vary over time with changing market conditions. Accordingly, the margins associated with our bulk purchases will fluctuate from period to period.</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 We sell NGL primarily to retailers and refiners, and limited volumes to other marketers. The contracts generally range in term from a thirty-day evergreen to five years, with the majority ranging from thirty days to one year and a limited number of contracts extending to approximately ten years. We establish a margin for the crude oil and NGL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transactions including fixed price delivery contracts, floating price collar arrangements, financial swaps and crude oil and NGL-related futures contracts as hedging devices.</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natural gas, refined products and NGL for resale and require significant extensions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When we sell crude oil, NGL, refined products and natural gas,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also have credit risk exposure related to our sales of NGL and natural gas; however, because our sales are typically in relatively small amounts to individual customers, we do not believe that these transactions pose a material concentration of credit risk. Typically, we enter into annual contracts to</w:t>
      </w:r>
    </w:p>
    <w:p>
      <w:pPr>
        <w:ind w:right="160"/>
        <w:spacing w:after="0" w:line="261" w:lineRule="auto"/>
        <w:rPr>
          <w:sz w:val="20"/>
          <w:szCs w:val="20"/>
          <w:color w:val="auto"/>
        </w:rPr>
      </w:pPr>
      <w:r>
        <w:rPr>
          <w:rFonts w:ascii="Arial" w:cs="Arial" w:eastAsia="Arial" w:hAnsi="Arial"/>
          <w:sz w:val="18"/>
          <w:szCs w:val="18"/>
          <w:color w:val="auto"/>
        </w:rPr>
        <w:t>sell NGL on a forward basis, as well as to sell NGL on a current basis to local distributors and retailers. In certain cases our NGL customers prepay for their purchases, in amounts ranging up to 100% of their contracted amounts.</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supply and logistics activities, which generally have higher activity levels during the first and fourth quarters of each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Through our three business segments, we are engaged in the transportation, storage, terminalling and marketing of crude oil, refined products, NGL and natural gas. The majority of our activities are focused on crude oil, which is the principal feedstock used by refineries in the production of transportation fuels.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Crude oil, NGL, refined products and natural gas commodity prices have historically been very volatile. For example, since the mid-1980s, NYMEX West Texas Intermediate crude oil benchmark prices have ranged from a low of approximately $10 per barrel during 1986 to a high of over $147 per barrel during 2008. During 2012, crude oil prices traded within a range of $77 to $111 per barrel.</w:t>
      </w:r>
    </w:p>
    <w:p>
      <w:pPr>
        <w:sectPr>
          <w:pgSz w:w="11900" w:h="16838" w:orient="portrait"/>
          <w:cols w:equalWidth="0" w:num="1">
            <w:col w:w="11400"/>
          </w:cols>
          <w:pgMar w:left="240" w:top="125" w:right="259" w:bottom="0" w:gutter="0" w:footer="0" w:header="0"/>
        </w:sectPr>
      </w:pPr>
    </w:p>
    <w:bookmarkStart w:id="21" w:name="page22"/>
    <w:bookmarkEnd w:id="21"/>
    <w:p>
      <w:pPr>
        <w:spacing w:after="0" w:line="46"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Absent extended periods of lower crude oil prices that are below production replacement costs or higher crude oil prices that have a significant adverse impact on consumption, demand for the services we provide in our fee-based transportation and facilities segments and our gross profit from these activities have little correlation to absolute crude oil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our crude oil supply, logistics and distribution operations are not directly affected by the absolute level of crude oil prices, but are affected by overall levels of supply and demand for crude oil and relative fluctuations in market-related indices.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 Conversely, when there is a higher demand than supply of crude oil, NGL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more than compensates for any loss associated with closing out future delivery obligations.</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6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Except for pre-defined inventory positions, our policy is generally to structure our purchase and sales contracts so that price fluctuations do not materially affect our operating income, and not to acquire and hold physical inventory or derivatives for the purpose of speculating on outright commodity price changes.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Although we seek to maintain a position that is substantially balanced within our supply and logistics activities, we purchase crude oil, refined products,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720"/>
        <w:spacing w:after="0" w:line="312" w:lineRule="auto"/>
        <w:rPr>
          <w:sz w:val="20"/>
          <w:szCs w:val="20"/>
          <w:color w:val="auto"/>
        </w:rPr>
      </w:pPr>
      <w:r>
        <w:rPr>
          <w:rFonts w:ascii="Arial" w:cs="Arial" w:eastAsia="Arial" w:hAnsi="Arial"/>
          <w:sz w:val="16"/>
          <w:szCs w:val="16"/>
          <w:color w:val="auto"/>
        </w:rPr>
        <w:t>Marathon Petroleum Corporation and its affiliates accounted for approximately 16%, 16% and 14% of our revenues for the years ended December 31, 2012, 2011 and 2010, respectively. ConocoPhillips Company (prior to the spin-off of Phillips 66, which was effective May 1, 2012) accounted for approximately 10% of our revenues for each of the years ended December 31, 2011 and 2010. No other customers accounted for 10% or more of our</w:t>
      </w:r>
    </w:p>
    <w:p>
      <w:pPr>
        <w:sectPr>
          <w:pgSz w:w="11900" w:h="16885" w:orient="portrait"/>
          <w:cols w:equalWidth="0" w:num="1">
            <w:col w:w="11420"/>
          </w:cols>
          <w:pgMar w:left="240" w:top="125" w:right="239" w:bottom="0" w:gutter="0" w:footer="0" w:header="0"/>
        </w:sectPr>
      </w:pPr>
    </w:p>
    <w:bookmarkStart w:id="22" w:name="page23"/>
    <w:bookmarkEnd w:id="22"/>
    <w:p>
      <w:pPr>
        <w:ind w:right="160"/>
        <w:spacing w:after="0" w:line="279" w:lineRule="auto"/>
        <w:rPr>
          <w:sz w:val="20"/>
          <w:szCs w:val="20"/>
          <w:color w:val="auto"/>
        </w:rPr>
      </w:pPr>
      <w:r>
        <w:rPr>
          <w:rFonts w:ascii="Arial" w:cs="Arial" w:eastAsia="Arial" w:hAnsi="Arial"/>
          <w:sz w:val="17"/>
          <w:szCs w:val="17"/>
          <w:color w:val="auto"/>
        </w:rPr>
        <w:t>revenues during any of the three years ended December 31, 2012, 2011 and 2010.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13 to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pipeline companies, the major integrated oil companies, their marketing affiliates and independent gatherers, banks that have established a trading platform, brokers and marketers of widely varying sizes, financial resources and experience. Some of these competitors have capital resources many times greater than ours, and control greater supplies of crude oil.</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also have existing storage facilities connected to their systems that compete with some of our facilities.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In 2010 we settled by means of separate Consent Decrees, two ongoing Department of Justice (“DOJ”)/Environmental Protection Agency (“EPA”) proceedings regarding certain releases of crude oil. One Consent Decree applies to a specific system. The other (the “General Consent Decree”) applies to our crude oil pipelines in general. Although we believe that all material aspects of the injunctive elements of the Consent Decrees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Safety/Pipeline and Storage Tank Integrity Management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ectPr>
          <w:pgSz w:w="11900" w:h="16838" w:orient="portrait"/>
          <w:cols w:equalWidth="0" w:num="1">
            <w:col w:w="11420"/>
          </w:cols>
          <w:pgMar w:left="24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$39 million in 2012, $32 million in 2011 and $31 million in 2010. Based on currently available information, our preliminary estimate for 2013 is that we will incur approximately $21 million in operational expenditures and approximately $38 million in capital expenditures associated with our required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 In addition to required activities, our integrity management program includes several internal programs designed to prevent incidents and includes activities such as automating valves and replacing river crossings. Costs incurred for such activities were approximately $24 million in 2012, $22 million in 2011 and $10 million in 2010, and our preliminary estimate for 2013 is that we will incur approximately $30 million.</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December 2009, PHMSA finalized a new rule dictating the shape and content of new control room management programs for hazardous liquid, gas transmission and distribution pipelines. The rule addresses human factors, including fatigue and other aspects of control room management for pipelines where controllers use supervisory control and data acquisition systems. The new rule became effective on February 1, 2010 and requires that control room management plans be written by August 1, 2011, which we completed on time. Implementation of certain aspects such as fatigue training for Controllers and Supervisors, Change Management, Operating Experience and establishing Shift Change procedures was required and completed by October 1, 2011. Implementation of the remaining aspects of the rule was completed by August 1, 2012.</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an internal review process in which we examine the condition and operating history of our pipelines and gathering assets to determine if any of our assets warrant additional investment or replacement. Accordingly, in addition to potential cost increases related to unanticipated regulatory changes or injunctive remedies resulting from U.S.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$31 million, $22 million and $25 million in 2012, 2011 and 2010, respectively. For 2013, we have budgeted approximately $30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Canada, the NEB and provincial agencies such as the Energy Resources Conservation Board (“ERCB”) in Alberta and the Saskatchewan Ministry of Energy and Resources regulate the construction, alteration, inspection and repair of crude oil storage tanks. We have incurred and will continue to incur costs under laws and regulations related to pipeline and storage tank integrity, such as operator competency programs, regulatory upgrades to our operating and maintenance systems and environmental upgrades of buried sump tanks. We spent approximately $80 million in 2012, $35 million in 2011 and $23 million in 2010 on these types of costs. Our preliminary estimate for 2013 is approximately $109 million.</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Although we believe that our pipeline operations are in substantial compliance with currently applicable regulatory requirements (including the Consent Decrees, to the extent applicable), we cannot predict the potential costs associated with additional, future regulation. Asset acquisitions are an integral part of our business strategy. As we acquire additional assets, we may be required to incur additional costs in order to ensure that the acquired assets comply with the regulatory standards (including the General Consent Decree) in the U.S. and Canada.</w:t>
      </w:r>
    </w:p>
    <w:p>
      <w:pPr>
        <w:sectPr>
          <w:pgSz w:w="11900" w:h="16838" w:orient="portrait"/>
          <w:cols w:equalWidth="0" w:num="1">
            <w:col w:w="11420"/>
          </w:cols>
          <w:pgMar w:left="240" w:top="125" w:right="239" w:bottom="0" w:gutter="0" w:footer="0" w:header="0"/>
        </w:sectPr>
      </w:pPr>
    </w:p>
    <w:bookmarkStart w:id="24" w:name="page25"/>
    <w:bookmarkEnd w:id="24"/>
    <w:p>
      <w:pPr>
        <w:jc w:val="center"/>
        <w:ind w:right="900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the U.S.,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 We believe that our operations are in substantial compliance with OSHA requirements, including general industry standards, recordkeeping requirements and monitoring of occupational exposure to regulated substances.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and provincial laws also impose liabilities for releases of certain substances into the environment.</w:t>
      </w:r>
    </w:p>
    <w:p>
      <w:pPr>
        <w:spacing w:after="0" w:line="19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are subject to the EPA’s Risk Management Plan regulations at certain facilities. These regulations are intended to work with OSHA’s PSM regulations (see “Occupational Safety and Health” above) to minimize the offsite consequences of catastrophic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releases. The regulations require us to develop and implement a risk management program that includes a five-year accident history, an offsite consequence analysis process, a prevention program and an emergency response program. We believe we are operating in substantial compliance with our risk management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Energy LLC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2012, we had incurred approximately $24 million of remediation costs associated with these sites, while SOP’s share has been approximately $13 million.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Other assets we have acquired or will acquire in the future may have environmental remediation liabilities for which we are not indemnified.</w:t>
      </w:r>
    </w:p>
    <w:p>
      <w:pPr>
        <w:sectPr>
          <w:pgSz w:w="11900" w:h="16838" w:orient="portrait"/>
          <w:cols w:equalWidth="0" w:num="1">
            <w:col w:w="11400"/>
          </w:cols>
          <w:pgMar w:left="240" w:top="125" w:right="259" w:bottom="0" w:gutter="0" w:footer="0" w:header="0"/>
        </w:sectPr>
      </w:pPr>
    </w:p>
    <w:bookmarkStart w:id="25" w:name="page26"/>
    <w:bookmarkEnd w:id="25"/>
    <w:p>
      <w:pPr>
        <w:ind w:right="400" w:firstLine="648"/>
        <w:spacing w:after="0" w:line="277" w:lineRule="auto"/>
        <w:rPr>
          <w:sz w:val="20"/>
          <w:szCs w:val="20"/>
          <w:color w:val="auto"/>
        </w:rPr>
      </w:pPr>
      <w:r>
        <w:rPr>
          <w:rFonts w:ascii="Arial" w:cs="Arial" w:eastAsia="Arial" w:hAnsi="Arial"/>
          <w:sz w:val="18"/>
          <w:szCs w:val="18"/>
          <w:color w:val="auto"/>
        </w:rPr>
        <w:t>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Our U.S. operations are subject to the U.S. Clean Air Act (“Clean Air Act”), comparable state laws and associated state and federal regulations. Our Canadian operations are subject to federal and provincial air emission regulations. In 2010, the Canadian Council of Ministers of the Environment agreed to move forward to finalize a new air quality management system. The new Canadian standards for air quality and industrial air emissions are currently in development, with implementation expected to begin in 2013.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1997 United Nations Framework Convention on Climate Change, also known as the “Kyoto Protocol.”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which are to be defined by 2015 and are to become effective in 2020. Environment Canada continues to promote the domestic GHG initiatives implemented while Canada was signatory to the Kyoto Protocol.</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In 2007, in response to the Kyoto Protocol, the Canadian federal government introduced the </w:t>
      </w:r>
      <w:r>
        <w:rPr>
          <w:rFonts w:ascii="Arial" w:cs="Arial" w:eastAsia="Arial" w:hAnsi="Arial"/>
          <w:sz w:val="17"/>
          <w:szCs w:val="17"/>
          <w:i w:val="1"/>
          <w:iCs w:val="1"/>
          <w:color w:val="auto"/>
        </w:rPr>
        <w:t>Regulatory Framework for Air Emissions</w:t>
      </w:r>
      <w:r>
        <w:rPr>
          <w:rFonts w:ascii="Arial" w:cs="Arial" w:eastAsia="Arial" w:hAnsi="Arial"/>
          <w:sz w:val="17"/>
          <w:szCs w:val="17"/>
          <w:color w:val="auto"/>
        </w:rPr>
        <w:t xml:space="preserve"> (also known as the “Turning the Corner” measures) a regulatory framework for regulating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tons per year (“kt/y”) of CO</w:t>
      </w:r>
      <w:r>
        <w:rPr>
          <w:rFonts w:ascii="Arial" w:cs="Arial" w:eastAsia="Arial" w:hAnsi="Arial"/>
          <w:sz w:val="11"/>
          <w:szCs w:val="11"/>
          <w:color w:val="auto"/>
        </w:rPr>
        <w:t>2</w:t>
      </w:r>
      <w:r>
        <w:rPr>
          <w:rFonts w:ascii="Arial" w:cs="Arial" w:eastAsia="Arial" w:hAnsi="Arial"/>
          <w:sz w:val="17"/>
          <w:szCs w:val="17"/>
          <w:color w:val="auto"/>
        </w:rPr>
        <w:t xml:space="preserve"> equivalent (“CO</w:t>
      </w:r>
      <w:r>
        <w:rPr>
          <w:rFonts w:ascii="Arial" w:cs="Arial" w:eastAsia="Arial" w:hAnsi="Arial"/>
          <w:sz w:val="11"/>
          <w:szCs w:val="11"/>
          <w:color w:val="auto"/>
        </w:rPr>
        <w:t>2</w:t>
      </w:r>
      <w:r>
        <w:rPr>
          <w:rFonts w:ascii="Arial" w:cs="Arial" w:eastAsia="Arial" w:hAnsi="Arial"/>
          <w:sz w:val="17"/>
          <w:szCs w:val="17"/>
          <w:color w:val="auto"/>
        </w:rPr>
        <w:t>e”) were required to report their GHG emissions under the Greenhouse Gas Emissions Reporting Program. In 2010, this reporting threshold was reduced to 50 kt/y. The current operations of PMC fall well below this 50 kt/y threshold.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Alberta, the provincial government implemented the </w:t>
      </w:r>
      <w:r>
        <w:rPr>
          <w:rFonts w:ascii="Arial" w:cs="Arial" w:eastAsia="Arial" w:hAnsi="Arial"/>
          <w:sz w:val="18"/>
          <w:szCs w:val="18"/>
          <w:i w:val="1"/>
          <w:iCs w:val="1"/>
          <w:color w:val="auto"/>
        </w:rPr>
        <w:t>Specified Gas Emitters Regulation</w:t>
      </w:r>
      <w:r>
        <w:rPr>
          <w:rFonts w:ascii="Arial" w:cs="Arial" w:eastAsia="Arial" w:hAnsi="Arial"/>
          <w:sz w:val="18"/>
          <w:szCs w:val="18"/>
          <w:color w:val="auto"/>
        </w:rPr>
        <w:t xml:space="preserve"> in 2007 (under the Alberta Environmental and Protection and Enhancement Act), which mandated a 12% reduction in emission intensity over 2003-2005 levels for all facilities emitting more than 100 kt/y of CO</w:t>
      </w:r>
      <w:r>
        <w:rPr>
          <w:rFonts w:ascii="Arial" w:cs="Arial" w:eastAsia="Arial" w:hAnsi="Arial"/>
          <w:sz w:val="11"/>
          <w:szCs w:val="11"/>
          <w:color w:val="auto"/>
        </w:rPr>
        <w:t>2</w:t>
      </w:r>
      <w:r>
        <w:rPr>
          <w:rFonts w:ascii="Arial" w:cs="Arial" w:eastAsia="Arial" w:hAnsi="Arial"/>
          <w:sz w:val="18"/>
          <w:szCs w:val="18"/>
          <w:color w:val="auto"/>
        </w:rPr>
        <w:t>e. It is anticipated that the threshold for this regulation will be reduced in future years. Alberta also has a GHG reporting threshold at 50 kt/y of CO</w:t>
      </w:r>
      <w:r>
        <w:rPr>
          <w:rFonts w:ascii="Arial" w:cs="Arial" w:eastAsia="Arial" w:hAnsi="Arial"/>
          <w:sz w:val="11"/>
          <w:szCs w:val="11"/>
          <w:color w:val="auto"/>
        </w:rPr>
        <w:t>2</w:t>
      </w:r>
      <w:r>
        <w:rPr>
          <w:rFonts w:ascii="Arial" w:cs="Arial" w:eastAsia="Arial" w:hAnsi="Arial"/>
          <w:sz w:val="18"/>
          <w:szCs w:val="18"/>
          <w:color w:val="auto"/>
        </w:rPr>
        <w:t>e. Again, emissions from PMC’s facilities are well below the 50 kt/y threshold.</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April 2010, Environment Canada proposed the </w:t>
      </w:r>
      <w:r>
        <w:rPr>
          <w:rFonts w:ascii="Arial" w:cs="Arial" w:eastAsia="Arial" w:hAnsi="Arial"/>
          <w:sz w:val="17"/>
          <w:szCs w:val="17"/>
          <w:i w:val="1"/>
          <w:iCs w:val="1"/>
          <w:color w:val="auto"/>
        </w:rPr>
        <w:t>Passenger Automobile and Light Truck Greenhouse Gas Emission Regulations</w:t>
      </w:r>
      <w:r>
        <w:rPr>
          <w:rFonts w:ascii="Arial" w:cs="Arial" w:eastAsia="Arial" w:hAnsi="Arial"/>
          <w:sz w:val="17"/>
          <w:szCs w:val="17"/>
          <w:color w:val="auto"/>
        </w:rPr>
        <w:t xml:space="preserve"> under the Canadian Environmental Protection Act (“CEPA”). Transportation is one of the largest sources of GHG emissions in Canada, accounting for about 27% of total GHG emissions in 2007. Passenger cars and light trucks account for approximately 12% of total GHG emissions or 45% of transportation emissions. The objective of the proposed regulations is to reduce GHG emissions by establishing mandatory GHG emission standards for new vehicles of the 2011 and later model years that are aligned with U.S. standards. The alignment of vehicle emission standards across North America will provide a level playing field for North American automobile manufacturers. The governments of Canada and the U.S. are consulting to develop aligned regulations to reduce emissions from heavy-duty trucks. In December 2010, the Canadian federal government finalized the </w:t>
      </w:r>
      <w:r>
        <w:rPr>
          <w:rFonts w:ascii="Arial" w:cs="Arial" w:eastAsia="Arial" w:hAnsi="Arial"/>
          <w:sz w:val="17"/>
          <w:szCs w:val="17"/>
          <w:i w:val="1"/>
          <w:iCs w:val="1"/>
          <w:color w:val="auto"/>
        </w:rPr>
        <w:t>Renewable Fuel Regulations</w:t>
      </w:r>
      <w:r>
        <w:rPr>
          <w:rFonts w:ascii="Arial" w:cs="Arial" w:eastAsia="Arial" w:hAnsi="Arial"/>
          <w:sz w:val="17"/>
          <w:szCs w:val="17"/>
          <w:color w:val="auto"/>
        </w:rPr>
        <w:t xml:space="preserve"> under CEPA. These regulations require an annual average renewable content of five percent in gasoline and required a two percent renewable content in diesel fuel and heating oil by 2011. These requirements are further intended to reduce GHG emissions in the transportation sector. No other regulatory initiatives to reduce GHG emissions in the truck transportation sector have been announced.</w:t>
      </w:r>
    </w:p>
    <w:p>
      <w:pPr>
        <w:spacing w:after="0" w:line="178" w:lineRule="exact"/>
        <w:rPr>
          <w:sz w:val="20"/>
          <w:szCs w:val="20"/>
          <w:color w:val="auto"/>
        </w:rPr>
      </w:pPr>
    </w:p>
    <w:p>
      <w:pPr>
        <w:ind w:firstLine="702"/>
        <w:spacing w:after="0" w:line="273" w:lineRule="auto"/>
        <w:rPr>
          <w:sz w:val="20"/>
          <w:szCs w:val="20"/>
          <w:color w:val="auto"/>
        </w:rPr>
      </w:pPr>
      <w:r>
        <w:rPr>
          <w:rFonts w:ascii="Arial" w:cs="Arial" w:eastAsia="Arial" w:hAnsi="Arial"/>
          <w:sz w:val="17"/>
          <w:szCs w:val="17"/>
          <w:color w:val="auto"/>
        </w:rPr>
        <w:t>In August 2011, Environment Canada released the text of the proposed regulations to reduce emissions from the coal-fired electricity sector. The proposed regulations apply a stringent performance standard to coal-fired electricity generated units. The standard will be based on parity with the emissions performance of high-efficiency natural gas generation. This is expected to promote replacement of coal-fired units that are reaching the end of their economic life, and will encourage investment in cleaner generation technologies, such as high-efficiency natural gas generation and renewable energy, as well as the use of carbon capture and storage. Regulations are scheduled to come into effect in July 2015, and are likely to stimulate increased demand for natural gas. No other regulatory initiatives to reduce GHG emissions in the electricity sector have been announced.</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2009, the U.S.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U.S. to be required to report that activity as well. We also continue to monitor GHG emissions for all of our facilities and activities. At the present time, we do not anticipate the need to purchase GHG credits or install control technology to reduce GHG emissions at any of our facilities.</w:t>
      </w:r>
    </w:p>
    <w:p>
      <w:pPr>
        <w:sectPr>
          <w:pgSz w:w="11900" w:h="16838" w:orient="portrait"/>
          <w:cols w:equalWidth="0" w:num="1">
            <w:col w:w="11420"/>
          </w:cols>
          <w:pgMar w:left="240" w:top="125" w:right="239" w:bottom="0" w:gutter="0" w:footer="0" w:header="0"/>
        </w:sectPr>
      </w:pPr>
    </w:p>
    <w:bookmarkStart w:id="26" w:name="page27"/>
    <w:bookmarkEnd w:id="26"/>
    <w:p>
      <w:pPr>
        <w:ind w:right="60" w:firstLine="648"/>
        <w:spacing w:after="0" w:line="255" w:lineRule="auto"/>
        <w:rPr>
          <w:sz w:val="20"/>
          <w:szCs w:val="20"/>
          <w:color w:val="auto"/>
        </w:rPr>
      </w:pPr>
      <w:r>
        <w:rPr>
          <w:rFonts w:ascii="Arial" w:cs="Arial" w:eastAsia="Arial" w:hAnsi="Arial"/>
          <w:sz w:val="18"/>
          <w:szCs w:val="18"/>
          <w:color w:val="auto"/>
        </w:rPr>
        <w:t>In 2010, the EPA promulgated regulations establishing Title V and Prevention of Significant Deterioration permitting requirements for large sources of GHG’s. Fewer than ten of our existing facilities are potential major sources of GHG subject to these permitting requirements. We may be required to install “best available control technology” to limit emissions of GHG’s from any new or significantly modified facilities that we may seek to construct in the future if they would otherwise emit large volumes of GHG’s. The EPA is in the process of identifying what constitutes best available control technology for various sources of GHG emissions, but it appears likely that the agency will seek to impose efficient combustion requirements on sources that burn large volumes of fossil fuels rather than post-combustion GHG capture requirements. If the EPA imposes efficient combustion requirements, we do not anticipate that they will have an adverse effect on the cost of our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absence of federal climate legislation in the U.S., a number of regional efforts have emerged aimed at reducing GHG emissions. Two of the more significant non-federal GHG programs are the Regional Greenhouse Gas Initiative (RGGI) and the Western Climate Initiative (WCI). RGGI, which includes a number of states in the northeastern U.S., implemented a cap-and-trade program in 2009. At present, this program only applies to utility power plants. None of our facilities are affected by RGGI.</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WCI originally included several U.S. states and Canadian provinces, either as full voting members or observers. Most U.S. states have withdrawn from WCI, with California the sole remaining member from the U.S. California has implemented a GHG cap-and-trade program, authorized under Assembly Bill 32 (“AB32”). The California Air Resources Board has published a list of facilities expected to be subject to this program. At this time, the list only includes one of our facilities, the Lone Star Gas Liquids facility in Shafter, California. The rules implementing the AB32 program were finalized in December 2011, and the first auction of GHG emission credits was conducted in the fall of 2012, with the average credit selling for $10.09 per ton. The compliance requirements of the GHG cap-and-trade program will not kick in until 2013 and we do not anticipate any problems in complying with those obligations going forward or for such impacts to be material.</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financial condition, demand for our services,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customers could also be negatively impacted by current GHG legislation or new regulations resulting in increased operating or compliance costs. Some of the proposed federal and state “cap and trade” legislation would require 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16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spacing w:after="0" w:line="17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In a June 2012 lawsuit (</w:t>
      </w:r>
      <w:r>
        <w:rPr>
          <w:rFonts w:ascii="Arial" w:cs="Arial" w:eastAsia="Arial" w:hAnsi="Arial"/>
          <w:sz w:val="16"/>
          <w:szCs w:val="16"/>
          <w:i w:val="1"/>
          <w:iCs w:val="1"/>
          <w:color w:val="auto"/>
        </w:rPr>
        <w:t>Sierra Club v. Bostick</w:t>
      </w:r>
      <w:r>
        <w:rPr>
          <w:rFonts w:ascii="Arial" w:cs="Arial" w:eastAsia="Arial" w:hAnsi="Arial"/>
          <w:sz w:val="16"/>
          <w:szCs w:val="16"/>
          <w:color w:val="auto"/>
        </w:rPr>
        <w:t>), to which we are not a party, plaintiff seeks to have the court strike down the NWP. NWP is supported by strong statutory and regulatory history and was originally approved by Congress in</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1977. In the event the court rules in favor of the plaintiff and wholly or partially strikes down NWP, which we believe is unlikely, we could face significant delays and financial costs when seeking project approvals.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pacing w:after="0" w:line="18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ectPr>
          <w:pgSz w:w="11900" w:h="16838" w:orient="portrait"/>
          <w:cols w:equalWidth="0" w:num="1">
            <w:col w:w="11400"/>
          </w:cols>
          <w:pgMar w:left="240" w:top="125" w:right="259" w:bottom="0" w:gutter="0" w:footer="0" w:header="0"/>
        </w:sectPr>
      </w:pPr>
    </w:p>
    <w:bookmarkStart w:id="27" w:name="page28"/>
    <w:bookmarkEnd w:id="27"/>
    <w:p>
      <w:pPr>
        <w:spacing w:after="0" w:line="1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Commission (“CPUC”). The CPUC prohibits certain of our subsidiaries from acting as guarantors of our senior notes and credit facilities.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Regulation of OCS Pipelines. </w:t>
      </w:r>
      <w:r>
        <w:rPr>
          <w:rFonts w:ascii="Arial" w:cs="Arial" w:eastAsia="Arial" w:hAnsi="Arial"/>
          <w:sz w:val="16"/>
          <w:szCs w:val="16"/>
          <w:color w:val="auto"/>
        </w:rPr>
        <w:t>The Outer Continental Shelf Lands Act requires that all pipelines operating on or across the OCS provide open access,</w:t>
      </w:r>
      <w:r>
        <w:rPr>
          <w:rFonts w:ascii="Arial" w:cs="Arial" w:eastAsia="Arial" w:hAnsi="Arial"/>
          <w:sz w:val="16"/>
          <w:szCs w:val="16"/>
          <w:i w:val="1"/>
          <w:iCs w:val="1"/>
          <w:color w:val="auto"/>
        </w:rPr>
        <w:t xml:space="preserve"> </w:t>
      </w:r>
      <w:r>
        <w:rPr>
          <w:rFonts w:ascii="Arial" w:cs="Arial" w:eastAsia="Arial" w:hAnsi="Arial"/>
          <w:sz w:val="16"/>
          <w:szCs w:val="16"/>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percent.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Alberta ERCB.</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Our Pipelines. </w:t>
      </w:r>
      <w:r>
        <w:rPr>
          <w:rFonts w:ascii="Arial" w:cs="Arial" w:eastAsia="Arial" w:hAnsi="Arial"/>
          <w:sz w:val="16"/>
          <w:szCs w:val="16"/>
          <w:color w:val="auto"/>
        </w:rPr>
        <w:t>The FERC generally has not investigated rates of liquids pipelines on its own initiative when those rates have not been the subject of</w:t>
      </w:r>
      <w:r>
        <w:rPr>
          <w:rFonts w:ascii="Arial" w:cs="Arial" w:eastAsia="Arial" w:hAnsi="Arial"/>
          <w:sz w:val="16"/>
          <w:szCs w:val="16"/>
          <w:i w:val="1"/>
          <w:iCs w:val="1"/>
          <w:color w:val="auto"/>
        </w:rPr>
        <w:t xml:space="preserve"> </w:t>
      </w:r>
      <w:r>
        <w:rPr>
          <w:rFonts w:ascii="Arial" w:cs="Arial" w:eastAsia="Arial" w:hAnsi="Arial"/>
          <w:sz w:val="16"/>
          <w:szCs w:val="16"/>
          <w:color w:val="auto"/>
        </w:rPr>
        <w:t>a protest or complaint by a shipper. The majority of our transportation segment profit in the U.S. is produced by rates that are either grandfathered or set by agreement with one or more shippers. In Canada, rates are set to cover operating costs and a return on capital, without specific agreements with shippers. Shippers may make application to federal or provincial regulatory agencies if they disagree with rates that have been set.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 provincially under the direction of the National Safety Code (NSC) that is administered by Transport Canada. Our for-hire service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primarily the transportation of crude oil, condensates and NGL. We are required under the NCS among other things to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operate a number of railcar loading and unloading facilities, and lease a significant number of railcars, in the United States and Canada. Our railcar operations are subject to the regulatory jurisdiction of the Federal Railroad Administration of the DOT, the Occupational Safety and Health</w:t>
      </w:r>
    </w:p>
    <w:p>
      <w:pPr>
        <w:sectPr>
          <w:pgSz w:w="11900" w:h="16975" w:orient="portrait"/>
          <w:cols w:equalWidth="0" w:num="1">
            <w:col w:w="11400"/>
          </w:cols>
          <w:pgMar w:left="240" w:top="125" w:right="259" w:bottom="0" w:gutter="0" w:footer="0" w:header="0"/>
        </w:sectPr>
      </w:pPr>
    </w:p>
    <w:bookmarkStart w:id="28" w:name="page29"/>
    <w:bookmarkEnd w:id="28"/>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Administration, as well as other federal and state regulatory agencies and Canadian regulatory agencies for operations in Canada. We believe that our railcar operations are in substantial compliance with all existing federal, state, and local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have not experienced a material impact from the FTC regulations. The CFTC rules are not final. We will continue to monitor the status of proposed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PNG is subject to extensive laws and regulations. PNG’s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FERC approved tariffs. We have been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granted market-based rate authorization for the services that our facilities provide. Market-based rate authority allows us to negotiate rates with individual customers based on market demand.</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FERC also has authority over the siting, construction, and operation of U.S.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including PNG Marketing and PAA Natural Gas Canada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6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$1,000,000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Bluewater provides storage service by means of receipts or deliveries of natural gas at the international border with Canada or within the Province of Ontario. The importation and exportation of natural gas from and to the U.S. and Canada is subject to regulation by U.S. Customs and Border Protection, U.S. Department of Energy and the NEB. Bluewater, PNG Marketing and PAA Natural Gas Canada have regulatory authorization to import and export natural gas from and to the U.S. and Canada.</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w:t>
      </w:r>
    </w:p>
    <w:p>
      <w:pPr>
        <w:sectPr>
          <w:pgSz w:w="11900" w:h="16908" w:orient="portrait"/>
          <w:cols w:equalWidth="0" w:num="1">
            <w:col w:w="11400"/>
          </w:cols>
          <w:pgMar w:left="240" w:top="125" w:right="259" w:bottom="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effect they could have on our business, financial condition, and results of operations or ability to make distributions to our unitholders.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thirty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firstLine="8"/>
        <w:spacing w:after="0" w:line="287" w:lineRule="auto"/>
        <w:tabs>
          <w:tab w:leader="none" w:pos="3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carry out our operations, our general partner or its affiliates (including Plains Midstream Canada) employed approximately 4,700 employees at December 31, 2012. None of the employees of our general partner are subject to a collective bargaining agreement, except for eight employees covered by an agreement scheduled for renegotiation in September 2015 and another nine employees covered by another agreement scheduled for renegotiation in September 2013. Our general partner considers its employee relations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as well as Canada and the Canadian provinces, of the unitholder’s investment in us. Further, it is the responsibility of each unitholder to file all U.S. federal, Canadian, state, provincial and local tax returns that may be required of the unitholder. Also see Item 1A. “Risk Factors—Tax Risks to Common Unitholders.”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ectPr>
          <w:pgSz w:w="11900" w:h="16838" w:orient="portrait"/>
          <w:cols w:equalWidth="0" w:num="1">
            <w:col w:w="11420"/>
          </w:cols>
          <w:pgMar w:left="240" w:top="125" w:right="239" w:bottom="0" w:gutter="0" w:footer="0" w:header="0"/>
        </w:sectPr>
      </w:pPr>
    </w:p>
    <w:bookmarkStart w:id="30" w:name="page31"/>
    <w:bookmarkEnd w:id="30"/>
    <w:p>
      <w:pPr>
        <w:spacing w:after="0" w:line="10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income) may exceed the cash actually distributed to the unitholder by us. Any time incentive distributions are made to the general partner, gross income will be allocated to the recipient to the extent of those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9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will only be available to offset its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United States as well as several provinces in Canada. A unitholder may also be required to file state income tax returns and to pay taxes in various states, even if they do not live in those jurisdictions. As a result of an organizational restructuring of our Canadian entities as of January 1, 2011, our Canadian-source income will pass through a taxable entity and thus will not be subject to Canadian filing obligations for our unitholders. For 2010 and prior years, a unitholder was required to file Canadian federal income tax returns and to pay Canadian federal and provincial income taxes in respect of our Canadian source income</w:t>
      </w:r>
    </w:p>
    <w:p>
      <w:pPr>
        <w:sectPr>
          <w:pgSz w:w="11900" w:h="16945" w:orient="portrait"/>
          <w:cols w:equalWidth="0" w:num="1">
            <w:col w:w="11420"/>
          </w:cols>
          <w:pgMar w:left="240" w:top="125" w:right="239" w:bottom="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color w:val="auto"/>
        </w:rPr>
        <w:t>earned by partnership entities that were pass-through entities for tax purposes. Unitholders who are not resident in the United States may have additional tax reporting and payment requirements.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make available, free of charge on our Internet website at 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1300" w:right="300" w:hanging="320"/>
        <w:spacing w:after="0" w:line="258"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 w:lineRule="exact"/>
        <w:rPr>
          <w:rFonts w:ascii="Arial" w:cs="Arial" w:eastAsia="Arial" w:hAnsi="Arial"/>
          <w:sz w:val="18"/>
          <w:szCs w:val="18"/>
          <w:color w:val="auto"/>
        </w:rPr>
      </w:pPr>
    </w:p>
    <w:p>
      <w:pPr>
        <w:ind w:left="1300" w:right="100" w:hanging="320"/>
        <w:spacing w:after="0" w:line="281" w:lineRule="auto"/>
        <w:tabs>
          <w:tab w:leader="none" w:pos="12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2" w:lineRule="exact"/>
        <w:rPr>
          <w:rFonts w:ascii="Arial" w:cs="Arial" w:eastAsia="Arial" w:hAnsi="Arial"/>
          <w:sz w:val="16"/>
          <w:szCs w:val="16"/>
          <w:color w:val="auto"/>
        </w:rPr>
      </w:pPr>
    </w:p>
    <w:p>
      <w:pPr>
        <w:ind w:left="1300" w:right="300" w:hanging="320"/>
        <w:spacing w:after="0" w:line="250"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secure,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 w:lineRule="exact"/>
        <w:rPr>
          <w:rFonts w:ascii="Arial" w:cs="Arial" w:eastAsia="Arial" w:hAnsi="Arial"/>
          <w:sz w:val="18"/>
          <w:szCs w:val="18"/>
          <w:color w:val="auto"/>
        </w:rPr>
      </w:pPr>
    </w:p>
    <w:p>
      <w:pPr>
        <w:ind w:left="1300" w:right="820" w:hanging="320"/>
        <w:spacing w:after="0" w:line="250"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construct pipelines, facilities or other assets in anticipation of market demand that dissipates or market growth that never materializes;</w:t>
      </w:r>
    </w:p>
    <w:p>
      <w:pPr>
        <w:ind w:left="1300" w:right="280" w:hanging="320"/>
        <w:spacing w:after="0" w:line="250"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completion or success of our projects may depend on the completion or success of third party facilities over which we have no control.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In turn, this could negatively impact our cash flow and our ability to make or increase cash distributions to our partners.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sectPr>
          <w:pgSz w:w="11900" w:h="16838" w:orient="portrait"/>
          <w:cols w:equalWidth="0" w:num="1">
            <w:col w:w="11420"/>
          </w:cols>
          <w:pgMar w:left="240" w:top="125" w:right="239" w:bottom="0" w:gutter="0" w:footer="0" w:header="0"/>
        </w:sectPr>
      </w:pPr>
    </w:p>
    <w:bookmarkStart w:id="32" w:name="page33"/>
    <w:bookmarkEnd w:id="32"/>
    <w:p>
      <w:pPr>
        <w:ind w:right="140"/>
        <w:spacing w:after="0" w:line="264" w:lineRule="auto"/>
        <w:rPr>
          <w:sz w:val="20"/>
          <w:szCs w:val="20"/>
          <w:color w:val="auto"/>
        </w:rPr>
      </w:pPr>
      <w:r>
        <w:rPr>
          <w:rFonts w:ascii="Arial" w:cs="Arial" w:eastAsia="Arial" w:hAnsi="Arial"/>
          <w:sz w:val="18"/>
          <w:szCs w:val="18"/>
          <w:b w:val="1"/>
          <w:bCs w:val="1"/>
          <w:i w:val="1"/>
          <w:iCs w:val="1"/>
          <w:color w:val="auto"/>
        </w:rPr>
        <w:t>A natural disaster, catastrophe, terrorist attack or other event, including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Some of our operations involve risks of personal injury, property damage and environmental damage, which could curtail our operations and otherwise materially adversely affect our cash flow. Virtually all of our operations are exposed to potential natural disasters, including hurricanes, tornadoes, storms, floods and/or earthquakes. The location of our assets and our customers’ assets in the U.S. Gulf Coast region makes them particularly vulnerable to hurricane or tropical storm risk.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one or more of our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and, accordingly, adversely affect our financial condition and the market price of our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make acquisitions or if we make acquisitions that fail to perform as anticipated, our future growth may be limited.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continuously consider potential acquisitions and opportunities for organic growth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changes in key benchmark interest rates, the adoption of new or amended banking or capital market laws or regulations, the re-pricing of market risks and volatility in capital and financial markets.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or capital markets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ectPr>
          <w:pgSz w:w="11900" w:h="16838" w:orient="portrait"/>
          <w:cols w:equalWidth="0" w:num="1">
            <w:col w:w="11360"/>
          </w:cols>
          <w:pgMar w:left="240" w:top="125" w:right="299" w:bottom="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ability to purchase crude oil, natural gas and NGL supplies or to capitalize on market opportunities.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that, because of our strategic asset base and complementary business model, we will continue to benefit from swings in market prices and shifts in market structure during periods of volatility in the crude oil, natural gas and NGL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Moody’s Investors Service. A downgrade by either of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(meaning that the price of crude oil for future deliveries is higher than current prices) is dependent upon having adequate credit facilities, both in terms of the total amount of credit facilities and the cost of such credit facilities, which enables us to finance the storage of the crude oil from the time we complete the purchase of the oil until the time we complete the sale of the oil.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business activities.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Risks of nonpayment and nonperformance by customers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our policy that we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an aggregate limit of up to 800,000 barrels of crude oil, refined products and NGL. Although this activity is monitored independently by our risk management function, it exposes us to risks within predefined limits and authorizations.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including cap and trade programs, could require us to incur increased operating costs, such as costs to purchase and operate emissions control systems, to acquire emissions allowances or comply with new regulatory or reporting requirements. Failure to comply with these laws and regulations may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6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a history of incremental additions to the miles of pipelines we own.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pipeline and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ectPr>
          <w:pgSz w:w="11900" w:h="16838" w:orient="portrait"/>
          <w:cols w:equalWidth="0" w:num="1">
            <w:col w:w="11420"/>
          </w:cols>
          <w:pgMar w:left="240" w:top="125" w:right="239" w:bottom="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We have also developed and implemented certain pipeline integrity measures that go beyond regulatory mandate, some of which are now incorporated into the 2010 Consent Decrees. See Items 1 and 2. “Business and Properties—Regulation.”</w:t>
      </w:r>
    </w:p>
    <w:p>
      <w:pPr>
        <w:spacing w:after="0" w:line="173"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acquisitions we have completed over the last several years have included pipeline assets with varying ages and maintenance and operational histories. Accordingly, for 2013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Item 3. “Legal Proceedings—Environmental.”</w:t>
      </w:r>
    </w:p>
    <w:p>
      <w:pPr>
        <w:spacing w:after="0" w:line="1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volume of crude oil, refined product, natural gas and NGL shipped, processed, purchased, stored, fractionated and/or gathered at or through the use of our facilities, which can be negatively impacted by a variety of factors outside of our control.</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profitability could be materially impacted by a decline in the volume of crude oil, natural gas, refined product and NGL transported, gathered, stored or processed at our facilities. A material decrease in crude oil or natural gas production or crude oil refining, as a result of depressed commodity prices, natural decline rates attributable to oil and natural reservoirs, a decrease in exploration and development activities, supply disruptions, economic conditions or otherwise, could result in a decline in the volume of crude oil, natural gas, refined product or NGL handled by our facilities and other energy logistics assets.</w:t>
      </w:r>
    </w:p>
    <w:p>
      <w:pPr>
        <w:spacing w:after="0" w:line="15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For example, a portion of our transportation segment profit is derived from pipeline transportation tariffs associated with the Santa Ynez and Point Arguello fields located offshore California and the onshore fields in the San Joaquin Valley. We expect that there will continue to be natural production declines from each of these fields as the underlying reservoirs are depleted. In addition, any significant production disruption from OCS fields and the San Joaquin Valley due to production problems, transportation problems, earthquakes or other reasons could have a material adverse effect on our business.</w:t>
      </w:r>
    </w:p>
    <w:p>
      <w:pPr>
        <w:spacing w:after="0" w:line="154"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addition, catastrophic accidents, such as the explosion and sinking of the Deepwater Horizon drilling rig in the Gulf of Mexico and the resulting oil spill, could lead to increased governmental regulation of our industry’s operations in a number of areas, including health and safety, environmental, and licensing, any of which could restrict the supply of crude oil available for transportation and have a negative impact on our profitability.</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Also,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demand, which can be caused by a variety of factors outside of our control, can negatively affect our operating results.</w:t>
      </w:r>
    </w:p>
    <w:p>
      <w:pPr>
        <w:spacing w:after="0" w:line="2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Demand for crude oil and other hydrocarbon products we handle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hydrocarbon products, thereby causing a reduction in the demand for such products. Demand also depends on the ability and willingness of shippers having access to our transportation assets to satisfy their demand by deliveries through those assets.</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 Specifically, our NGL products and their demand are affected as follows:</w:t>
      </w:r>
    </w:p>
    <w:p>
      <w:pPr>
        <w:sectPr>
          <w:pgSz w:w="11900" w:h="16838" w:orient="portrait"/>
          <w:cols w:equalWidth="0" w:num="1">
            <w:col w:w="11400"/>
          </w:cols>
          <w:pgMar w:left="240" w:top="125" w:right="259" w:bottom="0" w:gutter="0" w:footer="0" w:header="0"/>
        </w:sectPr>
      </w:pPr>
    </w:p>
    <w:bookmarkStart w:id="35" w:name="page36"/>
    <w:bookmarkEnd w:id="35"/>
    <w:p>
      <w:pPr>
        <w:ind w:firstLine="648"/>
        <w:spacing w:after="0" w:line="257" w:lineRule="auto"/>
        <w:rPr>
          <w:sz w:val="20"/>
          <w:szCs w:val="20"/>
          <w:color w:val="auto"/>
        </w:rPr>
      </w:pPr>
      <w:r>
        <w:rPr>
          <w:rFonts w:ascii="Arial" w:cs="Arial" w:eastAsia="Arial" w:hAnsi="Arial"/>
          <w:sz w:val="18"/>
          <w:szCs w:val="18"/>
          <w:i w:val="1"/>
          <w:iCs w:val="1"/>
          <w:color w:val="auto"/>
        </w:rPr>
        <w:t xml:space="preserve">Ethane. </w:t>
      </w:r>
      <w:r>
        <w:rPr>
          <w:rFonts w:ascii="Arial" w:cs="Arial" w:eastAsia="Arial" w:hAnsi="Arial"/>
          <w:sz w:val="18"/>
          <w:szCs w:val="18"/>
          <w:color w:val="auto"/>
        </w:rPr>
        <w:t>Ethane is typically supplied as purity ethane and as part of an ethane-propane mix. Ethane is primarily used in the petrochemical industry as</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ethylene, one of the basic building blocks for a wide range of plastics and other chemical products. Although ethane is typically extracted as part of the mixed NGL stream at gas processing plants, if natural gas prices increase significantly in relation to NGL product prices or if the demand for ethylene falls, it may be more profitable for natural gas processors to leave the ethane in the natural gas stream thereby reducing the volume of NGL delivered for fractionation and marketing.</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Propane. </w:t>
      </w:r>
      <w:r>
        <w:rPr>
          <w:rFonts w:ascii="Arial" w:cs="Arial" w:eastAsia="Arial" w:hAnsi="Arial"/>
          <w:sz w:val="17"/>
          <w:szCs w:val="17"/>
          <w:color w:val="auto"/>
        </w:rPr>
        <w:t>Propane is used as a petrochemical feedstock in the production of ethylene and propylene, as a heating, engine and industrial fuel, and in</w:t>
      </w:r>
      <w:r>
        <w:rPr>
          <w:rFonts w:ascii="Arial" w:cs="Arial" w:eastAsia="Arial" w:hAnsi="Arial"/>
          <w:sz w:val="17"/>
          <w:szCs w:val="17"/>
          <w:i w:val="1"/>
          <w:iCs w:val="1"/>
          <w:color w:val="auto"/>
        </w:rPr>
        <w:t xml:space="preserve"> </w:t>
      </w:r>
      <w:r>
        <w:rPr>
          <w:rFonts w:ascii="Arial" w:cs="Arial" w:eastAsia="Arial" w:hAnsi="Arial"/>
          <w:sz w:val="17"/>
          <w:szCs w:val="17"/>
          <w:color w:val="auto"/>
        </w:rPr>
        <w:t>agricultural applications such as crop drying. Changes in demand for ethylene and propylene could also adversely affect demand for propane. The demand for propane as a heating fuel is significantly affected by weather conditions. The volume of propane sold is at its highest during the six-month peak heating season of October through March. Demand for propane may be reduced during periods of warmer-than-normal weather.</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Normal Butane. </w:t>
      </w:r>
      <w:r>
        <w:rPr>
          <w:rFonts w:ascii="Arial" w:cs="Arial" w:eastAsia="Arial" w:hAnsi="Arial"/>
          <w:sz w:val="18"/>
          <w:szCs w:val="18"/>
          <w:color w:val="auto"/>
        </w:rPr>
        <w:t>Normal butane is used in the production of isobutane, as a refined product blending component, as a fuel gas, either alone or in a</w:t>
      </w:r>
      <w:r>
        <w:rPr>
          <w:rFonts w:ascii="Arial" w:cs="Arial" w:eastAsia="Arial" w:hAnsi="Arial"/>
          <w:sz w:val="18"/>
          <w:szCs w:val="18"/>
          <w:i w:val="1"/>
          <w:iCs w:val="1"/>
          <w:color w:val="auto"/>
        </w:rPr>
        <w:t xml:space="preserve"> </w:t>
      </w:r>
      <w:r>
        <w:rPr>
          <w:rFonts w:ascii="Arial" w:cs="Arial" w:eastAsia="Arial" w:hAnsi="Arial"/>
          <w:sz w:val="18"/>
          <w:szCs w:val="18"/>
          <w:color w:val="auto"/>
        </w:rPr>
        <w:t>mixture with propane, and in the production of ethylene and propylene. Changes in the composition of refined products resulting from governmental regulation, changes in feedstocks, products and economics, demand for heating fuel and for ethylene and propylene could adversely affect demand for normal butane.</w:t>
      </w:r>
    </w:p>
    <w:p>
      <w:pPr>
        <w:spacing w:after="0" w:line="187"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i w:val="1"/>
          <w:iCs w:val="1"/>
          <w:color w:val="auto"/>
        </w:rPr>
        <w:t xml:space="preserve">Iso-butane. </w:t>
      </w:r>
      <w:r>
        <w:rPr>
          <w:rFonts w:ascii="Arial" w:cs="Arial" w:eastAsia="Arial" w:hAnsi="Arial"/>
          <w:sz w:val="17"/>
          <w:szCs w:val="17"/>
          <w:color w:val="auto"/>
        </w:rPr>
        <w:t>Iso-butane is predominantly used in refineries to produce alkylates to enhance octane levels. Accordingly, any action that reduces</w:t>
      </w:r>
      <w:r>
        <w:rPr>
          <w:rFonts w:ascii="Arial" w:cs="Arial" w:eastAsia="Arial" w:hAnsi="Arial"/>
          <w:sz w:val="17"/>
          <w:szCs w:val="17"/>
          <w:i w:val="1"/>
          <w:iCs w:val="1"/>
          <w:color w:val="auto"/>
        </w:rPr>
        <w:t xml:space="preserve"> </w:t>
      </w:r>
      <w:r>
        <w:rPr>
          <w:rFonts w:ascii="Arial" w:cs="Arial" w:eastAsia="Arial" w:hAnsi="Arial"/>
          <w:sz w:val="17"/>
          <w:szCs w:val="17"/>
          <w:color w:val="auto"/>
        </w:rPr>
        <w:t>demand for motor gasoline or demand for isobutane to produce alkylates for octane enhancement might reduce demand for isobutane.</w:t>
      </w:r>
    </w:p>
    <w:p>
      <w:pPr>
        <w:spacing w:after="0" w:line="14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used as a blending component for certain refined products and as a feedstock used in the production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ethylene and propylene. Changes in the mandated composition of motor gasoline resulting from governmental regulation and in demand for ethylene and propylene could adversely affect demand for natural gasoline.</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U.S. interstate common carrier liquids pipelines, which include both crude oil and refined products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sales of oil, natural gas, NGL and other energy commodities, and related transportation and hedging activities, expose us to potential regulatory risks.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Trade Commission, the FERC and the Commodity Futures Trading Commission hold statutory authority to monitor certain segments of the physical and futures energy commodities markets. These agencies have imposed broad regulations prohibiting fraud and manipulation of such markets. With regard to our physical sales of oil, natural gas, NGL or other energy commodities, and any related transportation and/or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the use of such capacity. Any failure on our part to comply with the regulations and policies of the FERC, the Federal Trade Commission or the Commodity Futures Trading Commission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ectPr>
          <w:pgSz w:w="11900" w:h="16838" w:orient="portrait"/>
          <w:cols w:equalWidth="0" w:num="1">
            <w:col w:w="11420"/>
          </w:cols>
          <w:pgMar w:left="240" w:top="125" w:right="239" w:bottom="0" w:gutter="0" w:footer="0" w:header="0"/>
        </w:sectPr>
      </w:pPr>
    </w:p>
    <w:bookmarkStart w:id="36" w:name="page37"/>
    <w:bookmarkEnd w:id="36"/>
    <w:p>
      <w:pPr>
        <w:ind w:right="20"/>
        <w:spacing w:after="0" w:line="308" w:lineRule="auto"/>
        <w:rPr>
          <w:sz w:val="20"/>
          <w:szCs w:val="20"/>
          <w:color w:val="auto"/>
        </w:rPr>
      </w:pPr>
      <w:r>
        <w:rPr>
          <w:rFonts w:ascii="Arial" w:cs="Arial" w:eastAsia="Arial" w:hAnsi="Arial"/>
          <w:sz w:val="17"/>
          <w:szCs w:val="17"/>
          <w:b w:val="1"/>
          <w:bCs w:val="1"/>
          <w:i w:val="1"/>
          <w:iCs w:val="1"/>
          <w:color w:val="auto"/>
        </w:rPr>
        <w:t>The adoption and implementation of new statutory and regulatory requirements for derivative transactions could have an adverse impact on our ability to hedge risks associated with our business and increase the working capital requirements to conduct these activities.</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Dodd Frank Wall Street Reform and Consumer Protection Act enacted in 2010 (the “Dodd Frank Act”) provides for new statutory and regulatory requirements for swaps and other financial derivative transactions, including oil and gas hedging transactions. The Dodd Frank Act requires the CFTC, federal regulators of banks and other financial institutions, or the prudential regulators, and the SEC to promulgate rules implementing the new law.</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its rulemaking under the Dodd Frank Act the CFTC has issued final regulations to set position limits for certain futures and option contracts in the major energy markets and for swaps that are their economic equivalents. However, the position limits rule was vacated by the United States District Court for the District of Colombia in September 2012 and the CFTC has stated that it will appeal the District Court’s decision. The CFTC also has finalized other regulations, including critical rulemakings on the definition of “swap”, “security-based swap”, “swap dealer” and “major swap participant”. The CFTC also has issued rules that will require certain derivatives transactions to comply with clearing and trade-execution requirements (or take steps to qualify for an exemption to such requirements). The CFTC has not yet released final rules on margin or collateral requirements, and it is possible that any new rules will increase the amount of cash or collateral required to support exchange and over-the-counter derivative transactions. Other regulations also remain to be finalized, and the CFTC recently has delayed the compliance dates for various regulations already finalized. The Dodd Frank Act also may require the counterparties to our derivative instruments to spin off some of their derivatives activities to a separate entity, which may not be as creditworthy as the current counterparty. As a result it is not possible at this time to predict with certainty the full effects of the Dodd Frank Act and CFTC rules on us and the timing of such effects.</w:t>
      </w:r>
    </w:p>
    <w:p>
      <w:pPr>
        <w:spacing w:after="0" w:line="18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majority of our financial derivative transactions used for hedging purposes are currently executed and cleared over exchanges that already require the posting of margins or letters of credit based on initial and variation margin requirements. Depending on the rules and definitions adopted by the CFTC, we might in the future be required to provide additional cash margin or new cash collateral for our commodities hedging transactions whether cleared over an exchange or over-the- counter. Furthermore, it is possible that letters of credit issued by banks on our behalf will no longer be considered an acceptable form of margin support which would increase overall cash margin requirements.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Posting of additional cash margin or collateral could affect our liquidity (defined as unrestricted cash on hand plus available credit under our revolving credit facility) and reduce our ability to use cash for capital expenditures or other partnership purposes. A requirement to post additional cash margin or collateral could therefore reduce our ability to execute hedges necessary to reduce commodity price exposures thus protecting cash flows. We are at risk for reduced liquidity unless and until the CFTC adopts rules and definitions that relieve companies such as ourselves from requirements to post additional cash margins or collateral for our exchange or over-the-counter derivative hedging activities. Even if we ourselves are not required to post additional cash margin or collateral for our derivative contracts, the banks and other derivatives dealers who are our contractual counterparties will be required to comply with other new requirements under the Dodd Frank Act and related rules, and the costs of their compliance will likely be passed on to customers such as ourselves, thus decreasing the benefits to us of hedging transactions and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in our transportation, facilities and supply and logistics activities, and our business is subject to the risk of a capacity overbuild of midstream energy infrastructure in the areas where we operate.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players in a wide variety of contexts, including new entrants and existing players and in connection with day-to-day business, organic growth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low barriers to entry and (iii) generally widespread access to relatively low cost capital. While this environment presents opportunities for us, we are also exposed to the risk that these areas become overbuilt, resulting in an excess of midstream energy infrastructure capacity. Most midstream projects require several years of “lead time” to develop and companies like us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we also face competition from aggressive new entrants to the market who are willing to provide services at a discount in order to establish relationships and gain a foothold in the market. If we experience a significant capacity overbuild in one or more of the areas where we operate, it could have a significant adverse impact on our financial position, cash flows and ability to pay or increase distributions to our unitholders.</w:t>
      </w:r>
    </w:p>
    <w:p>
      <w:pPr>
        <w:spacing w:after="0" w:line="18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With respect to our crude oil activities, our competitors include other crude oil pipelines, the major integrated oil companies, their marketing affiliates, refiners, industrial companies, independent gatherers, investment banks, brokers and marketers of widely varying sizes, financial resources and</w:t>
      </w:r>
    </w:p>
    <w:p>
      <w:pPr>
        <w:sectPr>
          <w:pgSz w:w="11900" w:h="16838" w:orient="portrait"/>
          <w:cols w:equalWidth="0" w:num="1">
            <w:col w:w="11400"/>
          </w:cols>
          <w:pgMar w:left="240" w:top="125" w:right="259" w:bottom="0" w:gutter="0" w:footer="0" w:header="0"/>
        </w:sectPr>
      </w:pPr>
    </w:p>
    <w:bookmarkStart w:id="37" w:name="page38"/>
    <w:bookmarkEnd w:id="37"/>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experience. We compete against these companies on the basis of many factors, including geographic proximity to production areas, market access, rates, terms of service, connection costs and other factors.</w:t>
      </w:r>
    </w:p>
    <w:p>
      <w:pPr>
        <w:spacing w:after="0" w:line="170" w:lineRule="exact"/>
        <w:rPr>
          <w:sz w:val="20"/>
          <w:szCs w:val="20"/>
          <w:color w:val="auto"/>
        </w:rPr>
      </w:pPr>
    </w:p>
    <w:p>
      <w:pPr>
        <w:ind w:right="100" w:firstLine="594"/>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Over the last several years, as the scale and scope of our business activities has expanded, the breadth and depth of available insurance markets has contracted. As a result of these factors and other market conditions, premiums and deductibles for certain insurance policies has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December 31, 2012, our consolidated debt outstanding was approximately $7.4 billion, consisting of approximately $6.3 billion principal amount of long-term debt (including senior notes) and approximately $1.1 billion of short-term borrowings (including current maturities of senior notes). As of December 31, 2012, we had approximately $2.4 billion of available borrowing capacity under our senior unsecured revolving credit facility, our senior secured hedged inventory facility and PNG’s credit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8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Facilities and Indentures.”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As of December 31, 2012, we had approximately $7.4 billion of consolidated debt, of which approximately $6.4 billion was at fixed interest rates and approximately $1.0 billion was at variable interest rates (which excludes $100 million of interest rate derivatives that swap floating-rate debt for fixed).</w:t>
      </w:r>
    </w:p>
    <w:p>
      <w:pPr>
        <w:sectPr>
          <w:pgSz w:w="11900" w:h="16908" w:orient="portrait"/>
          <w:cols w:equalWidth="0" w:num="1">
            <w:col w:w="11420"/>
          </w:cols>
          <w:pgMar w:left="240" w:top="125" w:right="239" w:bottom="0" w:gutter="0" w:footer="0" w:header="0"/>
        </w:sectPr>
      </w:pPr>
    </w:p>
    <w:bookmarkStart w:id="38" w:name="page39"/>
    <w:bookmarkEnd w:id="38"/>
    <w:p>
      <w:pPr>
        <w:spacing w:after="0" w:line="9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exposed to market risk due to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or intangibles could reduce our earnings.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At December 31, 2012, we had approximately $2.5 billion of goodwill and approximately $473 million of intangibles. Goodwill is recorded when the purchase price of a business exceeds the fair market value of the acquired tangible and separately measurable intangible net assets. U.S. generally accepted accounting principles, or GAAP, requires us to test goodwill for impairment on an annual basis or when events or circumstances occur indicating that goodwill might be impaired. GAAP requires that we amortize finite-lived intangibles over their estimated useful lives and test all of our intangibles for impairment when events or circumstances indicate the carrying value may not be recoverable. If we were to determine that any of our goodwill or intangibles were impaired, we would be required to take an immediate charge to earnings with a corresponding reduction of partners’ equity and increase in balance sheet leverage as measured by debt to total capitalization.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natural gas storage facilities may not be able to deliver as anticipated, which could prevent us from meeting our contractual obligations and cause us to incur significant costs.</w:t>
      </w:r>
    </w:p>
    <w:p>
      <w:pPr>
        <w:spacing w:after="0" w:line="17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Although we believe that our operating gas storage facilities have been designed to meet our contractual obligations with respect to wheeling, injection, withdrawal and gas specifications, if our facilities do not perform as designed and we fail to wheel, inject or withdraw natural gas at contracted rates, or cannot deliver natural gas consistent with contractual quality specifications, we could incur significant costs to satisfy our contractual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third-party tankers or barges. Such waterborne cargos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the vessels carrying our cargos.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use of third-party assets for certain of our operations.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Certain of our business activities require the use of third-party assets over which we may have little or no control. For example, a portion of our storage and distribution business conducted in the Los Angeles basin (acquired in connection with the Pacific merger)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our leased rail cars, could significantly reduce our profitability due fixed costs incurred to obtain the right to use such assets.</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From time to time in connection with our business, we may lease or otherwise secure the right to use certain third party assets (such as rail cars, trucks, barges,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is negatively impacted because the revenues we earn are either non-existent or reduced (in the event of under-utilization), but we remain obligated to continue paying any applicable fixed charges, in addition to incurring any other costs attributable to the non-utilization of such assets. For example, in connection with our rail operations, we lease all of our rail cars, typically pursuant to five 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 cars. In addition, during the period of time</w:t>
      </w:r>
    </w:p>
    <w:p>
      <w:pPr>
        <w:sectPr>
          <w:pgSz w:w="11900" w:h="16933" w:orient="portrait"/>
          <w:cols w:equalWidth="0" w:num="1">
            <w:col w:w="11400"/>
          </w:cols>
          <w:pgMar w:left="240" w:top="125" w:right="259" w:bottom="0" w:gutter="0" w:footer="0" w:header="0"/>
        </w:sectPr>
      </w:pPr>
    </w:p>
    <w:bookmarkStart w:id="39" w:name="page40"/>
    <w:bookmarkEnd w:id="39"/>
    <w:p>
      <w:pPr>
        <w:jc w:val="both"/>
        <w:ind w:right="320"/>
        <w:spacing w:after="0" w:line="279" w:lineRule="auto"/>
        <w:rPr>
          <w:sz w:val="20"/>
          <w:szCs w:val="20"/>
          <w:color w:val="auto"/>
        </w:rPr>
      </w:pPr>
      <w:r>
        <w:rPr>
          <w:rFonts w:ascii="Arial" w:cs="Arial" w:eastAsia="Arial" w:hAnsi="Arial"/>
          <w:sz w:val="17"/>
          <w:szCs w:val="17"/>
          <w:color w:val="auto"/>
        </w:rPr>
        <w:t>that we are not utilizing such rail cars, we will incur incremental costs associated with the cost of storing such rail cars and will continue to incur costs for maintenance and upkeep. As of December 31, 2012, we leased 5,830 rail cars and our annualized lease costs for the year ended December 31, 2012 were over $45 million and are estimated to be over $65 million for the year ended December 31, 2013. Non-utilization of our leased rail cars and other similar assets in connection with our business could have a significant negative impact on our profitability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Plains All American Pipeline, 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making any distribution on our common units, we will reimburse our general partner and its affiliates, including officers and directors of the general partner, for all expenses incurred on our behalf (other than expenses related to the Class B units of Plains AAP, L.P.).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spacing w:after="0" w:line="18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2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ectPr>
          <w:pgSz w:w="11900" w:h="16838" w:orient="portrait"/>
          <w:cols w:equalWidth="0" w:num="1">
            <w:col w:w="11400"/>
          </w:cols>
          <w:pgMar w:left="240" w:top="125" w:right="25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48" w:lineRule="exact"/>
        <w:rPr>
          <w:rFonts w:ascii="Arial" w:cs="Arial" w:eastAsia="Arial" w:hAnsi="Arial"/>
          <w:sz w:val="16"/>
          <w:szCs w:val="16"/>
          <w:color w:val="auto"/>
        </w:rPr>
      </w:pPr>
    </w:p>
    <w:p>
      <w:pPr>
        <w:ind w:left="980" w:right="140" w:hanging="324"/>
        <w:spacing w:after="0" w:line="273" w:lineRule="auto"/>
        <w:tabs>
          <w:tab w:leader="none" w:pos="9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178" w:lineRule="exact"/>
        <w:rPr>
          <w:rFonts w:ascii="Arial" w:cs="Arial" w:eastAsia="Arial" w:hAnsi="Arial"/>
          <w:sz w:val="17"/>
          <w:szCs w:val="17"/>
          <w:color w:val="auto"/>
        </w:rPr>
      </w:pPr>
    </w:p>
    <w:p>
      <w:pPr>
        <w:ind w:left="980" w:right="52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spacing w:after="0" w:line="18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leverage is significant in relation to our partners’ capital. At December 31, 2012, our total outstanding long-term debt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$6.3 billion, and our total outstanding short-term debt was approximately $1.1 billion (including current maturities of senior notes). We will be prohibited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making cash distributions during an event of default under any of our indebtedness. Various limitations in our credit facilities and other debt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reduce our ability to incur additional debt, to engage in some transactions and to capitalize on business opportunities. Any subsequent refinancing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indebtedness or any new indebtedness could have similar or greater restrictions.</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w:t>
      </w:r>
    </w:p>
    <w:p>
      <w:pPr>
        <w:sectPr>
          <w:pgSz w:w="11900" w:h="16838" w:orient="portrait"/>
          <w:cols w:equalWidth="0" w:num="1">
            <w:col w:w="11380"/>
          </w:cols>
          <w:pgMar w:left="240" w:top="125" w:right="279" w:bottom="0" w:gutter="0" w:footer="0" w:header="0"/>
        </w:sectPr>
      </w:pPr>
    </w:p>
    <w:bookmarkStart w:id="41" w:name="page42"/>
    <w:bookmarkEnd w:id="41"/>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cannot assure you that we would be able to refinance our debt securities.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ind w:left="980" w:right="74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federal income tax purposes, as well as our not being subject to a material amount of additional entity-level taxation. If the Internal Revenue Service (“IRS”) were to treat us as a corporation for federal income tax purposes or if we become subject to material amounts of additional entity-level taxation for state or foreign tax purposes, it would reduce the amount of cash available to pay distributions and our debt obligations.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a change in current law may cause us to be treated as a corporation for federal income tax purposes or otherwise subject us to additional entity-level taxation. In addition, because of widespread state budget deficits and other reasons, several states are evaluating ways to subject partnerships to entity-level taxation through the imposition of state income, franchise and other forms of taxation. Specifically, beginning in 2008, we became subject to a new entity level tax on the portion of our income that is generated in Texas in the prior year. Imposition of any such additional taxes on us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rates. Distributions to our</w:t>
      </w:r>
    </w:p>
    <w:p>
      <w:pPr>
        <w:sectPr>
          <w:pgSz w:w="11900" w:h="16934" w:orient="portrait"/>
          <w:cols w:equalWidth="0" w:num="1">
            <w:col w:w="11380"/>
          </w:cols>
          <w:pgMar w:left="240" w:top="125" w:right="279" w:bottom="0" w:gutter="0" w:footer="0" w:header="0"/>
        </w:sectPr>
      </w:pPr>
    </w:p>
    <w:bookmarkStart w:id="42" w:name="page43"/>
    <w:bookmarkEnd w:id="42"/>
    <w:p>
      <w:pPr>
        <w:ind w:right="300"/>
        <w:spacing w:after="0" w:line="259" w:lineRule="auto"/>
        <w:rPr>
          <w:sz w:val="20"/>
          <w:szCs w:val="20"/>
          <w:color w:val="auto"/>
        </w:rPr>
      </w:pPr>
      <w:r>
        <w:rPr>
          <w:rFonts w:ascii="Arial" w:cs="Arial" w:eastAsia="Arial" w:hAnsi="Arial"/>
          <w:sz w:val="18"/>
          <w:szCs w:val="18"/>
          <w:color w:val="auto"/>
        </w:rPr>
        <w:t>unitholders would generally be taxed again as corporate distributions, and no income, gains, losses, deductions or credits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our target distribution amounts will be adjusted to reflect the impact of that law on us.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present U.S. federal income tax treatment of publicly traded partnerships, including us, or an investment in our common units may be modified by administrative, legislative or judicial changes, or differing interpretations at any time. For example, from time to time, members of Congress propose and consider substantive changes to the existing federal income tax laws that affect publicly traded partnerships. Currently, one such legislative proposal would eliminate the qualifying income exception to the treatment of all publicly traded partnerships as corporations upon which we rely for our treatment as a partnership for U.S. federal income tax purposes. We are unable to predict whether any of these changes or other proposals will be reintroduced or ultimately will be enacted. Any such changes could negatively impact the value of an investment in our common units. Any modification to the U.S. federal income tax laws may be applied retroactively and could make it more difficult or impossible to meet the exception for certain publicly traded partnerships to be treated as partnerships for U.S. federal income tax purposes.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our termination as a partnership for federal income tax purposes.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will be considered to have constructively terminated as a partnership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special relief, among other things, the partnership may be permitted to provide only a single Schedule K-1 to unitholders for the tax years in which the termination occurs.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the IRS or Canada Revenue Agency (“CRA”) contests the federal income tax positions we take, the market for our common units may be adversely impacted and the cost of any IRS or CRA contest will reduce our cash available for distribution or debt service.</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IRS has made no determination as to our status as a partnership for federal income tax purposes or as to any other matter affecting us. The IRS or CRA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In addition, our costs of any contest with the IRS or CRA will be borne indirectly by our unitholders and our general partner because the costs will reduce our cash available for distribution or debt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287" w:lineRule="exact"/>
        <w:rPr>
          <w:sz w:val="20"/>
          <w:szCs w:val="20"/>
          <w:color w:val="auto"/>
        </w:rPr>
      </w:pPr>
    </w:p>
    <w:p>
      <w:pPr>
        <w:ind w:right="40" w:firstLine="648"/>
        <w:spacing w:after="0" w:line="325" w:lineRule="auto"/>
        <w:rPr>
          <w:sz w:val="20"/>
          <w:szCs w:val="20"/>
          <w:color w:val="auto"/>
        </w:rPr>
      </w:pPr>
      <w:r>
        <w:rPr>
          <w:rFonts w:ascii="Arial" w:cs="Arial" w:eastAsia="Arial" w:hAnsi="Arial"/>
          <w:sz w:val="16"/>
          <w:szCs w:val="16"/>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w:t>
      </w:r>
    </w:p>
    <w:p>
      <w:pPr>
        <w:sectPr>
          <w:pgSz w:w="11900" w:h="16838" w:orient="portrait"/>
          <w:cols w:equalWidth="0" w:num="1">
            <w:col w:w="11400"/>
          </w:cols>
          <w:pgMar w:left="240" w:top="125" w:right="259" w:bottom="0" w:gutter="0" w:footer="0" w:header="0"/>
        </w:sectPr>
      </w:pPr>
    </w:p>
    <w:bookmarkStart w:id="43" w:name="page44"/>
    <w:bookmarkEnd w:id="43"/>
    <w:p>
      <w:pPr>
        <w:spacing w:after="0" w:line="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persons will also potentially have tax filing and payment obligations in additional jurisdictions. Tax-exempt entities and non-U.S. persons should consult their tax advisor before investing in our common units.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 As a result of the Canadian restructuring, non-Canadian resident unitholders are not required to file Canadian tax returns with respect to an investment in our units.</w:t>
      </w:r>
    </w:p>
    <w:p>
      <w:pPr>
        <w:spacing w:after="0" w:line="17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that may result in a shift of income, gain, loss and deduction between our general partner and our unitholders. The IRS may challenge this treatment, which could adversely affect the value of our common units.</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ectPr>
          <w:pgSz w:w="11900" w:h="16870" w:orient="portrait"/>
          <w:cols w:equalWidth="0" w:num="1">
            <w:col w:w="11400"/>
          </w:cols>
          <w:pgMar w:left="240" w:top="125" w:right="259" w:bottom="0" w:gutter="0" w:footer="0" w:header="0"/>
        </w:sectPr>
      </w:pPr>
    </w:p>
    <w:bookmarkStart w:id="44" w:name="page45"/>
    <w:bookmarkEnd w:id="44"/>
    <w:p>
      <w:pPr>
        <w:ind w:firstLine="486"/>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 xml:space="preserve">Pemex Exploración y Producción v. Big Star Gathering Ltd L.L.P. et al. </w:t>
      </w:r>
      <w:r>
        <w:rPr>
          <w:rFonts w:ascii="Arial" w:cs="Arial" w:eastAsia="Arial" w:hAnsi="Arial"/>
          <w:sz w:val="18"/>
          <w:szCs w:val="18"/>
          <w:color w:val="auto"/>
        </w:rPr>
        <w:t>In two cases filed in the Texas Southern District Court in May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spacing w:after="0" w:line="171" w:lineRule="exact"/>
        <w:rPr>
          <w:sz w:val="20"/>
          <w:szCs w:val="20"/>
          <w:color w:val="auto"/>
        </w:rPr>
      </w:pPr>
    </w:p>
    <w:p>
      <w:pPr>
        <w:ind w:right="120" w:firstLine="492"/>
        <w:spacing w:after="0" w:line="255" w:lineRule="auto"/>
        <w:rPr>
          <w:sz w:val="20"/>
          <w:szCs w:val="20"/>
          <w:color w:val="auto"/>
        </w:rPr>
      </w:pPr>
      <w:r>
        <w:rPr>
          <w:rFonts w:ascii="Arial" w:cs="Arial" w:eastAsia="Arial" w:hAnsi="Arial"/>
          <w:sz w:val="18"/>
          <w:szCs w:val="18"/>
          <w:color w:val="auto"/>
        </w:rPr>
        <w:t>At December 31, 2012, our estimated undiscounted reserve for environmental liabilities, including the reserve related to our Rangeland Pipeline release as discussed further below, totaled approximately $96 million, of which approximately $13 million was classified as short-term and $83 million was classified as long-term. At December 31, 2011, our estimated undiscounted reserve for environmental liabilities totaled approximately $74 million, of which approximately $12 million was classified as short-term and $62 million was classified as long-term. At December 31, 2012 and 2011, we had recorded receivables totaling approximately $42 million and $47 million, respectively, for amounts probable of recovery under insurance and from third parties under indemnification agreements.</w:t>
      </w:r>
    </w:p>
    <w:p>
      <w:pPr>
        <w:spacing w:after="0" w:line="193"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Rangeland Pipeline Release</w:t>
      </w:r>
    </w:p>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On June 7, 2012, we experienced a crude oil release on a section of our Rangeland Pipeline located near Sundre, Alberta, Canada. Approximately 3,000 barrels were released into the Red Deer River and were contained downstream in the Gleniffer Reservoir. The pipeline, while pressurized, was shut in at the time of the incident. Clean-up and remediation activities were conducted in cooperation with the applicable regulatory agencies.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w:t>
      </w:r>
    </w:p>
    <w:p>
      <w:pPr>
        <w:spacing w:after="0" w:line="178"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estimate that the aggregate total clean-up and remediation costs, before insurance recoveries, will be approximately $51 million. This estimate considers our prior experience in environmental investigation and remediation matters, as well as available data from, and in consultation with, our environmental specialists. Although actual remediation costs may be more than amounts accrued, we believe we have established adequate reserves for all probable and reasonably estimable costs. We have accrued the total estimated costs to “Field operating costs” on our Consolidated Statement of Operations.</w:t>
      </w:r>
    </w:p>
    <w:p>
      <w:pPr>
        <w:spacing w:after="0" w:line="154" w:lineRule="exact"/>
        <w:rPr>
          <w:sz w:val="20"/>
          <w:szCs w:val="20"/>
          <w:color w:val="auto"/>
        </w:rPr>
      </w:pPr>
    </w:p>
    <w:p>
      <w:pPr>
        <w:ind w:right="280" w:firstLine="492"/>
        <w:spacing w:after="0" w:line="255" w:lineRule="auto"/>
        <w:rPr>
          <w:sz w:val="20"/>
          <w:szCs w:val="20"/>
          <w:color w:val="auto"/>
        </w:rPr>
      </w:pPr>
      <w:r>
        <w:rPr>
          <w:rFonts w:ascii="Arial" w:cs="Arial" w:eastAsia="Arial" w:hAnsi="Arial"/>
          <w:sz w:val="18"/>
          <w:szCs w:val="18"/>
          <w:color w:val="auto"/>
        </w:rPr>
        <w:t>As of December 31, 2012, we had a remaining undiscounted gross environmental remediation liability related to this release of approximately $7 million, substantially all of which is presented as a current liability in “Accounts payable and accrued liabilities” on our Consolidated Balance Sheet. We maintain insurance coverage, which is subject to certain exclusions and deductibles, to protect us against such environmental liabilities. This coverage is adequate to cover the total remediation costs, net of our deductible. As of December 31, 2012, we had a receivable of approximately $36 million for the portion of this liability that we believe is probable of recovery from insurance, net of deductibles. This receivable has been recognized as a current asset in “Trade accounts receivable and other receivables, net” on our Consolidated Balance Sheet with the offset reducing “Field operating costs” on our Consolidated Statement of Operations.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Bay Springs Pipeline Release</w:t>
      </w:r>
    </w:p>
    <w:p>
      <w:pPr>
        <w:spacing w:after="0" w:line="22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On February 5, 2013, we experienced a crude oil release on a portion of one of our pipelines near Bay Springs, Mississippi. Although the volume of oil released has not been finally determined, we estimate that approximately 125 barrels were released.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We estimate that the aggregate clean-up and remediation costs, before insurance recoveries, associated with this release will not exceed $10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ectPr>
          <w:pgSz w:w="11900" w:h="16838" w:orient="portrait"/>
          <w:cols w:equalWidth="0" w:num="1">
            <w:col w:w="11400"/>
          </w:cols>
          <w:pgMar w:left="240" w:top="341" w:right="259" w:bottom="0" w:gutter="0" w:footer="0" w:header="0"/>
        </w:sectPr>
      </w:pPr>
    </w:p>
    <w:bookmarkStart w:id="45" w:name="page46"/>
    <w:bookmarkEnd w:id="45"/>
    <w:p>
      <w:pPr>
        <w:spacing w:after="0" w:line="110"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common units are listed and traded on the New York Stock Exchange (“NYSE”) under the symbol “PAA.” On October 1, 2012, we completed a two-for-one split of our common units, which has been retroactively applied to all unit and per-unit amounts presented in this Form 10-K. As of February 20, 2013, the closing market price for our common units was $53.70 per unit and there were approximately 197,000 record holders and beneficial owners (held in street name). As of February 20, 2013, there were 336,152,761 common units outstanding.</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Unit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Price Range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 xml:space="preserve">Distributions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47.14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41.23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36.78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32.85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32.98</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27"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20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common units are also used as a form of compensation to our employees. Additional information regarding our equity compensation plans is included in Part III of this report under Item 13. “Certain Relationships and Related Transactions, and Director Independence.”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accordance with our partnership agreement, 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166" w:lineRule="exact"/>
        <w:rPr>
          <w:sz w:val="20"/>
          <w:szCs w:val="20"/>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as amended</w:t>
      </w:r>
    </w:p>
    <w:p>
      <w:pPr>
        <w:sectPr>
          <w:pgSz w:w="11900" w:h="16948" w:orient="portrait"/>
          <w:cols w:equalWidth="0" w:num="1">
            <w:col w:w="11420"/>
          </w:cols>
          <w:pgMar w:left="240" w:top="341" w:right="239" w:bottom="0" w:gutter="0" w:footer="0" w:header="0"/>
        </w:sectPr>
      </w:pPr>
    </w:p>
    <w:bookmarkStart w:id="46" w:name="page47"/>
    <w:bookmarkEnd w:id="46"/>
    <w:p>
      <w:pPr>
        <w:ind w:right="360"/>
        <w:spacing w:after="0" w:line="264" w:lineRule="auto"/>
        <w:rPr>
          <w:sz w:val="20"/>
          <w:szCs w:val="20"/>
          <w:color w:val="auto"/>
        </w:rPr>
      </w:pPr>
      <w:r>
        <w:rPr>
          <w:rFonts w:ascii="Arial" w:cs="Arial" w:eastAsia="Arial" w:hAnsi="Arial"/>
          <w:sz w:val="18"/>
          <w:szCs w:val="18"/>
          <w:color w:val="auto"/>
        </w:rPr>
        <w:t>for the two-for-one unit split, our general partner is entitled, without duplication and except for the agreed upon adjustment discussed below, to 15% of amounts we distribute in excess of $0.2250 per unit, 25% of the amounts we distribute in excess of $0.2475 per unit and 50% of amounts we distribute in excess of $0.3375 per unit.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order to enhance our distribution coverage ratio and liquidity in connection with a significant acquisition, our general partner has, from time to time, agreed to reduce the amounts due to it as incentive distributions. In connection with our BP NGL Acquisition, our general partner agreed to reduce the amount of its incentive distributions by $3.75 million per quarter through February 2014 and $2.5 million per quarter thereafter. See Note 3 to our Consolidated Financial Statements for further discussion of the BP NGL Acquisition.</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2012, we paid approximately $271 million to the general partner in incentive distributions, net of incentive distribution reductions of $11.25 million. Additionally, on February 14, 2013, we paid a quarterly distribution of $0.5625 per unit applicable to the fourth quarter of 2012, of which approximately $81 million was paid to the general partner in incentive distributions, net of incentive distribution reductions of $3.75 million. See Item 13. “Certain Relationships and Related Transactions, and Director Independence—Our General Partner.”</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Facilities and Indentures.”</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2012,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historical financial information below was derived from our audited consolidated financial statements as of December 31, 2012, 2011, 2010, 2009 and 2008 and for the years then ended. The selected financial data should be read in conjunction with the Consolidated Financial Statements, including the notes thereto, and Item 7. “Management’s Discussion and Analysis of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gridSpan w:val="6"/>
          </w:tcPr>
          <w:p>
            <w:pPr>
              <w:jc w:val="center"/>
              <w:ind w:left="413"/>
              <w:spacing w:after="0" w:line="142" w:lineRule="exact"/>
              <w:rPr>
                <w:sz w:val="20"/>
                <w:szCs w:val="20"/>
                <w:color w:val="auto"/>
              </w:rPr>
            </w:pPr>
            <w:r>
              <w:rPr>
                <w:rFonts w:ascii="Arial" w:cs="Arial" w:eastAsia="Arial" w:hAnsi="Arial"/>
                <w:sz w:val="14"/>
                <w:szCs w:val="14"/>
                <w:b w:val="1"/>
                <w:bCs w:val="1"/>
                <w:color w:val="auto"/>
                <w:w w:val="93"/>
              </w:rPr>
              <w:t>(in millions, except for per unit data)</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37,797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34,275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25,893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attributable to Plains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966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Per unit data:</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Diluted net income per limited partner unit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2.44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Declared distributions per limited partner unit </w:t>
            </w:r>
            <w:r>
              <w:rPr>
                <w:rFonts w:ascii="Arial" w:cs="Arial" w:eastAsia="Arial" w:hAnsi="Arial"/>
                <w:sz w:val="23"/>
                <w:szCs w:val="23"/>
                <w:color w:val="auto"/>
                <w:vertAlign w:val="superscript"/>
              </w:rPr>
              <w:t>(1)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15,381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13,703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12,358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4,520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debt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7,406</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5,199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5,957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5,216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5,974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2,365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cash provided by/(used in) financing activities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2,151</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(345)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2,286</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1,404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growth projects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Maintenance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92"/>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(2)(3)</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thousands of barrels per day):</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2,942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Transportation segment 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storage (average monthly capacity in millions of</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vMerge w:val="restart"/>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barrels)</w:t>
            </w:r>
          </w:p>
        </w:tc>
        <w:tc>
          <w:tcPr>
            <w:tcW w:w="11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capacity in</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billions of cubic feet)</w:t>
            </w:r>
          </w:p>
        </w:tc>
        <w:tc>
          <w:tcPr>
            <w:tcW w:w="11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8"/>
              </w:rPr>
              <w:t>NGL fractionation (average throughput in thousands of</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80" w:type="dxa"/>
            <w:vAlign w:val="bottom"/>
            <w:vMerge w:val="restart"/>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barrels per day)</w:t>
            </w:r>
          </w:p>
        </w:tc>
        <w:tc>
          <w:tcPr>
            <w:tcW w:w="11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w w:val="98"/>
              </w:rPr>
              <w:t>Facilities segment total (average monthly capacity in</w:t>
            </w: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millions of barrels)</w:t>
            </w:r>
          </w:p>
        </w:tc>
        <w:tc>
          <w:tcPr>
            <w:tcW w:w="144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&amp; Logistics segment (average daily volumes in</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thousands of barrels per day):</w:t>
            </w: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Crude oil lease gathering purchases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Waterborne cargos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&amp; Logistics segment 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340" w:hanging="652"/>
        <w:spacing w:after="0" w:line="269" w:lineRule="auto"/>
        <w:tabs>
          <w:tab w:leader="none" w:pos="648"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Represents cash distributions declared and paid during the year presented. Our general partner is entitled, directly or indirectly, to receive 2% proportional distributions, as well as incentive distributions if the amount we distribute with respect to any quarter exceeds levels specified in our partnership agreement. See Note 10 to our Consolidated Financial Statements for further discussion regarding our distributions.</w:t>
      </w:r>
    </w:p>
    <w:p>
      <w:pPr>
        <w:sectPr>
          <w:pgSz w:w="11900" w:h="16838" w:orient="portrait"/>
          <w:cols w:equalWidth="0" w:num="1">
            <w:col w:w="11460"/>
          </w:cols>
          <w:pgMar w:left="240" w:top="125" w:right="19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6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or months we actually owned the assets divided by the number of days or months in the year.</w:t>
      </w:r>
    </w:p>
    <w:p>
      <w:pPr>
        <w:spacing w:after="0" w:line="170" w:lineRule="exact"/>
        <w:rPr>
          <w:sz w:val="20"/>
          <w:szCs w:val="20"/>
          <w:color w:val="auto"/>
        </w:rPr>
      </w:pPr>
    </w:p>
    <w:p>
      <w:pPr>
        <w:ind w:right="60" w:hanging="7"/>
        <w:spacing w:after="0" w:line="279" w:lineRule="auto"/>
        <w:rPr>
          <w:sz w:val="20"/>
          <w:szCs w:val="20"/>
          <w:color w:val="auto"/>
        </w:rPr>
      </w:pPr>
      <w:r>
        <w:rPr>
          <w:rFonts w:ascii="Arial" w:cs="Arial" w:eastAsia="Arial" w:hAnsi="Arial"/>
          <w:sz w:val="17"/>
          <w:szCs w:val="17"/>
          <w:color w:val="auto"/>
        </w:rPr>
        <w:t>Facilities total is calculated as the sum of: (i) crude oil, refined products and liquefied petroleum gas and other natural gas-related petroleum products (“NGL”) terminalling and storage capacity; (ii) natural gas storage capacity divided by 6 to account for the 6:1 mcf of gas to crude British thermal unit (“Btu”) equivalent ratio and further divided by 1,000 to convert to monthly volumes in millions; and (iii) NGL fractionation volumes (based on estimated utilized capacity) multiplied by the number of days in the year and divided by the number of months in the year.</w:t>
      </w:r>
    </w:p>
    <w:p>
      <w:pPr>
        <w:spacing w:after="0" w:line="167" w:lineRule="exact"/>
        <w:rPr>
          <w:sz w:val="20"/>
          <w:szCs w:val="20"/>
          <w:color w:val="auto"/>
        </w:rPr>
      </w:pPr>
    </w:p>
    <w:p>
      <w:pPr>
        <w:sectPr>
          <w:pgSz w:w="11900" w:h="16838" w:orient="portrait"/>
          <w:cols w:equalWidth="0" w:num="2">
            <w:col w:w="160" w:space="500"/>
            <w:col w:w="1080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Overview of Operating Results, Capital Investments and Significant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jc w:val="both"/>
        <w:ind w:right="380" w:firstLine="648"/>
        <w:spacing w:after="0" w:line="297" w:lineRule="auto"/>
        <w:rPr>
          <w:sz w:val="20"/>
          <w:szCs w:val="20"/>
          <w:color w:val="auto"/>
        </w:rPr>
      </w:pPr>
      <w:r>
        <w:rPr>
          <w:rFonts w:ascii="Arial" w:cs="Arial" w:eastAsia="Arial" w:hAnsi="Arial"/>
          <w:sz w:val="16"/>
          <w:szCs w:val="16"/>
          <w:color w:val="auto"/>
        </w:rPr>
        <w:t>We engage in the transportation, storage, terminalling and marketing of crude oil and refined products, as well as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w:t>
      </w:r>
    </w:p>
    <w:p>
      <w:pPr>
        <w:sectPr>
          <w:pgSz w:w="11900" w:h="16838" w:orient="portrait"/>
          <w:cols w:equalWidth="0" w:num="1">
            <w:col w:w="11460"/>
          </w:cols>
          <w:pgMar w:left="240" w:top="125" w:right="199" w:bottom="0" w:gutter="0" w:footer="0" w:header="0"/>
          <w:type w:val="continuous"/>
        </w:sectPr>
      </w:pPr>
    </w:p>
    <w:bookmarkStart w:id="48" w:name="page49"/>
    <w:bookmarkEnd w:id="48"/>
    <w:p>
      <w:pPr>
        <w:spacing w:after="0" w:line="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managed through three operating segments: (i) Transportation, (ii) Facilities and (iii) Supply and Logistics. See “—Results of Operations—Analysis of Operating Segments” for further discussion.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During 2012, we recognized net income attributable to Plains of approximately $1.094 billion, or $2.40 per diluted limited partner unit, as compared to net income attributable to Plains of approximately $966 million, or $2.44 per diluted limited partner unit, recognized during 2011. The major items impacting the favorable performance between periods include increased utilization of certain existing transportation assets, incremental fee-based contributions associated with acquisition and expansion capital invested in our Transportation and Facilities segments and increased lease-gathering volumes and improved unit margins in our Supply and Logistics segment. The majority of the incremental volumes and a portion of the enhanced unit margins are attributable to the increased production from the development of North American crude oil and liquids-rich resource plays. Favorable location and quality differentials also contributed substantially to margins in our Supply and Logistics segment. These favorable contributions to our Supply and Logistics segment were partially offset by lower margins on our NGL sales due to lower NGL prices and less favorable market conditions, as well as the mark-to-market impact for derivative instruments.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significant items during the period were:</w:t>
      </w:r>
    </w:p>
    <w:p>
      <w:pPr>
        <w:spacing w:after="0" w:line="225" w:lineRule="exact"/>
        <w:rPr>
          <w:sz w:val="20"/>
          <w:szCs w:val="20"/>
          <w:color w:val="auto"/>
        </w:rPr>
      </w:pPr>
    </w:p>
    <w:p>
      <w:pPr>
        <w:ind w:left="1300" w:right="60" w:hanging="320"/>
        <w:spacing w:after="0" w:line="264" w:lineRule="auto"/>
        <w:tabs>
          <w:tab w:leader="none" w:pos="1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completion of the BP NGL Acquisition for total consideration of approximately $1.68 billion, as well as several additional acquisitions completed throughout 2012 for aggregate consideration of approximately $653 million (see Note 3 to our Consolidated Financial Statements for further discussion of acquisitions);</w:t>
      </w:r>
    </w:p>
    <w:p>
      <w:pPr>
        <w:spacing w:after="0" w:line="181" w:lineRule="exact"/>
        <w:rPr>
          <w:rFonts w:ascii="Arial" w:cs="Arial" w:eastAsia="Arial" w:hAnsi="Arial"/>
          <w:sz w:val="18"/>
          <w:szCs w:val="18"/>
          <w:color w:val="auto"/>
        </w:rPr>
      </w:pPr>
    </w:p>
    <w:p>
      <w:pPr>
        <w:jc w:val="both"/>
        <w:ind w:left="1300" w:right="180" w:hanging="320"/>
        <w:spacing w:after="0" w:line="342" w:lineRule="auto"/>
        <w:tabs>
          <w:tab w:leader="none" w:pos="12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receipt of net proceeds of approximately $2.96 billion from (i) the issuance of senior notes, (ii) the sale of 11.5 million common units through our March equity offering and (iii) the sale of approximately 12.0 million common units under our continuous offering programs;</w:t>
      </w:r>
    </w:p>
    <w:p>
      <w:pPr>
        <w:spacing w:after="0" w:line="123" w:lineRule="exact"/>
        <w:rPr>
          <w:rFonts w:ascii="Arial" w:cs="Arial" w:eastAsia="Arial" w:hAnsi="Arial"/>
          <w:sz w:val="16"/>
          <w:szCs w:val="16"/>
          <w:color w:val="auto"/>
        </w:rPr>
      </w:pPr>
    </w:p>
    <w:p>
      <w:pPr>
        <w:ind w:left="1300" w:right="100" w:hanging="320"/>
        <w:spacing w:after="0" w:line="259" w:lineRule="auto"/>
        <w:tabs>
          <w:tab w:leader="none" w:pos="1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depreciation and amortization expense resulting from (i) impairment losses of approximately $168 million, primarily related to our Pier 400 terminal project and the anticipated sale of certain refined products pipeline systems and related assets and (ii) our growth through internal growth projects and acquisitions completed throughout 2012, including the recognition of accelerated amortization related to certain intangible assets associated with our BP NGL Acquisition; and</w:t>
      </w:r>
    </w:p>
    <w:p>
      <w:pPr>
        <w:spacing w:after="0" w:line="186" w:lineRule="exact"/>
        <w:rPr>
          <w:rFonts w:ascii="Arial" w:cs="Arial" w:eastAsia="Arial" w:hAnsi="Arial"/>
          <w:sz w:val="18"/>
          <w:szCs w:val="18"/>
          <w:color w:val="auto"/>
        </w:rPr>
      </w:pPr>
    </w:p>
    <w:p>
      <w:pPr>
        <w:ind w:left="1300" w:right="80" w:hanging="320"/>
        <w:spacing w:after="0" w:line="277" w:lineRule="auto"/>
        <w:tabs>
          <w:tab w:leader="none" w:pos="1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interest expense primarily resulting from the issuance of senior notes during 2012 and increased income tax expense during 2012, primarily due to higher earnings subject to Canadian federal and provincial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completed a number of acquisitions and capital expansion projects in 2012, 2011 and 2010 that have impacted our results of operations. The following table summarizes our capital expenditures for acquisitions, internal growth projects and maintenance capital for the periods indicated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1,185</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Acquisitions are financed using a combination of equity and debt, including borrowings under our credit facilities and the issuance of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2012, 2011 and 2010 is set forth in the table below (in millions):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Effective</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4"/>
                <w:szCs w:val="14"/>
                <w:color w:val="auto"/>
              </w:rPr>
            </w:pPr>
          </w:p>
        </w:tc>
        <w:tc>
          <w:tcPr>
            <w:tcW w:w="432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04/01/2012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 Facilities and Supply &amp; Logistics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US Development Group Crude Oil Rail Terminals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12/13/2012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Various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4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 Facilities and Supply &amp; Logistics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2012 Total</w:t>
            </w:r>
          </w:p>
        </w:tc>
        <w:tc>
          <w:tcPr>
            <w:tcW w:w="10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Southern Pines Gas Storage</w:t>
            </w:r>
          </w:p>
        </w:tc>
        <w:tc>
          <w:tcPr>
            <w:tcW w:w="1040" w:type="dxa"/>
            <w:vAlign w:val="bottom"/>
          </w:tcPr>
          <w:p>
            <w:pPr>
              <w:jc w:val="right"/>
              <w:spacing w:after="0"/>
              <w:rPr>
                <w:sz w:val="20"/>
                <w:szCs w:val="20"/>
                <w:color w:val="auto"/>
              </w:rPr>
            </w:pPr>
            <w:r>
              <w:rPr>
                <w:rFonts w:ascii="Arial" w:cs="Arial" w:eastAsia="Arial" w:hAnsi="Arial"/>
                <w:sz w:val="18"/>
                <w:szCs w:val="18"/>
                <w:color w:val="auto"/>
              </w:rPr>
              <w:t>02/09/2011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765</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Gardendale Gathering System</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11/29/2011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4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Western Pipeline and Storage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12/29/2011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Facilities and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Various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 Facilities and Supply &amp; Logistics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2011 Total</w:t>
            </w:r>
          </w:p>
        </w:tc>
        <w:tc>
          <w:tcPr>
            <w:tcW w:w="10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Nexen Gathering and Transportation Assets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12/30/2010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Supply &amp; Logistics and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Various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49" w:name="page50"/>
    <w:bookmarkEnd w:id="49"/>
    <w:p>
      <w:pPr>
        <w:spacing w:after="0" w:line="100" w:lineRule="exact"/>
        <w:rPr>
          <w:sz w:val="20"/>
          <w:szCs w:val="20"/>
          <w:color w:val="auto"/>
        </w:rPr>
      </w:pPr>
    </w:p>
    <w:p>
      <w:pPr>
        <w:spacing w:after="0"/>
        <w:tabs>
          <w:tab w:leader="none" w:pos="5900" w:val="left"/>
          <w:tab w:leader="none" w:pos="6520" w:val="left"/>
        </w:tabs>
        <w:rPr>
          <w:sz w:val="20"/>
          <w:szCs w:val="20"/>
          <w:color w:val="auto"/>
        </w:rPr>
      </w:pPr>
      <w:r>
        <w:rPr>
          <w:rFonts w:ascii="Arial" w:cs="Arial" w:eastAsia="Arial" w:hAnsi="Arial"/>
          <w:sz w:val="18"/>
          <w:szCs w:val="18"/>
          <w:color w:val="auto"/>
        </w:rPr>
        <w:t>2010 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5657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31750</wp:posOffset>
            </wp:positionV>
            <wp:extent cx="5657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140" w:hanging="652"/>
        <w:spacing w:after="0" w:line="227" w:lineRule="auto"/>
        <w:tabs>
          <w:tab w:leader="none" w:pos="648"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Total BP NGL Acquisition purchase price was approximately $1.683 billion. A cash deposit of $50 million was paid during 2011 and is reflected in ‘Other’ in the 2011 Total in the table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2012 projects included the construction and expansion of pipeline systems and storage and terminal facilities. The following table summarizes our 2012, 2011 and 2010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Spraberry Area Pipeline Projects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Area Pipeline Projects </w:t>
            </w:r>
            <w:r>
              <w:rPr>
                <w:rFonts w:ascii="Arial" w:cs="Arial" w:eastAsia="Arial" w:hAnsi="Arial"/>
                <w:sz w:val="23"/>
                <w:szCs w:val="23"/>
                <w:color w:val="auto"/>
                <w:vertAlign w:val="superscript"/>
              </w:rPr>
              <w:t>(2) (3)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Rainbow II Pipeline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PAA Natural Gas Storage (multiple projects)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Mississippian Lime Pipeline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Bakken North Pipeline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St. James Expansions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Ross Rail Project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Yorktown Terminal Projects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Patoka Terminal Expansions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Shafter Expansion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Gulf Coast Pipeline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projects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3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Includes net expenditures associated with the formation of Eagle Ford Pipeline LLC, as well as subsequent contributions related to our 50% interest.</w:t>
      </w:r>
    </w:p>
    <w:p>
      <w:pPr>
        <w:spacing w:after="0" w:line="167"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2013. See “—Liquidity and Capital Resources—Acquisitions, Capital Expenditures and Distributions Paid to Our Unitholders, General Partner and Noncontrolling Interests—2013 Capital Expansion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25"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Primarily consists of multiple, smaller projects comprised of pipeline connections, upgrades and truck stations and new tank construction and refurbishing.</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39"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9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w:t>
      </w:r>
    </w:p>
    <w:p>
      <w:pPr>
        <w:sectPr>
          <w:pgSz w:w="11900" w:h="16939" w:orient="portrait"/>
          <w:cols w:equalWidth="0" w:num="1">
            <w:col w:w="11420"/>
          </w:cols>
          <w:pgMar w:left="240" w:top="125" w:right="239" w:bottom="0" w:gutter="0" w:footer="0" w:header="0"/>
          <w:type w:val="continuous"/>
        </w:sectPr>
      </w:pPr>
    </w:p>
    <w:bookmarkStart w:id="50" w:name="page51"/>
    <w:bookmarkEnd w:id="50"/>
    <w:p>
      <w:pPr>
        <w:spacing w:after="0" w:line="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2012, we estimate that approximately 2% of both annual revenues and cost of sales were recorded using purchase and sales estimates. Accordingly, a hypothetical variance of 10% from both of these estimates, either up or down in tandem, would impact annual revenues, cost of sales, operating income and net income attributable to Plains by approximately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Fair Value of Assets and Liabilities Acquired and Identification of Associated Goodwill and Intangible Assets. </w:t>
      </w:r>
      <w:r>
        <w:rPr>
          <w:rFonts w:ascii="Arial" w:cs="Arial" w:eastAsia="Arial" w:hAnsi="Arial"/>
          <w:sz w:val="18"/>
          <w:szCs w:val="18"/>
          <w:color w:val="auto"/>
        </w:rPr>
        <w:t>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9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We did not have any material goodwill impairments in 2012, 2011 or 2010. See Note 8 to our Consolidated Financial Statements for a further discussion of goodwill.</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Fair Value of Derivatives. </w:t>
      </w:r>
      <w:r>
        <w:rPr>
          <w:rFonts w:ascii="Arial" w:cs="Arial" w:eastAsia="Arial" w:hAnsi="Arial"/>
          <w:sz w:val="16"/>
          <w:szCs w:val="16"/>
          <w:color w:val="auto"/>
        </w:rPr>
        <w:t>Our derivatives are reported at fair value as either assets or liabilities with changes in fair value recognized in either</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or accumulated other comprehensive income (“AOCI”). The fair value of a derivative at a particular period end does not reflect the end results of a particular transaction, and will most likely not reflect the realized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including, but not limited to, environmental remediation and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asset retirement obligations, equity compensation plan accruals (as further discussed below)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$17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Equity Compensation Plan Accruals. </w:t>
      </w:r>
      <w:r>
        <w:rPr>
          <w:rFonts w:ascii="Arial" w:cs="Arial" w:eastAsia="Arial" w:hAnsi="Arial"/>
          <w:sz w:val="17"/>
          <w:szCs w:val="17"/>
          <w:color w:val="auto"/>
        </w:rPr>
        <w:t>We accrue compensation expense for outstanding equity compensation awards. Under GAAP, we are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estimate the fair value of our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 awards.</w:t>
      </w:r>
    </w:p>
    <w:p>
      <w:pPr>
        <w:spacing w:after="0" w:line="17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We recognized total compensation expense of approximately $101 million, $110 million and $98 million in 2012, 2011 and 2010, respectively, related to equity awards granted under our various equity compensation plans. We cannot provide assurance that the actual fair value of our equity compensation awards will not vary significantly from estimated amounts. See Note 15 to our Consolidated Financial Statements.</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and Depreciation Expense. </w:t>
      </w:r>
      <w:r>
        <w:rPr>
          <w:rFonts w:ascii="Arial" w:cs="Arial" w:eastAsia="Arial" w:hAnsi="Arial"/>
          <w:sz w:val="18"/>
          <w:szCs w:val="18"/>
          <w:color w:val="auto"/>
        </w:rPr>
        <w:t>We compute depreciation using the straight-line method based on estimated useful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During 2010 and 2011, we conducted a review to assess the useful lives of our property and equipment. See Note 6 to our Consolidated Financial Statements.</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ectPr>
          <w:pgSz w:w="11900" w:h="16845" w:orient="portrait"/>
          <w:cols w:equalWidth="0" w:num="1">
            <w:col w:w="11420"/>
          </w:cols>
          <w:pgMar w:left="240" w:top="125" w:right="239" w:bottom="0" w:gutter="0" w:footer="0" w:header="0"/>
        </w:sectPr>
      </w:pPr>
    </w:p>
    <w:bookmarkStart w:id="51" w:name="page52"/>
    <w:bookmarkEnd w:id="51"/>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2012, we recognized losses on impairments of long-lived assets of approximately $168 million, primarily related to our Pier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400 terminal project and the anticipated sale of certain refined products pipeline systems and related assets. Impairments of approximately $5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were recognized during 2011 and 2010, respectively, and were predominantly related to assets that were taken out of service. These assets did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support spending the capital necessary to continue service and, in most instances, we utilized other assets to handle these activities. See Note 6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for further discussion regarding impairments.</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perform credit evaluations of our customers and grant credit based on past payment history,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and anticipated industry 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for a definition of segment profit (including an explanation of why this is a performance measure) and a reconciliation of segment profit to net income attributable to Plains.</w:t>
      </w:r>
    </w:p>
    <w:p>
      <w:pPr>
        <w:spacing w:after="0" w:line="15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the Partnership’s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45"/>
              <w:spacing w:after="0"/>
              <w:rPr>
                <w:sz w:val="20"/>
                <w:szCs w:val="20"/>
                <w:color w:val="auto"/>
              </w:rPr>
            </w:pPr>
            <w:r>
              <w:rPr>
                <w:rFonts w:ascii="Arial" w:cs="Arial" w:eastAsia="Arial" w:hAnsi="Arial"/>
                <w:sz w:val="14"/>
                <w:szCs w:val="14"/>
                <w:b w:val="1"/>
                <w:bCs w:val="1"/>
                <w:color w:val="auto"/>
              </w:rPr>
              <w:t>For the Twelve Months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Favorable/(Unfavorable)</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Ended December 31,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48"/>
              <w:spacing w:after="0" w:line="142" w:lineRule="exact"/>
              <w:rPr>
                <w:sz w:val="20"/>
                <w:szCs w:val="20"/>
                <w:color w:val="auto"/>
              </w:rPr>
            </w:pPr>
            <w:r>
              <w:rPr>
                <w:rFonts w:ascii="Arial" w:cs="Arial" w:eastAsia="Arial" w:hAnsi="Arial"/>
                <w:sz w:val="14"/>
                <w:szCs w:val="14"/>
                <w:b w:val="1"/>
                <w:bCs w:val="1"/>
                <w:color w:val="auto"/>
              </w:rPr>
              <w:t>2012-2011</w:t>
            </w:r>
          </w:p>
        </w:tc>
        <w:tc>
          <w:tcPr>
            <w:tcW w:w="2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2011-2010</w:t>
            </w: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1,945</w:t>
            </w:r>
          </w:p>
        </w:tc>
        <w:tc>
          <w:tcPr>
            <w:tcW w:w="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1,560</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Borders>
              <w:right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(94)%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per basic limited partner unit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diluted limited partner unit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Basic weighted average units outstanding</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units outstanding</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that are known as “non-GAAP financial measures” in its evaluation of past performance and prospects for the future. The primary measures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used by management are adjusted earnings before interest, taxes, depreciation and amortization (“adjusted EBITDA”) and implied distributable cash flow (“DCF”).</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adjustment of derivative instruments that are related to underlying activities in future periods or the reversal of such adjustments from the prior period, net of inventory valuation adjustments,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Consolidated Financial Statements and footnotes.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non-GAAP financial measures that are reconciled to the most directly comparable GAAP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For the Twelve Months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8"/>
              </w:rPr>
              <w:t>Favorable/(Unfavorable)</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Ended December 31,</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2012-2011</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2011-2010</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7"/>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(In millions, except per unit data)</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gridSpan w:val="2"/>
            <w:vMerge w:val="continue"/>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1,951</w:t>
            </w:r>
          </w:p>
        </w:tc>
        <w:tc>
          <w:tcPr>
            <w:tcW w:w="260" w:type="dxa"/>
            <w:vAlign w:val="bottom"/>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1,541</w:t>
            </w:r>
          </w:p>
        </w:tc>
        <w:tc>
          <w:tcPr>
            <w:tcW w:w="2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Borders>
              <w:right w:val="single" w:sz="8" w:color="auto"/>
            </w:tcBorders>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Selected Items Impacting Comparability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 net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on early repayment of senior notes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Significant acquisition-related expenses</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Selected Items Impacting Comparability of EBITDA</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w:t>
            </w: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Current income tax benefit/(expense)</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0"/>
              </w:rPr>
              <w:t>(3,900)%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Implied DCF</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20" w:hanging="692"/>
        <w:spacing w:after="0" w:line="234" w:lineRule="auto"/>
        <w:tabs>
          <w:tab w:leader="none" w:pos="683"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Includes mark-to-market gains and losses resulting from derivative instruments that are related to underlying activities in future periods or the reversal of mark-to-market gains and losses from the prior period, net of inventory valuation adjustments. See Note 11 to our Consolidated Financial Statements for a comprehensive discussion regarding our derivatives and risk management activities.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19" w:gutter="0" w:footer="0" w:header="0"/>
        </w:sectPr>
      </w:pPr>
    </w:p>
    <w:bookmarkStart w:id="53" w:name="page54"/>
    <w:bookmarkEnd w:id="53"/>
    <w:p>
      <w:pPr>
        <w:spacing w:after="0" w:line="62" w:lineRule="exact"/>
        <w:rPr>
          <w:sz w:val="20"/>
          <w:szCs w:val="20"/>
          <w:color w:val="auto"/>
        </w:rPr>
      </w:pPr>
    </w:p>
    <w:p>
      <w:pPr>
        <w:ind w:left="700" w:right="60" w:hanging="692"/>
        <w:spacing w:after="0" w:line="244" w:lineRule="auto"/>
        <w:tabs>
          <w:tab w:leader="none" w:pos="683"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15 to our Consolidated Financial Statements for a comprehensive discussion regarding our equity compensation plans.</w:t>
      </w:r>
    </w:p>
    <w:p>
      <w:pPr>
        <w:spacing w:after="0" w:line="202" w:lineRule="exact"/>
        <w:rPr>
          <w:rFonts w:ascii="Arial" w:cs="Arial" w:eastAsia="Arial" w:hAnsi="Arial"/>
          <w:sz w:val="23"/>
          <w:szCs w:val="23"/>
          <w:color w:val="auto"/>
          <w:vertAlign w:val="superscript"/>
        </w:rPr>
      </w:pPr>
    </w:p>
    <w:p>
      <w:pPr>
        <w:ind w:left="700" w:right="100" w:hanging="692"/>
        <w:spacing w:after="0" w:line="249" w:lineRule="auto"/>
        <w:tabs>
          <w:tab w:leader="none" w:pos="683"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During 2012 and 2011, there were fluctuations in the value of the Canadian dollar (“CAD”) to the U.S. dollar (“USD”), resulting in gains and losses that were not related to our core operating results for the period and were thus classified as selected items impacting comparability. See Note 11 to our Consolidated Financial Statements for further discussion regarding our currency exchange rate risk hedging activities.</w:t>
      </w:r>
    </w:p>
    <w:p>
      <w:pPr>
        <w:sectPr>
          <w:pgSz w:w="11900" w:h="16900" w:orient="portrait"/>
          <w:cols w:equalWidth="0" w:num="1">
            <w:col w:w="11460"/>
          </w:cols>
          <w:pgMar w:left="240" w:top="125" w:right="199" w:bottom="0" w:gutter="0" w:footer="0" w:header="0"/>
        </w:sect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Includes distributions that pertain to the current period’s net income and are paid in the subsequent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200" w:lineRule="exact"/>
        <w:rPr>
          <w:sz w:val="20"/>
          <w:szCs w:val="20"/>
          <w:color w:val="auto"/>
        </w:rPr>
      </w:pPr>
    </w:p>
    <w:p>
      <w:pPr>
        <w:sectPr>
          <w:pgSz w:w="11900" w:h="16900" w:orient="portrait"/>
          <w:cols w:equalWidth="0" w:num="2">
            <w:col w:w="160" w:space="500"/>
            <w:col w:w="10800"/>
          </w:cols>
          <w:pgMar w:left="240" w:top="125" w:right="199" w:bottom="0" w:gutter="0" w:footer="0" w:header="0"/>
          <w:type w:val="continuous"/>
        </w:sectPr>
      </w:pPr>
    </w:p>
    <w:p>
      <w:pPr>
        <w:spacing w:after="0" w:line="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NGL and refined products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9"/>
            <w:vMerge w:val="restart"/>
          </w:tcPr>
          <w:p>
            <w:pPr>
              <w:ind w:left="44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8"/>
              </w:rPr>
              <w:t>Favorable/(Unfavorable)</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9"/>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2012-2011</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391"/>
              <w:spacing w:after="0" w:line="142" w:lineRule="exact"/>
              <w:rPr>
                <w:sz w:val="20"/>
                <w:szCs w:val="20"/>
                <w:color w:val="auto"/>
              </w:rPr>
            </w:pPr>
            <w:r>
              <w:rPr>
                <w:rFonts w:ascii="Arial" w:cs="Arial" w:eastAsia="Arial" w:hAnsi="Arial"/>
                <w:sz w:val="14"/>
                <w:szCs w:val="14"/>
                <w:b w:val="1"/>
                <w:bCs w:val="1"/>
                <w:color w:val="auto"/>
              </w:rPr>
              <w:t>2011-2010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160"/>
              <w:spacing w:after="0"/>
              <w:rPr>
                <w:sz w:val="20"/>
                <w:szCs w:val="20"/>
                <w:color w:val="auto"/>
              </w:rPr>
            </w:pPr>
            <w:r>
              <w:rPr>
                <w:rFonts w:ascii="Arial" w:cs="Arial" w:eastAsia="Arial" w:hAnsi="Arial"/>
                <w:sz w:val="18"/>
                <w:szCs w:val="18"/>
                <w:color w:val="auto"/>
              </w:rPr>
              <w:t>Tariff activities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20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937</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040" w:type="dxa"/>
            <w:vAlign w:val="bottom"/>
            <w:gridSpan w:val="4"/>
          </w:tcPr>
          <w:p>
            <w:pPr>
              <w:jc w:val="right"/>
              <w:ind w:right="119"/>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40" w:type="dxa"/>
            <w:vAlign w:val="bottom"/>
            <w:tcBorders>
              <w:right w:val="single" w:sz="8" w:color="CCEEFF"/>
            </w:tcBorders>
            <w:gridSpan w:val="4"/>
            <w:shd w:val="clear" w:color="auto" w:fill="CCEEFF"/>
          </w:tcPr>
          <w:p>
            <w:pPr>
              <w:jc w:val="right"/>
              <w:ind w:right="119"/>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Total transportation revenues</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1,416</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vMerge w:val="continue"/>
          </w:tcPr>
          <w:p>
            <w:pPr>
              <w:spacing w:after="0"/>
              <w:rPr>
                <w:sz w:val="18"/>
                <w:szCs w:val="18"/>
                <w:color w:val="auto"/>
              </w:rPr>
            </w:pPr>
          </w:p>
        </w:tc>
        <w:tc>
          <w:tcPr>
            <w:tcW w:w="1040" w:type="dxa"/>
            <w:vAlign w:val="bottom"/>
            <w:gridSpan w:val="4"/>
          </w:tcPr>
          <w:p>
            <w:pPr>
              <w:jc w:val="right"/>
              <w:ind w:right="119"/>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vMerge w:val="continue"/>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auto"/>
              </w:rPr>
              <w:t>Cost and Expenses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40" w:type="dxa"/>
            <w:vAlign w:val="bottom"/>
            <w:tcBorders>
              <w:right w:val="single" w:sz="8" w:color="CCEEFF"/>
            </w:tcBorders>
            <w:gridSpan w:val="4"/>
            <w:shd w:val="clear" w:color="auto" w:fill="CCEEFF"/>
          </w:tcPr>
          <w:p>
            <w:pPr>
              <w:jc w:val="right"/>
              <w:ind w:right="59"/>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gridSpan w:val="8"/>
          </w:tcPr>
          <w:p>
            <w:pPr>
              <w:ind w:left="160"/>
              <w:spacing w:after="0" w:line="201" w:lineRule="exact"/>
              <w:rPr>
                <w:sz w:val="20"/>
                <w:szCs w:val="20"/>
                <w:color w:val="auto"/>
              </w:rPr>
            </w:pPr>
            <w:r>
              <w:rPr>
                <w:rFonts w:ascii="Arial" w:cs="Arial" w:eastAsia="Arial" w:hAnsi="Arial"/>
                <w:sz w:val="18"/>
                <w:szCs w:val="18"/>
                <w:color w:val="auto"/>
              </w:rPr>
              <w:t>Field operating costs (excluding equity compensation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expense)</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040" w:type="dxa"/>
            <w:vAlign w:val="bottom"/>
            <w:gridSpan w:val="4"/>
          </w:tcPr>
          <w:p>
            <w:pPr>
              <w:jc w:val="right"/>
              <w:ind w:right="59"/>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160"/>
              <w:spacing w:after="0" w:line="216" w:lineRule="exact"/>
              <w:rPr>
                <w:sz w:val="20"/>
                <w:szCs w:val="20"/>
                <w:color w:val="auto"/>
              </w:rPr>
            </w:pPr>
            <w:r>
              <w:rPr>
                <w:rFonts w:ascii="Arial" w:cs="Arial" w:eastAsia="Arial" w:hAnsi="Arial"/>
                <w:sz w:val="18"/>
                <w:szCs w:val="18"/>
                <w:color w:val="auto"/>
                <w:w w:val="91"/>
              </w:rPr>
              <w:t xml:space="preserve">Equity compensation expense - operations </w:t>
            </w:r>
            <w:r>
              <w:rPr>
                <w:rFonts w:ascii="Arial" w:cs="Arial" w:eastAsia="Arial" w:hAnsi="Arial"/>
                <w:sz w:val="23"/>
                <w:szCs w:val="23"/>
                <w:color w:val="auto"/>
                <w:w w:val="91"/>
                <w:vertAlign w:val="superscript"/>
              </w:rPr>
              <w:t>(2)</w:t>
            </w: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40" w:type="dxa"/>
            <w:vAlign w:val="bottom"/>
            <w:tcBorders>
              <w:right w:val="single" w:sz="8" w:color="CCEEFF"/>
            </w:tcBorders>
            <w:gridSpan w:val="4"/>
            <w:shd w:val="clear" w:color="auto" w:fill="CCEEFF"/>
          </w:tcPr>
          <w:p>
            <w:pPr>
              <w:jc w:val="right"/>
              <w:ind w:right="59"/>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gridSpan w:val="8"/>
          </w:tcPr>
          <w:p>
            <w:pPr>
              <w:ind w:left="160"/>
              <w:spacing w:after="0" w:line="201" w:lineRule="exact"/>
              <w:rPr>
                <w:sz w:val="20"/>
                <w:szCs w:val="20"/>
                <w:color w:val="auto"/>
              </w:rPr>
            </w:pPr>
            <w:r>
              <w:rPr>
                <w:rFonts w:ascii="Arial" w:cs="Arial" w:eastAsia="Arial" w:hAnsi="Arial"/>
                <w:sz w:val="18"/>
                <w:szCs w:val="18"/>
                <w:color w:val="auto"/>
              </w:rPr>
              <w:t>Segment general and administrative expenses (excluding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4"/>
          </w:tcPr>
          <w:p>
            <w:pPr>
              <w:ind w:left="340"/>
              <w:spacing w:after="0" w:line="231"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(3)</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040" w:type="dxa"/>
            <w:vAlign w:val="bottom"/>
            <w:gridSpan w:val="4"/>
          </w:tcPr>
          <w:p>
            <w:pPr>
              <w:jc w:val="right"/>
              <w:ind w:right="59"/>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gridSpan w:val="8"/>
            <w:shd w:val="clear" w:color="auto" w:fill="CCEEFF"/>
          </w:tcPr>
          <w:p>
            <w:pPr>
              <w:ind w:left="160"/>
              <w:spacing w:after="0" w:line="162" w:lineRule="exact"/>
              <w:rPr>
                <w:sz w:val="20"/>
                <w:szCs w:val="20"/>
                <w:color w:val="auto"/>
              </w:rPr>
            </w:pPr>
            <w:r>
              <w:rPr>
                <w:rFonts w:ascii="Arial" w:cs="Arial" w:eastAsia="Arial" w:hAnsi="Arial"/>
                <w:sz w:val="18"/>
                <w:szCs w:val="18"/>
                <w:color w:val="auto"/>
                <w:w w:val="98"/>
              </w:rPr>
              <w:t>Equity compensation expense - general and administrative</w:t>
            </w:r>
          </w:p>
        </w:tc>
        <w:tc>
          <w:tcPr>
            <w:tcW w:w="8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40" w:type="dxa"/>
            <w:vAlign w:val="bottom"/>
            <w:tcBorders>
              <w:right w:val="single" w:sz="8" w:color="CCEEFF"/>
            </w:tcBorders>
            <w:gridSpan w:val="4"/>
            <w:vMerge w:val="restart"/>
            <w:shd w:val="clear" w:color="auto" w:fill="CCEEFF"/>
          </w:tcPr>
          <w:p>
            <w:pPr>
              <w:jc w:val="right"/>
              <w:ind w:right="119"/>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(2)</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vMerge w:val="continue"/>
            <w:shd w:val="clear" w:color="auto" w:fill="CCEEFF"/>
          </w:tcPr>
          <w:p>
            <w:pPr>
              <w:spacing w:after="0"/>
              <w:rPr>
                <w:sz w:val="16"/>
                <w:szCs w:val="16"/>
                <w:color w:val="auto"/>
              </w:rPr>
            </w:pPr>
          </w:p>
        </w:tc>
        <w:tc>
          <w:tcPr>
            <w:tcW w:w="1040" w:type="dxa"/>
            <w:vAlign w:val="bottom"/>
            <w:tcBorders>
              <w:right w:val="single" w:sz="8" w:color="CCEEFF"/>
            </w:tcBorders>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auto"/>
              </w:rPr>
              <w:t>Equity earnings in unconsolidated entities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40" w:type="dxa"/>
            <w:vAlign w:val="bottom"/>
            <w:gridSpan w:val="4"/>
          </w:tcPr>
          <w:p>
            <w:pPr>
              <w:jc w:val="right"/>
              <w:ind w:right="119"/>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700" w:type="dxa"/>
            <w:vAlign w:val="bottom"/>
            <w:vMerge w:val="restart"/>
            <w:shd w:val="clear" w:color="auto" w:fill="CCEEFF"/>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4"/>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Borders>
              <w:right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119"/>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7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gridSpan w:val="5"/>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220" w:type="dxa"/>
            <w:vAlign w:val="bottom"/>
            <w:vMerge w:val="continue"/>
          </w:tcPr>
          <w:p>
            <w:pPr>
              <w:spacing w:after="0"/>
              <w:rPr>
                <w:sz w:val="20"/>
                <w:szCs w:val="20"/>
                <w:color w:val="auto"/>
              </w:rPr>
            </w:pPr>
          </w:p>
        </w:tc>
        <w:tc>
          <w:tcPr>
            <w:tcW w:w="200" w:type="dxa"/>
            <w:vAlign w:val="bottom"/>
          </w:tcPr>
          <w:p>
            <w:pPr>
              <w:jc w:val="center"/>
              <w:ind w:right="11"/>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0"/>
                <w:szCs w:val="20"/>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vMerge w:val="continue"/>
          </w:tcPr>
          <w:p>
            <w:pPr>
              <w:spacing w:after="0"/>
              <w:rPr>
                <w:sz w:val="20"/>
                <w:szCs w:val="20"/>
                <w:color w:val="auto"/>
              </w:rPr>
            </w:pPr>
          </w:p>
        </w:tc>
        <w:tc>
          <w:tcPr>
            <w:tcW w:w="1040" w:type="dxa"/>
            <w:vAlign w:val="bottom"/>
            <w:gridSpan w:val="4"/>
          </w:tcPr>
          <w:p>
            <w:pPr>
              <w:jc w:val="right"/>
              <w:ind w:right="59"/>
              <w:spacing w:after="0" w:line="196" w:lineRule="exact"/>
              <w:rPr>
                <w:sz w:val="20"/>
                <w:szCs w:val="20"/>
                <w:color w:val="auto"/>
              </w:rPr>
            </w:pPr>
            <w:r>
              <w:rPr>
                <w:rFonts w:ascii="Arial" w:cs="Arial" w:eastAsia="Arial" w:hAnsi="Arial"/>
                <w:sz w:val="18"/>
                <w:szCs w:val="18"/>
                <w:color w:val="auto"/>
              </w:rPr>
              <w:t>(26)%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200" w:type="dxa"/>
            <w:vAlign w:val="bottom"/>
            <w:vMerge w:val="continue"/>
          </w:tcPr>
          <w:p>
            <w:pPr>
              <w:spacing w:after="0"/>
              <w:rPr>
                <w:sz w:val="20"/>
                <w:szCs w:val="20"/>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center"/>
              <w:ind w:right="11"/>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340" w:type="dxa"/>
            <w:vAlign w:val="bottom"/>
            <w:tcBorders>
              <w:top w:val="single" w:sz="8" w:color="CCEEFF"/>
              <w:bottom w:val="single" w:sz="8" w:color="CCEEFF"/>
              <w:right w:val="single" w:sz="8" w:color="CCEEFF"/>
            </w:tcBorders>
            <w:shd w:val="clear" w:color="auto" w:fill="CCEEFF"/>
          </w:tcPr>
          <w:p>
            <w:pPr>
              <w:jc w:val="right"/>
              <w:ind w:right="119"/>
              <w:spacing w:after="0" w:line="190"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righ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7"/>
                <w:szCs w:val="17"/>
                <w:color w:val="auto"/>
                <w:w w:val="73"/>
              </w:rPr>
              <w:t>71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Favorable/(Unfavorable)</w:t>
            </w: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32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w w:val="98"/>
              </w:rPr>
              <w:t>Year Ended December 31,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40" w:type="dxa"/>
            <w:vAlign w:val="bottom"/>
            <w:gridSpan w:val="5"/>
            <w:vMerge w:val="continue"/>
          </w:tcPr>
          <w:p>
            <w:pPr>
              <w:spacing w:after="0"/>
              <w:rPr>
                <w:sz w:val="12"/>
                <w:szCs w:val="12"/>
                <w:color w:val="auto"/>
              </w:rPr>
            </w:pPr>
          </w:p>
        </w:tc>
        <w:tc>
          <w:tcPr>
            <w:tcW w:w="2320" w:type="dxa"/>
            <w:vAlign w:val="bottom"/>
            <w:gridSpan w:val="7"/>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w w:val="86"/>
              </w:rPr>
              <w:t>2012-2011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2011-2010</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w w:val="95"/>
              </w:rPr>
              <w:t>Volumes</w:t>
            </w:r>
          </w:p>
        </w:tc>
        <w:tc>
          <w:tcPr>
            <w:tcW w:w="68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160"/>
              <w:spacing w:after="0"/>
              <w:rPr>
                <w:sz w:val="20"/>
                <w:szCs w:val="20"/>
                <w:color w:val="auto"/>
              </w:rPr>
            </w:pPr>
            <w:r>
              <w:rPr>
                <w:rFonts w:ascii="Arial" w:cs="Arial" w:eastAsia="Arial" w:hAnsi="Arial"/>
                <w:sz w:val="18"/>
                <w:szCs w:val="18"/>
                <w:color w:val="auto"/>
              </w:rPr>
              <w:t>Crude Oil Pipelines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Bakken Area Systems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106</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ind w:right="5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Basin / Mesa</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Capline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w w:val="72"/>
              </w:rPr>
              <w:t>(14)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(63)</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360%</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Line 63 / Line 2000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(9)</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Mid-Continent Area Systems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214</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57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Rainbow</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195</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(53)</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Salt Lake City Area Systems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781</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ind w:right="5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340"/>
              <w:spacing w:after="0"/>
              <w:rPr>
                <w:sz w:val="20"/>
                <w:szCs w:val="20"/>
                <w:color w:val="auto"/>
              </w:rPr>
            </w:pPr>
            <w:r>
              <w:rPr>
                <w:rFonts w:ascii="Arial" w:cs="Arial" w:eastAsia="Arial" w:hAnsi="Arial"/>
                <w:sz w:val="18"/>
                <w:szCs w:val="18"/>
                <w:color w:val="auto"/>
              </w:rPr>
              <w:t>Co-Ed</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44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ind w:right="679"/>
              <w:spacing w:after="0"/>
              <w:rPr>
                <w:sz w:val="20"/>
                <w:szCs w:val="20"/>
                <w:color w:val="auto"/>
              </w:rPr>
            </w:pPr>
            <w:r>
              <w:rPr>
                <w:rFonts w:ascii="Arial" w:cs="Arial" w:eastAsia="Arial" w:hAnsi="Arial"/>
                <w:sz w:val="18"/>
                <w:szCs w:val="18"/>
                <w:color w:val="auto"/>
                <w:w w:val="86"/>
              </w:rPr>
              <w:t>N/A</w:t>
            </w:r>
          </w:p>
        </w:tc>
        <w:tc>
          <w:tcPr>
            <w:tcW w:w="180" w:type="dxa"/>
            <w:vAlign w:val="bottom"/>
          </w:tcPr>
          <w:p>
            <w:pPr>
              <w:spacing w:after="0"/>
              <w:rPr>
                <w:sz w:val="18"/>
                <w:szCs w:val="18"/>
                <w:color w:val="auto"/>
              </w:rPr>
            </w:pPr>
          </w:p>
        </w:tc>
        <w:tc>
          <w:tcPr>
            <w:tcW w:w="7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679"/>
              <w:spacing w:after="0"/>
              <w:rPr>
                <w:sz w:val="20"/>
                <w:szCs w:val="20"/>
                <w:color w:val="auto"/>
              </w:rPr>
            </w:pPr>
            <w:r>
              <w:rPr>
                <w:rFonts w:ascii="Arial" w:cs="Arial" w:eastAsia="Arial" w:hAnsi="Arial"/>
                <w:sz w:val="18"/>
                <w:szCs w:val="18"/>
                <w:color w:val="auto"/>
                <w:w w:val="86"/>
              </w:rPr>
              <w:t>N/A</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Refined Products Pipelines</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vMerge w:val="continue"/>
            <w:shd w:val="clear" w:color="auto" w:fill="CCEEFF"/>
          </w:tcPr>
          <w:p>
            <w:pPr>
              <w:spacing w:after="0"/>
              <w:rPr>
                <w:sz w:val="18"/>
                <w:szCs w:val="18"/>
                <w:color w:val="auto"/>
              </w:rPr>
            </w:pPr>
          </w:p>
        </w:tc>
        <w:tc>
          <w:tcPr>
            <w:tcW w:w="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4"/>
          </w:tcPr>
          <w:p>
            <w:pPr>
              <w:ind w:left="160"/>
              <w:spacing w:after="0"/>
              <w:rPr>
                <w:sz w:val="20"/>
                <w:szCs w:val="20"/>
                <w:color w:val="auto"/>
              </w:rPr>
            </w:pPr>
            <w:r>
              <w:rPr>
                <w:rFonts w:ascii="Arial" w:cs="Arial" w:eastAsia="Arial" w:hAnsi="Arial"/>
                <w:sz w:val="18"/>
                <w:szCs w:val="18"/>
                <w:color w:val="auto"/>
              </w:rPr>
              <w:t>Trucking</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right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right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right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right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-3922395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-3922395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20" w:type="dxa"/>
            <w:vAlign w:val="bottom"/>
            <w:shd w:val="clear" w:color="auto" w:fill="CCEEFF"/>
          </w:tcPr>
          <w:p>
            <w:pPr>
              <w:spacing w:after="0"/>
              <w:rPr>
                <w:sz w:val="21"/>
                <w:szCs w:val="21"/>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78"/>
        <w:spacing w:after="0"/>
        <w:tabs>
          <w:tab w:leader="none" w:pos="640" w:val="left"/>
        </w:tabs>
        <w:numPr>
          <w:ilvl w:val="1"/>
          <w:numId w:val="49"/>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1" w:lineRule="exact"/>
        <w:rPr>
          <w:rFonts w:ascii="Arial" w:cs="Arial" w:eastAsia="Arial" w:hAnsi="Arial"/>
          <w:sz w:val="23"/>
          <w:szCs w:val="23"/>
          <w:color w:val="auto"/>
          <w:vertAlign w:val="superscript"/>
        </w:rPr>
      </w:pPr>
    </w:p>
    <w:p>
      <w:pPr>
        <w:ind w:left="660" w:right="60" w:hanging="652"/>
        <w:spacing w:after="0"/>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15 to our Consolidated Financial Statements for additional discussion regarding our equity compensation plans.</w:t>
      </w:r>
    </w:p>
    <w:p>
      <w:pPr>
        <w:spacing w:after="0" w:line="204" w:lineRule="exact"/>
        <w:rPr>
          <w:rFonts w:ascii="Arial" w:cs="Arial" w:eastAsia="Arial" w:hAnsi="Arial"/>
          <w:sz w:val="23"/>
          <w:szCs w:val="23"/>
          <w:color w:val="auto"/>
          <w:vertAlign w:val="superscript"/>
        </w:rPr>
      </w:pPr>
    </w:p>
    <w:p>
      <w:pPr>
        <w:ind w:left="660" w:right="320" w:hanging="652"/>
        <w:spacing w:after="0" w:line="234" w:lineRule="auto"/>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Segment general and administrative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202" w:lineRule="exact"/>
        <w:rPr>
          <w:rFonts w:ascii="Arial" w:cs="Arial" w:eastAsia="Arial" w:hAnsi="Arial"/>
          <w:sz w:val="23"/>
          <w:szCs w:val="23"/>
          <w:color w:val="auto"/>
          <w:vertAlign w:val="superscript"/>
        </w:rPr>
      </w:pPr>
    </w:p>
    <w:p>
      <w:pPr>
        <w:ind w:left="660" w:right="540" w:hanging="652"/>
        <w:spacing w:after="0" w:line="227" w:lineRule="auto"/>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Volumes associated with acquisitions represent total volumes (attributable to our interest) for the number of days we actually owned the assets divided by the number of days in the period.</w:t>
      </w:r>
    </w:p>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year-over-year for each comparative period presented. Our Transportation segment results were impacted by the following for the years ended December 31, 2012, 2011 and 2010:</w:t>
      </w:r>
    </w:p>
    <w:p>
      <w:pPr>
        <w:spacing w:after="0" w:line="181" w:lineRule="exact"/>
        <w:rPr>
          <w:sz w:val="20"/>
          <w:szCs w:val="20"/>
          <w:color w:val="auto"/>
        </w:rPr>
      </w:pPr>
    </w:p>
    <w:p>
      <w:pPr>
        <w:ind w:left="660" w:right="160" w:hanging="328"/>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BP NGL Acquisition —The pipelines acquired through the BP NGL Acquisition on April 1, 2012 generated revenues of approximately $89 million and increased volumes by approximately 175,000 barrels per day for the year ended December 31,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328"/>
        <w:spacing w:after="0" w:line="259"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North American Crude Oil Production — Increased producer drilling activities, primarily in the Permian Basin, Western Oklahoma, Eagle Ford and Texas Panhandle producing regions, combined with our phased-in expansion projects, resulted in favorable volume and revenue variances for the year ended December 31, 2012 over the comparative 2011 and 2010 periods, most notably on our Basin, Mesa, Permian Basin and Mid-Continent Area Systems.</w:t>
      </w:r>
    </w:p>
    <w:p>
      <w:pPr>
        <w:spacing w:after="0" w:line="186" w:lineRule="exact"/>
        <w:rPr>
          <w:rFonts w:ascii="Arial" w:cs="Arial" w:eastAsia="Arial" w:hAnsi="Arial"/>
          <w:sz w:val="18"/>
          <w:szCs w:val="18"/>
          <w:color w:val="auto"/>
        </w:rPr>
      </w:pPr>
    </w:p>
    <w:p>
      <w:pPr>
        <w:ind w:left="660" w:right="260" w:hanging="328"/>
        <w:spacing w:after="0" w:line="297" w:lineRule="auto"/>
        <w:tabs>
          <w:tab w:leader="none" w:pos="6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rate changes primarily include the upward or downward indexing of rates on our FERC regulated pipelines, rate increases or decreases on our intrastate and Canadian pipelines or other negotiated rate changes. During the comparable periods discussed herein, revenues fluctuated on our FERC regulated pipelines due to the upward indexing that was effective July 1, 2011 and July 1, 2012 and the downward indexing of the FERC rate that was effective as of July 1, 2010. Revenues were further impacted by increasing tariff rates on certain of our non-FERC regulated pipelines.</w:t>
      </w:r>
    </w:p>
    <w:p>
      <w:pPr>
        <w:spacing w:after="0" w:line="158" w:lineRule="exact"/>
        <w:rPr>
          <w:rFonts w:ascii="Arial" w:cs="Arial" w:eastAsia="Arial" w:hAnsi="Arial"/>
          <w:sz w:val="16"/>
          <w:szCs w:val="16"/>
          <w:color w:val="auto"/>
        </w:rPr>
      </w:pPr>
    </w:p>
    <w:p>
      <w:pPr>
        <w:ind w:left="660" w:right="20" w:hanging="328"/>
        <w:spacing w:after="0" w:line="291" w:lineRule="auto"/>
        <w:tabs>
          <w:tab w:leader="none" w:pos="6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$13 million for 2012 compared to 2011 and $16 million for 2011 compared to 2010. The increase in 2012 was primarily due to higher loss allowance volumes, partially offset by a lower average realized price per barrel compared to 2011(including the impact of losses from derivative-related activities). The increase in 2011 over 2010 was primarily due to a higher average realized price per barrel compared to 2010 (including the impact of gains from derivative-related activities).</w:t>
      </w:r>
    </w:p>
    <w:p>
      <w:pPr>
        <w:spacing w:after="0" w:line="167" w:lineRule="exact"/>
        <w:rPr>
          <w:rFonts w:ascii="Arial" w:cs="Arial" w:eastAsia="Arial" w:hAnsi="Arial"/>
          <w:sz w:val="16"/>
          <w:szCs w:val="16"/>
          <w:color w:val="auto"/>
        </w:rPr>
      </w:pPr>
    </w:p>
    <w:p>
      <w:pPr>
        <w:ind w:left="660" w:right="40" w:hanging="328"/>
        <w:spacing w:after="0" w:line="259"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Rainbow Pipeline System — Revenues from our Rainbow Pipeline System were more favorable in the 2012 and 2010 periods compared to the 2011 period due to pipeline downtime as a result of a pipeline release in April of 2011. Increased revenues in the 2012 period compared to the 2011 period were also a result of rate increases, partially offset by the impact of a third-party competitor pipeline that was placed into service in the third quarter of 2011.</w:t>
      </w:r>
    </w:p>
    <w:p>
      <w:pPr>
        <w:spacing w:after="0" w:line="186" w:lineRule="exact"/>
        <w:rPr>
          <w:rFonts w:ascii="Arial" w:cs="Arial" w:eastAsia="Arial" w:hAnsi="Arial"/>
          <w:sz w:val="18"/>
          <w:szCs w:val="18"/>
          <w:color w:val="auto"/>
        </w:rPr>
      </w:pPr>
    </w:p>
    <w:p>
      <w:pPr>
        <w:ind w:left="660" w:right="140" w:hanging="328"/>
        <w:spacing w:after="0" w:line="342" w:lineRule="auto"/>
        <w:tabs>
          <w:tab w:leader="none" w:pos="6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Trucking Business Activity —Trucking revenues, net of related costs, increased by approximately $10 million for 2011 compared to 2010 primarily due to increased volumes in Canada resulting from increased producer drilling and downtime on the Rainbow Pipeline, as discussed below.</w:t>
      </w:r>
    </w:p>
    <w:p>
      <w:pPr>
        <w:spacing w:after="0" w:line="123" w:lineRule="exact"/>
        <w:rPr>
          <w:rFonts w:ascii="Arial" w:cs="Arial" w:eastAsia="Arial" w:hAnsi="Arial"/>
          <w:sz w:val="16"/>
          <w:szCs w:val="16"/>
          <w:color w:val="auto"/>
        </w:rPr>
      </w:pPr>
    </w:p>
    <w:p>
      <w:pPr>
        <w:ind w:left="660" w:right="40" w:hanging="328"/>
        <w:spacing w:after="0" w:line="255"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2011 and 2010 were $0.99 CAD: $1.00 USD and $1.03 CAD: $1.00 USD, respectively. Therefore, revenues from our Canadian pipeline systems and trucking operations were favorably impacted by approximately $12 million for 2011 compared to 2010 due to the appreciation of the Canadian dollar relative to the U.S. dollar. The translation of revenues and expenses from our Canadian based subsidiaries did not have a significant impact on our Transportation segment results in 2012 as compared to 2011.</w:t>
      </w:r>
    </w:p>
    <w:p>
      <w:pPr>
        <w:spacing w:after="0" w:line="19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Additional noteworthy volume and revenue variances on our individual pipeline systems for the year ended December 31, 2012 include (i) increases on the Eagle Ford Area Systems resulting from the Gardendale Gathering System acquired in November 2011 and (ii) decreased volumes on our Manito Pipeline System primarily due to volumes diverted to rail facilities. Noteworthy volume and revenue variances on our individual pipeline systems for the year ended December 31, 2011compared to the year ended December 31, 2010 include (i) decreased volumes on the Capline Pipeline System primarily related to shifts in refinery supply and unplanned refinery downtime, (ii) decreased volumes on our Rainbow Pipeline System as a result of a release and (iii) additional</w:t>
      </w:r>
    </w:p>
    <w:p>
      <w:pPr>
        <w:sectPr>
          <w:pgSz w:w="11900" w:h="16838" w:orient="portrait"/>
          <w:cols w:equalWidth="0" w:num="1">
            <w:col w:w="11420"/>
          </w:cols>
          <w:pgMar w:left="240" w:top="140" w:right="239" w:bottom="0" w:gutter="0" w:footer="0" w:header="0"/>
        </w:sectPr>
      </w:pPr>
    </w:p>
    <w:bookmarkStart w:id="55" w:name="page56"/>
    <w:bookmarkEnd w:id="55"/>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volumes from our Bakken Area Systems, primarily due to the Robinson Lake pipeline acquired in connection with the Nexen acquisition in December 2010, which contributed approximately 28,000 barrels per day and $8 million in revenue for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 compensation expense as discussed further below) increased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compared to the year ended December 31, 2011 consistent with the overall growth in segment volumes and remained relatively constant on a per barrel basis during each of those periods. Operating costs were also impacted by approximately $15 million of environmental remediation expenses associated with the Rangeland Pipeline release, which occurred in the second quarter of 2012, and approximately $11 million of environmental remediation expenses associated with the Rainbow Pipeline release, which occurred in the second quarter of 2011.</w:t>
      </w:r>
    </w:p>
    <w:p>
      <w:pPr>
        <w:spacing w:after="0" w:line="15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Field operating costs (excluding equity compensation expense as discussed further below) increased during the year ended December 31, 2011 compared to the year ended December 31, 2010 primarily due to the impact of approximately $11 million of environmental remediation expenses associated with the Rainbow Pipeline release. Excluding costs associated with this incident, field operating costs per barrel increased approximately 6% in 2011 to $0.34 per barrel as compared to $0.32 per barrel in 2010 due to general cost increases and volume mix.</w:t>
      </w:r>
    </w:p>
    <w:p>
      <w:pPr>
        <w:spacing w:after="0" w:line="17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(excluding equity compensation as discussed below) increased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2012 over the year ended December 31, 2011 due to non-recurring costs associated with the closing and integration of the BP NGL Acquisition and ongoing administrative costs associated with this acquisition, as well as the continued overall growth of the segment.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Equity Compensation Expenses. </w:t>
      </w:r>
      <w:r>
        <w:rPr>
          <w:rFonts w:ascii="Arial" w:cs="Arial" w:eastAsia="Arial" w:hAnsi="Arial"/>
          <w:sz w:val="17"/>
          <w:szCs w:val="17"/>
          <w:color w:val="auto"/>
        </w:rPr>
        <w:t>A majority of our equity compensation awards (including the Class B units) contain performance conditions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contingent upon achieving certain distribution levels. For awards with performance conditions (such as distribution targets), expense is accrued over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service period only if the performance condition is considered probable of occurring. When awards with performance conditions that were previously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improbable become probable, we incur additional expense in the period that our probability assessment changes. This is necessary to bring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liability associated with these awards up to the level it would have been if we had been accruing for these awards since the grant date.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and 2011, we determined that PAA distribution levels of $2.45 and $2.18 per unit, respectively, were probable of occurring. Furthermore,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change in unit price impacts the fair value of our liability-classified awards. See Note 15 to our Consolidated Financial Statements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equity compensation plans.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a consolidated basis, equity compensation expense decreased for the year ended December 31, 2012 compared to the year ended December 31, 2011, primarily related to a less significant impact of the change in probability assessment as compared to 2011. Equity compensation expense increased for the year ended December 31, 2011 compared to the year ended December 31, 2010, primarily due to (i) additional awards that were deemed probable of occurring and (ii) an increase in unit price of $5.33 during 2011, compared to an increase in unit price of $4.97 during 2010 (as adjusted for the two-for-one unit split).</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compared to the year ended December 31, 2011 was primarily related to increased earnings in our equity investments due to increased volumes as a result of industry fundamentals, as noted above.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Equity earnings in unconsolidated entities increased for the year ended December 31, 2011 compared to the year ended December 31, 2010 primarily due to earnings from our interest in White Cliffs Pipeline LLC, which we acquired in September 2010.</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investments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service capability, level of production and/or functionality of our existing assets. The increase in maintenance capital in 2012 compared to 2011 and in 2011 compared to 2010 is primarily due to increased investments on pipeline integrity projects.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natural gas and NGL, as well as NGL fractionation and isomerization services. The Facilities segment generates revenue through a combination of month-to-month and multi-year leases and processing arrangements.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Favorable/(Unfavorable)</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2012-2011</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2011-2010</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16"/>
        </w:trPr>
        <w:tc>
          <w:tcPr>
            <w:tcW w:w="41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20%</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41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costs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(18)%</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02"/>
        </w:trPr>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Field operating costs (excluding equity compensation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(124)</w:t>
            </w:r>
          </w:p>
        </w:tc>
        <w:tc>
          <w:tcPr>
            <w:tcW w:w="5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(75)%</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41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Equity compensation expense - operations </w:t>
            </w:r>
            <w:r>
              <w:rPr>
                <w:rFonts w:ascii="Arial" w:cs="Arial" w:eastAsia="Arial" w:hAnsi="Arial"/>
                <w:sz w:val="23"/>
                <w:szCs w:val="23"/>
                <w:color w:val="auto"/>
                <w:vertAlign w:val="superscript"/>
              </w:rPr>
              <w:t>(3)</w:t>
            </w:r>
          </w:p>
        </w:tc>
        <w:tc>
          <w:tcPr>
            <w:tcW w:w="180" w:type="dxa"/>
            <w:vAlign w:val="bottom"/>
          </w:tcPr>
          <w:p>
            <w:pPr>
              <w:spacing w:after="0"/>
              <w:rPr>
                <w:sz w:val="18"/>
                <w:szCs w:val="18"/>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6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t>
            </w:r>
          </w:p>
        </w:tc>
        <w:tc>
          <w:tcPr>
            <w:tcW w:w="22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 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12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(excluding equity compensation expense)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(36)%</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expense - general and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4120" w:type="dxa"/>
            <w:vAlign w:val="bottom"/>
            <w:gridSpan w:val="2"/>
          </w:tcPr>
          <w:p>
            <w:pPr>
              <w:ind w:left="180"/>
              <w:spacing w:after="0" w:line="231"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3"/>
                <w:szCs w:val="23"/>
                <w:color w:val="auto"/>
                <w:vertAlign w:val="superscript"/>
              </w:rPr>
              <w:t>(3)</w:t>
            </w:r>
          </w:p>
        </w:tc>
        <w:tc>
          <w:tcPr>
            <w:tcW w:w="180" w:type="dxa"/>
            <w:vAlign w:val="bottom"/>
          </w:tcPr>
          <w:p>
            <w:pPr>
              <w:spacing w:after="0"/>
              <w:rPr>
                <w:sz w:val="20"/>
                <w:szCs w:val="20"/>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(21)%</w:t>
            </w:r>
          </w:p>
        </w:tc>
        <w:tc>
          <w:tcPr>
            <w:tcW w:w="2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145"/>
        </w:trPr>
        <w:tc>
          <w:tcPr>
            <w:tcW w:w="3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r>
    </w:tbl>
    <w:p>
      <w:pPr>
        <w:sectPr>
          <w:pgSz w:w="11900" w:h="16900" w:orient="portrait"/>
          <w:cols w:equalWidth="0" w:num="1">
            <w:col w:w="11420"/>
          </w:cols>
          <w:pgMar w:left="240" w:top="125" w:right="239" w:bottom="0" w:gutter="0" w:footer="0" w:header="0"/>
        </w:sectPr>
      </w:pPr>
    </w:p>
    <w:bookmarkStart w:id="56" w:name="page57"/>
    <w:bookmarkEnd w:id="56"/>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0" w:type="dxa"/>
            <w:vAlign w:val="bottom"/>
            <w:vMerge w:val="continue"/>
          </w:tcPr>
          <w:p>
            <w:pPr>
              <w:spacing w:after="0"/>
              <w:rPr>
                <w:sz w:val="20"/>
                <w:szCs w:val="20"/>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(123)%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82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4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CCEEFF"/>
              <w:bottom w:val="single" w:sz="8" w:color="CCEEFF"/>
              <w:right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Favorable/(Unfavorable)</w:t>
            </w: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 (6)</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2012-2011</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2011-2010</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9"/>
              </w:rPr>
              <w:t>Volumes</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9"/>
              </w:rPr>
              <w:t>Volumes</w:t>
            </w:r>
          </w:p>
        </w:tc>
        <w:tc>
          <w:tcPr>
            <w:tcW w:w="56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Crude oil, refined products and NGL terminalling and</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storage (average monthly capacity in millions of</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Natural gas storage (average monthly capacity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billions of cubic feet)</w:t>
            </w: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8"/>
              </w:rPr>
              <w:t>NGL fractionation (average throughput in thousands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464%</w:t>
            </w:r>
          </w:p>
        </w:tc>
        <w:tc>
          <w:tcPr>
            <w:tcW w:w="100" w:type="dxa"/>
            <w:vAlign w:val="bottom"/>
            <w:shd w:val="clear" w:color="auto" w:fill="CCEEFF"/>
          </w:tcPr>
          <w:p>
            <w:pPr>
              <w:spacing w:after="0"/>
              <w:rPr>
                <w:sz w:val="13"/>
                <w:szCs w:val="13"/>
                <w:color w:val="auto"/>
              </w:rPr>
            </w:pPr>
          </w:p>
        </w:tc>
        <w:tc>
          <w:tcPr>
            <w:tcW w:w="116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barrels per day)</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8"/>
              </w:rPr>
              <w:t>Facilities segment total (average monthly capacity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millions of barrels)</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Natural gas sales and costs are attributable to the activities performed by PNG’s commercial optimization group, which was established in the fourth quarter of 2010.</w:t>
      </w:r>
    </w:p>
    <w:p>
      <w:pPr>
        <w:spacing w:after="0" w:line="170" w:lineRule="exact"/>
        <w:rPr>
          <w:sz w:val="20"/>
          <w:szCs w:val="20"/>
          <w:color w:val="auto"/>
        </w:rPr>
      </w:pPr>
    </w:p>
    <w:p>
      <w:pPr>
        <w:ind w:left="20" w:right="60" w:hanging="11"/>
        <w:spacing w:after="0" w:line="257" w:lineRule="auto"/>
        <w:rPr>
          <w:sz w:val="20"/>
          <w:szCs w:val="20"/>
          <w:color w:val="auto"/>
        </w:rPr>
      </w:pPr>
      <w:r>
        <w:rPr>
          <w:rFonts w:ascii="Arial" w:cs="Arial" w:eastAsia="Arial" w:hAnsi="Arial"/>
          <w:sz w:val="18"/>
          <w:szCs w:val="18"/>
          <w:color w:val="auto"/>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15 to our Consolidated Financial Statements for additional discussion regarding our equity compensation plans.</w:t>
      </w:r>
    </w:p>
    <w:p>
      <w:pPr>
        <w:spacing w:after="0" w:line="188" w:lineRule="exact"/>
        <w:rPr>
          <w:sz w:val="20"/>
          <w:szCs w:val="20"/>
          <w:color w:val="auto"/>
        </w:rPr>
      </w:pPr>
    </w:p>
    <w:p>
      <w:pPr>
        <w:ind w:left="20" w:right="260" w:hanging="11"/>
        <w:spacing w:after="0" w:line="264" w:lineRule="auto"/>
        <w:rPr>
          <w:sz w:val="20"/>
          <w:szCs w:val="20"/>
          <w:color w:val="auto"/>
        </w:rPr>
      </w:pPr>
      <w:r>
        <w:rPr>
          <w:rFonts w:ascii="Arial" w:cs="Arial" w:eastAsia="Arial" w:hAnsi="Arial"/>
          <w:sz w:val="18"/>
          <w:szCs w:val="18"/>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181"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8"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34"/>
        <w:spacing w:after="0" w:line="251" w:lineRule="auto"/>
        <w:tabs>
          <w:tab w:leader="none" w:pos="652"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Facilities total calculated as the sum of: (i) crude oil, refined products and NGL terminalling and storage capacity; (ii) natural gas capacity divided by 6 to account for the 6:1 mcf of gas to crude Btu equivalent ratio and further divided by 1,000 to convert to monthly volumes in millions; and</w:t>
      </w:r>
    </w:p>
    <w:p>
      <w:pPr>
        <w:spacing w:after="0" w:line="1" w:lineRule="exact"/>
        <w:rPr>
          <w:rFonts w:ascii="Arial" w:cs="Arial" w:eastAsia="Arial" w:hAnsi="Arial"/>
          <w:sz w:val="21"/>
          <w:szCs w:val="21"/>
          <w:color w:val="auto"/>
          <w:vertAlign w:val="superscript"/>
        </w:rPr>
      </w:pPr>
    </w:p>
    <w:p>
      <w:pPr>
        <w:ind w:left="660" w:right="280"/>
        <w:spacing w:after="0" w:line="261" w:lineRule="auto"/>
        <w:rPr>
          <w:rFonts w:ascii="Arial" w:cs="Arial" w:eastAsia="Arial" w:hAnsi="Arial"/>
          <w:sz w:val="21"/>
          <w:szCs w:val="21"/>
          <w:color w:val="auto"/>
          <w:vertAlign w:val="superscript"/>
        </w:rPr>
      </w:pPr>
      <w:r>
        <w:rPr>
          <w:rFonts w:ascii="Arial" w:cs="Arial" w:eastAsia="Arial" w:hAnsi="Arial"/>
          <w:sz w:val="18"/>
          <w:szCs w:val="18"/>
          <w:color w:val="auto"/>
        </w:rPr>
        <w:t>(iii) NGL fractionation volumes (based on estimated utilized capacity) multiplied by the number of days in the year and divided by the number of months in the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and natural gas purchases,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volumes increased year-over-year for each comparative year presented. The significant variances in revenues and average monthly volumes between the comparative periods are primarily due to our ongoing acquisition and expansion activities as discussed below:</w:t>
      </w:r>
    </w:p>
    <w:p>
      <w:pPr>
        <w:spacing w:after="0" w:line="166" w:lineRule="exact"/>
        <w:rPr>
          <w:sz w:val="20"/>
          <w:szCs w:val="20"/>
          <w:color w:val="auto"/>
        </w:rPr>
      </w:pPr>
    </w:p>
    <w:p>
      <w:pPr>
        <w:ind w:left="660" w:hanging="328"/>
        <w:spacing w:after="0" w:line="259" w:lineRule="auto"/>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BP NGL Acquisition —The NGL storage facilities, fractionation plants and related assets acquired through the BP NGL Acquisition on April 1, 2012 contributed aggregate revenues of approximately $204 million for the year ended December 31, 2012. These assets increased average monthly capacity of NGL storage by approximately 10 million barrels and increased average NGL fractionation throughput by approximately 65,000 barrels per day for the year ended December 31, 2012.</w:t>
      </w:r>
    </w:p>
    <w:p>
      <w:pPr>
        <w:spacing w:after="0" w:line="186" w:lineRule="exact"/>
        <w:rPr>
          <w:rFonts w:ascii="Arial" w:cs="Arial" w:eastAsia="Arial" w:hAnsi="Arial"/>
          <w:sz w:val="18"/>
          <w:szCs w:val="18"/>
          <w:color w:val="auto"/>
        </w:rPr>
      </w:pPr>
    </w:p>
    <w:p>
      <w:pPr>
        <w:jc w:val="both"/>
        <w:ind w:left="660" w:right="400" w:hanging="328"/>
        <w:spacing w:after="0" w:line="264" w:lineRule="auto"/>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Acquisitions —Revenues and volumes for 2012 compared to 2011 were favorably impacted by the acquisition of our Yorktown facility in December 2011. Revenues from this facility contributed approximately $9 million to the total increase over 2011and increased average monthly storage capacity by approximately 5 million barrels.</w:t>
      </w:r>
    </w:p>
    <w:p>
      <w:pPr>
        <w:spacing w:after="0" w:line="181"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Revenues and volumes for 2011 compared to 2010 were favorably impacted by PNG’s completion of the Southern Pines Acquisition, which closed on February 9, 2011. This acquisition contributed approximately $37 million of additional revenues, net of storage related costs, for 2011.</w:t>
      </w:r>
    </w:p>
    <w:p>
      <w:pPr>
        <w:spacing w:after="0" w:line="124" w:lineRule="exact"/>
        <w:rPr>
          <w:sz w:val="20"/>
          <w:szCs w:val="20"/>
          <w:color w:val="auto"/>
        </w:rPr>
      </w:pPr>
    </w:p>
    <w:p>
      <w:pPr>
        <w:ind w:left="660" w:right="140" w:hanging="328"/>
        <w:spacing w:after="0" w:line="253" w:lineRule="auto"/>
        <w:tabs>
          <w:tab w:leader="none" w:pos="6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Major Expansion Projects — Expansion projects that were completed in phases throughout recent years favorably impacted revenues and volumes for 2012 compared to 2011 and 2011 compared to 2010. These expansion projects were completed at some of our major terminal locations, and we estimate that such projects increased our revenues by approximately $15 million on a combined basis for the year ended December 31, 2012 compared to the year ended December 31, 2011 and by approximately $28 million on a combined basis for the year ended December 31, 2011 compared to the year ended December 31, 2010. Expansions completed at our Cushing, Patoka and St. James terminals, resulting in increased storage capacity and barge loading and receipt capability, were among the most significant expansions impacting the 2012 period and increased average monthly capacity by approximately 3 million barrels over the 2011 period. Expansions at our Cushing, Patoka and Wichita Falls facilities comprised the majority of the 9 million barrel increase in total crude oil, refined products and NGL storage average monthly capacity in 2011 as compared to 2010.</w:t>
      </w:r>
    </w:p>
    <w:p>
      <w:pPr>
        <w:spacing w:after="0" w:line="197"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Additionally, revenues and volumes for 2012 compared to 2011 and 2011 compared to 2010 were also favorably impacted by the expansion of working gas capacity at PNG’s Pine Prairie and Southern Pines facilities of approximately 17 Bcf and 9 Bcf in the aggregate during 2012 and 2011,</w:t>
      </w:r>
    </w:p>
    <w:p>
      <w:pPr>
        <w:sectPr>
          <w:pgSz w:w="11900" w:h="16908" w:orient="portrait"/>
          <w:cols w:equalWidth="0" w:num="1">
            <w:col w:w="11420"/>
          </w:cols>
          <w:pgMar w:left="240" w:top="140" w:right="239" w:bottom="0" w:gutter="0" w:footer="0" w:header="0"/>
          <w:type w:val="continuous"/>
        </w:sectPr>
      </w:pPr>
    </w:p>
    <w:bookmarkStart w:id="57" w:name="page58"/>
    <w:bookmarkEnd w:id="57"/>
    <w:p>
      <w:pPr>
        <w:ind w:left="660"/>
        <w:spacing w:after="0"/>
        <w:rPr>
          <w:sz w:val="20"/>
          <w:szCs w:val="20"/>
          <w:color w:val="auto"/>
        </w:rPr>
      </w:pPr>
      <w:r>
        <w:rPr>
          <w:rFonts w:ascii="Arial" w:cs="Arial" w:eastAsia="Arial" w:hAnsi="Arial"/>
          <w:sz w:val="18"/>
          <w:szCs w:val="18"/>
          <w:color w:val="auto"/>
        </w:rPr>
        <w:t>respectively.</w:t>
      </w:r>
    </w:p>
    <w:p>
      <w:pPr>
        <w:spacing w:after="0" w:line="225" w:lineRule="exact"/>
        <w:rPr>
          <w:sz w:val="20"/>
          <w:szCs w:val="20"/>
          <w:color w:val="auto"/>
        </w:rPr>
      </w:pPr>
    </w:p>
    <w:p>
      <w:pPr>
        <w:ind w:left="660" w:right="120" w:hanging="328"/>
        <w:spacing w:after="0" w:line="286" w:lineRule="auto"/>
        <w:tabs>
          <w:tab w:leader="none" w:pos="6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Rail Terminals —Revenues from our rail terminals contributed approximately $22 million to the year-over-year increase in total revenues in 2012 compared to 2011 due to a continued increase in our rail loading and unloading capability from (i) internal growth projects completed in the second half of 2011 and throughout 2012 and (ii) the USD Rail Terminal Acquisition completed in December 2012.</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 compensation expenses) during the year ended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year ended December 31, 2011 is primarily due to growth through acquisitions, primarily the BP NGL and Yorktown acquisitions. Additionally, our processing assets in general, including the BP NGL Acquisition assets and operations typically have a higher ratio of operating costs to revenue than our historic operations in this segment.</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Field operating costs (excluding equity compensation expenses) in general remained relatively constant on a per barrel basis during the comparative 2011 and 2010 periods. The absolute increase in costs during each comparable period is consistent with the overall growth of the segment through</w:t>
      </w:r>
    </w:p>
    <w:p>
      <w:pPr>
        <w:ind w:left="5620" w:right="3180" w:hanging="5612"/>
        <w:spacing w:after="0" w:line="511" w:lineRule="auto"/>
        <w:tabs>
          <w:tab w:leader="none" w:pos="2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projects at some of our major terminal and storage locations and (ii) the Southern Pines Acquisition.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 compensation as discussed below) increased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2012 compared to the year ended December 31, 2011 due to growth associated with the BP NGL Acquisition as well as certain one-time costs during 2012 associated with integrating the acquisition.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General and administrative expenses (excluding equity compensation as discussed below) increased during the year ended December 31, 2011 compared to the year ended December 31, 2010 consistent with the overall growth of the segment through our expansion projects and acquisition activities, as discussed above.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Equity Compensation Expense. </w:t>
      </w:r>
      <w:r>
        <w:rPr>
          <w:rFonts w:ascii="Arial" w:cs="Arial" w:eastAsia="Arial" w:hAnsi="Arial"/>
          <w:sz w:val="18"/>
          <w:szCs w:val="18"/>
          <w:color w:val="auto"/>
        </w:rPr>
        <w:t>On a consolidated basis, equity compensation expense decreased during 2012 as compared to 2011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2011 as compared to 2010. See the discussion regarding such variances under “— Transportation Segment” above. Also, see Note 15 to our Consolidated Financial Statements for additional information regarding our equity compensation plans.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comparative periods presented is primarily due to growth from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integrity investment.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processors.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may vary from period to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Favorable/(Unfavorable)</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2012-2011</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2011-2010</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2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8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w w:val="98"/>
              </w:rPr>
              <w:t>(35,139)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(31,984)</w:t>
            </w: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(3,155)</w:t>
            </w:r>
          </w:p>
        </w:tc>
        <w:tc>
          <w:tcPr>
            <w:tcW w:w="540" w:type="dxa"/>
            <w:vAlign w:val="bottom"/>
          </w:tcPr>
          <w:p>
            <w:pPr>
              <w:spacing w:after="0"/>
              <w:rPr>
                <w:sz w:val="18"/>
                <w:szCs w:val="18"/>
                <w:color w:val="auto"/>
              </w:rPr>
            </w:pPr>
          </w:p>
        </w:tc>
        <w:tc>
          <w:tcPr>
            <w:tcW w:w="580" w:type="dxa"/>
            <w:vAlign w:val="bottom"/>
            <w:gridSpan w:val="2"/>
          </w:tcPr>
          <w:p>
            <w:pPr>
              <w:jc w:val="right"/>
              <w:ind w:right="17"/>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(7,536)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160" w:type="dxa"/>
            <w:vAlign w:val="bottom"/>
            <w:tcBorders>
              <w:left w:val="single" w:sz="8" w:color="CCEEFF"/>
            </w:tcBorders>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540" w:type="dxa"/>
            <w:vAlign w:val="bottom"/>
            <w:tcBorders>
              <w:lef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5"/>
              </w:rPr>
              <w:t>(33)%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80" w:type="dxa"/>
            <w:vAlign w:val="bottom"/>
            <w:tcBorders>
              <w:lef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w w:val="97"/>
              </w:rPr>
              <w:t xml:space="preserve">Equity compensation expense - operations </w:t>
            </w:r>
            <w:r>
              <w:rPr>
                <w:rFonts w:ascii="Arial" w:cs="Arial" w:eastAsia="Arial" w:hAnsi="Arial"/>
                <w:sz w:val="23"/>
                <w:szCs w:val="23"/>
                <w:color w:val="auto"/>
                <w:w w:val="97"/>
                <w:vertAlign w:val="superscript"/>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8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Segment general and administrative expenses</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w w:val="94"/>
              </w:rPr>
              <w:t xml:space="preserve">(excluding equity compensation expense) </w:t>
            </w:r>
            <w:r>
              <w:rPr>
                <w:rFonts w:ascii="Arial" w:cs="Arial" w:eastAsia="Arial" w:hAnsi="Arial"/>
                <w:sz w:val="23"/>
                <w:szCs w:val="23"/>
                <w:color w:val="auto"/>
                <w:w w:val="94"/>
                <w:vertAlign w:val="superscript"/>
              </w:rPr>
              <w:t>(4)</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60" w:type="dxa"/>
            <w:vAlign w:val="bottom"/>
            <w:tcBorders>
              <w:left w:val="single" w:sz="8" w:color="CCEEFF"/>
            </w:tcBorders>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540" w:type="dxa"/>
            <w:vAlign w:val="bottom"/>
            <w:tcBorders>
              <w:lef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5"/>
              </w:rPr>
              <w:t>(17)%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Borders>
              <w:lef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expense - general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line="231" w:lineRule="exact"/>
              <w:rPr>
                <w:sz w:val="20"/>
                <w:szCs w:val="20"/>
                <w:color w:val="auto"/>
              </w:rPr>
            </w:pPr>
            <w:r>
              <w:rPr>
                <w:rFonts w:ascii="Arial" w:cs="Arial" w:eastAsia="Arial" w:hAnsi="Arial"/>
                <w:sz w:val="18"/>
                <w:szCs w:val="18"/>
                <w:color w:val="auto"/>
              </w:rPr>
              <w:t xml:space="preserve">administrative </w:t>
            </w:r>
            <w:r>
              <w:rPr>
                <w:rFonts w:ascii="Arial" w:cs="Arial" w:eastAsia="Arial" w:hAnsi="Arial"/>
                <w:sz w:val="23"/>
                <w:szCs w:val="23"/>
                <w:color w:val="auto"/>
                <w:vertAlign w:val="superscript"/>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gridSpan w:val="2"/>
          </w:tcPr>
          <w:p>
            <w:pPr>
              <w:jc w:val="right"/>
              <w:ind w:right="7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shd w:val="clear" w:color="auto" w:fill="CCEEFF"/>
          </w:tcPr>
          <w:p>
            <w:pPr>
              <w:spacing w:after="0"/>
              <w:rPr>
                <w:sz w:val="18"/>
                <w:szCs w:val="18"/>
                <w:color w:val="auto"/>
              </w:rPr>
            </w:pP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right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vMerge w:val="continue"/>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580" w:type="dxa"/>
            <w:vAlign w:val="bottom"/>
            <w:gridSpan w:val="2"/>
          </w:tcPr>
          <w:p>
            <w:pPr>
              <w:jc w:val="right"/>
              <w:ind w:right="17"/>
              <w:spacing w:after="0" w:line="196" w:lineRule="exact"/>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0.84</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right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2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Favorable/(Unfavorable)</w:t>
            </w: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Average Daily Volumes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2012-2011</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2011-2010</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Volumes</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2"/>
              </w:rPr>
              <w:t>Volumes</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ind w:right="57"/>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54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57"/>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Revenues and costs include intersegment amounts.</w:t>
      </w:r>
    </w:p>
    <w:p>
      <w:pPr>
        <w:sectPr>
          <w:pgSz w:w="11900" w:h="16838" w:orient="portrait"/>
          <w:cols w:equalWidth="0" w:num="1">
            <w:col w:w="11400"/>
          </w:cols>
          <w:pgMar w:left="240" w:top="125" w:right="259" w:bottom="0" w:gutter="0" w:footer="0" w:header="0"/>
        </w:sectPr>
      </w:pPr>
    </w:p>
    <w:bookmarkStart w:id="58" w:name="page59"/>
    <w:bookmarkEnd w:id="58"/>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63"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crude oil and NGL inventory purchases) of approximately $12 million, $20 million and $17 million for the years ended December 31, 2012, 2011, and 2010, respectively.</w:t>
      </w:r>
    </w:p>
    <w:p>
      <w:pPr>
        <w:spacing w:after="0" w:line="170" w:lineRule="exact"/>
        <w:rPr>
          <w:sz w:val="20"/>
          <w:szCs w:val="20"/>
          <w:color w:val="auto"/>
        </w:rPr>
      </w:pPr>
    </w:p>
    <w:p>
      <w:pPr>
        <w:ind w:right="40" w:hanging="11"/>
        <w:spacing w:after="0" w:line="257" w:lineRule="auto"/>
        <w:rPr>
          <w:sz w:val="20"/>
          <w:szCs w:val="20"/>
          <w:color w:val="auto"/>
        </w:rPr>
      </w:pPr>
      <w:r>
        <w:rPr>
          <w:rFonts w:ascii="Arial" w:cs="Arial" w:eastAsia="Arial" w:hAnsi="Arial"/>
          <w:sz w:val="18"/>
          <w:szCs w:val="18"/>
          <w:color w:val="auto"/>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15 to our Consolidated Financial Statements for additional discussion regarding our equity compensation plans.</w:t>
      </w:r>
    </w:p>
    <w:p>
      <w:pPr>
        <w:spacing w:after="0" w:line="188" w:lineRule="exact"/>
        <w:rPr>
          <w:sz w:val="20"/>
          <w:szCs w:val="20"/>
          <w:color w:val="auto"/>
        </w:rPr>
      </w:pPr>
    </w:p>
    <w:p>
      <w:pPr>
        <w:sectPr>
          <w:pgSz w:w="11900" w:h="16838" w:orient="portrait"/>
          <w:cols w:equalWidth="0" w:num="2">
            <w:col w:w="140" w:space="520"/>
            <w:col w:w="10740"/>
          </w:cols>
          <w:pgMar w:left="240" w:top="125" w:right="259" w:bottom="63" w:gutter="0" w:footer="0" w:header="0"/>
          <w:type w:val="continuous"/>
        </w:sectPr>
      </w:pPr>
    </w:p>
    <w:p>
      <w:pPr>
        <w:ind w:left="660" w:right="240" w:hanging="634"/>
        <w:spacing w:after="0" w:line="234" w:lineRule="auto"/>
        <w:tabs>
          <w:tab w:leader="none" w:pos="652"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NYMEX benchmark price of crude oil ranged from approximately $77 to $111 per barrel, $75 to $115 per barrel, and $64 to $92 per barrel during 2012, 2011, and 2010,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all periods presented, resulting from increases in volumes in the comparative 2012 and 2011 periods, as well as higher commodity prices during 2011 as compared to 2010.</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NGL marketing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Operating Revenues and Volumes. </w:t>
      </w:r>
      <w:r>
        <w:rPr>
          <w:rFonts w:ascii="Arial" w:cs="Arial" w:eastAsia="Arial" w:hAnsi="Arial"/>
          <w:sz w:val="16"/>
          <w:szCs w:val="16"/>
          <w:color w:val="auto"/>
        </w:rPr>
        <w:t>As noted in the table above, our Supply and Logistics segment revenues, net of purchases and related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gains and losses from derivative activities as summarized below, increased year-over-year for each of the comparative periods presented. Generally, the increasing production of oil and liquids-rich gas in North America has created supply and demand imbalances that have increased the volatility of historical differentials for various grades of crude oil and has also impacted the historical pricing relationship between NGL and crude oil. These market conditions are generally favorable to our supply and logistics activities. The following summarizes the more significant items in the comparative periods:</w:t>
      </w:r>
    </w:p>
    <w:p>
      <w:pPr>
        <w:spacing w:after="0" w:line="158" w:lineRule="exact"/>
        <w:rPr>
          <w:sz w:val="20"/>
          <w:szCs w:val="20"/>
          <w:color w:val="auto"/>
        </w:rPr>
      </w:pPr>
    </w:p>
    <w:p>
      <w:pPr>
        <w:ind w:left="980" w:hanging="324"/>
        <w:spacing w:after="0" w:line="271" w:lineRule="auto"/>
        <w:tabs>
          <w:tab w:leader="none" w:pos="944"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increased margins related to opportunities created in certain producing regions where crude oil production volumes exceed existing pipeline takeaway capacity and where there are associated logistics challenges. We have utilized both railcar and truck transportation to capture enhanced margins in these regions. As the infrastructure in these producing regions continues to be developed, we may not experience the same opportunities for enhanced margins as we are currently experiencing. We believe the fundamentals of our business remain strong; however, a normalization of margins may occur as the logistics challenges are addressed. (See Items 1 and 2 “Business and Properties—Description of Segments and Associated Assets—Supply &amp; Logistics Segment—Impact of Commodity Price Volatility and Dynamic Market Conditions on Our Business Model” included in Part I for further discussion regarding our business model, including diversification and utilization of our asset base among varying demand- and supply-driven markets.);</w:t>
      </w:r>
    </w:p>
    <w:p>
      <w:pPr>
        <w:spacing w:after="0" w:line="178" w:lineRule="exact"/>
        <w:rPr>
          <w:rFonts w:ascii="Arial" w:cs="Arial" w:eastAsia="Arial" w:hAnsi="Arial"/>
          <w:sz w:val="17"/>
          <w:szCs w:val="17"/>
          <w:color w:val="auto"/>
        </w:rPr>
      </w:pPr>
    </w:p>
    <w:p>
      <w:pPr>
        <w:ind w:left="940" w:hanging="284"/>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opportunities from more favorable crude oil quality differentials experienced in certain regions; and</w:t>
      </w:r>
    </w:p>
    <w:p>
      <w:pPr>
        <w:spacing w:after="0" w:line="225" w:lineRule="exact"/>
        <w:rPr>
          <w:rFonts w:ascii="Arial" w:cs="Arial" w:eastAsia="Arial" w:hAnsi="Arial"/>
          <w:sz w:val="18"/>
          <w:szCs w:val="18"/>
          <w:color w:val="auto"/>
        </w:rPr>
      </w:pPr>
    </w:p>
    <w:p>
      <w:pPr>
        <w:ind w:left="980" w:hanging="324"/>
        <w:spacing w:after="0" w:line="342" w:lineRule="auto"/>
        <w:tabs>
          <w:tab w:leader="none" w:pos="944" w:val="left"/>
        </w:tabs>
        <w:numPr>
          <w:ilvl w:val="0"/>
          <w:numId w:val="60"/>
        </w:numPr>
        <w:rPr>
          <w:rFonts w:ascii="Arial" w:cs="Arial" w:eastAsia="Arial" w:hAnsi="Arial"/>
          <w:sz w:val="16"/>
          <w:szCs w:val="16"/>
          <w:color w:val="auto"/>
        </w:rPr>
      </w:pPr>
      <w:r>
        <w:rPr>
          <w:rFonts w:ascii="Arial" w:cs="Arial" w:eastAsia="Arial" w:hAnsi="Arial"/>
          <w:sz w:val="16"/>
          <w:szCs w:val="16"/>
          <w:color w:val="auto"/>
        </w:rPr>
        <w:t>higher volumes due to continued increases in production related to the active development of crude oil and liquids-rich resource plays primarily as a result of increased drilling activities in the Permian Basin, Eagle Ford, Bakken, Western Oklahoma and Texas Panhandle producing regions.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Increases in our North American crude oil activities were partially offset by decreases in waterborne cargos in 2012. In addition, NGL sales volumes increased due to the BP NGL Acquisition; however, we realized lower NGL margins during the comparative periods presented primarily due to declining NGL prices. As a result, at points in time, NGL spot prices were less than our weighted average inventory cost.</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favorable results experienced in 2011 compared to 2010 were also impacted by (i) a more favorable market structure and (ii) increased volumes as a result of our Nexen acquisition completed in December 2010, which is primarily associated with the Bakken resource play.</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Impact from derivative activities</w:t>
      </w:r>
      <w:r>
        <w:rPr>
          <w:rFonts w:ascii="Arial" w:cs="Arial" w:eastAsia="Arial" w:hAnsi="Arial"/>
          <w:sz w:val="18"/>
          <w:szCs w:val="18"/>
          <w:color w:val="auto"/>
        </w:rPr>
        <w:t>. The impact of the mark-to-market valuation of our derivative activities, net of inventory valuation adjustments,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was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Twelve Months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99"/>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2012-2011</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98"/>
              </w:rPr>
              <w:t>2011-2010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Gains/(losses) from derivative activities</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63" w:gutter="0" w:footer="0" w:header="0"/>
          <w:type w:val="continuous"/>
        </w:sectPr>
      </w:pPr>
    </w:p>
    <w:bookmarkStart w:id="59" w:name="page60"/>
    <w:bookmarkEnd w:id="59"/>
    <w:p>
      <w:pPr>
        <w:ind w:left="400" w:hanging="392"/>
        <w:spacing w:after="0" w:line="273" w:lineRule="auto"/>
        <w:tabs>
          <w:tab w:leader="none" w:pos="390"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Consolidated Financial Statements for a comprehensive discussion regarding our derivatives and risk management activities.</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and General and Administrative Expenses. </w:t>
      </w:r>
      <w:r>
        <w:rPr>
          <w:rFonts w:ascii="Arial" w:cs="Arial" w:eastAsia="Arial" w:hAnsi="Arial"/>
          <w:sz w:val="18"/>
          <w:szCs w:val="18"/>
          <w:color w:val="auto"/>
        </w:rPr>
        <w:t>Field operating costs and general and administrative expenses (excluding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expenses) increased year-over-year for each of the comparative periods primarily due to increased costs to truck lease-gathered volumes, particularly in West Texas, Oklahoma and the Rockies.</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(excluding equity compensation as discussed below) increased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comparative periods presented, primarily as a result of the overall growth of the segment and legal fees associated with certain outstanding issues.</w:t>
      </w:r>
    </w:p>
    <w:p>
      <w:pPr>
        <w:spacing w:after="0" w:line="12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Equity Compensation Expense. </w:t>
      </w:r>
      <w:r>
        <w:rPr>
          <w:rFonts w:ascii="Arial" w:cs="Arial" w:eastAsia="Arial" w:hAnsi="Arial"/>
          <w:sz w:val="18"/>
          <w:szCs w:val="18"/>
          <w:color w:val="auto"/>
        </w:rPr>
        <w:t>On a consolidated basis, equity compensation expense decreased during 2012 as compared to 2011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2011 as compared to 2010. See the discussion regarding such variances under “— Transportation Segment” above. Also, see Note 15 to our Consolidated Financial Statements for additional information regarding our equity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Depreciation and amortization expense was approximately $482 million for the year ended December 31, 2012 compared to $249 million and $256 million for the years ended December 31, 2011 and 2010, respectively. Included in depreciation and amortization expense for the 2012 period are losses on impairments of long-lived assets of approximately $168 million, primarily related to our Pier 400 terminal project and the anticipated sale of certain refined products pipeline systems and related assets. See Note 6 to our Consolidated Financial Statements for further discussion of asset impairments. The remaining increase for the 2012 period was primarily the result of an increased amount of assets resulting from acquisition activities, including accelerated amortization of certain intangible assets associated with our BP NGL Acquisition, as well as various internal growth projects in both years. Such increases were partially offset by a decrease in expense resulting from extensions of depreciable lives of several of our crude oil and other storage facilities and pipeline systems, as discussed further below, as well as a net gain of approximately $6 million recognized upon disposition of certain assets.</w:t>
      </w:r>
    </w:p>
    <w:p>
      <w:pPr>
        <w:spacing w:after="0" w:line="166"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Included in depreciation expense are reductions resulting from extensions of the depreciable lives of several of our crude oil and other storage facilities and pipeline systems. The extension of depreciable lives is based on a prior year internal review to assess the useful lives of our property and equipment and to adjust those lives, if appropriate, to reflect current expectations given actual experience and technology. These depreciable life extensions have reduced depreciation expense prospectively as various phases of the review were completed. For the years ended December 31, 2012, 2011 and 2010, these extensions reduced depreciation expense by $73 million (incrementally $13 million more than the previous year), $60 million (incrementally $37 million more than the previous year) and $23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Included in depreciation expense for the years ended December 31, 2011 and 2010 are net losses of approximately $11 million and $13 million, respectively, recognized upon disposition of certain assets and on impairments for assets taken out of service.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Interest expense increased by approximately $35 million and $5 million for the years ended December 31, 2012 and 2011, respectively, over the previous year. Interest expense is primarily impacted by:</w:t>
      </w:r>
    </w:p>
    <w:p>
      <w:pPr>
        <w:spacing w:after="0" w:line="170" w:lineRule="exact"/>
        <w:rPr>
          <w:sz w:val="20"/>
          <w:szCs w:val="20"/>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2012 and 2011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LIBOR Rate</w:t>
            </w: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2010</w:t>
            </w:r>
          </w:p>
        </w:tc>
        <w:tc>
          <w:tcPr>
            <w:tcW w:w="1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(2) (4)</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(3) (5)</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Impact of capitalized interest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credit facilities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(8)</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Interest expense for the year ended December 31, 2011</w:t>
            </w:r>
          </w:p>
        </w:tc>
        <w:tc>
          <w:tcPr>
            <w:tcW w:w="8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vMerge w:val="restart"/>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(6)</w:t>
            </w: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(5) (7)</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capitalized interest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Impact of credit facilities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(8)</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0"/>
                <w:szCs w:val="20"/>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0"/>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2012</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0.2%</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ectPr>
          <w:pgSz w:w="11900" w:h="16838" w:orient="portrait"/>
          <w:cols w:equalWidth="0" w:num="1">
            <w:col w:w="11420"/>
          </w:cols>
          <w:pgMar w:left="240" w:top="125" w:right="239" w:bottom="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2010, we redeemed our outstanding $175 million, 6.25% senior notes due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2010, we completed the issuance of $400 million of 3.95% senior notes due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2011, we redeemed our outstanding $200 million, 7.75% senior notes due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2011, we completed the issuance of $600 million of 5.00% senior notes due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our $500 million, 4.25% senior notes due 2012 matured.</w:t>
      </w:r>
    </w:p>
    <w:p>
      <w:pPr>
        <w:spacing w:after="0" w:line="225" w:lineRule="exact"/>
        <w:rPr>
          <w:sz w:val="20"/>
          <w:szCs w:val="20"/>
          <w:color w:val="auto"/>
        </w:rPr>
      </w:pPr>
    </w:p>
    <w:p>
      <w:pPr>
        <w:ind w:left="20" w:right="60" w:hanging="11"/>
        <w:spacing w:after="0" w:line="342" w:lineRule="auto"/>
        <w:rPr>
          <w:sz w:val="20"/>
          <w:szCs w:val="20"/>
          <w:color w:val="auto"/>
        </w:rPr>
      </w:pPr>
      <w:r>
        <w:rPr>
          <w:rFonts w:ascii="Arial" w:cs="Arial" w:eastAsia="Arial" w:hAnsi="Arial"/>
          <w:sz w:val="16"/>
          <w:szCs w:val="16"/>
          <w:color w:val="auto"/>
        </w:rPr>
        <w:t>In March 2012, we completed the issuance of $750 million of 3.65% senior notes due 2022 and $500 million of 5.15% senior notes due 2042, and in December 2012, we completed the issuance of $400 million of 2.85% senior notes due 2023 and $350 million of 4.30% senior notes due 2043.</w:t>
      </w:r>
    </w:p>
    <w:p>
      <w:pPr>
        <w:spacing w:after="0" w:line="124" w:lineRule="exact"/>
        <w:rPr>
          <w:sz w:val="20"/>
          <w:szCs w:val="20"/>
          <w:color w:val="auto"/>
        </w:rPr>
      </w:pPr>
    </w:p>
    <w:p>
      <w:pPr>
        <w:jc w:val="both"/>
        <w:ind w:left="20" w:right="480" w:hanging="11"/>
        <w:spacing w:after="0" w:line="286" w:lineRule="auto"/>
        <w:rPr>
          <w:sz w:val="20"/>
          <w:szCs w:val="20"/>
          <w:color w:val="auto"/>
        </w:rPr>
      </w:pPr>
      <w:r>
        <w:rPr>
          <w:rFonts w:ascii="Arial" w:cs="Arial" w:eastAsia="Arial" w:hAnsi="Arial"/>
          <w:sz w:val="17"/>
          <w:szCs w:val="17"/>
          <w:color w:val="auto"/>
        </w:rPr>
        <w:t>Interest costs attributable to borrowings for hedged crude oil and NGL inventory are included in purchases and related costs in our Supply and Logistics segment profit as we consider interest on these borrowings a direct cost to storing the inventory. These costs were approximately $12 million, $20 million and $17 million for the years ended December 31, 2012, 2011, and 2010, respectively.</w:t>
      </w:r>
    </w:p>
    <w:p>
      <w:pPr>
        <w:spacing w:after="0" w:line="16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Other income/(expense), net for the year ended December 31, 2012 was primarily impacted by foreign currency gains related to revaluations of CAD-denominated interest receivables associated with our intercompany notes and the impact of related foreign currency hedges.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2011 period included (i) a loss of approximately $23 million that was recognized in conjunction with the early redemption of our $200 million, 7.75% senior notes in February 2011 and (ii) a net gain of approximately $4 million related to foreign currency revaluations of CAD-denominated interest receivables associated with intercompany notes and the impact of related foreign currency hedges.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Other income/(expense), net for the year ended December 31, 2010 was primarily related to (i) a loss of approximately $6 million recognized in connection with the early redemption of our $175 million, 6.25% senior notes, (ii) the revaluation of contingent consideration related to our PNGS acquisition of approximately $2 million and (iii) a net loss of approximately $2 million related to the foreign currency revaluation of a CAD-denominated interest receivable associated with an intercompany note and the impact of related foreign currency hedges.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Income tax expense for the year ended December 31, 2012 compared to the year ended December 31, 2011, even with a slight decrease in the combined Canadian federal and provincial rates for 2012, increased primarily as a result of the BP NGL Acquisition which increased the proportion of earnings subject to Canadian federal and provincial taxes. Canadian withholding taxes also increased on interest and dividends from our Canadian entities to other affiliates. These Canadian withholding taxes are due as payments occur.</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Income tax expense increased for year ended December 31, 2011 compared to the year ended December 31, 2010 primarily due to an increase in the level of taxable earnings in our entities subject to Canadian federal and provincial taxes. As a result of Canadian tax legislation changes, we restructured our Canadian investment on January 1, 2011 and all of our Canadian operations were subject to Canadian corporate tax at a rate of approximately 27% in 2011. In addition, payments of interest and dividends from our Canadian entities to other affiliates are subject to Canadian withholding tax which is also treated as income tax expense. Previously, a portion of the activities were conducted in a flow-through entity that was not subject to entity-level taxation.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Although the U.S. and European economies remain weak and face significant uncertainties, on balance, we believe current and foreseeable U.S. energy industry fundamentals are favorable for PAA’s asset base and business model. On the negative side, U.S. petroleum consumption has averaged around 19.0 million barrels per day for the last several years, a level that is approximately 8% below levels experienced from 2005 to 2007. Conversely, as a result of attractive crude oil and liquids prices, advances in drilling and completion techniques and their application to a number of large-scale shale and resource plays, U.S. crude oil and liquids production has increased in multiple regions in the lower 48 states. This production increase represents a reversal of multiple decades of declining production levels. A significant portion of these U.S. drilling activities is focused in areas where we have a significant asset presence, increasing the utilization of our existing assets as well as providing multiple opportunities to expand and extend our existing asset base on attractive terms.</w:t>
      </w:r>
    </w:p>
    <w:p>
      <w:pPr>
        <w:spacing w:after="0" w:line="16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Additionally, the crude oil market has experienced volatility in location and quality differentials as a result of infrastructure constraints in North America and international supply concerns. During 2012 and 2011, these market conditions had a positive impact on our profitability as our business strategy and asset base positioned us to capitalize on opportunities available in a volatile environment. While we do not believe that these market conditions will persist at the 2012 levels, we believe the crude oil market will be volatile and we will have the opportunity to optimize the use of our existing assets.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61" w:name="page62"/>
    <w:bookmarkEnd w:id="61"/>
    <w:p>
      <w:pPr>
        <w:ind w:right="40" w:firstLine="648"/>
        <w:spacing w:after="0" w:line="302" w:lineRule="auto"/>
        <w:rPr>
          <w:sz w:val="20"/>
          <w:szCs w:val="20"/>
          <w:color w:val="auto"/>
        </w:rPr>
      </w:pPr>
      <w:r>
        <w:rPr>
          <w:rFonts w:ascii="Arial" w:cs="Arial" w:eastAsia="Arial" w:hAnsi="Arial"/>
          <w:sz w:val="16"/>
          <w:szCs w:val="16"/>
          <w:color w:val="auto"/>
        </w:rPr>
        <w:t>There can be no assurance that U.S. production increases will continue or that we will not be negatively affected by potential volatility or challenging capital markets conditions. Additionally, construction of additional infrastructure by us and our competitors will likely reduce the infrastructure constraints, which will ultimately reduce unit margins in our Supply and Logistics segments, and we cannot be certain that our expansion efforts will generate targeted returns or that any future acquisition activities will be successful. See Item 1A. “Risk Factors - Risks Related to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primary sources of liquidity are (i) our cash flow from operations as further discussed below in the section entitled “—Cash Flow from Operations,” (ii) borrowings under our credit facilities and (iii) funds received from sales of equity and debt securities.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w:t>
      </w:r>
    </w:p>
    <w:p>
      <w:pPr>
        <w:spacing w:after="0" w:line="2" w:lineRule="exact"/>
        <w:rPr>
          <w:sz w:val="20"/>
          <w:szCs w:val="20"/>
          <w:color w:val="auto"/>
        </w:rPr>
      </w:pPr>
    </w:p>
    <w:p>
      <w:pPr>
        <w:ind w:right="20" w:firstLine="8"/>
        <w:spacing w:after="0" w:line="252" w:lineRule="auto"/>
        <w:tabs>
          <w:tab w:leader="none" w:pos="3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and refinancing our long-term debt, through a variety of sources (either separately or in combination), which may include operating cash flows, borrowings under our credit facilities, and/or the issuance of additional equity or debt securities. As of December 31, 2012, we had a working capital deficit of approximately $36 million and approximately $2.4 billion of liquidity available to meet our ongoing operational, investing and finance needs as noted below (in millions):</w:t>
      </w:r>
    </w:p>
    <w:p>
      <w:pPr>
        <w:sectPr>
          <w:pgSz w:w="11900" w:h="16838" w:orient="portrait"/>
          <w:cols w:equalWidth="0" w:num="1">
            <w:col w:w="11420"/>
          </w:cols>
          <w:pgMar w:left="240" w:top="125" w:right="239" w:bottom="13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Availability under PAA senior unsecured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9770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Availability under PAA senior secured hedged inventory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Availability under PNG senior unsecured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99770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99770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December 31, 2012</w:t>
      </w:r>
    </w:p>
    <w:p>
      <w:pPr>
        <w:spacing w:after="0" w:line="9" w:lineRule="exact"/>
        <w:rPr>
          <w:sz w:val="20"/>
          <w:szCs w:val="20"/>
          <w:color w:val="auto"/>
        </w:rPr>
      </w:pPr>
    </w:p>
    <w:p>
      <w:pPr>
        <w:ind w:left="960" w:hanging="950"/>
        <w:spacing w:after="0"/>
        <w:tabs>
          <w:tab w:leader="none" w:pos="9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1,488</w:t>
      </w:r>
    </w:p>
    <w:p>
      <w:pPr>
        <w:spacing w:after="0" w:line="42"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730</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168</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6"/>
          <w:szCs w:val="16"/>
          <w:color w:val="auto"/>
        </w:rPr>
        <w:t>24</w:t>
      </w:r>
    </w:p>
    <w:p>
      <w:pPr>
        <w:spacing w:after="0" w:line="32" w:lineRule="exact"/>
        <w:rPr>
          <w:sz w:val="20"/>
          <w:szCs w:val="20"/>
          <w:color w:val="auto"/>
        </w:rPr>
      </w:pPr>
    </w:p>
    <w:p>
      <w:pPr>
        <w:ind w:left="960" w:hanging="950"/>
        <w:spacing w:after="0"/>
        <w:tabs>
          <w:tab w:leader="none" w:pos="9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8578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8840" w:space="720"/>
            <w:col w:w="1860"/>
          </w:cols>
          <w:pgMar w:left="240" w:top="125" w:right="239" w:bottom="130" w:gutter="0" w:footer="0" w:header="0"/>
          <w:type w:val="continuous"/>
        </w:sectPr>
      </w:pPr>
    </w:p>
    <w:p>
      <w:pPr>
        <w:spacing w:after="0" w:line="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is subject to ongoing compliance with covenants. We are currently in compliance with all covenants.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primary drivers of cash flow from our operations are (i) the collection of amounts related to the sale of crude oil and other products, the transportation of crude oil and other products for a fee, and storage and terminalling services provided for a fee and (ii) the payment of amounts related to the purchase of crude oil and other products and other expenses, principally field operating costs, general and administrative expenses and interest expense.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or long-term inventory. In addition, our cash flow from operations may be impacted by the timing of settlement of our derivative activities. Gains and losses from settled instruments that qualify as effective cash flow hedges are deferred in AOCI, but may impact operating cash flow in the period settled.</w:t>
      </w:r>
    </w:p>
    <w:p>
      <w:pPr>
        <w:spacing w:after="0" w:line="17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our credit facilities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 may rely on our credit facilities to pay for the inventory or linefill.</w:t>
      </w:r>
    </w:p>
    <w:p>
      <w:pPr>
        <w:spacing w:after="0" w:line="154" w:lineRule="exact"/>
        <w:rPr>
          <w:sz w:val="20"/>
          <w:szCs w:val="20"/>
          <w:color w:val="auto"/>
        </w:rPr>
      </w:pPr>
    </w:p>
    <w:p>
      <w:pPr>
        <w:ind w:right="80" w:firstLine="720"/>
        <w:spacing w:after="0" w:line="273" w:lineRule="auto"/>
        <w:rPr>
          <w:sz w:val="20"/>
          <w:szCs w:val="20"/>
          <w:color w:val="auto"/>
        </w:rPr>
      </w:pPr>
      <w:r>
        <w:rPr>
          <w:rFonts w:ascii="Arial" w:cs="Arial" w:eastAsia="Arial" w:hAnsi="Arial"/>
          <w:sz w:val="17"/>
          <w:szCs w:val="17"/>
          <w:color w:val="auto"/>
        </w:rPr>
        <w:t>Net cash provided by operating activities for the twelve months ended December 31, 2012 was approximately $1.2 billion. The cash provided by operating activities reflects cash generated by our recurring operations, and is also significantly impacted in periods when we are increasing or decreasing the amount of inventory in storage as discussed above. During 2012, we increased the amount of our crude oil inventory, which was primarily financed through borrowings under our credit facilities as well as through our $250 million senior notes that are currently classified as “Short-term debt” on our Consolidated Balance Sheet. During the year, we also increased the amount of our NGL inventory; however, these volumetric increases were offset by lower prices for such inventory stored at the end of the year compared to prior year amounts.</w:t>
      </w:r>
    </w:p>
    <w:p>
      <w:pPr>
        <w:spacing w:after="0" w:line="178" w:lineRule="exact"/>
        <w:rPr>
          <w:sz w:val="20"/>
          <w:szCs w:val="20"/>
          <w:color w:val="auto"/>
        </w:rPr>
      </w:pPr>
    </w:p>
    <w:p>
      <w:pPr>
        <w:ind w:right="60" w:firstLine="720"/>
        <w:spacing w:after="0" w:line="257" w:lineRule="auto"/>
        <w:rPr>
          <w:sz w:val="20"/>
          <w:szCs w:val="20"/>
          <w:color w:val="auto"/>
        </w:rPr>
      </w:pPr>
      <w:r>
        <w:rPr>
          <w:rFonts w:ascii="Arial" w:cs="Arial" w:eastAsia="Arial" w:hAnsi="Arial"/>
          <w:sz w:val="18"/>
          <w:szCs w:val="18"/>
          <w:color w:val="auto"/>
        </w:rPr>
        <w:t>Net cash provided by operating activities for the twelve months ended December 31, 2011 was approximately $2.4 billion. During 2011, we reduced our overall inventory levels resulting in a positive impact to operating cash flow. The reduction in our crude oil inventory levels was primarily due to liquidating a certain amount of inventory that had been stored in the contango market, which primarily began liquidating during the latter portion of the second quarter of 2011, as well as liquidating the inventory stored through our waterborne cargo purchase activity, which occurred throughout the third and fourth quarters of 2011.</w:t>
      </w:r>
    </w:p>
    <w:p>
      <w:pPr>
        <w:sectPr>
          <w:pgSz w:w="11900" w:h="16838" w:orient="portrait"/>
          <w:cols w:equalWidth="0" w:num="1">
            <w:col w:w="11420"/>
          </w:cols>
          <w:pgMar w:left="240" w:top="125" w:right="239" w:bottom="130" w:gutter="0" w:footer="0" w:header="0"/>
          <w:type w:val="continuous"/>
        </w:sectPr>
      </w:pPr>
    </w:p>
    <w:bookmarkStart w:id="62" w:name="page63"/>
    <w:bookmarkEnd w:id="62"/>
    <w:p>
      <w:pPr>
        <w:ind w:right="480" w:firstLine="648"/>
        <w:spacing w:after="0" w:line="259" w:lineRule="auto"/>
        <w:rPr>
          <w:sz w:val="20"/>
          <w:szCs w:val="20"/>
          <w:color w:val="auto"/>
        </w:rPr>
      </w:pPr>
      <w:r>
        <w:rPr>
          <w:rFonts w:ascii="Arial" w:cs="Arial" w:eastAsia="Arial" w:hAnsi="Arial"/>
          <w:sz w:val="18"/>
          <w:szCs w:val="18"/>
          <w:color w:val="auto"/>
        </w:rPr>
        <w:t>Net cash provided by operating activities for the twelve months ended December 31, 2010 was approximately $259 million. During 2010, we increased the amount of our inventory. The increases were due to both increased volumes and prices and were primarily related to our crude oil storage activities and our NGL activities. The net increased levels of inventory were financed through borrowings under our credit facilities and senior notes issuances resulting in a negative impact to our operating cash flow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Indentures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PAA senior secured hedged inventory facility. </w:t>
      </w:r>
      <w:r>
        <w:rPr>
          <w:rFonts w:ascii="Arial" w:cs="Arial" w:eastAsia="Arial" w:hAnsi="Arial"/>
          <w:sz w:val="17"/>
          <w:szCs w:val="17"/>
          <w:color w:val="auto"/>
        </w:rPr>
        <w:t>In June 2012, we amended our senior secured hedged inventory facility which,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 Proceeds from this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 At December 31, 2012, we had approximately $730 million of available borrowing capacity under our $1.4 billion committed hedged inventory facility. Of the capacity we utilized at December 31, 2012, approximately $5 million was associated with outstanding letters of credit and the remainder was borrowed.</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PNG senior unsecured revolving credit facility. </w:t>
      </w:r>
      <w:r>
        <w:rPr>
          <w:rFonts w:ascii="Arial" w:cs="Arial" w:eastAsia="Arial" w:hAnsi="Arial"/>
          <w:sz w:val="16"/>
          <w:szCs w:val="16"/>
          <w:color w:val="auto"/>
        </w:rPr>
        <w:t>In June 2012, PNG partially exercised the accordion feature of its original senior unsecured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maturity date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August 2016 and the GO Bond mandatory put date of its two $100 million GO Bond term loans, as defined in such amendment, in each case subject to lender approvals. Borrowings under the revolving credit facility accrue interest, at PNG’s election, on either the Eurodollar 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 At December 31, 2012, PNG had approximately $168 million of available borrowing capacity under the revolving credit facility. Of the capacity we utilized at December 31, 2012, less than $1 million was associated with outstanding letters of credit and the remainder was borrowed. This credit facility restricts, among other things, PNG’s ability to make distributions of available cash to unitholders if any default or event of default, as defined in the credit agreement, exists or would result therefrom. In addition, the credit facility contains certain financial and other restrictive covenants.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PAA senior unsecured revolving credit facility. </w:t>
      </w:r>
      <w:r>
        <w:rPr>
          <w:rFonts w:ascii="Arial" w:cs="Arial" w:eastAsia="Arial" w:hAnsi="Arial"/>
          <w:sz w:val="18"/>
          <w:szCs w:val="18"/>
          <w:color w:val="auto"/>
        </w:rPr>
        <w:t>In August 2011, we entered into an unsecured revolving credit agreement with a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 At December 31, 2012, we had approximately $1.5 billion of available borrowing capacity under our $1.6 billion committed revolving credit facility. Of the capacity we utilized at December 31, 2012, approximately $19 million was associated with outstanding letters of credit and the remainder was borrowed.</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Indentures. </w:t>
      </w:r>
      <w:r>
        <w:rPr>
          <w:rFonts w:ascii="Arial" w:cs="Arial" w:eastAsia="Arial" w:hAnsi="Arial"/>
          <w:sz w:val="18"/>
          <w:szCs w:val="18"/>
          <w:color w:val="auto"/>
        </w:rPr>
        <w:t>We had several issues of senior debt outstanding at December 31, 2012 that totaled approximately $6.3 billion, excluding premium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range in size from $150 million to $750 million and mature at various dates between 2013 and 2043.</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credit agreements and the indentures governing our senior notes contain cross-default provisions. A default under our credit facilities would permit the lenders to accelerate the maturity of the outstanding debt. As long as we are in compliance with the provisions in our credit agreements, our ability to make distributions of available cash is not restricted. We are currently in compliance with the covenants contained in our credit agreements and indentures. See Note 9 to our Consolidated Financial Statements for additional discussion regarding our credit facilities and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financing activities primarily relate to funding acquisitions and internal capital projects, and short-term working capital and hedged inventory borrowings related to our NGL business and contango market activities, as well as refinancing of our debt maturities. Our financing activities have primarily consisted of equity offerings, senior notes offerings and borrowings and repayments under our credit facilities.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$2.0 billion of debt or equity securities (“Traditional Shelf”). All issuances of equity securities associated with our continuous offering programs, as discussed further below, have been issued pursuant to the Traditional Shelf. At December 31, 2012, we had approximately $1.9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March 2012 offering of $750 million, 3.65% senior notes due 2022 and $500 million, 5.15% senior notes due 2042, our December 2012 offering of $400 million, 2.85% senior notes due 2023 and $350 million, 4.30% senior notes due 2043, as well as our March 2012 equity offering, as discussed further below, were all conducted under the WKSI Shelf.</w:t>
      </w:r>
    </w:p>
    <w:p>
      <w:pPr>
        <w:spacing w:after="0" w:line="16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PNG has filed with the SEC a universal shelf registration statement that, subject to effectiveness at the time of use, allows PNG to issue up to an aggregate of $1.0 billion of debt or equity securities. PNG has not issued any securities under its shelf registration statement.</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August 2011, Vulcan Energy Corporation completed a secondary public offering of 15.0 million common units representing limited partner interests in us at $30.55 per common unit, as adjusted for the two-for-one unit split. We did not receive any of the proceeds from the offering, and the number of PAA common units outstanding did not change as a result of this transaction. The secondary offering was not conducted under our Traditional Shelf or WKSI Shelf, but was conducted under a previously filed resale shelf registration statement.</w:t>
      </w:r>
    </w:p>
    <w:p>
      <w:pPr>
        <w:sectPr>
          <w:pgSz w:w="11900" w:h="16838" w:orient="portrait"/>
          <w:cols w:equalWidth="0" w:num="1">
            <w:col w:w="11420"/>
          </w:cols>
          <w:pgMar w:left="240" w:top="125" w:right="239" w:bottom="0" w:gutter="0" w:footer="0" w:header="0"/>
        </w:sectPr>
      </w:pPr>
    </w:p>
    <w:bookmarkStart w:id="63" w:name="page64"/>
    <w:bookmarkEnd w:id="63"/>
    <w:p>
      <w:pPr>
        <w:ind w:firstLine="648"/>
        <w:spacing w:after="0" w:line="297" w:lineRule="auto"/>
        <w:rPr>
          <w:sz w:val="20"/>
          <w:szCs w:val="20"/>
          <w:color w:val="auto"/>
        </w:rPr>
      </w:pPr>
      <w:r>
        <w:rPr>
          <w:rFonts w:ascii="Arial" w:cs="Arial" w:eastAsia="Arial" w:hAnsi="Arial"/>
          <w:sz w:val="16"/>
          <w:szCs w:val="16"/>
          <w:i w:val="1"/>
          <w:iCs w:val="1"/>
          <w:color w:val="auto"/>
        </w:rPr>
        <w:t>Continuous Offering Programs</w:t>
      </w:r>
      <w:r>
        <w:rPr>
          <w:rFonts w:ascii="Arial" w:cs="Arial" w:eastAsia="Arial" w:hAnsi="Arial"/>
          <w:sz w:val="16"/>
          <w:szCs w:val="16"/>
          <w:color w:val="auto"/>
        </w:rPr>
        <w:t>. On May 9, 2012, we entered into an equity distribution agreement with respect to the offer and sale,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agent, of common units representing limited partner interests having an aggregate offering price of up to $300 million. The final sales under this equity distribution agreement occurred during September 2012. Under this agreement, we sold an aggregate of approximately 7.2 million common units, as adjusted for the two-for-one unit split, generating proceeds of approximately $302 million, including our general partner’s proportionate capital contribution, net of approximately $4 million of commissions to our sales agent. The net proceeds from sales were used for general partnership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September 13, 2012, we entered into an additional equity distribution agreement with several financial institutions pursuant to which we may offer and sell, through our sales agents, common units representing limited partner interests having an aggregate offering price of up to $500 million. Sales of such common units will be made by means of ordinary brokers’ transactions on the NYSE at market prices, in block transactions or as otherwise agreed upon by our sales agent and us. Under the terms of the agreement, we have the option to sell common units to any of our sales agents as principal for its own account at a price to be agreed upon at the time of the sale. For any such sales, we will enter into a separate terms agreement with the sales agent.</w:t>
      </w:r>
    </w:p>
    <w:p>
      <w:pPr>
        <w:spacing w:after="0" w:line="15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Through December 31, 2012, we sold an aggregate of approximately 4.8 million common units, as adjusted for the two-for-one unit split, under this agreement, generating proceeds of approximately $222 million, including our general partner’s proportionate capital contribution, net of approximately $2 million of commissions to our sales agents. The net proceeds from sales were used for general partnership purposes.</w:t>
      </w:r>
    </w:p>
    <w:p>
      <w:pPr>
        <w:spacing w:after="0" w:line="16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Underwritten PAA Equity Offerings. </w:t>
      </w:r>
      <w:r>
        <w:rPr>
          <w:rFonts w:ascii="Arial" w:cs="Arial" w:eastAsia="Arial" w:hAnsi="Arial"/>
          <w:sz w:val="16"/>
          <w:szCs w:val="16"/>
          <w:color w:val="auto"/>
        </w:rPr>
        <w:t>We completed underwritten equity offerings during 2012, 2011, and 2010 as summarized in the table below</w:t>
      </w:r>
      <w:r>
        <w:rPr>
          <w:rFonts w:ascii="Arial" w:cs="Arial" w:eastAsia="Arial" w:hAnsi="Arial"/>
          <w:sz w:val="16"/>
          <w:szCs w:val="16"/>
          <w:i w:val="1"/>
          <w:iCs w:val="1"/>
          <w:color w:val="auto"/>
        </w:rPr>
        <w:t xml:space="preserve"> </w:t>
      </w:r>
      <w:r>
        <w:rPr>
          <w:rFonts w:ascii="Arial" w:cs="Arial" w:eastAsia="Arial" w:hAnsi="Arial"/>
          <w:sz w:val="16"/>
          <w:szCs w:val="16"/>
          <w:color w:val="auto"/>
        </w:rPr>
        <w:t>(net proceeds in millions). These offerings include our general partner’s proportionate capital contributions and are net of costs associated with the offerings.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 xml:space="preserve">Net Proceeds </w:t>
            </w:r>
            <w:r>
              <w:rPr>
                <w:rFonts w:ascii="Arial" w:cs="Arial" w:eastAsia="Arial" w:hAnsi="Arial"/>
                <w:sz w:val="8"/>
                <w:szCs w:val="8"/>
                <w:b w:val="1"/>
                <w:bCs w:val="1"/>
                <w:color w:val="auto"/>
                <w:w w:val="96"/>
              </w:rPr>
              <w:t>(1)</w:t>
            </w:r>
          </w:p>
        </w:tc>
      </w:tr>
      <w:tr>
        <w:trPr>
          <w:trHeight w:val="210"/>
        </w:trPr>
        <w:tc>
          <w:tcPr>
            <w:tcW w:w="7240" w:type="dxa"/>
            <w:vAlign w:val="bottom"/>
            <w:tcBorders>
              <w:top w:val="single" w:sz="8" w:color="auto"/>
            </w:tcBorders>
            <w:shd w:val="clear" w:color="auto" w:fill="CCEEFF"/>
          </w:tcPr>
          <w:p>
            <w:pPr>
              <w:jc w:val="right"/>
              <w:ind w:right="6614"/>
              <w:spacing w:after="0"/>
              <w:rPr>
                <w:sz w:val="20"/>
                <w:szCs w:val="20"/>
                <w:color w:val="auto"/>
              </w:rPr>
            </w:pPr>
            <w:r>
              <w:rPr>
                <w:rFonts w:ascii="Arial" w:cs="Arial" w:eastAsia="Arial" w:hAnsi="Arial"/>
                <w:sz w:val="18"/>
                <w:szCs w:val="18"/>
                <w:color w:val="auto"/>
              </w:rPr>
              <w:t>2012</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jc w:val="right"/>
              <w:ind w:right="6614"/>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27,870,000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r>
      <w:tr>
        <w:trPr>
          <w:trHeight w:val="216"/>
        </w:trPr>
        <w:tc>
          <w:tcPr>
            <w:tcW w:w="7240" w:type="dxa"/>
            <w:vAlign w:val="bottom"/>
            <w:shd w:val="clear" w:color="auto" w:fill="CCEEFF"/>
          </w:tcPr>
          <w:p>
            <w:pPr>
              <w:jc w:val="right"/>
              <w:ind w:right="6614"/>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67" w:lineRule="auto"/>
        <w:tabs>
          <w:tab w:leader="none" w:pos="648"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We used the net proceeds to reduce outstanding borrowings under our credit facilities and for general partnership purposes. Amounts repaid under our credit facilities may be reborrowed to fund our ongoing capital program, potential future acquisitions or for general partnership purposes.</w:t>
      </w:r>
    </w:p>
    <w:p>
      <w:pPr>
        <w:spacing w:after="0" w:line="17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PNG Equity Offerings. </w:t>
      </w:r>
      <w:r>
        <w:rPr>
          <w:rFonts w:ascii="Arial" w:cs="Arial" w:eastAsia="Arial" w:hAnsi="Arial"/>
          <w:sz w:val="17"/>
          <w:szCs w:val="17"/>
          <w:color w:val="auto"/>
        </w:rPr>
        <w:t>On May 5, 2010, PNG completed its IPO of 13.5 million common units representing limited partner interests at $21.50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 for total proceeds of approximately $268 million. Additionally, in conjunction with the Southern Pines Acquisition, PNG completed a private placement of 17.4 million common units to third parties for net proceeds of approximately $370 million, and the sale to us of approximately 10.2 million PNG common units for approximately $230 million, including our proportionate general partner contribution of $12 million. Our aggregate ownership interest in PNG is approximately 64%. See Note 10 to our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During the last three years we issued senior unsecured notes as summarized in the table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080" w:type="dxa"/>
            <w:vAlign w:val="bottom"/>
            <w:gridSpan w:val="2"/>
          </w:tcPr>
          <w:p>
            <w:pPr>
              <w:ind w:left="210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Face Value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Net Proceeds</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18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2.85% Senior Notes issued at 99.752% of face value </w:t>
            </w:r>
            <w:r>
              <w:rPr>
                <w:rFonts w:ascii="Arial" w:cs="Arial" w:eastAsia="Arial" w:hAnsi="Arial"/>
                <w:sz w:val="23"/>
                <w:szCs w:val="23"/>
                <w:color w:val="auto"/>
                <w:vertAlign w:val="superscript"/>
              </w:rPr>
              <w:t>(2)</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2023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5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4.30% Senior Notes issued at 99.925% of face value </w:t>
            </w:r>
            <w:r>
              <w:rPr>
                <w:rFonts w:ascii="Arial" w:cs="Arial" w:eastAsia="Arial" w:hAnsi="Arial"/>
                <w:sz w:val="23"/>
                <w:szCs w:val="23"/>
                <w:color w:val="auto"/>
                <w:vertAlign w:val="superscript"/>
              </w:rPr>
              <w:t>(2)</w:t>
            </w:r>
          </w:p>
        </w:tc>
        <w:tc>
          <w:tcPr>
            <w:tcW w:w="1660" w:type="dxa"/>
            <w:vAlign w:val="bottom"/>
            <w:gridSpan w:val="2"/>
          </w:tcPr>
          <w:p>
            <w:pPr>
              <w:spacing w:after="0"/>
              <w:rPr>
                <w:sz w:val="20"/>
                <w:szCs w:val="20"/>
                <w:color w:val="auto"/>
              </w:rPr>
            </w:pPr>
            <w:r>
              <w:rPr>
                <w:rFonts w:ascii="Arial" w:cs="Arial" w:eastAsia="Arial" w:hAnsi="Arial"/>
                <w:sz w:val="18"/>
                <w:szCs w:val="18"/>
                <w:color w:val="auto"/>
              </w:rPr>
              <w:t>January 2043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3.65% Senior Notes issued at 99.823% of face value </w:t>
            </w:r>
            <w:r>
              <w:rPr>
                <w:rFonts w:ascii="Arial" w:cs="Arial" w:eastAsia="Arial" w:hAnsi="Arial"/>
                <w:sz w:val="23"/>
                <w:szCs w:val="23"/>
                <w:color w:val="auto"/>
                <w:vertAlign w:val="superscript"/>
              </w:rPr>
              <w:t>(3)</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5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5.15% Senior Notes issued at 99.755% of face value </w:t>
            </w:r>
            <w:r>
              <w:rPr>
                <w:rFonts w:ascii="Arial" w:cs="Arial" w:eastAsia="Arial" w:hAnsi="Arial"/>
                <w:sz w:val="23"/>
                <w:szCs w:val="23"/>
                <w:color w:val="auto"/>
                <w:vertAlign w:val="superscript"/>
              </w:rPr>
              <w:t>(3)</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2042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8"/>
                <w:szCs w:val="18"/>
                <w:color w:val="auto"/>
              </w:rPr>
            </w:pPr>
          </w:p>
        </w:tc>
        <w:tc>
          <w:tcPr>
            <w:tcW w:w="5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5.00% Senior Notes issued at 99.521% of face value </w:t>
            </w:r>
            <w:r>
              <w:rPr>
                <w:rFonts w:ascii="Arial" w:cs="Arial" w:eastAsia="Arial" w:hAnsi="Arial"/>
                <w:sz w:val="23"/>
                <w:szCs w:val="23"/>
                <w:color w:val="auto"/>
                <w:vertAlign w:val="superscript"/>
              </w:rPr>
              <w:t>(4)</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2021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3.95% Senior Notes issued at 99.889% of face value </w:t>
            </w:r>
            <w:r>
              <w:rPr>
                <w:rFonts w:ascii="Arial" w:cs="Arial" w:eastAsia="Arial" w:hAnsi="Arial"/>
                <w:sz w:val="23"/>
                <w:szCs w:val="23"/>
                <w:color w:val="auto"/>
                <w:vertAlign w:val="superscript"/>
              </w:rPr>
              <w:t>(5)</w:t>
            </w: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2015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used the net proceeds from this offering to repay outstanding borrowings under our credit facilities and for general partnership purposes.</w:t>
      </w:r>
    </w:p>
    <w:p>
      <w:pPr>
        <w:spacing w:after="0" w:line="237" w:lineRule="exact"/>
        <w:rPr>
          <w:sz w:val="20"/>
          <w:szCs w:val="20"/>
          <w:color w:val="auto"/>
        </w:rPr>
      </w:pPr>
    </w:p>
    <w:p>
      <w:pPr>
        <w:ind w:left="20" w:right="380" w:hanging="11"/>
        <w:spacing w:after="0" w:line="264" w:lineRule="auto"/>
        <w:rPr>
          <w:sz w:val="20"/>
          <w:szCs w:val="20"/>
          <w:color w:val="auto"/>
        </w:rPr>
      </w:pPr>
      <w:r>
        <w:rPr>
          <w:rFonts w:ascii="Arial" w:cs="Arial" w:eastAsia="Arial" w:hAnsi="Arial"/>
          <w:sz w:val="18"/>
          <w:szCs w:val="18"/>
          <w:color w:val="auto"/>
        </w:rPr>
        <w:t>We used the net proceeds from this offering to repay outstanding borrowings under our credit facilities and for general partnership purposes. In addition, we used a portion of the proceeds to prefund the BP NGL Acquisition. See Note 3 to our Consolidated Financial Statements for a discussion of the BP NGL Acquisition.</w:t>
      </w:r>
    </w:p>
    <w:p>
      <w:pPr>
        <w:spacing w:after="0" w:line="181" w:lineRule="exact"/>
        <w:rPr>
          <w:sz w:val="20"/>
          <w:szCs w:val="20"/>
          <w:color w:val="auto"/>
        </w:rPr>
      </w:pPr>
    </w:p>
    <w:p>
      <w:pPr>
        <w:ind w:left="20" w:right="80" w:hanging="11"/>
        <w:spacing w:after="0" w:line="342" w:lineRule="auto"/>
        <w:rPr>
          <w:sz w:val="20"/>
          <w:szCs w:val="20"/>
          <w:color w:val="auto"/>
        </w:rPr>
      </w:pPr>
      <w:r>
        <w:rPr>
          <w:rFonts w:ascii="Arial" w:cs="Arial" w:eastAsia="Arial" w:hAnsi="Arial"/>
          <w:sz w:val="16"/>
          <w:szCs w:val="16"/>
          <w:color w:val="auto"/>
        </w:rPr>
        <w:t>We used the net proceeds from this offering to repay outstanding borrowings under our credit facilities and for general partnership purposes. In addition, we used a portion of the proceeds to redeem all of our outstanding $200 million, 7.75% senior notes due 2012, as discussed further below.</w:t>
      </w:r>
    </w:p>
    <w:p>
      <w:pPr>
        <w:spacing w:after="0" w:line="1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20"/>
          </w:cols>
          <w:pgMar w:left="240" w:top="125" w:right="29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80" w:hanging="652"/>
        <w:spacing w:after="0" w:line="238" w:lineRule="auto"/>
        <w:tabs>
          <w:tab w:leader="none" w:pos="648"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We used the net proceeds from this offering to repay outstanding borrowings under our credit facilities. In addition, we used a portion of the proceeds to redeem all of our outstanding $175 million, 6.25% senior notes due 2015, as discussed further below.</w:t>
      </w:r>
    </w:p>
    <w:p>
      <w:pPr>
        <w:spacing w:after="0" w:line="203"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In September 2012, our $500 million, 4.25% senior notes matured and were repaid with proceeds from our credit facilities.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February 2011, our $200 million, 7.75% senior notes due 2012 were redeemed in full. In conjunction with the early redemption, we recognized a loss of approximately $23 million. We utilized cash on hand and available capacity under our credit facilities to redeem these notes.</w:t>
      </w:r>
    </w:p>
    <w:p>
      <w:pPr>
        <w:sectPr>
          <w:pgSz w:w="11900" w:h="16838" w:orient="portrait"/>
          <w:cols w:equalWidth="0" w:num="1">
            <w:col w:w="11360"/>
          </w:cols>
          <w:pgMar w:left="240" w:top="125" w:right="299" w:bottom="0" w:gutter="0" w:footer="0" w:header="0"/>
          <w:type w:val="continuous"/>
        </w:sectPr>
      </w:pPr>
    </w:p>
    <w:bookmarkStart w:id="64" w:name="page65"/>
    <w:bookmarkEnd w:id="64"/>
    <w:p>
      <w:pPr>
        <w:ind w:right="140" w:firstLine="648"/>
        <w:spacing w:after="0" w:line="308" w:lineRule="auto"/>
        <w:rPr>
          <w:sz w:val="20"/>
          <w:szCs w:val="20"/>
          <w:color w:val="auto"/>
        </w:rPr>
      </w:pPr>
      <w:r>
        <w:rPr>
          <w:rFonts w:ascii="Arial" w:cs="Arial" w:eastAsia="Arial" w:hAnsi="Arial"/>
          <w:sz w:val="17"/>
          <w:szCs w:val="17"/>
          <w:color w:val="auto"/>
        </w:rPr>
        <w:t>In September 2010, we repaid our $175 million, 6.25% senior notes and recognized a loss of approximately $6 million in conjunction with the early redemption of these notes. We utilized net proceeds from our July 2010 issuance of $400 million, 3.95% senior notes to retire these senior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 and Distributions Paid to Our Unitholders, General Partner and Noncontrolling Interests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of such capital expenditures.</w:t>
      </w:r>
    </w:p>
    <w:p>
      <w:pPr>
        <w:spacing w:after="0" w:line="17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the acquisitions includes cash paid, assumed liabilities and net working capital items. Because of the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total price of the acquisition and the timing of certain cash payments, the net cash paid may differ significantly from the total price of the acquisitions completed during the year.</w:t>
      </w:r>
    </w:p>
    <w:p>
      <w:pPr>
        <w:spacing w:after="0" w:line="181"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i w:val="1"/>
          <w:iCs w:val="1"/>
          <w:color w:val="auto"/>
        </w:rPr>
        <w:t xml:space="preserve">2013 Capital Expansion Projects. </w:t>
      </w:r>
      <w:r>
        <w:rPr>
          <w:rFonts w:ascii="Arial" w:cs="Arial" w:eastAsia="Arial" w:hAnsi="Arial"/>
          <w:sz w:val="17"/>
          <w:szCs w:val="17"/>
          <w:color w:val="auto"/>
        </w:rPr>
        <w:t>We expect the majority of funding for our 2013 capital program will be provided by borrowings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credit facility and cash flow in excess of partnership distributions as well as through our access to the capital markets for equity and debt as we deem necessary. Our 2013 capital expansion program includes the following projects with the estimated cost for the entire year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r>
      <w:tr>
        <w:trPr>
          <w:trHeight w:val="210"/>
        </w:trPr>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3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Rainbow II Pipeline</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Expansion</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Gulf Coast Pipeline</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Yorktown Terminal Projects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Eagle Ford Area Pipeline Projects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St. James Terminal Projects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Natural Gas Storage (Multiple Projects)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Spraberry Area Pipeline Projects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Tampa, CO Rail Terminal</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Bakersfield, CA Rail Terminal</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Shafter Expansion</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Cushing Terminal Projects</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Projects </w:t>
            </w:r>
            <w:r>
              <w:rPr>
                <w:rFonts w:ascii="Arial" w:cs="Arial" w:eastAsia="Arial" w:hAnsi="Arial"/>
                <w:sz w:val="23"/>
                <w:szCs w:val="23"/>
                <w:color w:val="auto"/>
                <w:vertAlign w:val="superscript"/>
              </w:rPr>
              <w:t>(1)</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20" w:type="dxa"/>
            <w:vAlign w:val="bottom"/>
            <w:shd w:val="clear" w:color="auto" w:fill="CCEEFF"/>
          </w:tcPr>
          <w:p>
            <w:pPr>
              <w:spacing w:after="0"/>
              <w:rPr>
                <w:sz w:val="18"/>
                <w:szCs w:val="18"/>
                <w:color w:val="auto"/>
              </w:rPr>
            </w:pPr>
          </w:p>
        </w:tc>
      </w:tr>
      <w:tr>
        <w:trPr>
          <w:trHeight w:val="210"/>
        </w:trPr>
        <w:tc>
          <w:tcPr>
            <w:tcW w:w="9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$1,100</w:t>
            </w: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Timing/Scope Refinement </w:t>
            </w:r>
            <w:r>
              <w:rPr>
                <w:rFonts w:ascii="Arial" w:cs="Arial" w:eastAsia="Arial" w:hAnsi="Arial"/>
                <w:sz w:val="23"/>
                <w:szCs w:val="23"/>
                <w:color w:val="auto"/>
                <w:vertAlign w:val="superscript"/>
              </w:rPr>
              <w:t>(2)</w:t>
            </w:r>
          </w:p>
        </w:tc>
        <w:tc>
          <w:tcPr>
            <w:tcW w:w="536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 $50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460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$1,050</w:t>
            </w: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600" w:type="dxa"/>
            <w:vAlign w:val="bottom"/>
            <w:vMerge w:val="restart"/>
          </w:tcPr>
          <w:p>
            <w:pPr>
              <w:jc w:val="right"/>
              <w:ind w:right="3510"/>
              <w:spacing w:after="0"/>
              <w:rPr>
                <w:sz w:val="20"/>
                <w:szCs w:val="20"/>
                <w:color w:val="auto"/>
              </w:rPr>
            </w:pPr>
            <w:r>
              <w:rPr>
                <w:rFonts w:ascii="Arial" w:cs="Arial" w:eastAsia="Arial" w:hAnsi="Arial"/>
                <w:sz w:val="18"/>
                <w:szCs w:val="18"/>
                <w:color w:val="auto"/>
              </w:rPr>
              <w:t>86</w:t>
            </w: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Primarily multiple, smaller projects comprised of pipeline connections, upgrades and truck stations, new tank construction and refurbishing, pipeline linefill purchases and carry-over of projects from prior years.</w:t>
      </w:r>
    </w:p>
    <w:p>
      <w:pPr>
        <w:spacing w:after="0" w:line="170" w:lineRule="exact"/>
        <w:rPr>
          <w:sz w:val="20"/>
          <w:szCs w:val="20"/>
          <w:color w:val="auto"/>
        </w:rPr>
      </w:pPr>
    </w:p>
    <w:p>
      <w:pPr>
        <w:ind w:right="66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70" w:lineRule="exact"/>
        <w:rPr>
          <w:sz w:val="20"/>
          <w:szCs w:val="20"/>
          <w:color w:val="auto"/>
        </w:rPr>
      </w:pPr>
    </w:p>
    <w:p>
      <w:pPr>
        <w:sectPr>
          <w:pgSz w:w="11900" w:h="16838" w:orient="portrait"/>
          <w:cols w:equalWidth="0" w:num="2">
            <w:col w:w="140" w:space="520"/>
            <w:col w:w="10800"/>
          </w:cols>
          <w:pgMar w:left="240" w:top="125" w:right="199" w:bottom="0" w:gutter="0" w:footer="0" w:header="0"/>
          <w:type w:val="continuous"/>
        </w:sect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 after the end of each quarter to</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On February 14, 2013, we paid a quarterly distribution of $0.5625 per limited partner unit. This distribution represents a year-over-year distribution increase of approximately 9.8%. See Note 10 to our Consolidated Financial Statements for details of distributions paid. Also, see Item 5. “Market for Registrant’s Common Units, Related Unitholder Matters and Issuer Purchases of Equity Securities—Cash Distribution Policy” for additional discussion on distributions.</w:t>
      </w:r>
    </w:p>
    <w:p>
      <w:pPr>
        <w:spacing w:after="0" w:line="17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order to enhance our distribution coverage ratio and liquidity in connection with a significant acquisition, our general partner has, from time to time, agreed to reduce the amounts due to it as incentive distributions. In connection with the BP NGL Acquisition, our general partner agreed to reduce the amount of its incentive distributions by $3.75 million per quarter through February 2014 and $2.5 million per quarter thereafter. Through December 31, 2012, our general partner’s incentive distributions had been reduced by $11.25 million related to this acquisition. See Note 3 to our Consolidated Financial Statements for further discussion of the BP NGL Acquisition.</w:t>
      </w:r>
    </w:p>
    <w:p>
      <w:pPr>
        <w:sectPr>
          <w:pgSz w:w="11900" w:h="16838" w:orient="portrait"/>
          <w:cols w:equalWidth="0" w:num="1">
            <w:col w:w="11460"/>
          </w:cols>
          <w:pgMar w:left="240" w:top="125" w:right="199" w:bottom="0" w:gutter="0" w:footer="0" w:header="0"/>
          <w:type w:val="continuous"/>
        </w:sectPr>
      </w:pPr>
    </w:p>
    <w:bookmarkStart w:id="65" w:name="page66"/>
    <w:bookmarkEnd w:id="65"/>
    <w:p>
      <w:pPr>
        <w:spacing w:after="0" w:line="62"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i w:val="1"/>
          <w:iCs w:val="1"/>
          <w:color w:val="auto"/>
        </w:rPr>
        <w:t xml:space="preserve">Distributions to noncontrolling interests. </w:t>
      </w:r>
      <w:r>
        <w:rPr>
          <w:rFonts w:ascii="Arial" w:cs="Arial" w:eastAsia="Arial" w:hAnsi="Arial"/>
          <w:sz w:val="16"/>
          <w:szCs w:val="16"/>
          <w:color w:val="auto"/>
        </w:rPr>
        <w:t>We paid approximately $48 million and $40 million for distributions to our noncontrolling interests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years ended December 31, 2012 and 2011, respectively. These amounts represent distributions paid on interests in PNG and SLC that are not owned by us.</w:t>
      </w:r>
    </w:p>
    <w:p>
      <w:pPr>
        <w:spacing w:after="0" w:line="12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16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2012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2018 and</w:t>
            </w:r>
          </w:p>
        </w:tc>
        <w:tc>
          <w:tcPr>
            <w:tcW w:w="18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and related interest payments</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40" w:hanging="652"/>
        <w:spacing w:after="0" w:line="238" w:lineRule="auto"/>
        <w:tabs>
          <w:tab w:leader="none" w:pos="648"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Includes debt service payments, interest payments due on our senior notes, interest payments and the commitment fee on the PNG credit agreement and the commitment fee on our PAA credit facilities. Although there is an outstanding balance on our PAA credit facilities at December 31, 2012, we historically repay and borrow at varying amounts. As such, we have included only the maximum commitment fee (as if no amounts were outstanding on the facility) in the amounts above.</w:t>
      </w:r>
    </w:p>
    <w:p>
      <w:pPr>
        <w:sectPr>
          <w:pgSz w:w="11900" w:h="16900" w:orient="portrait"/>
          <w:cols w:equalWidth="0" w:num="1">
            <w:col w:w="11460"/>
          </w:cols>
          <w:pgMar w:left="240" w:top="125"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400" w:hanging="11"/>
        <w:spacing w:after="0" w:line="286" w:lineRule="auto"/>
        <w:rPr>
          <w:sz w:val="20"/>
          <w:szCs w:val="20"/>
          <w:color w:val="auto"/>
        </w:rPr>
      </w:pPr>
      <w:r>
        <w:rPr>
          <w:rFonts w:ascii="Arial" w:cs="Arial" w:eastAsia="Arial" w:hAnsi="Arial"/>
          <w:sz w:val="17"/>
          <w:szCs w:val="17"/>
          <w:color w:val="auto"/>
        </w:rPr>
        <w:t>Includes (i) other long-term liabilities, (ii) storage and transportation agreements and (iii) commitments related to our capital expansion projects, including projected contributions for our share of the capital spending of our equity-method investments. Excludes a non-current liability of approximately $39 million related to derivative activity included in Crude oil, natural gas, NGL and other purchases.</w:t>
      </w:r>
    </w:p>
    <w:p>
      <w:pPr>
        <w:spacing w:after="0" w:line="166" w:lineRule="exact"/>
        <w:rPr>
          <w:sz w:val="20"/>
          <w:szCs w:val="20"/>
          <w:color w:val="auto"/>
        </w:rPr>
      </w:pPr>
    </w:p>
    <w:p>
      <w:pPr>
        <w:sectPr>
          <w:pgSz w:w="11900" w:h="16900" w:orient="portrait"/>
          <w:cols w:equalWidth="0" w:num="2">
            <w:col w:w="140" w:space="500"/>
            <w:col w:w="10820"/>
          </w:cols>
          <w:pgMar w:left="240" w:top="125" w:right="199" w:bottom="0" w:gutter="0" w:footer="0" w:header="0"/>
          <w:type w:val="continuous"/>
        </w:sectPr>
      </w:pPr>
    </w:p>
    <w:p>
      <w:pPr>
        <w:ind w:left="660" w:right="140" w:hanging="652"/>
        <w:spacing w:after="0" w:line="249" w:lineRule="auto"/>
        <w:tabs>
          <w:tab w:leader="none" w:pos="648" w:val="left"/>
        </w:tabs>
        <w:numPr>
          <w:ilvl w:val="0"/>
          <w:numId w:val="70"/>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our crude oil supply and logistics activities, we provide certain suppliers with irrevocable standby letters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2012 and 2011, we had outstanding letters of credit of approximately $24 million and $33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2012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Our</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9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Type of Operation</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Ownership</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Entity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Entity</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Cash</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58"/>
        </w:trPr>
        <w:tc>
          <w:tcPr>
            <w:tcW w:w="2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Settoon Towing, LLC</w:t>
            </w:r>
          </w:p>
        </w:tc>
        <w:tc>
          <w:tcPr>
            <w:tcW w:w="34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Barge Transportation Services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Eagle Ford Pipeline LLC</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2"/>
              </w:rPr>
              <w:t>Crude Oil Pipeline</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 Pipeline, LLC</w:t>
            </w:r>
          </w:p>
        </w:tc>
        <w:tc>
          <w:tcPr>
            <w:tcW w:w="34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Crude Oil Pipeline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Frontier Pipeline Company</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2"/>
              </w:rPr>
              <w:t>Crude Oil Pipeline</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Butte Pipe Line Company</w:t>
            </w:r>
          </w:p>
        </w:tc>
        <w:tc>
          <w:tcPr>
            <w:tcW w:w="34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Crude Oil Pipeline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 traded and over-the-counter futures, forwards, swaps and options.</w:t>
      </w:r>
    </w:p>
    <w:p>
      <w:pPr>
        <w:spacing w:after="0" w:line="187" w:lineRule="exact"/>
        <w:rPr>
          <w:sz w:val="20"/>
          <w:szCs w:val="20"/>
          <w:color w:val="auto"/>
        </w:rPr>
      </w:pPr>
    </w:p>
    <w:p>
      <w:pPr>
        <w:ind w:left="1260" w:hanging="280"/>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1300" w:right="260"/>
        <w:spacing w:after="0" w:line="312" w:lineRule="auto"/>
        <w:rPr>
          <w:sz w:val="20"/>
          <w:szCs w:val="20"/>
          <w:color w:val="auto"/>
        </w:rPr>
      </w:pPr>
      <w:r>
        <w:rPr>
          <w:rFonts w:ascii="Arial" w:cs="Arial" w:eastAsia="Arial" w:hAnsi="Arial"/>
          <w:sz w:val="16"/>
          <w:szCs w:val="16"/>
          <w:color w:val="auto"/>
        </w:rPr>
        <w:t>We utilize natural gas derivatives to hedge commodity price risk inherent in our Supply and Logistics and Facilities segments. Our objectives for these derivatives include hedging anticipated purchases and sales, stored inventory and to manage our anticipated base gas requirements. We manage these exposures with various instruments including exchange-traded futures, swaps and options.</w:t>
      </w:r>
    </w:p>
    <w:p>
      <w:pPr>
        <w:spacing w:after="0" w:line="147" w:lineRule="exact"/>
        <w:rPr>
          <w:sz w:val="20"/>
          <w:szCs w:val="20"/>
          <w:color w:val="auto"/>
        </w:rPr>
      </w:pPr>
    </w:p>
    <w:p>
      <w:pPr>
        <w:ind w:left="1260" w:hanging="280"/>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our Consolidated Financial Statements for further discussion regarding our hedging strategies and objectives.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2012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080" w:type="dxa"/>
            <w:vAlign w:val="bottom"/>
            <w:tcBorders>
              <w:top w:val="single" w:sz="8" w:color="auto"/>
            </w:tcBorders>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use of both fixed and variable rate debt exposes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December 31, 2012, approximately $1.0 billion (which excludes $100 million that swap floating rate debt for fixed), is subject to interest rate re-sets, which range from one week to three months. The average interest rate of approximately 1.8% is based upon rates in effect during the year ended December 31, 2012. The fair value of our interest rate derivatives is an unrealized loss of approximately $38 million as of December 31, 2012. A 10% increase in the forward LIBOR curve as of December 31, 2012 would result in an increase of approximately $25 million to the fair value of our interest rate derivatives. A 10% decrease in the forward LIBOR curve as of December 31, 2012 would</w:t>
      </w:r>
    </w:p>
    <w:p>
      <w:pPr>
        <w:sectPr>
          <w:pgSz w:w="11900" w:h="16838" w:orient="portrait"/>
          <w:cols w:equalWidth="0" w:num="1">
            <w:col w:w="11420"/>
          </w:cols>
          <w:pgMar w:left="240" w:top="140" w:right="239" w:bottom="0" w:gutter="0" w:footer="0" w:header="0"/>
        </w:sectPr>
      </w:pPr>
    </w:p>
    <w:bookmarkStart w:id="67" w:name="page68"/>
    <w:bookmarkEnd w:id="67"/>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result in a decrease of approximately $25 million to the fair value of our interest rate derivatives. See Note 11 to our Consolidated Financial Statements for a discussion of our interest rate risk hedging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A 10% increase or decrease in the exchange rate (CAD-to-USD) would result in immaterial changes to the fair value of our foreign currency derivatives. See Note 11 to our Consolidated Financial Statements for a discussion of our currency exchange rate risk hedging.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2012. See Management’s Report on Internal Control Over Financial Reporting on page F-2 of our Consolidated Financial Statements.</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2012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LP”), which is the</w:t>
      </w:r>
    </w:p>
    <w:p>
      <w:pPr>
        <w:sectPr>
          <w:pgSz w:w="11900" w:h="16952" w:orient="portrait"/>
          <w:cols w:equalWidth="0" w:num="1">
            <w:col w:w="11420"/>
          </w:cols>
          <w:pgMar w:left="240" w:top="125" w:right="239" w:bottom="0" w:gutter="0" w:footer="0" w:header="0"/>
        </w:sectPr>
      </w:pPr>
    </w:p>
    <w:bookmarkStart w:id="68" w:name="page69"/>
    <w:bookmarkEnd w:id="68"/>
    <w:p>
      <w:pPr>
        <w:spacing w:after="0" w:line="3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sole member of PAA GP LLC, our general partner. References to our general partner, as the context requires, include any or all of GP LLC, AAP LP and PAA GP LLC. References to our officers, directors and employees are references to the officers, directors and employees of GP LLC (or, in the case of our Canadian operations, Plains Midstream Canada).</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general partner manages our operations and activities. Unitholders are limited partners and do not directly or indirectly participate in our management or operation.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9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partnership agreement provides that our general partner will manage and operate us and that unitholders, unlike holders of common stock in a corporation, will have only limited voting rights on matters affecting our business or governance. The governance of GP LLC is, in effect, the governance of our partnership, subject in all cases to any specific unitholder rights contained in our partnership agreement. References to our “Board of Directors” mean the board of directors of GP LLC, which consists of eight directors elected by the members of GP LLC, and not by our unitholders. Under the Fifth Amended and Restated Limited Liability Company Agreement of GP LLC (the “GP LLC Agreement”), three of the members of GP LLC have the right to designate one director each, and our CEO is a director by virtue of holding the office. The remaining four seats are elected, and may be removed, by a majority of the membership interest. Directors filling three of these four “at large” seats must be independent. Any member that accumulates an interest greater than 25% and does not otherwise have a designation right may designate a director. In the event a member of GP LLC ceases to have the right to designate a director, the individual designated by such member is automatically removed as a director and a replacement shall be elected by a majority of the membership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CEO also serves as Chairman of the Board. The board has no policy with respect to the separation of the offices of chairman and CEO; rather, that relationship is currently defined and governed by the GP LLC Agreement and the employment agreement with the CEO, which require coincidence of the offices. We do not have a lead independent director. Directors of GP LLC are designated or elected by the members of GP LLC. Accordingly, unlike holders of common stock in a corporation, our unitholders have only limited voting rights on matters affecting our business or governance, subject only to any specific unitholder rights contained in our partnership agreement.</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Non-management directors meet in executive session in connection with each regular board meeting. Each non-management director acts as presiding director at the regularly scheduled executive sessions, rotating alphabetically by last name.</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nor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Symonds and Temple are independent under applicable NYSE rules.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 Temple) is (i) “independent” under applicable NYSE rules and (ii) an “Audit Committee Financial Expert,” as that term is defined in Item 407 of Regulation S-K.</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None of the members of our audit committee has any relationships with either GP LLC or us, other than as a director and unitholder. For additional information regarding the experience and qualifications of our directors, please read the biographical descriptions under “—Directors, Executive Officers and Other Officers”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and Ms. Sutil. Under applicable stock exchange rules, none of the members of our compensation committee is required to be “independent.” The compensation committee has the sole authority to retain any</w:t>
      </w:r>
    </w:p>
    <w:p>
      <w:pPr>
        <w:sectPr>
          <w:pgSz w:w="11900" w:h="16874" w:orient="portrait"/>
          <w:cols w:equalWidth="0" w:num="1">
            <w:col w:w="11420"/>
          </w:cols>
          <w:pgMar w:left="240" w:top="125" w:right="239" w:bottom="0" w:gutter="0" w:footer="0" w:header="0"/>
        </w:sectPr>
      </w:pPr>
    </w:p>
    <w:bookmarkStart w:id="69" w:name="page70"/>
    <w:bookmarkEnd w:id="69"/>
    <w:p>
      <w:pPr>
        <w:ind w:right="160"/>
        <w:spacing w:after="0" w:line="277" w:lineRule="auto"/>
        <w:rPr>
          <w:sz w:val="20"/>
          <w:szCs w:val="20"/>
          <w:color w:val="auto"/>
        </w:rPr>
      </w:pPr>
      <w:r>
        <w:rPr>
          <w:rFonts w:ascii="Arial" w:cs="Arial" w:eastAsia="Arial" w:hAnsi="Arial"/>
          <w:sz w:val="18"/>
          <w:szCs w:val="18"/>
          <w:color w:val="auto"/>
        </w:rPr>
        <w:t>compensation consultants to be used to assist the committee, but did not retain any consultants in 2012. The compensation committee has delegated limited authority to the CEO to administer our long-term incentive plans with respect to employees other than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Although not required by the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both of whom (although not required in this context) are independent under the NYSE’s listing standards. As a limited partnership, we are not required by the listing standards of the NYSE to have a nominating committee. As discussed above, three of the owners of our general partner each have the right to appoint a director, and Mr. Armstrong is a director by virtue of his office. In the event of a vacancy in the three required independent director seats, the governance committee will assist in identifying and screening potential candidates. Upon request of the owners of the general partner,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spacing w:after="0" w:line="1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our partnership agreement provides for the establishment or activation of a conflicts committee as circumstances warrant to review conflicts of interest between us and our general partner or the owners of our general partner. Such a committee will typically consist of a minimum of two members, none of whom can be (i) officers or employees of our general partner, (ii) directors, officers or employees of its affiliates or (iii) owners of the general partner interest. Our partnership agreement provides that any matters approved by the conflicts committee will be conclusively deemed to be fair and reasonable to us, approved by all of our partners, and not a breach by our general partner of any duties owed to us or our unitholders. See Item 13. “Certain Relationships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Related Transactions, and Director Independence—Transactions with Related Persons—Review, Approval or Ratification of Transactions with Related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last fiscal year, our board of directors had five meetings, our audit committee had nine meetings, our compensation committee had two meetings and our governance committee had one meeting. All directors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discussed above, the governance of GP LLC is, in effect, the governance of our company,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w:t>
      </w:r>
      <w:r>
        <w:rPr>
          <w:rFonts w:ascii="Arial" w:cs="Arial" w:eastAsia="Arial" w:hAnsi="Arial"/>
          <w:sz w:val="16"/>
          <w:szCs w:val="16"/>
          <w:i w:val="1"/>
          <w:iCs w:val="1"/>
          <w:color w:val="auto"/>
        </w:rPr>
        <w:t>http://www.paalp.com</w:t>
      </w:r>
      <w:r>
        <w:rPr>
          <w:rFonts w:ascii="Arial" w:cs="Arial" w:eastAsia="Arial" w:hAnsi="Arial"/>
          <w:sz w:val="16"/>
          <w:szCs w:val="16"/>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audit committee of Plains All American GP LLC oversees the Partnership’s financial reporting process on behalf of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systems of internal controls.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discussed with PricewaterhouseCoopers LLP the matters required to be discussed by Statement of Auditing Standards No. 61,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amended, as adopted by the Public Company Accounting Oversight Board. The committee received written disclosures and the letter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required by applicable requirements of the Public Company Accounting Oversight Board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communications with the audit committee concerning independence, and has discussed with PricewaterhouseCoopers LLP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independence from management and the Partnership.</w:t>
      </w:r>
    </w:p>
    <w:p>
      <w:pPr>
        <w:spacing w:after="0" w:line="21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2012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Taft Symonds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M. Temple</w:t>
      </w:r>
    </w:p>
    <w:p>
      <w:pPr>
        <w:sectPr>
          <w:pgSz w:w="11900" w:h="16838" w:orient="portrait"/>
          <w:cols w:equalWidth="0" w:num="1">
            <w:col w:w="11400"/>
          </w:cols>
          <w:pgMar w:left="240" w:top="125" w:right="259" w:bottom="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Officers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Three of the owners of our general partner each have the right to separately designate a member of our board. Such designees are indicated in footnote 2 to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ind w:left="540"/>
              <w:spacing w:after="0"/>
              <w:rPr>
                <w:sz w:val="20"/>
                <w:szCs w:val="20"/>
                <w:color w:val="auto"/>
              </w:rPr>
            </w:pPr>
            <w:r>
              <w:rPr>
                <w:rFonts w:ascii="Arial" w:cs="Arial" w:eastAsia="Arial" w:hAnsi="Arial"/>
                <w:sz w:val="14"/>
                <w:szCs w:val="14"/>
                <w:b w:val="1"/>
                <w:bCs w:val="1"/>
                <w:color w:val="auto"/>
              </w:rPr>
              <w:t>Age (as of</w:t>
            </w:r>
          </w:p>
        </w:tc>
        <w:tc>
          <w:tcPr>
            <w:tcW w:w="220" w:type="dxa"/>
            <w:vAlign w:val="bottom"/>
          </w:tcPr>
          <w:p>
            <w:pPr>
              <w:spacing w:after="0"/>
              <w:rPr>
                <w:sz w:val="14"/>
                <w:szCs w:val="14"/>
                <w:color w:val="auto"/>
              </w:rPr>
            </w:pPr>
          </w:p>
        </w:tc>
        <w:tc>
          <w:tcPr>
            <w:tcW w:w="692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12/31/12)</w:t>
            </w:r>
          </w:p>
        </w:tc>
        <w:tc>
          <w:tcPr>
            <w:tcW w:w="2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Borders>
              <w:top w:val="single" w:sz="8" w:color="CCEEFF"/>
            </w:tcBorders>
            <w:shd w:val="clear" w:color="auto" w:fill="CCEEFF"/>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Harry N. Pefanis</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Mark J. Gorman</w:t>
            </w:r>
            <w:r>
              <w:rPr>
                <w:rFonts w:ascii="Arial" w:cs="Arial" w:eastAsia="Arial" w:hAnsi="Arial"/>
                <w:sz w:val="23"/>
                <w:szCs w:val="23"/>
                <w:color w:val="auto"/>
                <w:vertAlign w:val="superscript"/>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President—Operations and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Phillip D. Kramer</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K. McGee*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John R. Rutherford</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Al Swanson</w:t>
            </w:r>
            <w:r>
              <w:rPr>
                <w:rFonts w:ascii="Arial" w:cs="Arial" w:eastAsia="Arial" w:hAnsi="Arial"/>
                <w:sz w:val="23"/>
                <w:szCs w:val="23"/>
                <w:color w:val="auto"/>
                <w:vertAlign w:val="superscript"/>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President,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J. Dreyfuss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Senior Vice President, General Counsel—Commercial &amp; Litigation and Assistant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Alfred A. Lindseth</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President—Technology, Process &amp; Risk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Nerbonne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President—Engineering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John P. vonBerg</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President—Commercial Activities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Balasch</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LPG,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Stephen L. Bart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of Crude Oil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N. Brown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President—Pipeline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Kevin L. Cantrell</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President—Internal Audit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Craig</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Ralph R. Cross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of Strategic Planning,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Patrick Diamond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Roger D. Everett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President—Human Resources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Ferrell</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President—Supply Chain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James B. Fryfogle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President—Refinery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M.D. (Mike) Hallahan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Crude Oil and Truck Transportation,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Chris Herbold</w:t>
            </w:r>
            <w:r>
              <w:rPr>
                <w:rFonts w:ascii="Arial" w:cs="Arial" w:eastAsia="Arial" w:hAnsi="Arial"/>
                <w:sz w:val="23"/>
                <w:szCs w:val="23"/>
                <w:color w:val="auto"/>
                <w:vertAlign w:val="superscript"/>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President—Accounting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G. Hester</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President—Natural Gas Gathering and Processing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Richard Jensen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of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Kean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Engineering,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John Keffer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President—Terminals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Kingswell-Smith</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Sterling Koch</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w w:val="99"/>
              </w:rPr>
              <w:t>Vice President of Health, Safety, Environment &amp; Regulatory,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Gregg McClement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Facilities,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Mike Mikuska</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of Pipelines and Logistics,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N. Polydoros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President—Land and Office Services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John F. Russell</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President—West Coast Projects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Sanford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President—Lease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David Schwarz</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 of Human Resources,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Sill</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LPG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Phil Smith</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President—Operations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E. Valenzuela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President—Environmental, Health and Safety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Walter van Zanten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President—Tax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Sandi Wingert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of Accounting,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David E. Wright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71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8"/>
                <w:szCs w:val="18"/>
                <w:color w:val="auto"/>
              </w:rPr>
              <w:t>Director and Member of Audit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Compensation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714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Director and Member of Compensation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Vicky Sutil</w:t>
            </w:r>
            <w:r>
              <w:rPr>
                <w:rFonts w:ascii="Arial" w:cs="Arial" w:eastAsia="Arial" w:hAnsi="Arial"/>
                <w:sz w:val="23"/>
                <w:szCs w:val="23"/>
                <w:color w:val="auto"/>
                <w:vertAlign w:val="superscript"/>
              </w:rPr>
              <w:t>(2)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714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Director and Member of Audit and Governance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140" w:type="dxa"/>
            <w:vAlign w:val="bottom"/>
            <w:gridSpan w:val="2"/>
          </w:tcPr>
          <w:p>
            <w:pPr>
              <w:jc w:val="right"/>
              <w:ind w:right="5539"/>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Indicates an “executive officer” for purposes of Item 401(b)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Indicates chairman of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described, the position indicates the position held with Plains All American GP LLC.</w:t>
      </w:r>
    </w:p>
    <w:p>
      <w:pPr>
        <w:sectPr>
          <w:pgSz w:w="11900" w:h="16838" w:orient="portrait"/>
          <w:cols w:equalWidth="0" w:num="2">
            <w:col w:w="140" w:space="500"/>
            <w:col w:w="10820"/>
          </w:cols>
          <w:pgMar w:left="240" w:top="125" w:right="199" w:bottom="0" w:gutter="0" w:footer="0" w:header="0"/>
          <w:type w:val="continuous"/>
        </w:sectPr>
      </w:pPr>
    </w:p>
    <w:bookmarkStart w:id="71" w:name="page72"/>
    <w:bookmarkEnd w:id="71"/>
    <w:p>
      <w:pPr>
        <w:spacing w:after="0" w:line="12" w:lineRule="exact"/>
        <w:rPr>
          <w:sz w:val="20"/>
          <w:szCs w:val="20"/>
          <w:color w:val="auto"/>
        </w:rPr>
      </w:pPr>
    </w:p>
    <w:p>
      <w:pPr>
        <w:ind w:left="660" w:right="120" w:hanging="652"/>
        <w:spacing w:after="0" w:line="244" w:lineRule="auto"/>
        <w:tabs>
          <w:tab w:leader="none" w:pos="648"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The GP LLC Agreement specifies that the Chief Executive Officer of the general partner will be a member of the board of directors. Under the GP LLC Agreement, three of the owners of our general partner have the right to appoint one director each to our board of directors. Mr. Raymond has been appointed by EMG Investment, LLC (“EMG”), of which he is Managing Partner and CEO. Mr. Sinnott has been appointed by KAFU Holdings, L.P., which is affiliated with Kayne Anderson Investment Management, Inc., of which he is President. Ms. Sutil has been appointed by Occidental Holding Company (Pipeline), Inc., a subsidiary of Occidental Petroleum Corporation (“Oxy”), of which she is Director, Corporate Development Midstream and Director, Business Development, Rockies. The remaining directors were elected by a majority of the membership interest. See Item 12. “Security Ownership of Certain Beneficial Owners and Management and Related Unitholder Matters—Beneficial Ownership of General Partner Interest.”</w:t>
      </w:r>
    </w:p>
    <w:p>
      <w:pPr>
        <w:spacing w:after="0" w:line="20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since our formation in 1998. He has also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Chairman Pro Tem of the Federal Reserve Bank of Dallas, Houston Branch, and a director of National Oilwell Varco, Inc. Mr. Armstrong previously served as a director of BreitBurn Energy Partners, L.P.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Armstrong is also Chairman, Chief Executive Officer and Director of PNGS GP LLC, a 100% owned subsidiary of PAA, which is the general partner of PAA Natural Gas Storage, L.P., a publicly traded MLP that is majority owned by PAA.</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Harry N. Pefanis </w:t>
      </w:r>
      <w:r>
        <w:rPr>
          <w:rFonts w:ascii="Arial" w:cs="Arial" w:eastAsia="Arial" w:hAnsi="Arial"/>
          <w:sz w:val="18"/>
          <w:szCs w:val="18"/>
          <w:color w:val="auto"/>
        </w:rPr>
        <w:t>has served as President and Chief Operating Officer since our formation in 1998. He was also a director of our former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is also Vice Chairman and Director of PNGS GP LLC, a 100% owned subsidiary of PAA, which is the general partner of PAA Natural Gas Storage, L.P., a publicly traded MLP that is majority owned by PAA.</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Mark J. Gorman </w:t>
      </w:r>
      <w:r>
        <w:rPr>
          <w:rFonts w:ascii="Arial" w:cs="Arial" w:eastAsia="Arial" w:hAnsi="Arial"/>
          <w:sz w:val="16"/>
          <w:szCs w:val="16"/>
          <w:color w:val="auto"/>
        </w:rPr>
        <w:t>has served as Executive Vice President—Operations and Business Development since February 2013 and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President—Operations and Business Development from August 2008 until February 2013.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w:t>
      </w:r>
    </w:p>
    <w:p>
      <w:pPr>
        <w:spacing w:after="0" w:line="15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Phillip D. Kramer </w:t>
      </w:r>
      <w:r>
        <w:rPr>
          <w:rFonts w:ascii="Arial" w:cs="Arial" w:eastAsia="Arial" w:hAnsi="Arial"/>
          <w:sz w:val="18"/>
          <w:szCs w:val="18"/>
          <w:color w:val="auto"/>
        </w:rPr>
        <w:t>has served as Executive Vice President since November 2008 and previously served as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since February 2013. He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and Secretary from March 2012 until February 2013 and served as Vice President and Deputy General Counsel from August 2011 through March 2012. He also serves as Vice President, General Counsel and Secretary for PAA’s natural gas storage business, where he was Vice President—Legal and Business Development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John R. Rutherford </w:t>
      </w:r>
      <w:r>
        <w:rPr>
          <w:rFonts w:ascii="Arial" w:cs="Arial" w:eastAsia="Arial" w:hAnsi="Arial"/>
          <w:sz w:val="18"/>
          <w:szCs w:val="18"/>
          <w:color w:val="auto"/>
        </w:rPr>
        <w:t>has served as Executive Vice President since October 2010. Mr. Rutherford has 25 years of energy and investment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since February 2011. He previously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also Executive Vice President, Chief Financial Officer and Director of PNGS GP LLC, a 100% owned subsidiary of PAA, which is the general partner of PAA Natural Gas Storage, L.P., a publicly traded MLP that is majority owned by PAA.</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Plains Midstream Canada since June 2003, and served as Executive Vice President of Plains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Canada from July 2001 to June 2003. Mr. Duckett was with CANPET Energy Group Inc. (“CANPET”) from 1985 to 2001, where he served in various capacities, including most recently as President, Chief Executive Officer and Chairman of the Board.</w:t>
      </w:r>
    </w:p>
    <w:p>
      <w:pPr>
        <w:sectPr>
          <w:pgSz w:w="11900" w:h="16850" w:orient="portrait"/>
          <w:cols w:equalWidth="0" w:num="1">
            <w:col w:w="11380"/>
          </w:cols>
          <w:pgMar w:left="240" w:top="125" w:right="279" w:bottom="0" w:gutter="0" w:footer="0" w:header="0"/>
        </w:sectPr>
      </w:pPr>
    </w:p>
    <w:bookmarkStart w:id="72" w:name="page73"/>
    <w:bookmarkEnd w:id="72"/>
    <w:p>
      <w:pPr>
        <w:spacing w:after="0" w:line="12"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i w:val="1"/>
          <w:iCs w:val="1"/>
          <w:color w:val="auto"/>
        </w:rPr>
        <w:t xml:space="preserve">Lawrence J. Dreyfuss </w:t>
      </w:r>
      <w:r>
        <w:rPr>
          <w:rFonts w:ascii="Arial" w:cs="Arial" w:eastAsia="Arial" w:hAnsi="Arial"/>
          <w:sz w:val="16"/>
          <w:szCs w:val="16"/>
          <w:color w:val="auto"/>
        </w:rPr>
        <w:t>has served as Senior Vice President, General Counsel—Commercial and Litigation and Assistant Secretary since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2013, and served as Vice President, General Counsel—Commercial &amp; Litigation and Assistant Secretary from August 2006 until February 2013.</w:t>
      </w:r>
    </w:p>
    <w:p>
      <w:pPr>
        <w:ind w:right="340"/>
        <w:spacing w:after="0" w:line="277" w:lineRule="auto"/>
        <w:rPr>
          <w:sz w:val="20"/>
          <w:szCs w:val="20"/>
          <w:color w:val="auto"/>
        </w:rPr>
      </w:pPr>
      <w:r>
        <w:rPr>
          <w:rFonts w:ascii="Arial" w:cs="Arial" w:eastAsia="Arial" w:hAnsi="Arial"/>
          <w:sz w:val="17"/>
          <w:szCs w:val="17"/>
          <w:color w:val="auto"/>
        </w:rPr>
        <w:t>Mr. Dreyfuss was Vice President, 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Daniel J. Nerbonne </w:t>
      </w:r>
      <w:r>
        <w:rPr>
          <w:rFonts w:ascii="Arial" w:cs="Arial" w:eastAsia="Arial" w:hAnsi="Arial"/>
          <w:sz w:val="16"/>
          <w:szCs w:val="16"/>
          <w:color w:val="auto"/>
        </w:rPr>
        <w:t>has served as Senior Vice President—Engineering since February 2013 and as Vice President—Engineering from February 2005</w:t>
      </w:r>
      <w:r>
        <w:rPr>
          <w:rFonts w:ascii="Arial" w:cs="Arial" w:eastAsia="Arial" w:hAnsi="Arial"/>
          <w:sz w:val="16"/>
          <w:szCs w:val="16"/>
          <w:i w:val="1"/>
          <w:iCs w:val="1"/>
          <w:color w:val="auto"/>
        </w:rPr>
        <w:t xml:space="preserve"> </w:t>
      </w:r>
      <w:r>
        <w:rPr>
          <w:rFonts w:ascii="Arial" w:cs="Arial" w:eastAsia="Arial" w:hAnsi="Arial"/>
          <w:sz w:val="16"/>
          <w:szCs w:val="16"/>
          <w:color w:val="auto"/>
        </w:rPr>
        <w:t>until February 2013. Prior to joining us, Mr. Nerbonne was General Manager of Portfolio Projects for Shell Oil Products US from January 2004 to</w:t>
      </w:r>
    </w:p>
    <w:p>
      <w:pPr>
        <w:ind w:right="40"/>
        <w:spacing w:after="0" w:line="302" w:lineRule="auto"/>
        <w:rPr>
          <w:sz w:val="20"/>
          <w:szCs w:val="20"/>
          <w:color w:val="auto"/>
        </w:rPr>
      </w:pPr>
      <w:r>
        <w:rPr>
          <w:rFonts w:ascii="Arial" w:cs="Arial" w:eastAsia="Arial" w:hAnsi="Arial"/>
          <w:sz w:val="16"/>
          <w:szCs w:val="16"/>
          <w:color w:val="auto"/>
        </w:rPr>
        <w:t>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5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John P. vonBerg </w:t>
      </w:r>
      <w:r>
        <w:rPr>
          <w:rFonts w:ascii="Arial" w:cs="Arial" w:eastAsia="Arial" w:hAnsi="Arial"/>
          <w:sz w:val="17"/>
          <w:szCs w:val="17"/>
          <w:color w:val="auto"/>
        </w:rPr>
        <w:t>has served as Senior Vice President—Commercial Activities since August 2008. Previously he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7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Jason Balasch </w:t>
      </w:r>
      <w:r>
        <w:rPr>
          <w:rFonts w:ascii="Arial" w:cs="Arial" w:eastAsia="Arial" w:hAnsi="Arial"/>
          <w:sz w:val="18"/>
          <w:szCs w:val="18"/>
          <w:color w:val="auto"/>
        </w:rPr>
        <w:t>has served as Vice President of LPG of Plains Midstream Canada since September 2011 and is responsible for overseeing all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activities associated with Plains’ LPG business including propane, butane and intermediates. Prior to joining PMC,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Stephen L. Bart </w:t>
      </w:r>
      <w:r>
        <w:rPr>
          <w:rFonts w:ascii="Arial" w:cs="Arial" w:eastAsia="Arial" w:hAnsi="Arial"/>
          <w:sz w:val="17"/>
          <w:szCs w:val="17"/>
          <w:color w:val="auto"/>
        </w:rPr>
        <w:t>has served as Vice President of Crude Oil Operations of Plains Midstream Canada since April 2005 and was Managing</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Director, LPG Operations &amp; 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spacing w:after="0" w:line="15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 xml:space="preserve">Samuel N. Brown </w:t>
      </w:r>
      <w:r>
        <w:rPr>
          <w:rFonts w:ascii="Arial" w:cs="Arial" w:eastAsia="Arial" w:hAnsi="Arial"/>
          <w:sz w:val="17"/>
          <w:szCs w:val="17"/>
          <w:color w:val="auto"/>
        </w:rPr>
        <w:t>has served as Vice President—Pipeline Business Development since October 2009. Prior to joining PAA, Mr. Brown served</w:t>
      </w:r>
      <w:r>
        <w:rPr>
          <w:rFonts w:ascii="Arial" w:cs="Arial" w:eastAsia="Arial" w:hAnsi="Arial"/>
          <w:sz w:val="17"/>
          <w:szCs w:val="17"/>
          <w:i w:val="1"/>
          <w:iCs w:val="1"/>
          <w:color w:val="auto"/>
        </w:rPr>
        <w:t xml:space="preserve"> </w:t>
      </w:r>
      <w:r>
        <w:rPr>
          <w:rFonts w:ascii="Arial" w:cs="Arial" w:eastAsia="Arial" w:hAnsi="Arial"/>
          <w:sz w:val="17"/>
          <w:szCs w:val="17"/>
          <w:color w:val="auto"/>
        </w:rPr>
        <w:t>TEPPCO for over 10 years, most recently as Vice President—Commercial Downstream and previously as Vice President—Pipeline Marketing and Business Development for the Upstream segment. Prior to joining TEPPCO, Mr. Brown was with Duke Energy Transport and Trading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Kevin L. Cantrell </w:t>
      </w:r>
      <w:r>
        <w:rPr>
          <w:rFonts w:ascii="Arial" w:cs="Arial" w:eastAsia="Arial" w:hAnsi="Arial"/>
          <w:sz w:val="17"/>
          <w:szCs w:val="17"/>
          <w:color w:val="auto"/>
        </w:rPr>
        <w:t>has served as Vice President—Internal Audit since February 2011 and served as Managing Director of Internal Audit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2009 to February 2011. Prior to joining PAA, Mr. Cantrell was a managing director and founding member of Protiviti, Inc., a global risk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audit firm, from May 2002 to April 2009, and a manager in Andersen’s Risk Consulting practice in Houston, Texas, from February 1999 to</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David Craig </w:t>
      </w:r>
      <w:r>
        <w:rPr>
          <w:rFonts w:ascii="Arial" w:cs="Arial" w:eastAsia="Arial" w:hAnsi="Arial"/>
          <w:sz w:val="18"/>
          <w:szCs w:val="18"/>
          <w:color w:val="auto"/>
        </w:rPr>
        <w:t>has served as Executive Vice President and Chief Financial Officer of Plains Midstream Canada since June 2008.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spacing w:after="0" w:line="18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Ralph R. Cross </w:t>
      </w:r>
      <w:r>
        <w:rPr>
          <w:rFonts w:ascii="Arial" w:cs="Arial" w:eastAsia="Arial" w:hAnsi="Arial"/>
          <w:sz w:val="17"/>
          <w:szCs w:val="17"/>
          <w:color w:val="auto"/>
        </w:rPr>
        <w:t>has served as Vice President of Strategic Planning of Plains Midstream Canada since July 2012. He previously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President—Corporate Development and Transportation Services of Plains Midstream Canada from July 2001 until July 2012. Mr. Cross was previously with CANPET since 1992, where he served in various capacities, including most recently as Vice President of Business Development.</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A. Patrick Diamond </w:t>
      </w:r>
      <w:r>
        <w:rPr>
          <w:rFonts w:ascii="Arial" w:cs="Arial" w:eastAsia="Arial" w:hAnsi="Arial"/>
          <w:sz w:val="18"/>
          <w:szCs w:val="18"/>
          <w:color w:val="auto"/>
        </w:rPr>
        <w:t>has served as Vice President since August 2007. He previously served as Director, Strategic Planning from July 2005 to</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2007 and as Manager—Special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Roger D. Everett </w:t>
      </w:r>
      <w:r>
        <w:rPr>
          <w:rFonts w:ascii="Arial" w:cs="Arial" w:eastAsia="Arial" w:hAnsi="Arial"/>
          <w:sz w:val="17"/>
          <w:szCs w:val="17"/>
          <w:color w:val="auto"/>
        </w:rPr>
        <w:t>has served as Vice President—Human Resources since November 2006 and as Director of Human Resources from August 2006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James Ferrell </w:t>
      </w:r>
      <w:r>
        <w:rPr>
          <w:rFonts w:ascii="Arial" w:cs="Arial" w:eastAsia="Arial" w:hAnsi="Arial"/>
          <w:sz w:val="18"/>
          <w:szCs w:val="18"/>
          <w:color w:val="auto"/>
        </w:rPr>
        <w:t>has served as Vice President—Supply Chain Management since August 2011. He joined Plains in 2006 from ConocoPhillips. He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functions all along the supply chain, including the majority of all purchasing requirements, all vendor contract negotiations, and fleet management.</w:t>
      </w:r>
    </w:p>
    <w:p>
      <w:pPr>
        <w:sectPr>
          <w:pgSz w:w="11900" w:h="16850" w:orient="portrait"/>
          <w:cols w:equalWidth="0" w:num="1">
            <w:col w:w="11420"/>
          </w:cols>
          <w:pgMar w:left="240" w:top="341" w:right="239" w:bottom="0" w:gutter="0" w:footer="0" w:header="0"/>
        </w:sectPr>
      </w:pPr>
    </w:p>
    <w:bookmarkStart w:id="73" w:name="page74"/>
    <w:bookmarkEnd w:id="73"/>
    <w:p>
      <w:pPr>
        <w:ind w:right="340" w:firstLine="648"/>
        <w:spacing w:after="0" w:line="259" w:lineRule="auto"/>
        <w:rPr>
          <w:sz w:val="20"/>
          <w:szCs w:val="20"/>
          <w:color w:val="auto"/>
        </w:rPr>
      </w:pPr>
      <w:r>
        <w:rPr>
          <w:rFonts w:ascii="Arial" w:cs="Arial" w:eastAsia="Arial" w:hAnsi="Arial"/>
          <w:sz w:val="18"/>
          <w:szCs w:val="18"/>
          <w:i w:val="1"/>
          <w:iCs w:val="1"/>
          <w:color w:val="auto"/>
        </w:rPr>
        <w:t xml:space="preserve">James B. Fryfogle </w:t>
      </w:r>
      <w:r>
        <w:rPr>
          <w:rFonts w:ascii="Arial" w:cs="Arial" w:eastAsia="Arial" w:hAnsi="Arial"/>
          <w:sz w:val="18"/>
          <w:szCs w:val="18"/>
          <w:color w:val="auto"/>
        </w:rPr>
        <w:t>has served as Vice President—Refinery Supply since March 2005. He served as Vice President—Lease Operations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M.D. (Mike) Hallahan </w:t>
      </w:r>
      <w:r>
        <w:rPr>
          <w:rFonts w:ascii="Arial" w:cs="Arial" w:eastAsia="Arial" w:hAnsi="Arial"/>
          <w:sz w:val="18"/>
          <w:szCs w:val="18"/>
          <w:color w:val="auto"/>
        </w:rPr>
        <w:t>has served as Vice President of Crude Oil of Plains Midstream Canada since February 2004 and Managing Director,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2001 to February 2004. He was previously with CANPET where he served in various capacities since 1996, most recently as General Manager, Facilities.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since August 2010. He served as Controller of PAA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Jim G. Hester </w:t>
      </w:r>
      <w:r>
        <w:rPr>
          <w:rFonts w:ascii="Arial" w:cs="Arial" w:eastAsia="Arial" w:hAnsi="Arial"/>
          <w:sz w:val="17"/>
          <w:szCs w:val="17"/>
          <w:color w:val="auto"/>
        </w:rPr>
        <w:t>has served as Vice President—Gas Gathering and Processing since August 2011. He previously served as Vice President—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Acquisitions since March 2002. Prior to joining us, Mr. Hester was Senior Vice President—Special Projects of Plains Resources. From May 2001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2001, he was Senior Vice President—Operations for Plains Resources. From May 1999 to May 2001, he was Vice President—Business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Acquisitions of Plains Resources. He was Manager of Business Development and Acquisitions of Plains Resources from 1997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1999, Manager of Corporate Development from 1995 to 1997 and Manager of Special Projects from 1993 to 1995. He was Assistant Controller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1991 to 1993, Accounting Manager from 1990 to 1991 and Revenue Accounting Supervisor from 1988 to 1990.</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Richard Jensen </w:t>
      </w:r>
      <w:r>
        <w:rPr>
          <w:rFonts w:ascii="Arial" w:cs="Arial" w:eastAsia="Arial" w:hAnsi="Arial"/>
          <w:sz w:val="18"/>
          <w:szCs w:val="18"/>
          <w:color w:val="auto"/>
        </w:rPr>
        <w:t>has served as Executive Vice President of Operations of Plains Midstream Canada since October 2012. Prior to joining PMC,</w:t>
      </w:r>
      <w:r>
        <w:rPr>
          <w:rFonts w:ascii="Arial" w:cs="Arial" w:eastAsia="Arial" w:hAnsi="Arial"/>
          <w:sz w:val="18"/>
          <w:szCs w:val="18"/>
          <w:i w:val="1"/>
          <w:iCs w:val="1"/>
          <w:color w:val="auto"/>
        </w:rPr>
        <w:t xml:space="preserve"> </w:t>
      </w:r>
      <w:r>
        <w:rPr>
          <w:rFonts w:ascii="Arial" w:cs="Arial" w:eastAsia="Arial" w:hAnsi="Arial"/>
          <w:sz w:val="18"/>
          <w:szCs w:val="18"/>
          <w:color w:val="auto"/>
        </w:rPr>
        <w:t>Mr. Jensen worked with Nexen Petroleum for over 27 years, where he served in various leadership capacities, most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recently as Vice President, Middle East, South America and Africa. Mr. Jensen has also worked in executive leadership roles at Canadian Occidental Petroleum and Canadian Nexen Chemicals.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Christopher M. Kean </w:t>
      </w:r>
      <w:r>
        <w:rPr>
          <w:rFonts w:ascii="Arial" w:cs="Arial" w:eastAsia="Arial" w:hAnsi="Arial"/>
          <w:sz w:val="18"/>
          <w:szCs w:val="18"/>
          <w:color w:val="auto"/>
        </w:rPr>
        <w:t>has served as Vice President of Engineering of Plains Midstream Canada since September 2012. He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global projects and operations across the oil and gas, chemical and oil sands sectors. Prior to joining PMC, Mr. Kean worked with Enbridge Pipelines for over four years, where he served in various capacities, most recently as Project Director for the Cabin Gas Plant project. Mr. Kean has also worked in both engineering and project management leadership roles for Canadian Natural Resources Limited (11 years), Petro-Canada, and Amoco Chemical and Production Companies.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John Keffer </w:t>
      </w:r>
      <w:r>
        <w:rPr>
          <w:rFonts w:ascii="Arial" w:cs="Arial" w:eastAsia="Arial" w:hAnsi="Arial"/>
          <w:sz w:val="16"/>
          <w:szCs w:val="16"/>
          <w:color w:val="auto"/>
        </w:rPr>
        <w:t>has served as Vice President—Terminals since November 2006. Mr. Keffer joined Plains Marketing, L.P. in October 1998 and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spacing w:after="0" w:line="158"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i w:val="1"/>
          <w:iCs w:val="1"/>
          <w:color w:val="auto"/>
        </w:rPr>
        <w:t xml:space="preserve">Charles Kingswell-Smith </w:t>
      </w:r>
      <w:r>
        <w:rPr>
          <w:rFonts w:ascii="Arial" w:cs="Arial" w:eastAsia="Arial" w:hAnsi="Arial"/>
          <w:sz w:val="18"/>
          <w:szCs w:val="18"/>
          <w:color w:val="auto"/>
        </w:rPr>
        <w:t>has served as Vice President and Treasurer since August 2008. Mr. Kingswell-Smith previously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w:t>
      </w:r>
    </w:p>
    <w:p>
      <w:pPr>
        <w:spacing w:after="0" w:line="18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i w:val="1"/>
          <w:iCs w:val="1"/>
          <w:color w:val="auto"/>
        </w:rPr>
        <w:t xml:space="preserve">Sterling Koch </w:t>
      </w:r>
      <w:r>
        <w:rPr>
          <w:rFonts w:ascii="Arial" w:cs="Arial" w:eastAsia="Arial" w:hAnsi="Arial"/>
          <w:sz w:val="16"/>
          <w:szCs w:val="16"/>
          <w:color w:val="auto"/>
        </w:rPr>
        <w:t>has served as Vice President of Health, Safety, Environment &amp; Regulatory of Plains Midstream Canada since January 2013.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providing strategic direction and oversight to the environment, health &amp; safety, regulatory and land activities of our Canadian operations.</w:t>
      </w:r>
    </w:p>
    <w:p>
      <w:pPr>
        <w:spacing w:after="0" w:line="254" w:lineRule="auto"/>
        <w:rPr>
          <w:sz w:val="20"/>
          <w:szCs w:val="20"/>
          <w:color w:val="auto"/>
        </w:rPr>
      </w:pPr>
      <w:r>
        <w:rPr>
          <w:rFonts w:ascii="Arial" w:cs="Arial" w:eastAsia="Arial" w:hAnsi="Arial"/>
          <w:sz w:val="18"/>
          <w:szCs w:val="18"/>
          <w:color w:val="auto"/>
        </w:rPr>
        <w:t>Mr. Koch brings over 20 years of energy industry experience, including regulatory and legal affairs, commercial operations, compliance and security. Prior to joining PMC, Mr. Koch worked with TransAlta for over 14 years, where he served in various vice president roles including regulatory and legal affairs, commercial management and business development. He also brings to PMC a background as legal counsel, originating from his days with Western Gas Marketing, Northridge Petroleum and TransCanada.</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Gregg McClement </w:t>
      </w:r>
      <w:r>
        <w:rPr>
          <w:rFonts w:ascii="Arial" w:cs="Arial" w:eastAsia="Arial" w:hAnsi="Arial"/>
          <w:sz w:val="18"/>
          <w:szCs w:val="18"/>
          <w:color w:val="auto"/>
        </w:rPr>
        <w:t>has served as Vice President of Facilities of Plains Midstream Canada since August 2012. He previously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Business Development—LPG of Plains Midstream Canada from December 2009 to August 2012. Mr. McClement has been with PMC and its predecessor CANPET since 2001. He previously held numerous senior management roles in the transportation industry with companies such as B.C. Rail and Union Pacific Railway.</w:t>
      </w:r>
    </w:p>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Mike Mikuska </w:t>
      </w:r>
      <w:r>
        <w:rPr>
          <w:rFonts w:ascii="Arial" w:cs="Arial" w:eastAsia="Arial" w:hAnsi="Arial"/>
          <w:sz w:val="17"/>
          <w:szCs w:val="17"/>
          <w:color w:val="auto"/>
        </w:rPr>
        <w:t>has served as Vice President of Pipelines and Logistics of Plains Midstream Canada since August 2012. He previously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Business Development—Crude Oil of Plains Midstream Canada from September 2008 to August 2012. Mr. Mikuska has been with PMC and its predecessor CANPET since 1995 and has served in various commercial and development roles over that time.</w:t>
      </w:r>
    </w:p>
    <w:p>
      <w:pPr>
        <w:spacing w:after="0" w:line="166"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i w:val="1"/>
          <w:iCs w:val="1"/>
          <w:color w:val="auto"/>
        </w:rPr>
        <w:t xml:space="preserve">George N. Polydoros </w:t>
      </w:r>
      <w:r>
        <w:rPr>
          <w:rFonts w:ascii="Arial" w:cs="Arial" w:eastAsia="Arial" w:hAnsi="Arial"/>
          <w:sz w:val="17"/>
          <w:szCs w:val="17"/>
          <w:color w:val="auto"/>
        </w:rPr>
        <w:t>has served as Vice President—Land and Office Services since February 2013. He served as Managing Director—Land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 Services from April 2011 until February 2013. Prior to joining PAA, Mr. Polydoros was a partner at the law firm of Mayer Brown. Before joining Mayer Brown, he worked as an attorney at American General Corporation (now part of AIG) and Bracewell &amp; Giuliani.</w:t>
      </w:r>
    </w:p>
    <w:p>
      <w:pPr>
        <w:spacing w:after="0" w:line="16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i w:val="1"/>
          <w:iCs w:val="1"/>
          <w:color w:val="auto"/>
        </w:rPr>
        <w:t xml:space="preserve">John F. Russell </w:t>
      </w:r>
      <w:r>
        <w:rPr>
          <w:rFonts w:ascii="Arial" w:cs="Arial" w:eastAsia="Arial" w:hAnsi="Arial"/>
          <w:sz w:val="18"/>
          <w:szCs w:val="18"/>
          <w:color w:val="auto"/>
        </w:rPr>
        <w:t>has served as Vice President—West Coast Projects since August 2007. He served as Vice President—Pipeline Operations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to August 2007. Prior to joining us, Mr. Russell served as Vice President of Business Development &amp; Joint Interest for ExxonMobil Pipeline Company. Mr. Russell had held numerous positions of increasing responsibility with ExxonMobil Pipeline Company or its affiliates or predecessors since 1974.</w:t>
      </w:r>
    </w:p>
    <w:p>
      <w:pPr>
        <w:sectPr>
          <w:pgSz w:w="11900" w:h="16838" w:orient="portrait"/>
          <w:cols w:equalWidth="0" w:num="1">
            <w:col w:w="11400"/>
          </w:cols>
          <w:pgMar w:left="240" w:top="341" w:right="259" w:bottom="61" w:gutter="0" w:footer="0" w:header="0"/>
        </w:sectPr>
      </w:pPr>
    </w:p>
    <w:bookmarkStart w:id="74" w:name="page75"/>
    <w:bookmarkEnd w:id="74"/>
    <w:p>
      <w:pPr>
        <w:spacing w:after="0" w:line="1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Robert M. Sanford </w:t>
      </w:r>
      <w:r>
        <w:rPr>
          <w:rFonts w:ascii="Arial" w:cs="Arial" w:eastAsia="Arial" w:hAnsi="Arial"/>
          <w:sz w:val="18"/>
          <w:szCs w:val="18"/>
          <w:color w:val="auto"/>
        </w:rPr>
        <w:t>has served as Vice President—Lease Supply since June 2006. He served as Managing Director—Lease Acquisitions and Trucking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2005 to June 2006 and as Director of South Texas and Mid Continent Business Units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April 2004 to July 2005. Mr. Sanford was with Link Energy/EOTT Energy from 1994 to April 2004, where he held various positions of increasing responsibility.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David Schwarz </w:t>
      </w:r>
      <w:r>
        <w:rPr>
          <w:rFonts w:ascii="Arial" w:cs="Arial" w:eastAsia="Arial" w:hAnsi="Arial"/>
          <w:sz w:val="18"/>
          <w:szCs w:val="18"/>
          <w:color w:val="auto"/>
        </w:rPr>
        <w:t>has served as Vice President of Human Resources of Plains Midstream Canada since October 2012. He previously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Human Resources and Corporate Communications of Plains Midstream Canada from February 2011 to October 2012. He joined Plains Midstream Canada in August 2009 and brings over 18 years of experience to this role. Prior to joining PMC, Mr. Schwarz held various senior human resources roles in Calgary, and most recently served as Senior Manager, Human Resources in the ATCO Group of Companies. He has also gained experience working for such companies as Fluor Daniel, Manalta Coal and Superior Propane.</w:t>
      </w:r>
    </w:p>
    <w:p>
      <w:pPr>
        <w:spacing w:after="0" w:line="18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 xml:space="preserve">Scott Sill </w:t>
      </w:r>
      <w:r>
        <w:rPr>
          <w:rFonts w:ascii="Arial" w:cs="Arial" w:eastAsia="Arial" w:hAnsi="Arial"/>
          <w:sz w:val="16"/>
          <w:szCs w:val="16"/>
          <w:color w:val="auto"/>
        </w:rPr>
        <w:t>has served as Vice President of LPG Operations of Plains Midstream Canada since March 2010. He joined Plains Midstream Canada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20 years of LPG operations experience to this role.</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Phil Smith </w:t>
      </w:r>
      <w:r>
        <w:rPr>
          <w:rFonts w:ascii="Arial" w:cs="Arial" w:eastAsia="Arial" w:hAnsi="Arial"/>
          <w:sz w:val="18"/>
          <w:szCs w:val="18"/>
          <w:color w:val="auto"/>
        </w:rPr>
        <w:t>has served as Vice President—Operations since April 2010. He joined PAA in 2002 from Shell Pipeline. Mr. Smith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operations and maintenance activities on its domestic pipeline and terminal facilities.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Walter van Zanten </w:t>
      </w:r>
      <w:r>
        <w:rPr>
          <w:rFonts w:ascii="Arial" w:cs="Arial" w:eastAsia="Arial" w:hAnsi="Arial"/>
          <w:sz w:val="18"/>
          <w:szCs w:val="18"/>
          <w:color w:val="auto"/>
        </w:rPr>
        <w:t>has served as Vice President—Tax since February 2013. He served as Director of Tax from December 2008 until February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joining PAA, Mr. van Zanten worked in various leadership and functional capacities for Chimerical, Inc., El Paso Corp., Tenneco Energy, The Coastal Corporation, Tangram Transmission Corp. and Arthur Young.</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Sandi Wingert </w:t>
      </w:r>
      <w:r>
        <w:rPr>
          <w:rFonts w:ascii="Arial" w:cs="Arial" w:eastAsia="Arial" w:hAnsi="Arial"/>
          <w:sz w:val="18"/>
          <w:szCs w:val="18"/>
          <w:color w:val="auto"/>
        </w:rPr>
        <w:t>has served as Vice President of Accounting of Plains Midstream Canada since February 2008. She has been with PMC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CANPET acting as Controller since 2000. Prior to joining our Canadian operations, she held various accounting roles with Koch Petroleum and Ernst &amp; Young.</w:t>
      </w:r>
    </w:p>
    <w:p>
      <w:pPr>
        <w:spacing w:after="0" w:line="181"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i w:val="1"/>
          <w:iCs w:val="1"/>
          <w:color w:val="auto"/>
        </w:rPr>
        <w:t xml:space="preserve">David E. Wright </w:t>
      </w:r>
      <w:r>
        <w:rPr>
          <w:rFonts w:ascii="Arial" w:cs="Arial" w:eastAsia="Arial" w:hAnsi="Arial"/>
          <w:sz w:val="16"/>
          <w:szCs w:val="16"/>
          <w:color w:val="auto"/>
        </w:rPr>
        <w:t>has served as Vice President since November 2006. Prior to joining Plains, he served as Executive Vice President,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for Pacific Energy Partners, L.P. from February 2005 and as Vice President, Corporate Development and Marketing from December 2001.</w:t>
      </w:r>
    </w:p>
    <w:p>
      <w:pPr>
        <w:ind w:right="60"/>
        <w:spacing w:after="0" w:line="261" w:lineRule="auto"/>
        <w:rPr>
          <w:sz w:val="20"/>
          <w:szCs w:val="20"/>
          <w:color w:val="auto"/>
        </w:rPr>
      </w:pPr>
      <w:r>
        <w:rPr>
          <w:rFonts w:ascii="Arial" w:cs="Arial" w:eastAsia="Arial" w:hAnsi="Arial"/>
          <w:sz w:val="18"/>
          <w:szCs w:val="18"/>
          <w:color w:val="auto"/>
        </w:rPr>
        <w:t>Mr. Wright also served as Vice President, Distribution West for Tosco Refining Company from March 1997 to June 2001, and as Vice President, Pipelines for GATX Terminals Corporation from October 1995 to March 1997.</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or former general partner since May 1999. He is Founder of Ex Cathedra LLC (a</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Gary R. Petersen </w:t>
      </w:r>
      <w:r>
        <w:rPr>
          <w:rFonts w:ascii="Arial" w:cs="Arial" w:eastAsia="Arial" w:hAnsi="Arial"/>
          <w:sz w:val="17"/>
          <w:szCs w:val="17"/>
          <w:color w:val="auto"/>
        </w:rPr>
        <w:t>has served as a director of our general partner since June 2001. Mr. Petersen is a Managing Partner of EnCap Investments L.P.,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approximately $18 billion of energy-related investments. In tandem with the leadership qualities evidenced by his executive background, we believe that Mr. Petersen brings numerous valuable attributes to the Board.</w:t>
      </w:r>
    </w:p>
    <w:p>
      <w:pPr>
        <w:spacing w:after="0" w:line="17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December 2010. Mr. Raymond is an owner and founder of EMG, a diversified</w:t>
      </w:r>
      <w:r>
        <w:rPr>
          <w:rFonts w:ascii="Arial" w:cs="Arial" w:eastAsia="Arial" w:hAnsi="Arial"/>
          <w:sz w:val="16"/>
          <w:szCs w:val="16"/>
          <w:i w:val="1"/>
          <w:iCs w:val="1"/>
          <w:color w:val="auto"/>
        </w:rPr>
        <w:t xml:space="preserve"> </w:t>
      </w:r>
      <w:r>
        <w:rPr>
          <w:rFonts w:ascii="Arial" w:cs="Arial" w:eastAsia="Arial" w:hAnsi="Arial"/>
          <w:sz w:val="16"/>
          <w:szCs w:val="16"/>
          <w:color w:val="auto"/>
        </w:rPr>
        <w:t>natural resource private equity fund manager with over $6.1 billion under management (including co-investments), and has been Managing Partner and CEO since EMG’s inception in 2006. Previous to that time, Mr. Raymond held leadership positions with various energy companies, including President and CEO</w:t>
      </w:r>
    </w:p>
    <w:p>
      <w:pPr>
        <w:sectPr>
          <w:pgSz w:w="11900" w:h="16952" w:orient="portrait"/>
          <w:cols w:equalWidth="0" w:num="1">
            <w:col w:w="11420"/>
          </w:cols>
          <w:pgMar w:left="240" w:top="125" w:right="239" w:bottom="0" w:gutter="0" w:footer="0" w:header="0"/>
        </w:sectPr>
      </w:pPr>
    </w:p>
    <w:bookmarkStart w:id="75" w:name="page76"/>
    <w:bookmarkEnd w:id="75"/>
    <w:p>
      <w:pPr>
        <w:ind w:right="100"/>
        <w:spacing w:after="0" w:line="297" w:lineRule="auto"/>
        <w:rPr>
          <w:sz w:val="20"/>
          <w:szCs w:val="20"/>
          <w:color w:val="auto"/>
        </w:rPr>
      </w:pPr>
      <w:r>
        <w:rPr>
          <w:rFonts w:ascii="Arial" w:cs="Arial" w:eastAsia="Arial" w:hAnsi="Arial"/>
          <w:sz w:val="16"/>
          <w:szCs w:val="16"/>
          <w:color w:val="auto"/>
        </w:rPr>
        <w:t>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 on numerous other boards.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Robert V. Sinnott </w:t>
      </w:r>
      <w:r>
        <w:rPr>
          <w:rFonts w:ascii="Arial" w:cs="Arial" w:eastAsia="Arial" w:hAnsi="Arial"/>
          <w:sz w:val="17"/>
          <w:szCs w:val="17"/>
          <w:color w:val="auto"/>
        </w:rPr>
        <w:t>has served as a director of our general partner or former general partner since September 1998. Mr. Sinnott is President,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Senior 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and he is a director of Kayne Anderson Energy Development Company. He was Vice President and Senior Securities Officer of the Investment Banking Division of Citibank from 1986 to 1992. Mr. Sinnott received a BA from the University of Virginia and an MBA from Harvard. Mr. Sinnott’s extensive investment management background includes his current role of managing approximately $8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Vicky Sutil </w:t>
      </w:r>
      <w:r>
        <w:rPr>
          <w:rFonts w:ascii="Arial" w:cs="Arial" w:eastAsia="Arial" w:hAnsi="Arial"/>
          <w:sz w:val="16"/>
          <w:szCs w:val="16"/>
          <w:color w:val="auto"/>
        </w:rPr>
        <w:t>has served as a director of our general partner since December 2010. Ms. Sutil is Director, Corporate Development Midstream,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Business Development Rockies, for Oxy, where she has led and worked on a variety of international and domestic oil and gas acquisitions. Her prior positions at Oxy have included Senior Manager, Corporate Development,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 positions at Mobil Oil Corporation. Ms. Sutil served as Oxy’s designated board observer from 2008, when Oxy acquired its initial interest in PAA’s general partner, until December 2010. Ms. Sutil received a BS in Mechanical Engineering — Petroleum Emphasis from the University of California, Berkeley, and an MBA from Pepperdine University. We believe that Ms. Sutil’s financial and analytical background, coupled with her knowledge of engineering, provides the Board a distinctive and valuable perspective.</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June 2001. Mr. Symonds is Chairman of the Board of Symonds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Christopher M. Temple </w:t>
      </w:r>
      <w:r>
        <w:rPr>
          <w:rFonts w:ascii="Arial" w:cs="Arial" w:eastAsia="Arial" w:hAnsi="Arial"/>
          <w:sz w:val="17"/>
          <w:szCs w:val="17"/>
          <w:color w:val="auto"/>
        </w:rPr>
        <w:t>has served as a director of our general partner since May 2009. He is President of DelTex Capital LLC (a private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firm) and Chairman of Texas Plastics Holdco, LLC, a Midland, Texas based distributor of engineered plastics used in the exploration and production of oil and gas.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has determined that Mr. Temple is “independent” under applicable NYSE rules and qualifies as an “Audit Committee Financial Expert.”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http://www.paalp.com.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ectPr>
          <w:pgSz w:w="11900" w:h="16838" w:orient="portrait"/>
          <w:cols w:equalWidth="0" w:num="1">
            <w:col w:w="11400"/>
          </w:cols>
          <w:pgMar w:left="240" w:top="125" w:right="259" w:bottom="0" w:gutter="0" w:footer="0" w:header="0"/>
        </w:sectPr>
      </w:pPr>
    </w:p>
    <w:bookmarkStart w:id="76" w:name="page77"/>
    <w:bookmarkEnd w:id="76"/>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compensation committee of Plains All American GP LLC reviews and makes recommendations to the board of directors regarding the compensation for the executive officers and directors.</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2012 for filing with the SEC.</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Vicky Sutil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Messrs. Petersen, Raymond and Sinnott and Ms. Sutil served on the compensation committee throughout 2012. No other persons served on the compensation committee during 2012. During 2012,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Mr. Sinnott is associated with Kayne Anderson and its affiliates, and Ms. Sutil is associated with Oxy. We have relationships with these entities. See Item 13. “Certain Relationships and Related Transactions, and Director Independence—Transactions with Related Persons — Other.”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All of our officers and employees (other than Canadian personnel) are employed by Plains All American GP LLC. Our Canadian personnel are employed by Plains Midstream Canada, which is a wholly owned subsidiary. Under our partnership agreement, we are required to reimburse our general partner and its affiliates for all employment-related costs, including compensation for executive officers, other than expenses related to the Class B units of Plains AAP, L.P. (which are borne entirely by Plains AAP, L.P.).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“benchmark” our salary or bonus amounts. In practice, we believe our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Our cash bonuses include annual discretionary bonuses in which all of our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our Canadian personnel.</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our performance is our ability to increase our sustainable quarterly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ectPr>
          <w:pgSz w:w="11900" w:h="16848" w:orient="portrait"/>
          <w:cols w:equalWidth="0" w:num="1">
            <w:col w:w="11420"/>
          </w:cols>
          <w:pgMar w:left="240" w:top="121" w:right="239" w:bottom="0" w:gutter="0" w:footer="0" w:header="0"/>
        </w:sectPr>
      </w:pPr>
    </w:p>
    <w:bookmarkStart w:id="77" w:name="page78"/>
    <w:bookmarkEnd w:id="77"/>
    <w:p>
      <w:pPr>
        <w:ind w:firstLine="648"/>
        <w:spacing w:after="0" w:line="259" w:lineRule="auto"/>
        <w:rPr>
          <w:sz w:val="20"/>
          <w:szCs w:val="20"/>
          <w:color w:val="auto"/>
        </w:rPr>
      </w:pPr>
      <w:r>
        <w:rPr>
          <w:rFonts w:ascii="Arial" w:cs="Arial" w:eastAsia="Arial" w:hAnsi="Arial"/>
          <w:sz w:val="18"/>
          <w:szCs w:val="18"/>
          <w:color w:val="auto"/>
        </w:rPr>
        <w:t>In 2007, the owners of Plains AAP, L.P. authorized the creation of “Class B” units of Plains AAP, L.P. and authorized GP LLC’s compensation committee to issue grants of Class B units to create additional long-term incentives for our management designed to attract talent and encourage retention over an extended period of time. The entire economic burden of the Class B units is borne solely by Plains AAP, L.P., our general partner, and does not impact our cash or units outstanding.</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Class B units are subject to restrictions on transfer and generally become incrementally “earned” (entitled to receive a portion of the distributions that would otherwise be paid to our general partner) upon achievement of certain performance thresholds, which are aligned with the interests of our common unitholders. As of February 15, 2013, 100% of the outstanding Class B units granted in 2007, 2009 and 2010 had been earned (or will be earned within 180 days), and 50% of the Class B units granted in 2011 had been earned (with another 25% to be earned within 180 days). No Class B units were granted in 2008 or 2012.</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(other than a termination without cause or by the employee for good reason) prior to certain stated dates. If a Class B unit holder remains employed past such designated date (or prior to such date is terminated without cause or quits for good reason), any earned units are no longer subject to the call right and are deemed to have “vested.” The applicable designated dates for the various Class B grants are: January 1, 2016 for Class B units granted in 2007 and 2009; January 1, 2017 for Class B units granted in 2010; and January 1, 2020 for Class B units granted in 2011. If the call right of Plains AAP, L.P. becomes exercisable, in order to encourage retention, the size of the discount to fair market value reflected in the purchase price decreases over time pursuant to a formula set forth in each Class B unit holder’s granting agreement. Class B grants also provide that all earned Class B units and a portion of any unearned and unvested Class B units will vest upon a change of control. All earned Class B units will also vest if Plains AAP, L.P. elects not to timely exercise its call right. See Item 13. “Certain Relationships and Related Transactions, and Director Independence—Transactions with Related Persons—Our General Partner— Class B Units of Plains AAP, L.P.”</w:t>
      </w:r>
    </w:p>
    <w:p>
      <w:pPr>
        <w:spacing w:after="0" w:line="18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Transaction/Transition Grants. </w:t>
      </w:r>
      <w:r>
        <w:rPr>
          <w:rFonts w:ascii="Arial" w:cs="Arial" w:eastAsia="Arial" w:hAnsi="Arial"/>
          <w:sz w:val="17"/>
          <w:szCs w:val="17"/>
          <w:color w:val="auto"/>
        </w:rPr>
        <w:t>In connection with the initial public offering of PNG in 2010, we created a plan based on PNG equity,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reward and create incentive for certain of our officers who were instrumental in developing the natural gas storage business and bringing it to the point of the IPO, and who will continue to allocate meaningful amounts of time to the business. In September 2010, we entered into transaction/transition grant agreements with Messrs. Armstrong, Pefanis and Swanson, pursuant to which they acquired phantom common units, phantom series A subordinated units and phantom series B subordinated units representing a portion of the limited partner interest of PNG issued to PAA in connection with PNG’s IPO. These grants are intended to be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performance benchmarks that are significant to PNG and to PAA’s equity holdings in PNG.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w:t>
      </w:r>
    </w:p>
    <w:p>
      <w:pPr>
        <w:ind w:right="220"/>
        <w:spacing w:after="0" w:line="270" w:lineRule="auto"/>
        <w:rPr>
          <w:sz w:val="20"/>
          <w:szCs w:val="20"/>
          <w:color w:val="auto"/>
        </w:rPr>
      </w:pPr>
      <w:r>
        <w:rPr>
          <w:rFonts w:ascii="Arial" w:cs="Arial" w:eastAsia="Arial" w:hAnsi="Arial"/>
          <w:sz w:val="17"/>
          <w:szCs w:val="17"/>
          <w:color w:val="auto"/>
        </w:rPr>
        <w:t>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stress performance-based compensation elements to attempt to create a performance-driven environment in which our executive officers are</w:t>
      </w:r>
    </w:p>
    <w:p>
      <w:pPr>
        <w:spacing w:after="0" w:line="46" w:lineRule="exact"/>
        <w:rPr>
          <w:sz w:val="20"/>
          <w:szCs w:val="20"/>
          <w:color w:val="auto"/>
        </w:rPr>
      </w:pPr>
    </w:p>
    <w:p>
      <w:pPr>
        <w:ind w:right="60" w:firstLine="8"/>
        <w:spacing w:after="0" w:line="288" w:lineRule="auto"/>
        <w:tabs>
          <w:tab w:leader="none" w:pos="2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believe our compensation program has been instrumental in our achievement of stated objectives. Over the five-year period ended December 31, 2012, our annual distribution per common unit has grown at a compound annual rate of 5.25% and the total return realized by our unitholders for that period averaged approximately 19.4% per annum. During this period, we have enjoyed a very high rate of retention among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make systematic annual adjustments to the salaries of our Named Executive Officers. We do, however, make salary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as necessary to maintain hierarchical relationships among senior management levels after new senior management members are added to keep pace with our overall growth. Since the date of our initial public offering in 1998 (or date of employment, if later) through December 31, 2012,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ectPr>
          <w:pgSz w:w="11900" w:h="16838" w:orient="portrait"/>
          <w:cols w:equalWidth="0" w:num="1">
            <w:col w:w="11420"/>
          </w:cols>
          <w:pgMar w:left="240" w:top="341" w:right="239" w:bottom="33" w:gutter="0" w:footer="0" w:header="0"/>
        </w:sectPr>
      </w:pPr>
    </w:p>
    <w:bookmarkStart w:id="78" w:name="page79"/>
    <w:bookmarkEnd w:id="78"/>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6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our U.S.-based senior management team are directly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phantom unit awards to our Named Executive Officers. Instead, our objective is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78"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w:t>
      </w:r>
    </w:p>
    <w:p>
      <w:pPr>
        <w:ind w:right="20"/>
        <w:spacing w:after="0" w:line="292" w:lineRule="auto"/>
        <w:rPr>
          <w:sz w:val="20"/>
          <w:szCs w:val="20"/>
          <w:color w:val="auto"/>
        </w:rPr>
      </w:pPr>
      <w:r>
        <w:rPr>
          <w:rFonts w:ascii="Arial" w:cs="Arial" w:eastAsia="Arial" w:hAnsi="Arial"/>
          <w:sz w:val="16"/>
          <w:szCs w:val="16"/>
          <w:color w:val="auto"/>
        </w:rPr>
        <w:t>of GP LLC is authorized to administer. See “—Elements of Compensation—Long-Term Incentives.” These Class B units are limited to 200,000 authorized units, of which approximately 182,125 were outstanding as of December 31, 2012 pursuant to individual restricted units agreements between Plains AAP, L.P. and certain members of management. As of December 31, 2012 our Named Executive Officers held 111,000 of the restricted Class B units. The remaining available Class B units are administered at the discretion of the compensation committee and may be awarded upon advancement, exceptional performance or other change in circumstance of an existing member of management, or upon the addition of a new individual to the management team.</w:t>
      </w:r>
    </w:p>
    <w:p>
      <w:pPr>
        <w:sectPr>
          <w:pgSz w:w="11900" w:h="16838" w:orient="portrait"/>
          <w:cols w:equalWidth="0" w:num="1">
            <w:col w:w="11420"/>
          </w:cols>
          <w:pgMar w:left="240" w:top="125" w:right="239" w:bottom="0" w:gutter="0" w:footer="0" w:header="0"/>
        </w:sectPr>
      </w:pPr>
    </w:p>
    <w:bookmarkStart w:id="79" w:name="page80"/>
    <w:bookmarkEnd w:id="79"/>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beginning of 2012, we established four public goals with paraphrased versions of these goals overlapping three of our five internal goals.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Successfully execute our 2012 capital program and set the stage for continued growth in 2013 and beyond;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Close and integrate the BP Canadian NGL acquisition and selectively pursue strategic and accretive acquisitions; and</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Increase our November 2012 annualized distribution level by approximately 8% to 9% over the November 2011 annualized distribution level.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internal qualitative goals included (a) advancing multi-year programs and initiatives and preparing the organization for future growth, and</w:t>
      </w:r>
    </w:p>
    <w:p>
      <w:pPr>
        <w:spacing w:after="0" w:line="46" w:lineRule="exact"/>
        <w:rPr>
          <w:sz w:val="20"/>
          <w:szCs w:val="20"/>
          <w:color w:val="auto"/>
        </w:rPr>
      </w:pPr>
    </w:p>
    <w:p>
      <w:pPr>
        <w:ind w:left="660" w:right="3760" w:hanging="652"/>
        <w:spacing w:after="0" w:line="492" w:lineRule="auto"/>
        <w:tabs>
          <w:tab w:leader="none" w:pos="2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maintaining our financial strength and liquidity and obtaining appropriate recognition of such position. In general, we substantially achieved or exceeded all of these goals.</w:t>
      </w:r>
    </w:p>
    <w:p>
      <w:pPr>
        <w:spacing w:after="0" w:line="1" w:lineRule="exact"/>
        <w:rPr>
          <w:rFonts w:ascii="Arial" w:cs="Arial" w:eastAsia="Arial" w:hAnsi="Arial"/>
          <w:sz w:val="18"/>
          <w:szCs w:val="18"/>
          <w:color w:val="auto"/>
        </w:rPr>
      </w:pPr>
    </w:p>
    <w:p>
      <w:pPr>
        <w:ind w:left="1300" w:right="1000" w:hanging="320"/>
        <w:spacing w:after="0" w:line="277"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Our adjusted EBITDA and distributable cash flow exceeded our 2012 guidance furnished in the February 8, 2012 Form 8-K by approximately 28% and 36%, respectively;</w:t>
      </w:r>
    </w:p>
    <w:p>
      <w:pPr>
        <w:spacing w:after="0" w:line="170" w:lineRule="exact"/>
        <w:rPr>
          <w:rFonts w:ascii="Arial" w:cs="Arial" w:eastAsia="Arial" w:hAnsi="Arial"/>
          <w:sz w:val="18"/>
          <w:szCs w:val="18"/>
          <w:color w:val="auto"/>
        </w:rPr>
      </w:pPr>
    </w:p>
    <w:p>
      <w:pPr>
        <w:ind w:left="1300" w:right="80" w:hanging="320"/>
        <w:spacing w:after="0" w:line="277"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timely and cost-effectively executed a $1.2 billion expansion capital program, and refined and expanded our portfolio of organic growth projects, setting up a 2013 program of approximately $1.0 billion;</w:t>
      </w:r>
    </w:p>
    <w:p>
      <w:pPr>
        <w:spacing w:after="0" w:line="170" w:lineRule="exact"/>
        <w:rPr>
          <w:rFonts w:ascii="Arial" w:cs="Arial" w:eastAsia="Arial" w:hAnsi="Arial"/>
          <w:sz w:val="18"/>
          <w:szCs w:val="18"/>
          <w:color w:val="auto"/>
        </w:rPr>
      </w:pPr>
    </w:p>
    <w:p>
      <w:pPr>
        <w:ind w:left="1300" w:right="720" w:hanging="320"/>
        <w:spacing w:after="0" w:line="277"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completed the $1.68 billion BP NGL Acquisition and met major 2012 integration milestones. We also closed seven additional acquisitions aggregating approximately $0.63 billion;</w:t>
      </w:r>
    </w:p>
    <w:p>
      <w:pPr>
        <w:spacing w:after="0" w:line="170" w:lineRule="exact"/>
        <w:rPr>
          <w:rFonts w:ascii="Arial" w:cs="Arial" w:eastAsia="Arial" w:hAnsi="Arial"/>
          <w:sz w:val="18"/>
          <w:szCs w:val="18"/>
          <w:color w:val="auto"/>
        </w:rPr>
      </w:pPr>
    </w:p>
    <w:p>
      <w:pPr>
        <w:ind w:left="1300" w:right="820" w:hanging="320"/>
        <w:spacing w:after="0" w:line="277"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increased our annualized distribution rate by over 9.0% to $2.17 per common unit, while maintaining distribution coverage of approximately 160%;</w:t>
      </w:r>
    </w:p>
    <w:p>
      <w:pPr>
        <w:spacing w:after="0" w:line="170" w:lineRule="exact"/>
        <w:rPr>
          <w:rFonts w:ascii="Arial" w:cs="Arial" w:eastAsia="Arial" w:hAnsi="Arial"/>
          <w:sz w:val="18"/>
          <w:szCs w:val="18"/>
          <w:color w:val="auto"/>
        </w:rPr>
      </w:pPr>
    </w:p>
    <w:p>
      <w:pPr>
        <w:ind w:left="1300" w:right="180" w:hanging="320"/>
        <w:spacing w:after="0" w:line="264"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maintained our financial strength and liquidity, raising approximately $3.0 billion in both long-term debt and equity capital, expanding or modifying approximately $2.0 billion of bank credit facilities, and ending the year with approximately $2.4 billion of liquidity and favorable credit metrics;</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received credit rating upgrades from two rating agencies; and</w:t>
      </w:r>
    </w:p>
    <w:p>
      <w:pPr>
        <w:spacing w:after="0" w:line="225" w:lineRule="exact"/>
        <w:rPr>
          <w:rFonts w:ascii="Arial" w:cs="Arial" w:eastAsia="Arial" w:hAnsi="Arial"/>
          <w:sz w:val="18"/>
          <w:szCs w:val="18"/>
          <w:color w:val="auto"/>
        </w:rPr>
      </w:pPr>
    </w:p>
    <w:p>
      <w:pPr>
        <w:ind w:left="1300" w:right="400" w:hanging="320"/>
        <w:spacing w:after="0" w:line="277" w:lineRule="auto"/>
        <w:tabs>
          <w:tab w:leader="none" w:pos="12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We continued to implement and expand our integrity management programs, improve communications throughout the organization and defined key elements of our employee development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2012, the elements of compensation were applied as described below.</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2012. See “—Narrative Disclosure to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and Grants of Plan-Based Awards Table.”</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Cash Bonuses. </w:t>
      </w:r>
      <w:r>
        <w:rPr>
          <w:rFonts w:ascii="Arial" w:cs="Arial" w:eastAsia="Arial" w:hAnsi="Arial"/>
          <w:sz w:val="16"/>
          <w:szCs w:val="16"/>
          <w:color w:val="auto"/>
        </w:rPr>
        <w:t>Based on the CEO’s annual performance review and the individual performance of each of our Named Executive Officers,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recommended to the board of directors and the board of directors approved the annual bonuses reflected in the Summary Compensation Table and notes thereto. Such amounts take into account the performance relative to our 2012 goals;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35% in annual bonus and 65% in quarterly bonus.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There were no grants of long-term incentive awards to Named Executive Officers in 2012. The last grant cycle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awards to Named Executive Officers occurred in 2010. All of the performance thresholds for vesting of these awards have been met; however, vesting under these awards is also subject to minimum service periods that extend to May 2015. Consistent with our policy of issuing new grants with extended time-vesting periods when attainment of the distribution performance thresholds of existing grants has occurred, in February 2013, the board of directors of our general partner approved the granting of new awards to our Named Executive Officers that are designed to incentivize continued growth and fundamental performance, as well as encourage retention. The phantom units covered by these awards will vest in one-third increments as follows: (i) one-third will vest upon the later of the August 2016 distribution date and the date we pay a quarterly distribution of at least $0.5875 ($2.35 annualized) per common unit,</w:t>
      </w:r>
    </w:p>
    <w:p>
      <w:pPr>
        <w:spacing w:after="0" w:line="3" w:lineRule="exact"/>
        <w:rPr>
          <w:sz w:val="20"/>
          <w:szCs w:val="20"/>
          <w:color w:val="auto"/>
        </w:rPr>
      </w:pPr>
    </w:p>
    <w:p>
      <w:pPr>
        <w:ind w:right="20" w:firstLine="8"/>
        <w:spacing w:after="0" w:line="295" w:lineRule="auto"/>
        <w:tabs>
          <w:tab w:leader="none" w:pos="2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w:t>
      </w:r>
    </w:p>
    <w:p>
      <w:pPr>
        <w:sectPr>
          <w:pgSz w:w="11900" w:h="16938" w:orient="portrait"/>
          <w:cols w:equalWidth="0" w:num="1">
            <w:col w:w="11420"/>
          </w:cols>
          <w:pgMar w:left="240" w:top="125" w:right="239" w:bottom="0" w:gutter="0" w:footer="0" w:header="0"/>
        </w:sectPr>
      </w:pPr>
    </w:p>
    <w:bookmarkStart w:id="80" w:name="page81"/>
    <w:bookmarkEnd w:id="80"/>
    <w:p>
      <w:pPr>
        <w:spacing w:after="0" w:line="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 The 2013 awards included grants to our Named Executive Officers as follows: Mr. Armstrong – 150,000; Mr. Pefanis – 135,000; Mr. Swanson – 100,000; Mr. Duckett – 100,000; and Mr. vonBerg – 75,000.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Transaction/Transition Grants. </w:t>
      </w:r>
      <w:r>
        <w:rPr>
          <w:rFonts w:ascii="Arial" w:cs="Arial" w:eastAsia="Arial" w:hAnsi="Arial"/>
          <w:sz w:val="18"/>
          <w:szCs w:val="18"/>
          <w:color w:val="auto"/>
        </w:rPr>
        <w:t>There were no transaction/transition grants to Named Executive Officers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Equity Ownership in PAA. </w:t>
      </w:r>
      <w:r>
        <w:rPr>
          <w:rFonts w:ascii="Arial" w:cs="Arial" w:eastAsia="Arial" w:hAnsi="Arial"/>
          <w:sz w:val="18"/>
          <w:szCs w:val="18"/>
          <w:color w:val="auto"/>
        </w:rPr>
        <w:t>As of December 31, 2012, our Named Executive Officers collectively owned substantial equity in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December 31, 2012, our Named Executive Officers beneficially owned, in the aggregate, approximately 2.2 million of our common units (excluding any unvested equity awards), an approximately 2.4% indirect ownership interest in our general partner and IDRs, and 111,000 Class B units of Plains AAP, L.P. Based on the market price of our common units at December 31, 2012 and an implied valuation for their collective general partner and IDR interests using similar valuation metrics, the value of the equity ownership of these individuals was significantly greater than the combined aggregate salaries and bonuses for 2012.</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 which previous awards were based are restated or otherwise adjusted in a manner that would reduce the size of such award or payment.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Class B restricted units agreements include severance payment provisions or accelerated vesting triggered upon a change of control, as defined in the respective agreements. In the case of the long-term incentive plan grants and transaction/transition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Class B restricted units agreements were not triggered. See “—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 Risk Management” in Part I of this annual report. We also routinely monitor and measure the execution and performance of our capital projects and acquisitions relative to expectations.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In addition, our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following table sets forth certain compensation information for our Chief Executive Officer, Chief Financial Officer, and the three other most highly compensated executive officers in 2012 (our “Named Executive Officers”). We reimburse our general partner and its affiliates for expenses incurred on our behalf, including the costs of officer compensation (excluding the costs of the obligations represented by the Class B units).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Salary</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Bonus</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Stock 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40" w:type="dxa"/>
            <w:vAlign w:val="bottom"/>
            <w:gridSpan w:val="2"/>
            <w:vMerge w:val="continue"/>
          </w:tcPr>
          <w:p>
            <w:pPr>
              <w:spacing w:after="0"/>
              <w:rPr>
                <w:sz w:val="12"/>
                <w:szCs w:val="12"/>
                <w:color w:val="auto"/>
              </w:rPr>
            </w:pP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Year</w:t>
            </w:r>
          </w:p>
        </w:tc>
        <w:tc>
          <w:tcPr>
            <w:tcW w:w="22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81" w:name="page82"/>
    <w:bookmarkEnd w:id="81"/>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375,000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16,320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375,000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375,000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3,250,000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5,868,436</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9,509,336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16,320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3,946,511</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7,362,411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16,320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1,750,000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1,100,000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1,973,255</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3,339,155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285,380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4,080,876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115,433</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President—Plains Midstream</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288,799</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4,017,220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106,744</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276,927</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3,625,092</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1,119,153</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98,079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5,119,251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6,315,000</w:t>
            </w:r>
            <w:r>
              <w:rPr>
                <w:rFonts w:ascii="Arial" w:cs="Arial" w:eastAsia="Arial" w:hAnsi="Arial"/>
                <w:sz w:val="11"/>
                <w:szCs w:val="11"/>
                <w:color w:val="auto"/>
              </w:rPr>
              <w:t>(4)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16,320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5,220,000</w:t>
            </w:r>
            <w:r>
              <w:rPr>
                <w:rFonts w:ascii="Arial" w:cs="Arial" w:eastAsia="Arial" w:hAnsi="Arial"/>
                <w:sz w:val="11"/>
                <w:szCs w:val="11"/>
                <w:color w:val="auto"/>
              </w:rPr>
              <w:t>(4)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Activities</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250,000</w:t>
            </w: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3,265,000</w:t>
            </w:r>
            <w:r>
              <w:rPr>
                <w:rFonts w:ascii="Arial" w:cs="Arial" w:eastAsia="Arial" w:hAnsi="Arial"/>
                <w:sz w:val="11"/>
                <w:szCs w:val="11"/>
                <w:color w:val="auto"/>
              </w:rPr>
              <w:t>(4)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805,790</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4,336,690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60" w:hanging="320"/>
        <w:spacing w:after="0" w:line="277" w:lineRule="auto"/>
        <w:tabs>
          <w:tab w:leader="none" w:pos="348" w:val="left"/>
        </w:tabs>
        <w:numPr>
          <w:ilvl w:val="0"/>
          <w:numId w:val="79"/>
        </w:numPr>
        <w:rPr>
          <w:rFonts w:ascii="Arial" w:cs="Arial" w:eastAsia="Arial" w:hAnsi="Arial"/>
          <w:sz w:val="21"/>
          <w:szCs w:val="21"/>
          <w:color w:val="auto"/>
          <w:vertAlign w:val="superscript"/>
        </w:rPr>
      </w:pPr>
      <w:r>
        <w:rPr>
          <w:rFonts w:ascii="Arial" w:cs="Arial" w:eastAsia="Arial" w:hAnsi="Arial"/>
          <w:sz w:val="16"/>
          <w:szCs w:val="16"/>
          <w:color w:val="auto"/>
        </w:rPr>
        <w:t>Grant date fair values are presented for (i) transaction/transition grants awarded to Messrs. Armstrong, Pefanis and Swanson, and (ii) LTIP phantom unit grants awarded to Messrs. Armstrong, Pefanis, Swanson, Duckett and vonBerg. Dollar amounts represent the aggregate grant date fair value of transaction/transition grants and phantom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 phantom series B subordinated units, was deemed probable of occurring on the grant date. For phantom units granted in 2010, the performance threshold for the first tranche of vesting was deemed probable of occurring on the grant date. The maximum grant date fair values of stock awards assuming that the highest level of performance conditions will be met are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Maximum Grant Date Fair Value ($)</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12,229,929</w:t>
            </w:r>
          </w:p>
        </w:tc>
      </w:tr>
      <w:tr>
        <w:trPr>
          <w:trHeight w:val="216"/>
        </w:trPr>
        <w:tc>
          <w:tcPr>
            <w:tcW w:w="35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8,198,147</w:t>
            </w:r>
          </w:p>
        </w:tc>
      </w:tr>
      <w:tr>
        <w:trPr>
          <w:trHeight w:val="216"/>
        </w:trPr>
        <w:tc>
          <w:tcPr>
            <w:tcW w:w="35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4,099,073</w:t>
            </w:r>
          </w:p>
        </w:tc>
      </w:tr>
      <w:tr>
        <w:trPr>
          <w:trHeight w:val="216"/>
        </w:trPr>
        <w:tc>
          <w:tcPr>
            <w:tcW w:w="35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3,357,459</w:t>
            </w:r>
          </w:p>
        </w:tc>
      </w:tr>
      <w:tr>
        <w:trPr>
          <w:trHeight w:val="216"/>
        </w:trPr>
        <w:tc>
          <w:tcPr>
            <w:tcW w:w="35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2,417,371</w:t>
            </w:r>
          </w:p>
        </w:tc>
      </w:tr>
    </w:tbl>
    <w:p>
      <w:pPr>
        <w:spacing w:after="0" w:line="202" w:lineRule="exact"/>
        <w:rPr>
          <w:sz w:val="20"/>
          <w:szCs w:val="20"/>
          <w:color w:val="auto"/>
        </w:rPr>
      </w:pPr>
    </w:p>
    <w:p>
      <w:pPr>
        <w:ind w:left="660" w:right="60" w:hanging="652"/>
        <w:spacing w:after="0"/>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Plains All American GP LLC matches 100% of employees’ contributions to its 401(k) plan in cash, subject to certain limitations in the plan. All Other Compensation for each of Messrs. Armstrong, Pefanis, Swanson and vonBerg includes $15,000 in such contributions for 2012. The remaining amount for each represents premium payments on behalf of such Named Executive Officer for group term life insurance. All Other Compensation for Mr. Duckett includes, for 2012, employer contributions to the Plains Midstream Canada savings plan of $37,099, group term life insurance premiums of $28,682, automobile lease payments of $42,662 and club dues of $6,989.</w:t>
      </w:r>
    </w:p>
    <w:p>
      <w:pPr>
        <w:sectPr>
          <w:pgSz w:w="11900" w:h="16867" w:orient="portrait"/>
          <w:cols w:equalWidth="0" w:num="1">
            <w:col w:w="11420"/>
          </w:cols>
          <w:pgMar w:left="240" w:top="356"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right="300" w:hanging="11"/>
        <w:spacing w:after="0" w:line="342" w:lineRule="auto"/>
        <w:rPr>
          <w:sz w:val="20"/>
          <w:szCs w:val="20"/>
          <w:color w:val="auto"/>
        </w:rPr>
      </w:pPr>
      <w:r>
        <w:rPr>
          <w:rFonts w:ascii="Arial" w:cs="Arial" w:eastAsia="Arial" w:hAnsi="Arial"/>
          <w:sz w:val="16"/>
          <w:szCs w:val="16"/>
          <w:color w:val="auto"/>
        </w:rPr>
        <w:t>Includes quarterly bonuses aggregating $4,115,000, $3,220,000 and $1,865,000 and annual bonuses of $2,200,000, $2,000,000 and $1,400,000 in 2012, 2011 and 2010, respectively. The annual bonuses are payable 60% at the time of award and 20% in each of the two succeeding years.</w:t>
      </w:r>
    </w:p>
    <w:p>
      <w:pPr>
        <w:spacing w:after="0" w:line="120" w:lineRule="exact"/>
        <w:rPr>
          <w:sz w:val="20"/>
          <w:szCs w:val="20"/>
          <w:color w:val="auto"/>
        </w:rPr>
      </w:pPr>
    </w:p>
    <w:p>
      <w:pPr>
        <w:sectPr>
          <w:pgSz w:w="11900" w:h="16867" w:orient="portrait"/>
          <w:cols w:equalWidth="0" w:num="2">
            <w:col w:w="140" w:space="520"/>
            <w:col w:w="10760"/>
          </w:cols>
          <w:pgMar w:left="240" w:top="356"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grants of plan-based awards to our Named Executive Officers during the fiscal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 discussion of 2012 salaries and bonuses and how they fit into the overall compensation array is included in “—Compensation Discussion and Analysis.” The following is a discussion of other material factors necessary to an understanding of the information disclosed in the Summary Compensation</w:t>
      </w:r>
    </w:p>
    <w:p>
      <w:pPr>
        <w:sectPr>
          <w:pgSz w:w="11900" w:h="16867" w:orient="portrait"/>
          <w:cols w:equalWidth="0" w:num="1">
            <w:col w:w="11420"/>
          </w:cols>
          <w:pgMar w:left="240" w:top="356" w:right="239" w:bottom="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Table above.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Salary</w:t>
      </w:r>
      <w:r>
        <w:rPr>
          <w:rFonts w:ascii="Arial" w:cs="Arial" w:eastAsia="Arial" w:hAnsi="Arial"/>
          <w:sz w:val="18"/>
          <w:szCs w:val="18"/>
          <w:color w:val="auto"/>
        </w:rPr>
        <w:t>—As discussed in this Item 11, we do not make systematic annual adjustments to the salaries of our Named Executive Officers. In that regard,</w:t>
      </w:r>
      <w:r>
        <w:rPr>
          <w:rFonts w:ascii="Arial" w:cs="Arial" w:eastAsia="Arial" w:hAnsi="Arial"/>
          <w:sz w:val="18"/>
          <w:szCs w:val="18"/>
          <w:i w:val="1"/>
          <w:iCs w:val="1"/>
          <w:color w:val="auto"/>
        </w:rPr>
        <w:t xml:space="preserve"> </w:t>
      </w:r>
      <w:r>
        <w:rPr>
          <w:rFonts w:ascii="Arial" w:cs="Arial" w:eastAsia="Arial" w:hAnsi="Arial"/>
          <w:sz w:val="18"/>
          <w:szCs w:val="18"/>
          <w:color w:val="auto"/>
        </w:rPr>
        <w:t>no salary adjustments were made for any of our Named Executive Officers in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Grants of Plan-Based Awards </w:t>
      </w:r>
      <w:r>
        <w:rPr>
          <w:rFonts w:ascii="Arial" w:cs="Arial" w:eastAsia="Arial" w:hAnsi="Arial"/>
          <w:sz w:val="18"/>
          <w:szCs w:val="18"/>
          <w:color w:val="auto"/>
        </w:rPr>
        <w:t>— As noted above, there were no grants of plan-based awards to Named Executive Officers in 2012. In</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February 2013, our Named Executive Officers were awarded the following phantom units: Mr. Armstrong – 150,000; Mr. Pefanis – 135,000; Mr. Swanson – 100,000; Mr. Duckett – 100,000; and Mr. vonBerg – 75,000.</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 Potential Payments upon Termination or Change-In-Control” for a discussion of the provisions in Messrs. Armstrong’s and Pefanis’ employment agreements related to termination, change of control and related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2012 with respect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42"/>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42"/>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42"/>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242"/>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42"/>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30,000</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360,000</w:t>
            </w:r>
            <w:r>
              <w:rPr>
                <w:rFonts w:ascii="Arial" w:cs="Arial" w:eastAsia="Arial" w:hAnsi="Arial"/>
                <w:sz w:val="11"/>
                <w:szCs w:val="11"/>
                <w:color w:val="auto"/>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16,286,400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62,000</w:t>
            </w:r>
            <w:r>
              <w:rPr>
                <w:rFonts w:ascii="Arial" w:cs="Arial" w:eastAsia="Arial" w:hAnsi="Arial"/>
                <w:sz w:val="11"/>
                <w:szCs w:val="11"/>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22,500</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5,876,850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240,000</w:t>
            </w:r>
            <w:r>
              <w:rPr>
                <w:rFonts w:ascii="Arial" w:cs="Arial" w:eastAsia="Arial" w:hAnsi="Arial"/>
                <w:sz w:val="11"/>
                <w:szCs w:val="11"/>
                <w:color w:val="auto"/>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10,857,600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w:t>
            </w:r>
            <w:r>
              <w:rPr>
                <w:rFonts w:ascii="Arial" w:cs="Arial" w:eastAsia="Arial" w:hAnsi="Arial"/>
                <w:sz w:val="11"/>
                <w:szCs w:val="11"/>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1,958,950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r>
              <w:rPr>
                <w:rFonts w:ascii="Arial" w:cs="Arial" w:eastAsia="Arial" w:hAnsi="Arial"/>
                <w:sz w:val="11"/>
                <w:szCs w:val="11"/>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21,000</w:t>
            </w:r>
            <w:r>
              <w:rPr>
                <w:rFonts w:ascii="Arial" w:cs="Arial" w:eastAsia="Arial" w:hAnsi="Arial"/>
                <w:sz w:val="11"/>
                <w:szCs w:val="11"/>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23,336</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1"/>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gridSpan w:val="2"/>
          </w:tcPr>
          <w:p>
            <w:pPr>
              <w:jc w:val="right"/>
              <w:ind w:right="437"/>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12,750</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3,330,215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w:t>
            </w:r>
            <w:r>
              <w:rPr>
                <w:rFonts w:ascii="Arial" w:cs="Arial" w:eastAsia="Arial" w:hAnsi="Arial"/>
                <w:sz w:val="11"/>
                <w:szCs w:val="11"/>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150,000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10,500</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r>
              <w:rPr>
                <w:rFonts w:ascii="Arial" w:cs="Arial" w:eastAsia="Arial" w:hAnsi="Arial"/>
                <w:sz w:val="11"/>
                <w:szCs w:val="11"/>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108,000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4,885,920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-1424940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-1424940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3" w:name="page84"/>
    <w:bookmarkEnd w:id="83"/>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ind w:left="20" w:right="240" w:hanging="11"/>
        <w:spacing w:after="0" w:line="255" w:lineRule="auto"/>
        <w:rPr>
          <w:sz w:val="20"/>
          <w:szCs w:val="20"/>
          <w:color w:val="auto"/>
        </w:rPr>
      </w:pPr>
      <w:r>
        <w:rPr>
          <w:rFonts w:ascii="Arial" w:cs="Arial" w:eastAsia="Arial" w:hAnsi="Arial"/>
          <w:sz w:val="18"/>
          <w:szCs w:val="18"/>
          <w:color w:val="auto"/>
        </w:rPr>
        <w:t>Market value of phantom units reported in these columns is calculated by multiplying the closing market price ($45.24) of our common units at December 31, 2012 (the last trading day of the fiscal year) by the number of units. Market value of transaction/transition grants reported in these columns is calculated by multiplying the closing market price ($19.05) of PNG’s common units at December 31, 2012 (the last trading day of the fiscal year) by the number of units. No discount is applied for remaining performance threshold or service period requirements. The Class B units are valued based on the grant date fair value computed in accordance with FASB ASC Topic 718 assuming that the highest level of performance conditions will be met.</w:t>
      </w:r>
    </w:p>
    <w:p>
      <w:pPr>
        <w:spacing w:after="0" w:line="193" w:lineRule="exact"/>
        <w:rPr>
          <w:sz w:val="20"/>
          <w:szCs w:val="20"/>
          <w:color w:val="auto"/>
        </w:rPr>
      </w:pPr>
    </w:p>
    <w:p>
      <w:pPr>
        <w:ind w:left="20" w:right="80" w:hanging="11"/>
        <w:spacing w:after="0" w:line="273" w:lineRule="auto"/>
        <w:rPr>
          <w:sz w:val="20"/>
          <w:szCs w:val="20"/>
          <w:color w:val="auto"/>
        </w:rPr>
      </w:pPr>
      <w:r>
        <w:rPr>
          <w:rFonts w:ascii="Arial" w:cs="Arial" w:eastAsia="Arial" w:hAnsi="Arial"/>
          <w:sz w:val="17"/>
          <w:szCs w:val="17"/>
          <w:color w:val="auto"/>
        </w:rPr>
        <w:t>Represents Class B units of Plains AAP, L.P. 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2012, 75% of the Class B units held by Messrs. Armstrong, Pefanis, Swanson, Duckett and vonBerg had been earned. None of the Class B units have vested. For additional information regarding the Class B units, please read Item 13. “Certain Relationships and Related Transactions, and Director Independence—Our General Partner—Class B Units of Plains AAP, L.P.”</w:t>
      </w:r>
    </w:p>
    <w:p>
      <w:pPr>
        <w:spacing w:after="0" w:line="178" w:lineRule="exact"/>
        <w:rPr>
          <w:sz w:val="20"/>
          <w:szCs w:val="20"/>
          <w:color w:val="auto"/>
        </w:rPr>
      </w:pPr>
    </w:p>
    <w:p>
      <w:pPr>
        <w:ind w:left="20" w:right="100" w:hanging="11"/>
        <w:spacing w:after="0" w:line="264" w:lineRule="auto"/>
        <w:rPr>
          <w:sz w:val="20"/>
          <w:szCs w:val="20"/>
          <w:color w:val="auto"/>
        </w:rPr>
      </w:pPr>
      <w:r>
        <w:rPr>
          <w:rFonts w:ascii="Arial" w:cs="Arial" w:eastAsia="Arial" w:hAnsi="Arial"/>
          <w:sz w:val="18"/>
          <w:szCs w:val="18"/>
          <w:color w:val="auto"/>
        </w:rPr>
        <w:t>Represents phantom units granted in 2010 under our Long-Term Incentive Plan. As of December 31, 2012, all of these phantom units had been earned and will vest in thirds upon the May 2013, May 2014 and May 2015 distribution dates. All of the DERs associated with these phantom units are currently payable.</w:t>
      </w:r>
    </w:p>
    <w:p>
      <w:pPr>
        <w:spacing w:after="0" w:line="181" w:lineRule="exact"/>
        <w:rPr>
          <w:sz w:val="20"/>
          <w:szCs w:val="20"/>
          <w:color w:val="auto"/>
        </w:rPr>
      </w:pPr>
    </w:p>
    <w:p>
      <w:pPr>
        <w:ind w:left="20" w:right="240" w:hanging="11"/>
        <w:spacing w:after="0" w:line="259" w:lineRule="auto"/>
        <w:rPr>
          <w:sz w:val="20"/>
          <w:szCs w:val="20"/>
          <w:color w:val="auto"/>
        </w:rPr>
      </w:pPr>
      <w:r>
        <w:rPr>
          <w:rFonts w:ascii="Arial" w:cs="Arial" w:eastAsia="Arial" w:hAnsi="Arial"/>
          <w:sz w:val="18"/>
          <w:szCs w:val="18"/>
          <w:color w:val="auto"/>
        </w:rPr>
        <w:t>Represents phantom series A subordinated units under transaction/transition grants. 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w:t>
      </w:r>
    </w:p>
    <w:p>
      <w:pPr>
        <w:spacing w:after="0" w:line="187" w:lineRule="exact"/>
        <w:rPr>
          <w:sz w:val="20"/>
          <w:szCs w:val="20"/>
          <w:color w:val="auto"/>
        </w:rPr>
      </w:pPr>
    </w:p>
    <w:p>
      <w:pPr>
        <w:ind w:left="20" w:right="80" w:hanging="11"/>
        <w:spacing w:after="0" w:line="276" w:lineRule="auto"/>
        <w:rPr>
          <w:sz w:val="20"/>
          <w:szCs w:val="20"/>
          <w:color w:val="auto"/>
        </w:rPr>
      </w:pPr>
      <w:r>
        <w:rPr>
          <w:rFonts w:ascii="Arial" w:cs="Arial" w:eastAsia="Arial" w:hAnsi="Arial"/>
          <w:sz w:val="17"/>
          <w:szCs w:val="17"/>
          <w:color w:val="auto"/>
        </w:rPr>
        <w:t>Represents phantom series B subordinated units under transaction/transition grants. 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w:t>
      </w:r>
    </w:p>
    <w:p>
      <w:pPr>
        <w:spacing w:after="0" w:line="173"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Represents the balance of phantom units granted in 2009 under our Long-Term Incentive Plan. These phantom units will vest upon the May 2013 distribution date. All of the DERs associated with these phantom units are currently payable.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2012 with respect to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Borders>
              <w:bottom w:val="single" w:sz="8" w:color="auto"/>
            </w:tcBorders>
            <w:gridSpan w:val="3"/>
          </w:tcPr>
          <w:p>
            <w:pPr>
              <w:jc w:val="right"/>
              <w:ind w:right="1212"/>
              <w:spacing w:after="0"/>
              <w:rPr>
                <w:sz w:val="20"/>
                <w:szCs w:val="20"/>
                <w:color w:val="auto"/>
              </w:rPr>
            </w:pPr>
            <w:r>
              <w:rPr>
                <w:rFonts w:ascii="Arial" w:cs="Arial" w:eastAsia="Arial" w:hAnsi="Arial"/>
                <w:sz w:val="14"/>
                <w:szCs w:val="14"/>
                <w:b w:val="1"/>
                <w:bCs w:val="1"/>
                <w:color w:val="auto"/>
              </w:rPr>
              <w:t>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center"/>
              <w:ind w:right="227"/>
              <w:spacing w:after="0" w:line="119" w:lineRule="exact"/>
              <w:rPr>
                <w:sz w:val="20"/>
                <w:szCs w:val="20"/>
                <w:color w:val="auto"/>
              </w:rPr>
            </w:pPr>
            <w:r>
              <w:rPr>
                <w:rFonts w:ascii="Arial" w:cs="Arial" w:eastAsia="Arial" w:hAnsi="Arial"/>
                <w:sz w:val="13"/>
                <w:szCs w:val="13"/>
                <w:b w:val="1"/>
                <w:bCs w:val="1"/>
                <w:color w:val="auto"/>
              </w:rPr>
              <w:t>Number of Units</w:t>
            </w:r>
          </w:p>
        </w:tc>
        <w:tc>
          <w:tcPr>
            <w:tcW w:w="1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247"/>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27"/>
              <w:spacing w:after="0"/>
              <w:rPr>
                <w:sz w:val="20"/>
                <w:szCs w:val="20"/>
                <w:color w:val="auto"/>
              </w:rPr>
            </w:pPr>
            <w:r>
              <w:rPr>
                <w:rFonts w:ascii="Arial" w:cs="Arial" w:eastAsia="Arial" w:hAnsi="Arial"/>
                <w:sz w:val="14"/>
                <w:szCs w:val="14"/>
                <w:b w:val="1"/>
                <w:bCs w:val="1"/>
                <w:color w:val="auto"/>
                <w:w w:val="92"/>
              </w:rPr>
              <w:t>Vesting (#)</w:t>
            </w: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4,835,400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4,817,400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31,000</w:t>
            </w:r>
            <w:r>
              <w:rPr>
                <w:rFonts w:ascii="Arial" w:cs="Arial" w:eastAsia="Arial" w:hAnsi="Arial"/>
                <w:sz w:val="11"/>
                <w:szCs w:val="11"/>
                <w:color w:val="auto"/>
              </w:rPr>
              <w:t>(4)</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569,780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3,223,600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3,211,600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21,000</w:t>
            </w:r>
            <w:r>
              <w:rPr>
                <w:rFonts w:ascii="Arial" w:cs="Arial" w:eastAsia="Arial" w:hAnsi="Arial"/>
                <w:sz w:val="11"/>
                <w:szCs w:val="11"/>
                <w:color w:val="auto"/>
              </w:rPr>
              <w:t>(4)</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385,980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23,332</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936,663</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22,000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887,150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74"/>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882,640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74"/>
              </w:rPr>
              <w:t>(4)</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192,990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1960" w:type="dxa"/>
            <w:vAlign w:val="bottom"/>
            <w:gridSpan w:val="3"/>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2,016,250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2,006,000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1960" w:type="dxa"/>
            <w:vAlign w:val="bottom"/>
            <w:gridSpan w:val="3"/>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1,450,620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1,445,220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27" w:lineRule="auto"/>
        <w:tabs>
          <w:tab w:leader="none" w:pos="64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2012. The actual number of units delivered was net of income tax withholding.</w:t>
      </w:r>
    </w:p>
    <w:p>
      <w:pPr>
        <w:spacing w:after="0" w:line="202" w:lineRule="exact"/>
        <w:rPr>
          <w:rFonts w:ascii="Arial" w:cs="Arial" w:eastAsia="Arial" w:hAnsi="Arial"/>
          <w:sz w:val="23"/>
          <w:szCs w:val="23"/>
          <w:color w:val="auto"/>
          <w:vertAlign w:val="superscript"/>
        </w:rPr>
      </w:pPr>
    </w:p>
    <w:p>
      <w:pPr>
        <w:ind w:left="660" w:right="380" w:hanging="328"/>
        <w:spacing w:after="0" w:line="267" w:lineRule="auto"/>
        <w:tabs>
          <w:tab w:leader="none" w:pos="648"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Consistent with the terms of our 2005 Long-Term Incentive Plan, the value realized upon vesting is computed by multiplying the closing market price ($40.295) of our common units on February 13, 2012 (the date preceding the vesting date) by the number of units that vested.</w:t>
      </w:r>
    </w:p>
    <w:p>
      <w:pPr>
        <w:spacing w:after="0" w:line="174" w:lineRule="exact"/>
        <w:rPr>
          <w:rFonts w:ascii="Arial" w:cs="Arial" w:eastAsia="Arial" w:hAnsi="Arial"/>
          <w:sz w:val="21"/>
          <w:szCs w:val="21"/>
          <w:color w:val="auto"/>
          <w:vertAlign w:val="superscript"/>
        </w:rPr>
      </w:pPr>
    </w:p>
    <w:p>
      <w:pPr>
        <w:ind w:left="660" w:right="380" w:hanging="328"/>
        <w:spacing w:after="0" w:line="238" w:lineRule="auto"/>
        <w:tabs>
          <w:tab w:leader="none" w:pos="648" w:val="left"/>
        </w:tabs>
        <w:numPr>
          <w:ilvl w:val="0"/>
          <w:numId w:val="81"/>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our 2005 Long-Term Incentive Plan, the value realized upon vesting is computed by multiplying the closing market price ($40.145) of our common units on May 14, 2012 (the date preceding the vesting date) by the number of units that vested.</w:t>
      </w:r>
    </w:p>
    <w:p>
      <w:pPr>
        <w:sectPr>
          <w:pgSz w:w="11900" w:h="16838" w:orient="portrait"/>
          <w:cols w:equalWidth="0" w:num="1">
            <w:col w:w="11420"/>
          </w:cols>
          <w:pgMar w:left="240" w:top="125" w:right="239" w:bottom="0" w:gutter="0" w:footer="0" w:header="0"/>
          <w:type w:val="continuous"/>
        </w:sectPr>
      </w:pPr>
    </w:p>
    <w:bookmarkStart w:id="84" w:name="page85"/>
    <w:bookmarkEnd w:id="84"/>
    <w:p>
      <w:pPr>
        <w:ind w:left="660" w:right="100" w:hanging="328"/>
        <w:spacing w:after="0" w:line="249" w:lineRule="auto"/>
        <w:tabs>
          <w:tab w:leader="none" w:pos="648" w:val="left"/>
        </w:tabs>
        <w:numPr>
          <w:ilvl w:val="0"/>
          <w:numId w:val="82"/>
        </w:numPr>
        <w:rPr>
          <w:rFonts w:ascii="Arial" w:cs="Arial" w:eastAsia="Arial" w:hAnsi="Arial"/>
          <w:sz w:val="22"/>
          <w:szCs w:val="22"/>
          <w:color w:val="auto"/>
          <w:vertAlign w:val="superscript"/>
        </w:rPr>
      </w:pPr>
      <w:r>
        <w:rPr>
          <w:rFonts w:ascii="Arial" w:cs="Arial" w:eastAsia="Arial" w:hAnsi="Arial"/>
          <w:sz w:val="17"/>
          <w:szCs w:val="17"/>
          <w:color w:val="auto"/>
        </w:rPr>
        <w:t>Represents the gross number of transaction/transition grant awards that vested during the year ended December 31, 2012. These awards were settled by PAA in Common Units of PNG. The value realized is computed by multiplying the closing market price ($18.38) of PNG Common Units on May 4, 2012 (the date preceding the vesting date) by the number of transaction/transition grant awards that vested.</w:t>
      </w:r>
    </w:p>
    <w:p>
      <w:pPr>
        <w:spacing w:after="0" w:line="196" w:lineRule="exact"/>
        <w:rPr>
          <w:rFonts w:ascii="Arial" w:cs="Arial" w:eastAsia="Arial" w:hAnsi="Arial"/>
          <w:sz w:val="22"/>
          <w:szCs w:val="22"/>
          <w:color w:val="auto"/>
          <w:vertAlign w:val="superscript"/>
        </w:rPr>
      </w:pPr>
    </w:p>
    <w:p>
      <w:pPr>
        <w:ind w:left="660" w:right="420" w:hanging="328"/>
        <w:spacing w:after="0" w:line="227" w:lineRule="auto"/>
        <w:tabs>
          <w:tab w:leader="none" w:pos="648"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Consistent with the terms of our 1998 Long-Term Incentive Plan, the value realized upon vesting is computed by multiplying the closing market price ($40.325) of our common units on February 14, 2012 (the date of vesting) by the number of units that vested.</w:t>
      </w:r>
    </w:p>
    <w:p>
      <w:pPr>
        <w:spacing w:after="0" w:line="202" w:lineRule="exact"/>
        <w:rPr>
          <w:rFonts w:ascii="Arial" w:cs="Arial" w:eastAsia="Arial" w:hAnsi="Arial"/>
          <w:sz w:val="23"/>
          <w:szCs w:val="23"/>
          <w:color w:val="auto"/>
          <w:vertAlign w:val="superscript"/>
        </w:rPr>
      </w:pPr>
    </w:p>
    <w:p>
      <w:pPr>
        <w:ind w:left="660" w:right="420" w:hanging="328"/>
        <w:spacing w:after="0" w:line="227" w:lineRule="auto"/>
        <w:tabs>
          <w:tab w:leader="none" w:pos="648"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Consistent with the terms of our 1998 Long-Term Incentive Plan, the value realized upon vesting is computed by multiplying the closing market price ($40.12) of our common units on May 15, 2012 (the date of vesting) by the number of units that vested.</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By Reason of</w:t>
            </w: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By Company</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By Executive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Connection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Good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a 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Death</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without Cause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Reason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10,750,000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10,750,000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10,750,000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16,125,000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17,703,720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17,703,720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16,286,400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16,286,400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18,648,600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Health Benefits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29,904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29,904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29,904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29,904</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1,460,819</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Class B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7,835,800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7,835,800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8,758,000</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28,453,720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28,483,624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34,902,104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34,902,104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45,022,323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10,200,000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10,200,000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10,200,000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15,300,000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11,817,720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11,817,720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10,857,600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10,857,600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12,457,800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Health Benefits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46,200</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1,693,407</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Class B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5,876,850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5,876,850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6,568,500</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22,017,720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22,063,920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21,103,800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21,103,800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36,065,907</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6,964,581</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6,964,581</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6,484,521</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7,284,621</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 Units</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1,958,950</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1,958,950</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2,189,500</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6,964,581</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6,964,581</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8,443,471</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1,958,950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9,474,121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80" w:type="dxa"/>
            <w:vAlign w:val="bottom"/>
            <w:gridSpan w:val="3"/>
          </w:tcPr>
          <w:p>
            <w:pPr>
              <w:ind w:left="1280"/>
              <w:spacing w:after="0"/>
              <w:rPr>
                <w:sz w:val="20"/>
                <w:szCs w:val="20"/>
                <w:color w:val="auto"/>
              </w:rPr>
            </w:pPr>
            <w:r>
              <w:rPr>
                <w:rFonts w:ascii="Arial" w:cs="Arial" w:eastAsia="Arial" w:hAnsi="Arial"/>
                <w:sz w:val="18"/>
                <w:szCs w:val="18"/>
                <w:color w:val="auto"/>
                <w:w w:val="93"/>
              </w:rPr>
              <w:t>113</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3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6,786,000</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6,786,000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6,786,000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6,786,000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 Units</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3,330,215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3,330,215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3,722,150</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6,786,000</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6,786,000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10,116,215</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3,330,215</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10,508,150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4,885,920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4,885,920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4,885,920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4,885,920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Class B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2,742,530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2,742,530</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3,065,300</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4,885,920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4,885,920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7,628,450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2,742,530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7,951,220</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-1776730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-1776730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51" w:lineRule="auto"/>
        <w:tabs>
          <w:tab w:leader="none" w:pos="648"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Plains All American GP LLC and Messrs. Armstrong and Pefanis provide that if (i) their employment with Plains All American GP LLC is terminated as a result of their death, (ii) they terminate their employment with Plains All American GP LLC</w:t>
      </w:r>
    </w:p>
    <w:p>
      <w:pPr>
        <w:spacing w:after="0" w:line="1" w:lineRule="exact"/>
        <w:rPr>
          <w:rFonts w:ascii="Arial" w:cs="Arial" w:eastAsia="Arial" w:hAnsi="Arial"/>
          <w:sz w:val="21"/>
          <w:szCs w:val="21"/>
          <w:color w:val="auto"/>
          <w:vertAlign w:val="superscript"/>
        </w:rPr>
      </w:pPr>
    </w:p>
    <w:p>
      <w:pPr>
        <w:jc w:val="both"/>
        <w:ind w:left="660" w:right="220" w:hanging="4"/>
        <w:spacing w:after="0" w:line="281" w:lineRule="auto"/>
        <w:tabs>
          <w:tab w:leader="none" w:pos="9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because of a disability (as defined in Section 409A of the Code) or (b) for good reason (as defined below), or (iii) Plains All American GP LLC terminates their employment without cause (as defined below), they are entitled to a lump-sum amount equal to the product of (1) the sum of their</w:t>
      </w:r>
    </w:p>
    <w:p>
      <w:pPr>
        <w:spacing w:after="0" w:line="1" w:lineRule="exact"/>
        <w:rPr>
          <w:rFonts w:ascii="Arial" w:cs="Arial" w:eastAsia="Arial" w:hAnsi="Arial"/>
          <w:sz w:val="16"/>
          <w:szCs w:val="16"/>
          <w:color w:val="auto"/>
        </w:rPr>
      </w:pPr>
    </w:p>
    <w:p>
      <w:pPr>
        <w:ind w:left="660" w:right="160" w:hanging="4"/>
        <w:spacing w:after="0" w:line="302" w:lineRule="auto"/>
        <w:tabs>
          <w:tab w:leader="none" w:pos="905" w:val="left"/>
        </w:tabs>
        <w:numPr>
          <w:ilvl w:val="1"/>
          <w:numId w:val="84"/>
        </w:numPr>
        <w:rPr>
          <w:rFonts w:ascii="Arial" w:cs="Arial" w:eastAsia="Arial" w:hAnsi="Arial"/>
          <w:sz w:val="16"/>
          <w:szCs w:val="16"/>
          <w:color w:val="auto"/>
        </w:rPr>
      </w:pPr>
      <w:r>
        <w:rPr>
          <w:rFonts w:ascii="Arial" w:cs="Arial" w:eastAsia="Arial" w:hAnsi="Arial"/>
          <w:sz w:val="16"/>
          <w:szCs w:val="16"/>
          <w:color w:val="auto"/>
        </w:rPr>
        <w:t>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2012, and also assumes a highest annual base</w:t>
      </w:r>
    </w:p>
    <w:p>
      <w:pPr>
        <w:sectPr>
          <w:pgSz w:w="11900" w:h="16838" w:orient="portrait"/>
          <w:cols w:equalWidth="0" w:num="1">
            <w:col w:w="11460"/>
          </w:cols>
          <w:pgMar w:left="240" w:top="125" w:right="199" w:bottom="0" w:gutter="0" w:footer="0" w:header="0"/>
        </w:sectPr>
      </w:pPr>
    </w:p>
    <w:bookmarkStart w:id="85" w:name="page86"/>
    <w:bookmarkEnd w:id="85"/>
    <w:p>
      <w:pPr>
        <w:spacing w:after="0" w:line="39"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salary of $375,000 and highest annual bonus of $5,000,000 for Mr. Armstrong, and a highest annual base salary of $300,000 and highest annual bonus of $4,800,000 for Mr. Pefanis.</w:t>
      </w:r>
    </w:p>
    <w:p>
      <w:pPr>
        <w:spacing w:after="0" w:line="170"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The employment agreements between Plains All American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w:t>
      </w:r>
    </w:p>
    <w:p>
      <w:pPr>
        <w:spacing w:after="0" w:line="2" w:lineRule="exact"/>
        <w:rPr>
          <w:sz w:val="20"/>
          <w:szCs w:val="20"/>
          <w:color w:val="auto"/>
        </w:rPr>
      </w:pPr>
    </w:p>
    <w:p>
      <w:pPr>
        <w:ind w:left="660"/>
        <w:spacing w:after="0" w:line="292" w:lineRule="auto"/>
        <w:rPr>
          <w:sz w:val="20"/>
          <w:szCs w:val="20"/>
          <w:color w:val="auto"/>
        </w:rPr>
      </w:pPr>
      <w:r>
        <w:rPr>
          <w:rFonts w:ascii="Arial" w:cs="Arial" w:eastAsia="Arial" w:hAnsi="Arial"/>
          <w:sz w:val="16"/>
          <w:szCs w:val="16"/>
          <w:color w:val="auto"/>
        </w:rPr>
        <w:t>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Plains All American GP LLC and Messrs. Armstrong and Pefanis define “good reason” as the occurrence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of the following circumstances: (i) removal by Plains All American GP LLC from, or failure to re-elect them to, the positions to which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Messrs. Armstrong and Pefanis were appointed pursuant to their respective employment agreements, except in connection with their termination for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cause (as defined above); (ii) (a) a reduction in their rate of base salary (other than in connection with across-the-board salary reductions for all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executive officers of Plains All American GP LLC) unless such reduction reduces their base salary to less than 85% of their current base salary, (b) a</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material reduction in their fringe benefits, or (c) any other material failure by Plains All American GP LLC to comply with its obligations under their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employment agreements to pay their annual salary and bonus, reimburse their business expenses, provide for their participation in certain employee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benefit plans and arrangements, furnish them with suitable office space and support staff, or allow them no less than 15 business days of paid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vacation annually; or (iii) the failure of Plains All American GP LLC to obtain the express assumption of the employment agreements by a successor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entity (whether direct or indirect, by purchase, merger, consolidation or otherwise) to all or substantially all of the business and/or assets of Plains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American GP LLC.</w:t>
      </w:r>
    </w:p>
    <w:p>
      <w:pPr>
        <w:spacing w:after="0" w:line="211" w:lineRule="exact"/>
        <w:rPr>
          <w:sz w:val="20"/>
          <w:szCs w:val="20"/>
          <w:color w:val="auto"/>
        </w:rPr>
      </w:pPr>
    </w:p>
    <w:p>
      <w:pPr>
        <w:ind w:left="660" w:right="40" w:hanging="652"/>
        <w:spacing w:after="0" w:line="238" w:lineRule="auto"/>
        <w:tabs>
          <w:tab w:leader="none" w:pos="648" w:val="left"/>
        </w:tabs>
        <w:numPr>
          <w:ilvl w:val="0"/>
          <w:numId w:val="85"/>
        </w:numPr>
        <w:rPr>
          <w:rFonts w:ascii="Arial" w:cs="Arial" w:eastAsia="Arial" w:hAnsi="Arial"/>
          <w:sz w:val="23"/>
          <w:szCs w:val="23"/>
          <w:color w:val="auto"/>
          <w:vertAlign w:val="superscript"/>
        </w:rPr>
      </w:pPr>
      <w:r>
        <w:rPr>
          <w:rFonts w:ascii="Arial" w:cs="Arial" w:eastAsia="Arial" w:hAnsi="Arial"/>
          <w:sz w:val="18"/>
          <w:szCs w:val="18"/>
          <w:color w:val="auto"/>
        </w:rPr>
        <w:t>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77"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amount provided in the table assumes a change in control and termination date of December 31, 2012, and also assumes a highest annual base salary of $375,000 and highest annual bonus of $5,000,000 for Mr. Armstrong, and a highest annual base salary of $300,000 and highest annual bonus of $4,800,000 for Mr. Pefanis.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August 2005, Vulcan Energy increased its interest in Plains All American GP LLC from approximately 44% to greater than 50%. The consummation of the transaction constituted a change in control under the employment agreements with Messrs. Armstrong and Pefanis. However, Messrs. Armstrong and Pefanis entered into agreements with Plains All American GP LLC waiving their rights to payments under their employment agreements in connection with the change in control, contingent on the execution and performance by Vulcan Energy of a voting agreement with Plains All American GP LLC that restricted certain of Vulcan’s voting rights. The December 2010 sale by Vulcan Energy of its interest in our general partner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79" w:lineRule="exact"/>
        <w:rPr>
          <w:sz w:val="20"/>
          <w:szCs w:val="20"/>
          <w:color w:val="auto"/>
        </w:rPr>
      </w:pPr>
    </w:p>
    <w:p>
      <w:pPr>
        <w:ind w:right="40" w:hanging="11"/>
        <w:spacing w:after="0" w:line="273" w:lineRule="auto"/>
        <w:rPr>
          <w:sz w:val="20"/>
          <w:szCs w:val="20"/>
          <w:color w:val="auto"/>
        </w:rPr>
      </w:pPr>
      <w:r>
        <w:rPr>
          <w:rFonts w:ascii="Arial" w:cs="Arial" w:eastAsia="Arial" w:hAnsi="Arial"/>
          <w:sz w:val="17"/>
          <w:szCs w:val="17"/>
          <w:color w:val="auto"/>
        </w:rPr>
        <w:t>The letters evidencing phantom unit grants to our Named Executive Officers in 2009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Assuming death or disability occurred on December 31, 2012, all phantom units and the associated DERs of our Named Executive Officers would have become nonforfeitable effective as of December 31, 2012, and would vest on the February 2013 distribution date. For the 2009 and 2010 grants, any units not vested by May 2015 and May 2016, respectively, would expire. That portion of the dollar value given that is attributable to PAA phantom units is based on the market value of PAA’s common units on December 31, 2012 ($45.24 per unit) without discount for service period.</w:t>
      </w:r>
    </w:p>
    <w:p>
      <w:pPr>
        <w:spacing w:after="0" w:line="15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2012, vesting of all of the phantom series A subordinated units, and vesting of 20% of the phantom series B subordinated units, was deemed probable of occurrence. That portion of the dollar value given that is attributable to the transaction/transition grants is based on the market value of PNG’s common units on December 31, 2012 ($19.05 per unit), without discount for service period.</w:t>
      </w:r>
    </w:p>
    <w:p>
      <w:pPr>
        <w:spacing w:after="0" w:line="193" w:lineRule="exact"/>
        <w:rPr>
          <w:sz w:val="20"/>
          <w:szCs w:val="20"/>
          <w:color w:val="auto"/>
        </w:rPr>
      </w:pPr>
    </w:p>
    <w:p>
      <w:pPr>
        <w:ind w:right="80" w:hanging="11"/>
        <w:spacing w:after="0" w:line="302" w:lineRule="auto"/>
        <w:rPr>
          <w:sz w:val="20"/>
          <w:szCs w:val="20"/>
          <w:color w:val="auto"/>
        </w:rPr>
      </w:pPr>
      <w:r>
        <w:rPr>
          <w:rFonts w:ascii="Arial" w:cs="Arial" w:eastAsia="Arial" w:hAnsi="Arial"/>
          <w:sz w:val="16"/>
          <w:szCs w:val="16"/>
          <w:color w:val="auto"/>
        </w:rPr>
        <w:t>Pursuant to the phantom unit grants to our Named Executive Officers in 2009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w:t>
      </w:r>
    </w:p>
    <w:p>
      <w:pPr>
        <w:sectPr>
          <w:pgSz w:w="11900" w:h="16877" w:orient="portrait"/>
          <w:cols w:equalWidth="0" w:num="2">
            <w:col w:w="140" w:space="520"/>
            <w:col w:w="10740"/>
          </w:cols>
          <w:pgMar w:left="240" w:top="125" w:right="259" w:bottom="0" w:gutter="0" w:footer="0" w:header="0"/>
          <w:type w:val="continuous"/>
        </w:sectPr>
      </w:pPr>
    </w:p>
    <w:bookmarkStart w:id="86" w:name="page87"/>
    <w:bookmarkEnd w:id="86"/>
    <w:p>
      <w:pPr>
        <w:spacing w:after="0" w:line="137"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2012. As a result, all of the 2009 and 2010 phantom unit grants held by Messrs. Armstrong, Pefanis, Swanson, Duckett and vonBerg would be deemed nonforfeitable and would vest on the February 2013 distribution date. That portion of the dollar value given that is attributable to PAA phantom units is based on the market value of PAA’s common units on December 31, 2012 ($45.24 per unit), without discount for service period. In addition to the foregoing, under Canadian law, Mr. Duckett could have a claim for additional payment if inadequate notice were given for a termination without cause.</w:t>
      </w:r>
    </w:p>
    <w:p>
      <w:pPr>
        <w:spacing w:after="0" w:line="178"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the company without cause or by the executive for good reason (in each case as defined in the relevant employment agreement) all of the executive’s outstanding awards under the 2005 Long-Term Incentive Plan would immediately vest.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75" w:orient="portrait"/>
          <w:cols w:equalWidth="0" w:num="1">
            <w:col w:w="11400"/>
          </w:cols>
          <w:pgMar w:left="240" w:top="125" w:right="25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100" w:hanging="11"/>
        <w:spacing w:after="0" w:line="255" w:lineRule="auto"/>
        <w:rPr>
          <w:sz w:val="20"/>
          <w:szCs w:val="20"/>
          <w:color w:val="auto"/>
        </w:rPr>
      </w:pPr>
      <w:r>
        <w:rPr>
          <w:rFonts w:ascii="Arial" w:cs="Arial" w:eastAsia="Arial" w:hAnsi="Arial"/>
          <w:sz w:val="18"/>
          <w:szCs w:val="18"/>
          <w:color w:val="auto"/>
        </w:rPr>
        <w:t>The letters evidencing the phantom unit grants to our Named Executive Officers in 2009 and 2010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2012, all outstanding phantom units and the associated DERs would have become nonforfeitable as of December 31, 2012, and such phantom units would vest on the February 2013 distribution date. That portion of the dollar value given that is attributable to PAA phantom units is based on the market value of PAA’s common units on December 31, 2012 ($45.24 per unit), without discount for service period.</w:t>
      </w:r>
    </w:p>
    <w:p>
      <w:pPr>
        <w:spacing w:after="0" w:line="189" w:lineRule="exact"/>
        <w:rPr>
          <w:sz w:val="20"/>
          <w:szCs w:val="20"/>
          <w:color w:val="auto"/>
        </w:rPr>
      </w:pPr>
    </w:p>
    <w:p>
      <w:pPr>
        <w:ind w:left="20" w:right="60"/>
        <w:spacing w:after="0" w:line="255" w:lineRule="auto"/>
        <w:rPr>
          <w:sz w:val="20"/>
          <w:szCs w:val="20"/>
          <w:color w:val="auto"/>
        </w:rPr>
      </w:pPr>
      <w:r>
        <w:rPr>
          <w:rFonts w:ascii="Arial" w:cs="Arial" w:eastAsia="Arial" w:hAnsi="Arial"/>
          <w:sz w:val="18"/>
          <w:szCs w:val="18"/>
          <w:color w:val="auto"/>
        </w:rPr>
        <w:t>The transaction/transition grant agreements provide that in the event of a change in status (as defined below), all outstanding phantom units and tandem DERs shall be deemed nonforfeitable on such date, and such phantom units will be payable on the next following distribution date. Assuming a change in status occurred on December 31, 2012, all outstanding phantom units under the transaction/transition grant agreements would have been nonforfeitable and would have vested on the February 2013 distribution date. That portion of the dollar value given that is attributable to the transaction/transition grants is based on the market value of PNG’s common units on December 31, 2012 ($19.05 per unit), without discount for service period.</w:t>
      </w:r>
    </w:p>
    <w:p>
      <w:pPr>
        <w:spacing w:after="0" w:line="193" w:lineRule="exact"/>
        <w:rPr>
          <w:sz w:val="20"/>
          <w:szCs w:val="20"/>
          <w:color w:val="auto"/>
        </w:rPr>
      </w:pPr>
    </w:p>
    <w:p>
      <w:pPr>
        <w:ind w:left="20" w:right="40"/>
        <w:spacing w:after="0" w:line="273" w:lineRule="auto"/>
        <w:rPr>
          <w:sz w:val="20"/>
          <w:szCs w:val="20"/>
          <w:color w:val="auto"/>
        </w:rPr>
      </w:pPr>
      <w:r>
        <w:rPr>
          <w:rFonts w:ascii="Arial" w:cs="Arial" w:eastAsia="Arial" w:hAnsi="Arial"/>
          <w:sz w:val="17"/>
          <w:szCs w:val="17"/>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phrase “change of control” means, and is deemed to have occurred upon the occurrence of, one or more of the following events: (i) Plains All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American GP LLC ceasing to be the general partner of our general partner; (ii) any sale, lease, exchange or other transfer (in one transaction or 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of related transactions) of all or substantially all of the assets of our partnership or Plains All American GP LLC to any person and/or its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affiliates, other than to us or Plains All American GP LLC, including any employee benefit plan thereof; (iii) the consolidation, reorganization,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merger, or any other similar transaction involving (A) a person other than us or Plains All American GP LLC and (B) us, Plains All American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GP LLC or both; (iv) the persons who own membership interests in Plains All American GP LLC as of the grant date ceasing to beneficially own,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directly or indirectly, more than 50% of the membership interests of Plains All American GP LLC; or (v) any person, including any partnership,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limited partnership, syndicate or other group deemed a “person” for purposes of Section 13(d) or 14(d) of the Securities Exchange Act of 1934, 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amended, becoming the beneficial owner, directly or indirectly, of more than 49.9% of the membership interest in Plains All American GP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Notwithstanding the definition of change of control, no change of control is deemed to have occurred in connection with a restructuring 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reorganization related to the securitization and sale to the public of direct or indirect equity interests in the general partner if (x) Plains All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American GP LLC retains direct or indirect control over the general partner and (y) the current members of Plains All American GP LLC continue to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own more than 50% of the member interest in Plains All American GP LLC. The term “cause” means (i) the failure to perform a job function in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accordance with standards described in writing, or (ii) the violation of Plains All American GP LLC’s Code of Business Conduct (unless waived 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accordance with the terms thereof), in each case, with the specific failure or violation described in writing.</w:t>
      </w:r>
    </w:p>
    <w:p>
      <w:pPr>
        <w:spacing w:after="0" w:line="211" w:lineRule="exact"/>
        <w:rPr>
          <w:sz w:val="20"/>
          <w:szCs w:val="20"/>
          <w:color w:val="auto"/>
        </w:rPr>
      </w:pPr>
    </w:p>
    <w:p>
      <w:pPr>
        <w:ind w:left="20" w:right="80" w:hanging="11"/>
        <w:spacing w:after="0" w:line="297" w:lineRule="auto"/>
        <w:rPr>
          <w:sz w:val="20"/>
          <w:szCs w:val="20"/>
          <w:color w:val="auto"/>
        </w:rPr>
      </w:pPr>
      <w:r>
        <w:rPr>
          <w:rFonts w:ascii="Arial" w:cs="Arial" w:eastAsia="Arial" w:hAnsi="Arial"/>
          <w:sz w:val="16"/>
          <w:szCs w:val="16"/>
          <w:color w:val="auto"/>
        </w:rPr>
        <w:t>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Plains All American GP LLC to its executive officers generally. The amounts provided in the table assume a termination date of December 31, 2012.</w:t>
      </w:r>
    </w:p>
    <w:p>
      <w:pPr>
        <w:spacing w:after="0" w:line="158" w:lineRule="exact"/>
        <w:rPr>
          <w:sz w:val="20"/>
          <w:szCs w:val="20"/>
          <w:color w:val="auto"/>
        </w:rPr>
      </w:pPr>
    </w:p>
    <w:p>
      <w:pPr>
        <w:jc w:val="both"/>
        <w:ind w:left="20" w:right="60" w:hanging="11"/>
        <w:spacing w:after="0" w:line="312" w:lineRule="auto"/>
        <w:rPr>
          <w:sz w:val="20"/>
          <w:szCs w:val="20"/>
          <w:color w:val="auto"/>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2012.</w:t>
      </w:r>
    </w:p>
    <w:p>
      <w:pPr>
        <w:spacing w:after="0" w:line="147" w:lineRule="exact"/>
        <w:rPr>
          <w:sz w:val="20"/>
          <w:szCs w:val="20"/>
          <w:color w:val="auto"/>
        </w:rPr>
      </w:pPr>
    </w:p>
    <w:p>
      <w:pPr>
        <w:ind w:left="20" w:right="140" w:hanging="11"/>
        <w:spacing w:after="0" w:line="264" w:lineRule="auto"/>
        <w:rPr>
          <w:sz w:val="20"/>
          <w:szCs w:val="20"/>
          <w:color w:val="auto"/>
        </w:rPr>
      </w:pPr>
      <w:r>
        <w:rPr>
          <w:rFonts w:ascii="Arial" w:cs="Arial" w:eastAsia="Arial" w:hAnsi="Arial"/>
          <w:sz w:val="18"/>
          <w:szCs w:val="18"/>
          <w:color w:val="auto"/>
        </w:rPr>
        <w:t>Pursuant to the Class B Restricted Units Agreements, any earned Class B units will become vested units (i.e., no longer capable of being purchased at a discount by Plains AAP, L.P. pursuant to its call right) upon a termination of employment by Plains All American GP LLC without cause (defined below) or by the Named Executive Officer for good</w:t>
      </w:r>
    </w:p>
    <w:p>
      <w:pPr>
        <w:spacing w:after="0" w:line="18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75" w:orient="portrait"/>
          <w:cols w:equalWidth="0" w:num="2">
            <w:col w:w="140" w:space="500"/>
            <w:col w:w="10760"/>
          </w:cols>
          <w:pgMar w:left="240" w:top="125" w:right="25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reason (defined below). As of December 31, 2012, 75% of the Class B units held by Messrs. Armstrong, Pefanis, Swanson, Duckett and vonBerg had been earned. Assuming a termination of employment without cause or for good reason on December 31, 2012, 75% of the Class B units held by</w:t>
      </w:r>
    </w:p>
    <w:p>
      <w:pPr>
        <w:sectPr>
          <w:pgSz w:w="11900" w:h="16975" w:orient="portrait"/>
          <w:cols w:equalWidth="0" w:num="1">
            <w:col w:w="11400"/>
          </w:cols>
          <w:pgMar w:left="240" w:top="125" w:right="259" w:bottom="0" w:gutter="0" w:footer="0" w:header="0"/>
          <w:type w:val="continuous"/>
        </w:sectPr>
      </w:pPr>
    </w:p>
    <w:bookmarkStart w:id="87" w:name="page88"/>
    <w:bookmarkEnd w:id="87"/>
    <w:p>
      <w:pPr>
        <w:jc w:val="both"/>
        <w:ind w:left="660" w:right="60"/>
        <w:spacing w:after="0" w:line="264" w:lineRule="auto"/>
        <w:rPr>
          <w:sz w:val="20"/>
          <w:szCs w:val="20"/>
          <w:color w:val="auto"/>
        </w:rPr>
      </w:pPr>
      <w:r>
        <w:rPr>
          <w:rFonts w:ascii="Arial" w:cs="Arial" w:eastAsia="Arial" w:hAnsi="Arial"/>
          <w:sz w:val="18"/>
          <w:szCs w:val="18"/>
          <w:color w:val="auto"/>
        </w:rPr>
        <w:t>Messrs. Armstrong, Pefanis, Swanson, Duckett and vonBerg would become vested. The value of such Class B units as reflected in the table is based on the grant date fair value computed in accordance with FASB ASC Topic 718. The entire economic burden of the Class B units is borne solely by Plains AAP, L.P., our general partner.</w:t>
      </w:r>
    </w:p>
    <w:p>
      <w:pPr>
        <w:spacing w:after="0" w:line="181"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“Cause” is defined in the Class B Restricted Units Agreements as (i) a finding by the board of Plains All American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Plains All American GP LLC or its affiliates.</w:t>
      </w:r>
    </w:p>
    <w:p>
      <w:pPr>
        <w:spacing w:after="0" w:line="165" w:lineRule="exact"/>
        <w:rPr>
          <w:sz w:val="20"/>
          <w:szCs w:val="20"/>
          <w:color w:val="auto"/>
        </w:rPr>
      </w:pPr>
    </w:p>
    <w:p>
      <w:pPr>
        <w:ind w:left="660" w:right="480"/>
        <w:spacing w:after="0" w:line="291" w:lineRule="auto"/>
        <w:rPr>
          <w:sz w:val="20"/>
          <w:szCs w:val="20"/>
          <w:color w:val="auto"/>
        </w:rPr>
      </w:pPr>
      <w:r>
        <w:rPr>
          <w:rFonts w:ascii="Arial" w:cs="Arial" w:eastAsia="Arial" w:hAnsi="Arial"/>
          <w:sz w:val="16"/>
          <w:szCs w:val="16"/>
          <w:color w:val="auto"/>
        </w:rPr>
        <w:t>“Good Reason” is defined in the Class B Restricted Units Agreements as (i) any material breach by Plains AAP, L.P. of executive’s Class B Restricted Units Agreement, (ii) the failure of any successor of Plains AAP, L.P. to assume executive’s Class B Restricted Units Agreement, or</w:t>
      </w:r>
    </w:p>
    <w:p>
      <w:pPr>
        <w:ind w:left="660"/>
        <w:spacing w:after="0"/>
        <w:rPr>
          <w:sz w:val="20"/>
          <w:szCs w:val="20"/>
          <w:color w:val="auto"/>
        </w:rPr>
      </w:pPr>
      <w:r>
        <w:rPr>
          <w:rFonts w:ascii="Arial" w:cs="Arial" w:eastAsia="Arial" w:hAnsi="Arial"/>
          <w:sz w:val="18"/>
          <w:szCs w:val="18"/>
          <w:color w:val="auto"/>
        </w:rPr>
        <w:t>(iii) any material overall reduction the executive’s authority, responsibilities or duties.</w:t>
      </w:r>
    </w:p>
    <w:p>
      <w:pPr>
        <w:spacing w:after="0" w:line="210" w:lineRule="exact"/>
        <w:rPr>
          <w:sz w:val="20"/>
          <w:szCs w:val="20"/>
          <w:color w:val="auto"/>
        </w:rPr>
      </w:pPr>
    </w:p>
    <w:p>
      <w:pPr>
        <w:ind w:left="660" w:right="40" w:hanging="652"/>
        <w:spacing w:after="0" w:line="243" w:lineRule="auto"/>
        <w:tabs>
          <w:tab w:leader="none" w:pos="648"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Pursuant to the Class B Restricted Units Agreements, upon the occurrence of a Change in Control, any earned Class B units (and any Class B units that will become earned in less than 180 days) become vested units and, to the extent any Class B units remain unearned, an incremental 25% of the number of Class B units originally granted becomes vested. As of December 31, 2012, 75% of the Class B units held by Messrs. Armstrong, Pefanis, Swanson, Duckett and vonBerg had been earned. Assuming a Change in Control on December 31, 2012, 100% of the Class B units held by Messrs. Armstrong, Pefanis, Swanson, Duckett and vonBerg would become vested. The value of such Class B units as reflected in the table is based on the grant date fair value computed in accordance with FASB ASC Topic 718. The entire economic burden of the Class B units is borne solely by Plains AAP, L.P., our general partner.</w:t>
      </w:r>
    </w:p>
    <w:p>
      <w:pPr>
        <w:spacing w:after="0" w:line="203" w:lineRule="exact"/>
        <w:rPr>
          <w:rFonts w:ascii="Arial" w:cs="Arial" w:eastAsia="Arial" w:hAnsi="Arial"/>
          <w:sz w:val="23"/>
          <w:szCs w:val="23"/>
          <w:color w:val="auto"/>
          <w:vertAlign w:val="superscript"/>
        </w:rPr>
      </w:pPr>
    </w:p>
    <w:p>
      <w:pPr>
        <w:ind w:left="660" w:right="20"/>
        <w:spacing w:after="0" w:line="270" w:lineRule="auto"/>
        <w:rPr>
          <w:rFonts w:ascii="Arial" w:cs="Arial" w:eastAsia="Arial" w:hAnsi="Arial"/>
          <w:sz w:val="23"/>
          <w:szCs w:val="23"/>
          <w:color w:val="auto"/>
          <w:vertAlign w:val="superscript"/>
        </w:rPr>
      </w:pPr>
      <w:r>
        <w:rPr>
          <w:rFonts w:ascii="Arial" w:cs="Arial" w:eastAsia="Arial" w:hAnsi="Arial"/>
          <w:sz w:val="17"/>
          <w:szCs w:val="17"/>
          <w:color w:val="auto"/>
        </w:rPr>
        <w:t>“Change in Control” means the determination by the Board that one of the following events has occurred: (i) Plains All American GP LLC ceases to retain direct or indirect control over the Partnership; (ii) the owners of Plains All American GP LLC as of the respective grant date of the Class B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w:t>
      </w:r>
    </w:p>
    <w:p>
      <w:pPr>
        <w:spacing w:after="0" w:line="181" w:lineRule="exact"/>
        <w:rPr>
          <w:rFonts w:ascii="Arial" w:cs="Arial" w:eastAsia="Arial" w:hAnsi="Arial"/>
          <w:sz w:val="23"/>
          <w:szCs w:val="23"/>
          <w:color w:val="auto"/>
          <w:vertAlign w:val="superscript"/>
        </w:rPr>
      </w:pPr>
    </w:p>
    <w:p>
      <w:pPr>
        <w:ind w:left="660" w:right="100" w:hanging="634"/>
        <w:spacing w:after="0" w:line="238" w:lineRule="auto"/>
        <w:tabs>
          <w:tab w:leader="none" w:pos="643" w:val="left"/>
        </w:tabs>
        <w:numPr>
          <w:ilvl w:val="1"/>
          <w:numId w:val="86"/>
        </w:numPr>
        <w:rPr>
          <w:rFonts w:ascii="Arial" w:cs="Arial" w:eastAsia="Arial" w:hAnsi="Arial"/>
          <w:sz w:val="22"/>
          <w:szCs w:val="22"/>
          <w:color w:val="auto"/>
          <w:vertAlign w:val="superscript"/>
        </w:rPr>
      </w:pPr>
      <w:r>
        <w:rPr>
          <w:rFonts w:ascii="Arial" w:cs="Arial" w:eastAsia="Arial" w:hAnsi="Arial"/>
          <w:sz w:val="17"/>
          <w:szCs w:val="17"/>
          <w:color w:val="auto"/>
        </w:rPr>
        <w:t>If Messrs. Swanson, Duckett or vonBerg were terminated for cause, Plains All American GP LLC would be obligated to pay base salary through the date of termination, with no other payment obligation triggered by the termination under any employment arrangement.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4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a summary of the compensation paid to each person who served as a non-employee director of Plains All American GP LLC in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Awards ($)</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2"/>
        </w:trPr>
        <w:tc>
          <w:tcPr>
            <w:tcW w:w="6640" w:type="dxa"/>
            <w:vAlign w:val="bottom"/>
            <w:gridSpan w:val="2"/>
            <w:vMerge w:val="continue"/>
          </w:tcPr>
          <w:p>
            <w:pPr>
              <w:spacing w:after="0"/>
              <w:rPr>
                <w:sz w:val="10"/>
                <w:szCs w:val="10"/>
                <w:color w:val="auto"/>
              </w:rPr>
            </w:pPr>
          </w:p>
        </w:tc>
        <w:tc>
          <w:tcPr>
            <w:tcW w:w="166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0"/>
              </w:rPr>
              <w:t>Cash ($)</w:t>
            </w: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2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215,375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107,687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152,687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152,687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47,000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107,687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154,687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215,375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277,375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215,375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55" w:lineRule="auto"/>
        <w:rPr>
          <w:sz w:val="20"/>
          <w:szCs w:val="20"/>
          <w:color w:val="auto"/>
        </w:rPr>
      </w:pPr>
      <w:r>
        <w:rPr>
          <w:rFonts w:ascii="Arial" w:cs="Arial" w:eastAsia="Arial" w:hAnsi="Arial"/>
          <w:sz w:val="18"/>
          <w:szCs w:val="18"/>
          <w:color w:val="auto"/>
        </w:rPr>
        <w:t>The dollar value of LTIPs granted during 2012 is based on the grant date fair value computed in accordance with FASB ASC Topic 718. In connection with the August 2012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2012 (other than the incremental audit committee awards), a cash payment of $75,500 was made to Oxy as directed by Ms. Sutil. Such cash payment was based on the unit value of Mr. Sinnott’s award on the previous year’s vesting date. As of December 31, 2012, the number of outstanding LTIPs held by our directors was as follows: Goyanes - 20,000 ; Petersen - 10,000; Raymond - 10,000; Sinnott - 10,000; Symonds - 20,000; and Temple - 20,000.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Ms. Sutil’s compensation is assigned to Oxy.</w:t>
      </w:r>
    </w:p>
    <w:p>
      <w:pPr>
        <w:sectPr>
          <w:pgSz w:w="11900" w:h="16838" w:orient="portrait"/>
          <w:cols w:equalWidth="0" w:num="2">
            <w:col w:w="140" w:space="500"/>
            <w:col w:w="10780"/>
          </w:cols>
          <w:pgMar w:left="240" w:top="125" w:right="239" w:bottom="0" w:gutter="0" w:footer="0" w:header="0"/>
          <w:type w:val="continuous"/>
        </w:sectPr>
      </w:pPr>
    </w:p>
    <w:bookmarkStart w:id="88" w:name="page89"/>
    <w:bookmarkEnd w:id="88"/>
    <w:p>
      <w:pPr>
        <w:spacing w:after="0" w:line="3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2012, Messrs. Sinnott, Goyanes and Symonds served as chairmen of the compensation, audit and governance committees, respectively.</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Limited Partner Interest</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15,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880" w:type="dxa"/>
            <w:vAlign w:val="bottom"/>
            <w:gridSpan w:val="2"/>
            <w:vMerge w:val="restart"/>
          </w:tcPr>
          <w:p>
            <w:pPr>
              <w:jc w:val="right"/>
              <w:ind w:right="922"/>
              <w:spacing w:after="0"/>
              <w:rPr>
                <w:sz w:val="20"/>
                <w:szCs w:val="20"/>
                <w:color w:val="auto"/>
              </w:rPr>
            </w:pPr>
            <w:r>
              <w:rPr>
                <w:rFonts w:ascii="Arial" w:cs="Arial" w:eastAsia="Arial" w:hAnsi="Arial"/>
                <w:sz w:val="14"/>
                <w:szCs w:val="14"/>
                <w:b w:val="1"/>
                <w:bCs w:val="1"/>
                <w:color w:val="auto"/>
              </w:rPr>
              <w:t>Common</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790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Units</w:t>
            </w:r>
          </w:p>
        </w:tc>
        <w:tc>
          <w:tcPr>
            <w:tcW w:w="6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Richard Kayne/Kayne Anderson Capital Advisors, L.P.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16,149,943</w:t>
            </w: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w w:val="81"/>
              </w:rPr>
              <w:t>(1)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Greg L. Armstrong</w:t>
            </w:r>
          </w:p>
        </w:tc>
        <w:tc>
          <w:tcPr>
            <w:tcW w:w="1880" w:type="dxa"/>
            <w:vAlign w:val="bottom"/>
            <w:gridSpan w:val="2"/>
          </w:tcPr>
          <w:p>
            <w:pPr>
              <w:jc w:val="right"/>
              <w:ind w:right="442"/>
              <w:spacing w:after="0"/>
              <w:rPr>
                <w:sz w:val="20"/>
                <w:szCs w:val="20"/>
                <w:color w:val="auto"/>
              </w:rPr>
            </w:pPr>
            <w:r>
              <w:rPr>
                <w:rFonts w:ascii="Arial" w:cs="Arial" w:eastAsia="Arial" w:hAnsi="Arial"/>
                <w:sz w:val="18"/>
                <w:szCs w:val="18"/>
                <w:color w:val="auto"/>
              </w:rPr>
              <w:t>1,006,280</w:t>
            </w:r>
            <w:r>
              <w:rPr>
                <w:rFonts w:ascii="Arial" w:cs="Arial" w:eastAsia="Arial" w:hAnsi="Arial"/>
                <w:sz w:val="11"/>
                <w:szCs w:val="11"/>
                <w:color w:val="auto"/>
              </w:rPr>
              <w:t>(2)</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626,436</w:t>
            </w:r>
            <w:r>
              <w:rPr>
                <w:rFonts w:ascii="Arial" w:cs="Arial" w:eastAsia="Arial" w:hAnsi="Arial"/>
                <w:sz w:val="11"/>
                <w:szCs w:val="11"/>
                <w:color w:val="auto"/>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W. David Duckett</w:t>
            </w:r>
          </w:p>
        </w:tc>
        <w:tc>
          <w:tcPr>
            <w:tcW w:w="1880" w:type="dxa"/>
            <w:vAlign w:val="bottom"/>
            <w:gridSpan w:val="2"/>
          </w:tcPr>
          <w:p>
            <w:pPr>
              <w:jc w:val="right"/>
              <w:ind w:right="442"/>
              <w:spacing w:after="0"/>
              <w:rPr>
                <w:sz w:val="20"/>
                <w:szCs w:val="20"/>
                <w:color w:val="auto"/>
              </w:rPr>
            </w:pPr>
            <w:r>
              <w:rPr>
                <w:rFonts w:ascii="Arial" w:cs="Arial" w:eastAsia="Arial" w:hAnsi="Arial"/>
                <w:sz w:val="18"/>
                <w:szCs w:val="18"/>
                <w:color w:val="auto"/>
              </w:rPr>
              <w:t>294,722</w:t>
            </w:r>
            <w:r>
              <w:rPr>
                <w:rFonts w:ascii="Arial" w:cs="Arial" w:eastAsia="Arial" w:hAnsi="Arial"/>
                <w:sz w:val="11"/>
                <w:szCs w:val="11"/>
                <w:color w:val="auto"/>
              </w:rPr>
              <w:t>(2)</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122,684</w:t>
            </w:r>
            <w:r>
              <w:rPr>
                <w:rFonts w:ascii="Arial" w:cs="Arial" w:eastAsia="Arial" w:hAnsi="Arial"/>
                <w:sz w:val="11"/>
                <w:szCs w:val="11"/>
                <w:color w:val="auto"/>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Al Swanson</w:t>
            </w:r>
          </w:p>
        </w:tc>
        <w:tc>
          <w:tcPr>
            <w:tcW w:w="1880" w:type="dxa"/>
            <w:vAlign w:val="bottom"/>
            <w:gridSpan w:val="2"/>
          </w:tcPr>
          <w:p>
            <w:pPr>
              <w:jc w:val="right"/>
              <w:ind w:right="442"/>
              <w:spacing w:after="0"/>
              <w:rPr>
                <w:sz w:val="20"/>
                <w:szCs w:val="20"/>
                <w:color w:val="auto"/>
              </w:rPr>
            </w:pPr>
            <w:r>
              <w:rPr>
                <w:rFonts w:ascii="Arial" w:cs="Arial" w:eastAsia="Arial" w:hAnsi="Arial"/>
                <w:sz w:val="18"/>
                <w:szCs w:val="18"/>
                <w:color w:val="auto"/>
              </w:rPr>
              <w:t>100,804</w:t>
            </w:r>
            <w:r>
              <w:rPr>
                <w:rFonts w:ascii="Arial" w:cs="Arial" w:eastAsia="Arial" w:hAnsi="Arial"/>
                <w:sz w:val="11"/>
                <w:szCs w:val="11"/>
                <w:color w:val="auto"/>
              </w:rPr>
              <w:t>(2)</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68,400</w:t>
            </w:r>
            <w:r>
              <w:rPr>
                <w:rFonts w:ascii="Arial" w:cs="Arial" w:eastAsia="Arial" w:hAnsi="Arial"/>
                <w:sz w:val="11"/>
                <w:szCs w:val="11"/>
                <w:color w:val="auto"/>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880" w:type="dxa"/>
            <w:vAlign w:val="bottom"/>
            <w:gridSpan w:val="2"/>
          </w:tcPr>
          <w:p>
            <w:pPr>
              <w:jc w:val="right"/>
              <w:ind w:right="442"/>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(2)</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1,401,908</w:t>
            </w:r>
            <w:r>
              <w:rPr>
                <w:rFonts w:ascii="Arial" w:cs="Arial" w:eastAsia="Arial" w:hAnsi="Arial"/>
                <w:sz w:val="11"/>
                <w:szCs w:val="11"/>
                <w:color w:val="auto"/>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880" w:type="dxa"/>
            <w:vAlign w:val="bottom"/>
            <w:gridSpan w:val="2"/>
          </w:tcPr>
          <w:p>
            <w:pPr>
              <w:jc w:val="right"/>
              <w:ind w:right="302"/>
              <w:spacing w:after="0"/>
              <w:rPr>
                <w:sz w:val="20"/>
                <w:szCs w:val="20"/>
                <w:color w:val="auto"/>
              </w:rPr>
            </w:pPr>
            <w:r>
              <w:rPr>
                <w:rFonts w:ascii="Arial" w:cs="Arial" w:eastAsia="Arial" w:hAnsi="Arial"/>
                <w:sz w:val="18"/>
                <w:szCs w:val="18"/>
                <w:color w:val="auto"/>
              </w:rPr>
              <w:t>126,310</w:t>
            </w:r>
            <w:r>
              <w:rPr>
                <w:rFonts w:ascii="Arial" w:cs="Arial" w:eastAsia="Arial" w:hAnsi="Arial"/>
                <w:sz w:val="11"/>
                <w:szCs w:val="11"/>
                <w:color w:val="auto"/>
              </w:rPr>
              <w:t>(2)(4)</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Vicky Sutil</w:t>
            </w:r>
          </w:p>
        </w:tc>
        <w:tc>
          <w:tcPr>
            <w:tcW w:w="188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880" w:type="dxa"/>
            <w:vAlign w:val="bottom"/>
            <w:gridSpan w:val="2"/>
          </w:tcPr>
          <w:p>
            <w:pPr>
              <w:jc w:val="right"/>
              <w:ind w:right="442"/>
              <w:spacing w:after="0"/>
              <w:rPr>
                <w:sz w:val="20"/>
                <w:szCs w:val="20"/>
                <w:color w:val="auto"/>
              </w:rPr>
            </w:pPr>
            <w:r>
              <w:rPr>
                <w:rFonts w:ascii="Arial" w:cs="Arial" w:eastAsia="Arial" w:hAnsi="Arial"/>
                <w:sz w:val="18"/>
                <w:szCs w:val="18"/>
                <w:color w:val="auto"/>
              </w:rPr>
              <w:t>79,600</w:t>
            </w:r>
            <w:r>
              <w:rPr>
                <w:rFonts w:ascii="Arial" w:cs="Arial" w:eastAsia="Arial" w:hAnsi="Arial"/>
                <w:sz w:val="11"/>
                <w:szCs w:val="11"/>
                <w:color w:val="auto"/>
              </w:rPr>
              <w:t>(2)</w:t>
            </w: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8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11,250</w:t>
            </w:r>
            <w:r>
              <w:rPr>
                <w:rFonts w:ascii="Arial" w:cs="Arial" w:eastAsia="Arial" w:hAnsi="Arial"/>
                <w:sz w:val="11"/>
                <w:szCs w:val="11"/>
                <w:color w:val="auto"/>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880" w:type="dxa"/>
            <w:vAlign w:val="bottom"/>
            <w:gridSpan w:val="2"/>
          </w:tcPr>
          <w:p>
            <w:pPr>
              <w:jc w:val="right"/>
              <w:ind w:right="302"/>
              <w:spacing w:after="0"/>
              <w:rPr>
                <w:sz w:val="20"/>
                <w:szCs w:val="20"/>
                <w:color w:val="auto"/>
              </w:rPr>
            </w:pPr>
            <w:r>
              <w:rPr>
                <w:rFonts w:ascii="Arial" w:cs="Arial" w:eastAsia="Arial" w:hAnsi="Arial"/>
                <w:sz w:val="18"/>
                <w:szCs w:val="18"/>
                <w:color w:val="auto"/>
              </w:rPr>
              <w:t>4,352,275</w:t>
            </w:r>
            <w:r>
              <w:rPr>
                <w:rFonts w:ascii="Arial" w:cs="Arial" w:eastAsia="Arial" w:hAnsi="Arial"/>
                <w:sz w:val="11"/>
                <w:szCs w:val="11"/>
                <w:color w:val="auto"/>
              </w:rPr>
              <w:t>(2)(5)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line="243" w:lineRule="auto"/>
        <w:tabs>
          <w:tab w:leader="none" w:pos="648"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15,713,709 common units. Mr. Kayne may be deemed to beneficially own such units. In addition, Mr. Kayne directly owns or has sole voting and dispositive power over 436,234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203" w:lineRule="exact"/>
        <w:rPr>
          <w:rFonts w:ascii="Arial" w:cs="Arial" w:eastAsia="Arial" w:hAnsi="Arial"/>
          <w:sz w:val="23"/>
          <w:szCs w:val="23"/>
          <w:color w:val="auto"/>
          <w:vertAlign w:val="superscript"/>
        </w:rPr>
      </w:pPr>
    </w:p>
    <w:p>
      <w:pPr>
        <w:ind w:left="660" w:right="220" w:hanging="652"/>
        <w:spacing w:after="0" w:line="238" w:lineRule="auto"/>
        <w:tabs>
          <w:tab w:leader="none" w:pos="648"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Does not include unvested phantom units granted under our Long-Term Incentive Plans, none of which will vest within 60 days of the date hereof. See Item 11. “Executive Compensation—Outstanding Equity Awards at Fiscal Year-End” and “— Director Compensation.”</w:t>
      </w:r>
    </w:p>
    <w:p>
      <w:pPr>
        <w:sectPr>
          <w:pgSz w:w="11900" w:h="16868" w:orient="portrait"/>
          <w:cols w:equalWidth="0" w:num="1">
            <w:col w:w="11420"/>
          </w:cols>
          <w:pgMar w:left="240" w:top="125" w:right="239" w:bottom="0" w:gutter="0" w:footer="0" w:header="0"/>
        </w:sectPr>
      </w:pPr>
    </w:p>
    <w:bookmarkStart w:id="89" w:name="page90"/>
    <w:bookmarkEnd w:id="89"/>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Pursuant to the GP LLC Agreement, Mr. Sinnott has been designated as one of our directors by KAFU Holdings, L.P., which is controlled by Kayne Anderson Investment Management, Inc., of which he is President. Mr. Sinnott disclaims any deemed</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99" w:orient="portrait"/>
          <w:cols w:equalWidth="0" w:num="2">
            <w:col w:w="140" w:space="500"/>
            <w:col w:w="10780"/>
          </w:cols>
          <w:pgMar w:left="240" w:top="341"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87" w:lineRule="exact"/>
        <w:rPr>
          <w:sz w:val="20"/>
          <w:szCs w:val="20"/>
          <w:color w:val="auto"/>
        </w:rPr>
      </w:pPr>
    </w:p>
    <w:p>
      <w:pPr>
        <w:ind w:left="660" w:right="260" w:hanging="652"/>
        <w:spacing w:after="0" w:line="227" w:lineRule="auto"/>
        <w:tabs>
          <w:tab w:leader="none" w:pos="648"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As of February 15, 2013, no units were pledged by directors or Named Executive Officers. Certain of the directors and Named Executive Officers hold units in marginable broker’s accounts, but none of the units were margined as of February 15,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229"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Plains AAP, L.P. owns all of our incentive distribution rights and, through its 100% member interest in PAA GP LLC, our 2% general partner interest. The following table sets forth the effective ownership of Plains AAP, L.P. (after giving effect to proportionate ownership of Plains All American GP LLC, its 1% general partner).</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AAP, L.P.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5"/>
        </w:trPr>
        <w:tc>
          <w:tcPr>
            <w:tcW w:w="6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Oxy Holding Company (Pipeline), Inc.</w:t>
            </w:r>
          </w:p>
        </w:tc>
        <w:tc>
          <w:tcPr>
            <w:tcW w:w="2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10889 Wilshire Boulevard</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90024</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811 Main, Suite 4200</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KAFU Holdings, L.P. and Affiliates </w:t>
            </w:r>
            <w:r>
              <w:rPr>
                <w:rFonts w:ascii="Arial" w:cs="Arial" w:eastAsia="Arial" w:hAnsi="Arial"/>
                <w:sz w:val="23"/>
                <w:szCs w:val="23"/>
                <w:color w:val="auto"/>
                <w:vertAlign w:val="superscript"/>
              </w:rPr>
              <w:t>(2)</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3rd Floor</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KA First Reserve XII, LLC</w:t>
            </w: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600 Travis, Suite 6000</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color w:val="auto"/>
                <w:vertAlign w:val="superscript"/>
              </w:rPr>
              <w:t>(3)</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Strome PAA, L.P. and Affiliate</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Individual Investors</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9" w:orient="portrait"/>
          <w:cols w:equalWidth="0" w:num="1">
            <w:col w:w="11420"/>
          </w:cols>
          <w:pgMar w:left="240" w:top="341"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hanging="11"/>
        <w:spacing w:after="0" w:line="255" w:lineRule="auto"/>
        <w:rPr>
          <w:sz w:val="20"/>
          <w:szCs w:val="20"/>
          <w:color w:val="auto"/>
        </w:rPr>
      </w:pPr>
      <w:r>
        <w:rPr>
          <w:rFonts w:ascii="Arial" w:cs="Arial" w:eastAsia="Arial" w:hAnsi="Arial"/>
          <w:sz w:val="18"/>
          <w:szCs w:val="18"/>
          <w:color w:val="auto"/>
        </w:rPr>
        <w:t>Plains AAP, L.P. owns a 100% member interest in PAA GP LLC, which owns our 2% general partner interest. Plains AAP, L.P. has pledged its member interest, as well as its interest in our incentive distribution rights, as security for its obligations under the Amended and Restated Credit Agreement dated as of June 27, 2012 among Plains AAP, L.P., Citibank, N.A. and the lenders party thereto (the “Plains AAP Credit Agreement”). A default by Plains AAP, L.P. under the Plains AAP Credit Agreement could result in a change in control of our general partner. Certain members of management own a profits interest in Plains AAP, L.P. in the form of Class B units.</w:t>
      </w:r>
    </w:p>
    <w:p>
      <w:pPr>
        <w:spacing w:after="0" w:line="193" w:lineRule="exact"/>
        <w:rPr>
          <w:sz w:val="20"/>
          <w:szCs w:val="20"/>
          <w:color w:val="auto"/>
        </w:rPr>
      </w:pPr>
    </w:p>
    <w:p>
      <w:pPr>
        <w:ind w:right="40" w:hanging="2"/>
        <w:spacing w:after="0" w:line="286" w:lineRule="auto"/>
        <w:rPr>
          <w:sz w:val="20"/>
          <w:szCs w:val="20"/>
          <w:color w:val="auto"/>
        </w:rPr>
      </w:pPr>
      <w:r>
        <w:rPr>
          <w:rFonts w:ascii="Arial" w:cs="Arial" w:eastAsia="Arial" w:hAnsi="Arial"/>
          <w:sz w:val="17"/>
          <w:szCs w:val="17"/>
          <w:color w:val="auto"/>
        </w:rPr>
        <w:t>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 the funds invested in KAFU Holdings, L.P.</w:t>
      </w:r>
    </w:p>
    <w:p>
      <w:pPr>
        <w:spacing w:after="0" w:line="166" w:lineRule="exact"/>
        <w:rPr>
          <w:sz w:val="20"/>
          <w:szCs w:val="20"/>
          <w:color w:val="auto"/>
        </w:rPr>
      </w:pPr>
    </w:p>
    <w:p>
      <w:pPr>
        <w:sectPr>
          <w:pgSz w:w="11900" w:h="16899" w:orient="portrait"/>
          <w:cols w:equalWidth="0" w:num="2">
            <w:col w:w="1280" w:space="480"/>
            <w:col w:w="9660"/>
          </w:cols>
          <w:pgMar w:left="240" w:top="341" w:right="239" w:bottom="0" w:gutter="0" w:footer="0" w:header="0"/>
          <w:type w:val="continuous"/>
        </w:sectPr>
      </w:pPr>
    </w:p>
    <w:p>
      <w:pPr>
        <w:ind w:left="1760" w:hanging="650"/>
        <w:spacing w:after="0" w:line="257" w:lineRule="auto"/>
        <w:tabs>
          <w:tab w:leader="none" w:pos="1748" w:val="left"/>
        </w:tabs>
        <w:numPr>
          <w:ilvl w:val="0"/>
          <w:numId w:val="89"/>
        </w:numPr>
        <w:rPr>
          <w:rFonts w:ascii="Arial" w:cs="Arial" w:eastAsia="Arial" w:hAnsi="Arial"/>
          <w:sz w:val="22"/>
          <w:szCs w:val="22"/>
          <w:color w:val="auto"/>
          <w:vertAlign w:val="superscript"/>
        </w:rPr>
      </w:pPr>
      <w:r>
        <w:rPr>
          <w:rFonts w:ascii="Arial" w:cs="Arial" w:eastAsia="Arial" w:hAnsi="Arial"/>
          <w:sz w:val="17"/>
          <w:szCs w:val="17"/>
          <w:color w:val="auto"/>
        </w:rPr>
        <w:t>PAA Management, L.P. is owned entirely by certain current and former members of senior management, including Messrs. Armstrong (approximately 25%), Pefanis (approximately 14%), Duckett (approximately 6%), vonBerg (approximately 4%) and Swanson (approximately 5%). Other than Mr. Armstrong, no directors own any interest in PAA Management, L.P. Executive officers as a group own approximately 70% of PAA Management, L.P. Mr. Armstrong disclaims any beneficial ownership of the general partner interest owned by Plains AAP, L.P., other than through his ownership interest in PAA Management, L.P.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certain information with respect to our equity compensation plans as of December 31, 2012. For a description of these plans, see Item 13. “Certain Relationships and Related Transactions, and Director Independence—Equity-Based Long-Term Incentive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4320" w:type="dxa"/>
            <w:vAlign w:val="bottom"/>
          </w:tcPr>
          <w:p>
            <w:pPr>
              <w:jc w:val="center"/>
              <w:ind w:left="2568"/>
              <w:spacing w:after="0"/>
              <w:rPr>
                <w:sz w:val="20"/>
                <w:szCs w:val="20"/>
                <w:color w:val="auto"/>
              </w:rPr>
            </w:pPr>
            <w:r>
              <w:rPr>
                <w:rFonts w:ascii="Arial" w:cs="Arial" w:eastAsia="Arial" w:hAnsi="Arial"/>
                <w:sz w:val="14"/>
                <w:szCs w:val="14"/>
                <w:b w:val="1"/>
                <w:bCs w:val="1"/>
                <w:color w:val="auto"/>
                <w:w w:val="95"/>
              </w:rPr>
              <w:t>Number of Units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32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Number of Units</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b w:val="1"/>
                <w:bCs w:val="1"/>
                <w:color w:val="auto"/>
              </w:rPr>
              <w:t>Category</w:t>
            </w:r>
          </w:p>
        </w:tc>
        <w:tc>
          <w:tcPr>
            <w:tcW w:w="4320" w:type="dxa"/>
            <w:vAlign w:val="bottom"/>
          </w:tcPr>
          <w:p>
            <w:pPr>
              <w:jc w:val="center"/>
              <w:ind w:left="2568"/>
              <w:spacing w:after="0" w:line="149" w:lineRule="exact"/>
              <w:rPr>
                <w:sz w:val="20"/>
                <w:szCs w:val="20"/>
                <w:color w:val="auto"/>
              </w:rPr>
            </w:pPr>
            <w:r>
              <w:rPr>
                <w:rFonts w:ascii="Arial" w:cs="Arial" w:eastAsia="Arial" w:hAnsi="Arial"/>
                <w:sz w:val="14"/>
                <w:szCs w:val="14"/>
                <w:b w:val="1"/>
                <w:bCs w:val="1"/>
                <w:color w:val="auto"/>
                <w:w w:val="90"/>
              </w:rPr>
              <w:t>to</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3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r>
      <w:tr>
        <w:trPr>
          <w:trHeight w:val="186"/>
        </w:trPr>
        <w:tc>
          <w:tcPr>
            <w:tcW w:w="3560" w:type="dxa"/>
            <w:vAlign w:val="bottom"/>
          </w:tcPr>
          <w:p>
            <w:pPr>
              <w:spacing w:after="0"/>
              <w:rPr>
                <w:sz w:val="16"/>
                <w:szCs w:val="16"/>
                <w:color w:val="auto"/>
              </w:rPr>
            </w:pPr>
          </w:p>
        </w:tc>
        <w:tc>
          <w:tcPr>
            <w:tcW w:w="4320" w:type="dxa"/>
            <w:vAlign w:val="bottom"/>
          </w:tcPr>
          <w:p>
            <w:pPr>
              <w:jc w:val="center"/>
              <w:ind w:left="2568"/>
              <w:spacing w:after="0"/>
              <w:rPr>
                <w:sz w:val="20"/>
                <w:szCs w:val="20"/>
                <w:color w:val="auto"/>
              </w:rPr>
            </w:pPr>
            <w:r>
              <w:rPr>
                <w:rFonts w:ascii="Arial" w:cs="Arial" w:eastAsia="Arial" w:hAnsi="Arial"/>
                <w:sz w:val="14"/>
                <w:szCs w:val="14"/>
                <w:b w:val="1"/>
                <w:bCs w:val="1"/>
                <w:color w:val="auto"/>
                <w:w w:val="89"/>
              </w:rPr>
              <w:t>be Issued upon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3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Available</w:t>
            </w:r>
          </w:p>
        </w:tc>
      </w:tr>
    </w:tbl>
    <w:p>
      <w:pPr>
        <w:sectPr>
          <w:pgSz w:w="11900" w:h="16899" w:orient="portrait"/>
          <w:cols w:equalWidth="0" w:num="1">
            <w:col w:w="11420"/>
          </w:cols>
          <w:pgMar w:left="240" w:top="341" w:right="239" w:bottom="0" w:gutter="0" w:footer="0" w:header="0"/>
          <w:type w:val="continuous"/>
        </w:sectPr>
      </w:pPr>
    </w:p>
    <w:bookmarkStart w:id="90" w:name="page91"/>
    <w:bookmarkEnd w:id="90"/>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Exercise/Vesting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for Future</w:t>
            </w: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Issuance</w:t>
            </w: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under Equity</w:t>
            </w: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Plans</w:t>
            </w: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Rights</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w:t>
            </w:r>
          </w:p>
        </w:tc>
      </w:tr>
      <w:tr>
        <w:trPr>
          <w:trHeight w:val="17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unitholders: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1998 Long Term Incentive Plan</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90,000</w:t>
            </w:r>
            <w:r>
              <w:rPr>
                <w:rFonts w:ascii="Arial" w:cs="Arial" w:eastAsia="Arial" w:hAnsi="Arial"/>
                <w:sz w:val="11"/>
                <w:szCs w:val="11"/>
                <w:color w:val="auto"/>
              </w:rPr>
              <w:t>(1)</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1,008,622</w:t>
            </w:r>
            <w:r>
              <w:rPr>
                <w:rFonts w:ascii="Arial" w:cs="Arial" w:eastAsia="Arial" w:hAnsi="Arial"/>
                <w:sz w:val="11"/>
                <w:szCs w:val="11"/>
                <w:color w:val="auto"/>
              </w:rPr>
              <w:t>(1)(3)</w:t>
            </w:r>
          </w:p>
        </w:tc>
      </w:tr>
      <w:tr>
        <w:trPr>
          <w:trHeight w:val="216"/>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2005 Long Term Incentive Plan</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2,170,344</w:t>
            </w:r>
            <w:r>
              <w:rPr>
                <w:rFonts w:ascii="Arial" w:cs="Arial" w:eastAsia="Arial" w:hAnsi="Arial"/>
                <w:sz w:val="11"/>
                <w:szCs w:val="11"/>
                <w:color w:val="auto"/>
              </w:rPr>
              <w:t>(4)</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1,518,392</w:t>
            </w:r>
            <w:r>
              <w:rPr>
                <w:rFonts w:ascii="Arial" w:cs="Arial" w:eastAsia="Arial" w:hAnsi="Arial"/>
                <w:sz w:val="11"/>
                <w:szCs w:val="11"/>
                <w:color w:val="auto"/>
              </w:rPr>
              <w:t>(3)(4)</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unitholders: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1998 Long Term Incentive Plan</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(1)(5)</w:t>
            </w:r>
          </w:p>
        </w:tc>
        <w:tc>
          <w:tcPr>
            <w:tcW w:w="1640" w:type="dxa"/>
            <w:vAlign w:val="bottom"/>
            <w:gridSpan w:val="2"/>
            <w:shd w:val="clear" w:color="auto" w:fill="CCEEFF"/>
          </w:tcPr>
          <w:p>
            <w:pPr>
              <w:ind w:left="1040"/>
              <w:spacing w:after="0" w:line="216"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325"/>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PPX Successor LTIP</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617,000</w:t>
            </w:r>
            <w:r>
              <w:rPr>
                <w:rFonts w:ascii="Arial" w:cs="Arial" w:eastAsia="Arial" w:hAnsi="Arial"/>
                <w:sz w:val="11"/>
                <w:szCs w:val="11"/>
                <w:color w:val="auto"/>
              </w:rPr>
              <w:t>(7)</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1,188,443</w:t>
            </w:r>
            <w:r>
              <w:rPr>
                <w:rFonts w:ascii="Arial" w:cs="Arial" w:eastAsia="Arial" w:hAnsi="Arial"/>
                <w:sz w:val="11"/>
                <w:szCs w:val="11"/>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2" w:lineRule="exact"/>
        <w:rPr>
          <w:sz w:val="20"/>
          <w:szCs w:val="20"/>
          <w:color w:val="auto"/>
        </w:rPr>
      </w:pPr>
    </w:p>
    <w:p>
      <w:pPr>
        <w:ind w:left="660" w:right="60" w:hanging="652"/>
        <w:spacing w:after="0" w:line="251" w:lineRule="auto"/>
        <w:tabs>
          <w:tab w:leader="none" w:pos="648"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As originally instituted by our former general partner prior to our initial public offering, the 1998 LTIP contemplated the issuance of up to 1,950,000 common units to satisfy awards of phantom units. Upon vesting, these awards could be satisfied either by (i) primary issuance of units by us or</w:t>
      </w:r>
    </w:p>
    <w:p>
      <w:pPr>
        <w:spacing w:after="0" w:line="1" w:lineRule="exact"/>
        <w:rPr>
          <w:rFonts w:ascii="Arial" w:cs="Arial" w:eastAsia="Arial" w:hAnsi="Arial"/>
          <w:sz w:val="21"/>
          <w:szCs w:val="21"/>
          <w:color w:val="auto"/>
          <w:vertAlign w:val="superscript"/>
        </w:rPr>
      </w:pPr>
    </w:p>
    <w:p>
      <w:pPr>
        <w:ind w:left="660"/>
        <w:spacing w:after="0" w:line="252" w:lineRule="auto"/>
        <w:rPr>
          <w:rFonts w:ascii="Arial" w:cs="Arial" w:eastAsia="Arial" w:hAnsi="Arial"/>
          <w:sz w:val="21"/>
          <w:szCs w:val="21"/>
          <w:color w:val="auto"/>
          <w:vertAlign w:val="superscript"/>
        </w:rPr>
      </w:pPr>
      <w:r>
        <w:rPr>
          <w:rFonts w:ascii="Arial" w:cs="Arial" w:eastAsia="Arial" w:hAnsi="Arial"/>
          <w:sz w:val="18"/>
          <w:szCs w:val="18"/>
          <w:color w:val="auto"/>
        </w:rPr>
        <w:t>(ii) cash settlement or purchase of units by our general partner with the cost reimbursed by us. In 2001, the 1998 LTIP was amended, as provided in the plan, without unitholder approval to increase the maximum awards to 2,850,000 phantom units; however, we can issue no more than 1,950,000 new units to satisfy the awards. Any additional units must be purchased by our general partner in the open market or in private transactions and be reimbursed by us. As of December 31, 2012, we have issued approximately 1,552,434 common units in satisfaction of vesting under the 1998 LTIP. The number of units presented in column (a) assumes that all remaining grants will be satisfied by the issuance of new units upon vesting unless such LTIPs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ectPr>
          <w:pgSz w:w="11900" w:h="16939"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Phantom unit awards under the 1998 LTIP, 2005 LTIP and PPX Successor LTIP vest without payment by recipients.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Item 201(d) of Regulation S-K, column (c) excludes the securities disclosed in column (a). However, as discussed in footnotes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(4) and (7), any phantom units represented in column (a) that are not satisfied by the issuance of units become “available for future issuance.”</w:t>
      </w:r>
    </w:p>
    <w:p>
      <w:pPr>
        <w:spacing w:after="0" w:line="200" w:lineRule="exact"/>
        <w:rPr>
          <w:sz w:val="20"/>
          <w:szCs w:val="20"/>
          <w:color w:val="auto"/>
        </w:rPr>
      </w:pPr>
    </w:p>
    <w:p>
      <w:pPr>
        <w:sectPr>
          <w:pgSz w:w="11900" w:h="16939" w:orient="portrait"/>
          <w:cols w:equalWidth="0" w:num="2">
            <w:col w:w="140" w:space="500"/>
            <w:col w:w="10780"/>
          </w:cols>
          <w:pgMar w:left="240" w:top="104" w:right="239" w:bottom="0" w:gutter="0" w:footer="0" w:header="0"/>
          <w:type w:val="continuous"/>
        </w:sectPr>
      </w:pPr>
    </w:p>
    <w:p>
      <w:pPr>
        <w:spacing w:after="0" w:line="34" w:lineRule="exact"/>
        <w:rPr>
          <w:sz w:val="20"/>
          <w:szCs w:val="20"/>
          <w:color w:val="auto"/>
        </w:rPr>
      </w:pPr>
    </w:p>
    <w:p>
      <w:pPr>
        <w:ind w:left="660" w:right="40" w:hanging="598"/>
        <w:spacing w:after="0"/>
        <w:tabs>
          <w:tab w:leader="none" w:pos="64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The 2005 Long Term Incentive Plan was approved by our unitholders in January 2005. The 2005 LTIP contemplates the issuance or delivery of up to 6,000,000 units to satisfy awards under the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ectPr>
          <w:pgSz w:w="11900" w:h="16939" w:orient="portrait"/>
          <w:cols w:equalWidth="0" w:num="1">
            <w:col w:w="11420"/>
          </w:cols>
          <w:pgMar w:left="240" w:top="104" w:right="239"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 w:right="60" w:hanging="11"/>
        <w:spacing w:after="0" w:line="264" w:lineRule="auto"/>
        <w:rPr>
          <w:sz w:val="20"/>
          <w:szCs w:val="20"/>
          <w:color w:val="auto"/>
        </w:rPr>
      </w:pPr>
      <w:r>
        <w:rPr>
          <w:rFonts w:ascii="Arial" w:cs="Arial" w:eastAsia="Arial" w:hAnsi="Arial"/>
          <w:sz w:val="18"/>
          <w:szCs w:val="18"/>
          <w:color w:val="auto"/>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spacing w:after="0" w:line="181" w:lineRule="exact"/>
        <w:rPr>
          <w:sz w:val="20"/>
          <w:szCs w:val="20"/>
          <w:color w:val="auto"/>
        </w:rPr>
      </w:pPr>
    </w:p>
    <w:p>
      <w:pPr>
        <w:ind w:left="20" w:right="40" w:hanging="11"/>
        <w:spacing w:after="0" w:line="264" w:lineRule="auto"/>
        <w:rPr>
          <w:sz w:val="20"/>
          <w:szCs w:val="20"/>
          <w:color w:val="auto"/>
        </w:rPr>
      </w:pPr>
      <w:r>
        <w:rPr>
          <w:rFonts w:ascii="Arial" w:cs="Arial" w:eastAsia="Arial" w:hAnsi="Arial"/>
          <w:sz w:val="18"/>
          <w:szCs w:val="18"/>
          <w:color w:val="auto"/>
        </w:rPr>
        <w:t>Awards for up to 701,056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39" w:orient="portrait"/>
          <w:cols w:equalWidth="0" w:num="2">
            <w:col w:w="140" w:space="500"/>
            <w:col w:w="10780"/>
          </w:cols>
          <w:pgMar w:left="240" w:top="104"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598"/>
        <w:spacing w:after="0" w:line="260" w:lineRule="auto"/>
        <w:tabs>
          <w:tab w:leader="none" w:pos="648" w:val="left"/>
        </w:tabs>
        <w:numPr>
          <w:ilvl w:val="0"/>
          <w:numId w:val="92"/>
        </w:numPr>
        <w:rPr>
          <w:rFonts w:ascii="Arial" w:cs="Arial" w:eastAsia="Arial" w:hAnsi="Arial"/>
          <w:sz w:val="22"/>
          <w:szCs w:val="22"/>
          <w:color w:val="auto"/>
          <w:vertAlign w:val="superscript"/>
        </w:rPr>
      </w:pPr>
      <w:r>
        <w:rPr>
          <w:rFonts w:ascii="Arial" w:cs="Arial" w:eastAsia="Arial" w:hAnsi="Arial"/>
          <w:sz w:val="17"/>
          <w:szCs w:val="17"/>
          <w:color w:val="auto"/>
        </w:rPr>
        <w:t>In connection with the Pacific merger, under applicable stock exchange rules, we carried over the available units under the Pacific LTIP. In that regard, we have adopted the Plains All American PPX Successor Long-Term Incentive Plan (the “PPX Successor LTIP”). Potential awards under such plan include options and phantom units (with or without tandem DERs). The provisions of such plan are substantially the same as the 2005 LTIP, except that awards under the PPX Successor LTIP may only be made to employees who were working for Pacific at the time of the merger or to employees hired after the date of the Pacific acquisition.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director independence, see Item 10. “Directors and Executive Officers of Our General Partner and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Class B units of Plains AAP, L.P.). Total costs reimbursed by us to our general partner for the year ended December 31, 2012 were approximately $535 million.</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$0.2250 ($0.90</w:t>
      </w:r>
    </w:p>
    <w:p>
      <w:pPr>
        <w:sectPr>
          <w:pgSz w:w="11900" w:h="16939" w:orient="portrait"/>
          <w:cols w:equalWidth="0" w:num="1">
            <w:col w:w="11420"/>
          </w:cols>
          <w:pgMar w:left="240" w:top="104" w:right="239" w:bottom="0" w:gutter="0" w:footer="0" w:header="0"/>
          <w:type w:val="continuous"/>
        </w:sectPr>
      </w:pPr>
    </w:p>
    <w:bookmarkStart w:id="91" w:name="page92"/>
    <w:bookmarkEnd w:id="91"/>
    <w:p>
      <w:pPr>
        <w:spacing w:after="0"/>
        <w:rPr>
          <w:sz w:val="20"/>
          <w:szCs w:val="20"/>
          <w:color w:val="auto"/>
        </w:rPr>
      </w:pPr>
      <w:r>
        <w:rPr>
          <w:rFonts w:ascii="Arial" w:cs="Arial" w:eastAsia="Arial" w:hAnsi="Arial"/>
          <w:sz w:val="17"/>
          <w:szCs w:val="17"/>
          <w:color w:val="auto"/>
        </w:rPr>
        <w:t>annualized) per unit, 25% of the amounts we distribute in excess of $0.2475 ($0.99 annualized) per unit and 50% of amounts we distribute in excess of</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$0.3375 ($1.35 annualized) per unit. Effective upon closing of the BP NGL acquisition, our general partner agreed to a reduction in incentive distributions equal to $3.75 million per quarter through February 2014 and $2.5 million per quarter thereafter.</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illustrates the allocation of aggregate distributions at different per-unit levels, excluding the effect of the incentive distribution reductions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Annual LP Distribution Per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Distribution</w:t>
            </w:r>
          </w:p>
        </w:tc>
        <w:tc>
          <w:tcPr>
            <w:tcW w:w="340" w:type="dxa"/>
            <w:vAlign w:val="bottom"/>
          </w:tcPr>
          <w:p>
            <w:pPr>
              <w:spacing w:after="0"/>
              <w:rPr>
                <w:sz w:val="14"/>
                <w:szCs w:val="14"/>
                <w:color w:val="auto"/>
              </w:rPr>
            </w:pPr>
          </w:p>
        </w:tc>
        <w:tc>
          <w:tcPr>
            <w:tcW w:w="17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Distribution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rPr>
              <w:t>Total</w:t>
            </w: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GP %</w:t>
            </w:r>
          </w:p>
        </w:tc>
        <w:tc>
          <w:tcPr>
            <w:tcW w:w="0" w:type="dxa"/>
            <w:vAlign w:val="bottom"/>
          </w:tcPr>
          <w:p>
            <w:pPr>
              <w:spacing w:after="0"/>
              <w:rPr>
                <w:sz w:val="1"/>
                <w:szCs w:val="1"/>
                <w:color w:val="auto"/>
              </w:rPr>
            </w:pPr>
          </w:p>
        </w:tc>
      </w:tr>
      <w:tr>
        <w:trPr>
          <w:trHeight w:val="149"/>
        </w:trPr>
        <w:tc>
          <w:tcPr>
            <w:tcW w:w="2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to LP</w:t>
            </w:r>
          </w:p>
        </w:tc>
        <w:tc>
          <w:tcPr>
            <w:tcW w:w="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Unit</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8"/>
                <w:szCs w:val="8"/>
                <w:b w:val="1"/>
                <w:bCs w:val="1"/>
                <w:color w:val="auto"/>
                <w:w w:val="95"/>
              </w:rPr>
              <w:t>(1)</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 GP</w:t>
            </w:r>
            <w:r>
              <w:rPr>
                <w:rFonts w:ascii="Arial" w:cs="Arial" w:eastAsia="Arial" w:hAnsi="Arial"/>
                <w:sz w:val="8"/>
                <w:szCs w:val="8"/>
                <w:b w:val="1"/>
                <w:bCs w:val="1"/>
                <w:color w:val="auto"/>
              </w:rPr>
              <w:t>(1)(2)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8"/>
                <w:szCs w:val="8"/>
                <w:b w:val="1"/>
                <w:bCs w:val="1"/>
                <w:color w:val="auto"/>
              </w:rPr>
              <w:t>(1)(2)</w:t>
            </w:r>
          </w:p>
        </w:tc>
        <w:tc>
          <w:tcPr>
            <w:tcW w:w="2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jc w:val="right"/>
              <w:ind w:right="19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301,770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307,929</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100" w:type="dxa"/>
            <w:vAlign w:val="bottom"/>
          </w:tcPr>
          <w:p>
            <w:pPr>
              <w:jc w:val="right"/>
              <w:ind w:right="191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331,947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11,484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343,431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jc w:val="right"/>
              <w:ind w:right="191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452,655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504,375</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100" w:type="dxa"/>
            <w:vAlign w:val="bottom"/>
          </w:tcPr>
          <w:p>
            <w:pPr>
              <w:jc w:val="right"/>
              <w:ind w:right="191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700,777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299,842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1,000,619</w:t>
            </w:r>
          </w:p>
        </w:tc>
        <w:tc>
          <w:tcPr>
            <w:tcW w:w="28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jc w:val="right"/>
              <w:ind w:right="191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714,189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313,254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1,027,443</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100" w:type="dxa"/>
            <w:vAlign w:val="bottom"/>
          </w:tcPr>
          <w:p>
            <w:pPr>
              <w:jc w:val="right"/>
              <w:ind w:right="191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727,601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326,666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1,054,267</w:t>
            </w:r>
          </w:p>
        </w:tc>
        <w:tc>
          <w:tcPr>
            <w:tcW w:w="28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380" w:hanging="634"/>
        <w:spacing w:after="0" w:line="234" w:lineRule="auto"/>
        <w:tabs>
          <w:tab w:leader="none" w:pos="652"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Assumes 335,300,000 units outstanding. The actual number of units outstanding as of December 31, 2012 was 335,283,874. An increase in the number of units outstanding would increase both the distribution to unitholders and the distribution to the general partner for any given level of distribution per unit.</w:t>
      </w:r>
    </w:p>
    <w:p>
      <w:pPr>
        <w:spacing w:after="0" w:line="168" w:lineRule="exact"/>
        <w:rPr>
          <w:rFonts w:ascii="Arial" w:cs="Arial" w:eastAsia="Arial" w:hAnsi="Arial"/>
          <w:sz w:val="23"/>
          <w:szCs w:val="23"/>
          <w:color w:val="auto"/>
          <w:vertAlign w:val="superscript"/>
        </w:rPr>
      </w:pPr>
    </w:p>
    <w:p>
      <w:pPr>
        <w:ind w:left="640" w:hanging="614"/>
        <w:spacing w:after="0"/>
        <w:tabs>
          <w:tab w:leader="none" w:pos="64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attributable to the 2% general partner interest and the incentive distribution rights.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Long-Term Incentive Plans</w:t>
      </w:r>
    </w:p>
    <w:p>
      <w:pPr>
        <w:spacing w:after="0" w:line="225"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Our general partner has adopted the Plains All American GP LLC 1998 Long-Term Incentive Plan (the “1998 LTIP”) and the Plains All American GP LLC 2005 Long-Term Incentive Plan (the “2005 LTIP”) for employees and directors of our general partner and its affiliates who perform services for us, and the PPX Successor LTIP for former Pacific employees and employees hired after the date of the Pacific merger (together with the 1998 LTIP and 2005 LTIP, the “Plans”). Awards contemplated by the Plans include phantom units (referred to as restricted units in the 1998 LTIP), distribution equivalent rights (DERs) and unit options. As amended, the 1998 LTIP authorizes the grant of awards covering an aggregate of 2,850,000 common units deliverable upon vesting or exercise (as applicable) of such awards. The 2005 LTIP authorizes the grant of awards covering an aggregate of 6,000,000 common units deliverable upon vesting or exercise (as applicable) of such awards. The PPX Successor LTIP authorizes the grant of awards covering an aggregate of 1,999,618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Common units to be delivered upon the vesting of rights may be newly issued common units, common units acquired by our general partner in the open market or in private transactions, common units acquired by us from any other person,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 unit, a common unit (or cash equivalent, depending</w:t>
      </w:r>
      <w:r>
        <w:rPr>
          <w:rFonts w:ascii="Arial" w:cs="Arial" w:eastAsia="Arial" w:hAnsi="Arial"/>
          <w:sz w:val="18"/>
          <w:szCs w:val="18"/>
          <w:i w:val="1"/>
          <w:iCs w:val="1"/>
          <w:color w:val="auto"/>
        </w:rPr>
        <w:t xml:space="preserve"> </w:t>
      </w:r>
      <w:r>
        <w:rPr>
          <w:rFonts w:ascii="Arial" w:cs="Arial" w:eastAsia="Arial" w:hAnsi="Arial"/>
          <w:sz w:val="18"/>
          <w:szCs w:val="18"/>
          <w:color w:val="auto"/>
        </w:rPr>
        <w:t>on the terms of the grant).</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December 31, 2012, grants of approximately 90,000, 2,700,544 and 834,656 unvested phantom units were outstanding under the 1998 LTIP, 2005 LTIP and PPX Successor LTIP, respectively, and approximately 1,008,622, 1,518,392 and 1,188,443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158"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Unit Options. </w:t>
      </w:r>
      <w:r>
        <w:rPr>
          <w:rFonts w:ascii="Arial" w:cs="Arial" w:eastAsia="Arial" w:hAnsi="Arial"/>
          <w:sz w:val="18"/>
          <w:szCs w:val="18"/>
          <w:color w:val="auto"/>
        </w:rPr>
        <w:t>Although the Plans currently permit the grant of options covering common units, no options have been granted under the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Units of Plains AAP, L.P.</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August 2007, the owners of Plains AAP, L.P. authorized the creation and issuance of up to 200,000 Class B units of Plains AAP, L.P. and authorized the compensation committee of Plains All American GP LLC to issue grants of Class B units to create long-term incentives for our management. The entire economic burden of the Class B units, which are equity classified, is borne solely by Plains AAP, L.P. and does not impact our cash or units outstanding. Therefore, we recognize the grant date fair value of the Class B units as compensation expense over the service period. The expense is also reflected as a capital contribution, and thus results in a corresponding credit to Partners’ Capital in our Consolidated Financial Statements. The expense and capital contribution for the twelve months ended December 31, 2012 was approximately $6.5 million. We will not be obligated to reimburse Plains AAP, L.P. for such costs and any distributions made on the Class B units will not reduce the amount of cash available for distribution to our unitholders. Each Class B unit represents a “profits interest” in Plains AAP, L.P., which entitles the holder to participate in future profits and losses from operations, current distributions</w:t>
      </w:r>
    </w:p>
    <w:p>
      <w:pPr>
        <w:sectPr>
          <w:pgSz w:w="11900" w:h="16838" w:orient="portrait"/>
          <w:cols w:equalWidth="0" w:num="1">
            <w:col w:w="11420"/>
          </w:cols>
          <w:pgMar w:left="240" w:top="125" w:right="239" w:bottom="0" w:gutter="0" w:footer="0" w:header="0"/>
        </w:sectPr>
      </w:pPr>
    </w:p>
    <w:bookmarkStart w:id="92" w:name="page93"/>
    <w:bookmarkEnd w:id="92"/>
    <w:p>
      <w:pPr>
        <w:ind w:right="340"/>
        <w:spacing w:after="0" w:line="277" w:lineRule="auto"/>
        <w:rPr>
          <w:sz w:val="20"/>
          <w:szCs w:val="20"/>
          <w:color w:val="auto"/>
        </w:rPr>
      </w:pPr>
      <w:r>
        <w:rPr>
          <w:rFonts w:ascii="Arial" w:cs="Arial" w:eastAsia="Arial" w:hAnsi="Arial"/>
          <w:sz w:val="18"/>
          <w:szCs w:val="18"/>
          <w:color w:val="auto"/>
        </w:rPr>
        <w:t>from operations, and an interest in future appreciation or depreciation in Plains AAP, L.P.’s asset values. As of December 31, 2012, 182,125 Class B units were issued and outstanding.</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outstanding Class B units are subject to restrictions on transfer and generally become “earned” (entitled to receive a portion of the distributions that would otherwise be paid to our general partner) in percentage increments when the annualized quarterly distributions on our common units equal or exceed certain thresholds. Upon achievement of these performance thresholds (or, in some cases, within six months thereafter), the Class B units will be entitled to their proportionate share of all quarterly cash distributions made by Plains AAP, L.P. in excess of $11 million per quarter (as adjusted for debt service costs and excluding special distributions funded by debt). Assuming all authorized Class B units are issued, the maximum participation would be 8% of the amount in excess of $11 million per quarter, as adjusted. As of February 14, 2013, approximately 99% of the outstanding Class B units had been earned or will be earned within 180 days. The remaining Class B units will be earned 180 days after payment of an annualized quarterly distribution of $2.40 per unit.</w:t>
      </w:r>
    </w:p>
    <w:p>
      <w:pPr>
        <w:spacing w:after="0" w:line="19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(other than a termination without cause or by the employee for good reason) prior to certain stated dates. If a Class B unit holder remains employed past such designated date (or prior to such date is terminated without cause or quits for good reason), any earned units are no longer subject to the call right and are deemed to have “vested.” The applicable designated dates for the various Class B grants are: January 1, 2016 for Class B units granted in 2007 and 2009; January 1, 2017 for Class B units granted in 2010; and January 1, 2020 for Class B units granted in 2011. If the call right of Plains AAP, L.P. becomes exercisable, in order to encourage retention, the size of the discount to fair market value reflected in the purchase price decreases over time pursuant to a formula set forth in each Class B unitholder’s granting agreement. Class B grants also provide that all earned Class B units and a portion of any unearned and unvested Class B units will vest upon a change of control. All earned Class B units will also vest if Plains AAP, L.P. elects not to timely exercise its call right.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Prior to June 2012, EMG Investment, LLC had a 25% general partner interest in, and Mr. Raymond sat on the board of, High Sierra Energy GP, LLC, the general partner of High Sierra Energy LP (“High Sierra”). High Sierra and its general partner were acquired by NGL Energy Partners (“NGL”) in June 2012. EMG retained an interest in NGL’s general partner, but Mr. Raymond is no longer a board member. We recognized crude oil sales and transportation revenues and purchased petroleum products from High Sierra and its affiliates during 2012. For the year ended December 31, 2012, revenues and purchases and related costs with respect to High Sierra totaled $0.6 million and $10.7 million, respectively. These transactions were conducted at posted tariff rates or prices that we believe approximate market. Mr. Raymond was not an officer of High Sierra or NGL and did not participate in operational decision making.</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2012, we purchased approximately $5.6 million of oil from companies owned and controlled by funds managed by KACALP. We pay the same amount per barrel to these companies that we pay to other producers in the area.</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2012, we recognized sales and transportation and storage revenues of approximately $1.6 billion from companies affiliated with Oxy. During 2012, we also purchased approximately $0.6 billion of petroleum products from companies affiliated with Oxy. These transactions were conducted at posted tariff rates or prices that we believe approximate market.</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An employee in our marketing department is the son of Phil Kramer, one of our executive officers. His total compensation for 2012 (which amount includes the grant date fair value of LTIPs awarded to him on terms consistent with all eligible employees) was approximately $275,500.</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An employee with our Canadian operations is the son of W. David Duckett, one of our executive officers. His total compensation for 2012 (which amount includes the grant date fair value of LTIPs awarded to him on terms consistent with all eligible employees) was approximately $216,000.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is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ectPr>
          <w:pgSz w:w="11900" w:h="16838" w:orient="portrait"/>
          <w:cols w:equalWidth="0" w:num="1">
            <w:col w:w="11420"/>
          </w:cols>
          <w:pgMar w:left="240" w:top="125" w:right="239" w:bottom="0" w:gutter="0" w:footer="0" w:header="0"/>
        </w:sectPr>
      </w:pPr>
    </w:p>
    <w:bookmarkStart w:id="93" w:name="page94"/>
    <w:bookmarkEnd w:id="93"/>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consolidated subsidiaries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3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6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hanging="11"/>
        <w:spacing w:after="0" w:line="264" w:lineRule="auto"/>
        <w:rPr>
          <w:sz w:val="20"/>
          <w:szCs w:val="20"/>
          <w:color w:val="auto"/>
        </w:rPr>
      </w:pPr>
      <w:r>
        <w:rPr>
          <w:rFonts w:ascii="Arial" w:cs="Arial" w:eastAsia="Arial" w:hAnsi="Arial"/>
          <w:sz w:val="18"/>
          <w:szCs w:val="18"/>
          <w:color w:val="auto"/>
        </w:rPr>
        <w:t>Audit fees include those related to (a) our annual audit (including internal control evaluation and reporting); (b) the annual audit of PNG; (c) the audit of certain joint ventures of which we are the operator, and (d) work performed on our registration of publicly held debt and equity. Amounts reported for 2011 have been revised for audit fees in excess of our initial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primarily relate to audits of our benefit plans.</w:t>
      </w:r>
    </w:p>
    <w:p>
      <w:pPr>
        <w:spacing w:after="0" w:line="225"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other fees primarily consist of those associated with due diligence performed on our behalf and evaluating potential acquisitions.</w:t>
      </w:r>
    </w:p>
    <w:p>
      <w:pPr>
        <w:spacing w:after="0" w:line="200" w:lineRule="exact"/>
        <w:rPr>
          <w:sz w:val="20"/>
          <w:szCs w:val="20"/>
          <w:color w:val="auto"/>
        </w:rPr>
      </w:pPr>
    </w:p>
    <w:p>
      <w:pPr>
        <w:sectPr>
          <w:pgSz w:w="11900" w:h="16838" w:orient="portrait"/>
          <w:cols w:equalWidth="0" w:num="2">
            <w:col w:w="540" w:space="500"/>
            <w:col w:w="10380"/>
          </w:cols>
          <w:pgMar w:left="240" w:top="125" w:right="239" w:bottom="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discussed above, we have an audit committee that reviews our external financial reporting, engages our independent auditors and reviews the adequacy of our internal accounting controls. Our consolidated subsidiary, PNG, also has an audit committee that performs similar functions on PNG’s behalf. All services provided by our independent auditor are subject to pre-approval by our audit committee or the audit committee of PNG (for services provided to PNG). 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All services provided by our independent auditor during the years ended December 31, 2012 and 2011 were approved in advance by the applicable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rFonts w:ascii="Arial" w:cs="Arial" w:eastAsia="Arial" w:hAnsi="Arial"/>
          <w:sz w:val="18"/>
          <w:szCs w:val="18"/>
          <w:b w:val="1"/>
          <w:bCs w:val="1"/>
          <w:color w:val="auto"/>
        </w:rPr>
      </w:pPr>
    </w:p>
    <w:p>
      <w:pPr>
        <w:ind w:left="1220" w:hanging="564"/>
        <w:spacing w:after="0"/>
        <w:tabs>
          <w:tab w:leader="none" w:pos="1220" w:val="left"/>
        </w:tabs>
        <w:numPr>
          <w:ilvl w:val="1"/>
          <w:numId w:val="94"/>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210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95"/>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LLC,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sole member</w:t>
      </w:r>
    </w:p>
    <w:p>
      <w:pPr>
        <w:spacing w:after="0" w:line="211"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ectPr>
          <w:pgSz w:w="11900" w:h="16838" w:orient="portrait"/>
          <w:cols w:equalWidth="0" w:num="1">
            <w:col w:w="11420"/>
          </w:cols>
          <w:pgMar w:left="240" w:top="125" w:right="239" w:bottom="0" w:gutter="0" w:footer="0" w:header="0"/>
          <w:type w:val="continuous"/>
        </w:sectPr>
      </w:pPr>
    </w:p>
    <w:bookmarkStart w:id="94" w:name="page95"/>
    <w:bookmarkEnd w:id="94"/>
    <w:p>
      <w:pPr>
        <w:spacing w:after="0" w:line="1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L. Armstrong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and Director of Plains All American GP LLC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25"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of Plains All American GP LLC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656"/>
              <w:spacing w:after="0"/>
              <w:rPr>
                <w:sz w:val="20"/>
                <w:szCs w:val="20"/>
                <w:color w:val="auto"/>
              </w:rPr>
            </w:pPr>
            <w:r>
              <w:rPr>
                <w:rFonts w:ascii="Arial" w:cs="Arial" w:eastAsia="Arial" w:hAnsi="Arial"/>
                <w:sz w:val="14"/>
                <w:szCs w:val="14"/>
                <w:b w:val="1"/>
                <w:bCs w:val="1"/>
                <w:color w:val="auto"/>
                <w:w w:val="94"/>
              </w:rPr>
              <w:t>Name</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2"/>
              </w:rPr>
              <w:t>/s/ Greg L. Armstrong</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w w:val="97"/>
              </w:rPr>
              <w:t>Chairman of the Board, Chief Executive Officer and Director of Plains</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Greg L. Armstrong</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All American GP LLC (Principal Executive Officer)</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2"/>
              </w:rPr>
              <w:t>/s/ Harry N. Pefanis</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w w:val="98"/>
              </w:rPr>
              <w:t>President and Chief Operating Officer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Harry N. Pefanis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0"/>
              </w:rPr>
              <w:t>/s/ Al Swanson</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Executive Vice President and Chief Financial Officer of Plains All</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620" w:type="dxa"/>
            <w:vAlign w:val="bottom"/>
          </w:tcPr>
          <w:p>
            <w:pPr>
              <w:jc w:val="center"/>
              <w:ind w:right="656"/>
              <w:spacing w:after="0"/>
              <w:rPr>
                <w:sz w:val="20"/>
                <w:szCs w:val="20"/>
                <w:color w:val="auto"/>
              </w:rPr>
            </w:pPr>
            <w:r>
              <w:rPr>
                <w:rFonts w:ascii="Arial" w:cs="Arial" w:eastAsia="Arial" w:hAnsi="Arial"/>
                <w:sz w:val="18"/>
                <w:szCs w:val="18"/>
                <w:color w:val="auto"/>
                <w:w w:val="92"/>
              </w:rPr>
              <w:t>Al Swanson</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American GP LLC (Principal Financial Officer)</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2"/>
              </w:rPr>
              <w:t>/s/ Chris Herbold</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Vice President—Accounting and Chief Accounting Officer of Plains</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Chris Herbold</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All American GP LLC (Principal Accounting Officer)</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89"/>
              </w:rPr>
              <w:t>/s/ Everardo Goyanes</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Everardo Goyanes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88"/>
              </w:rPr>
              <w:t>/s/ Gary R. Petersen</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Gary R. Petersen</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89"/>
              </w:rPr>
              <w:t>/s/ John T. Raymond</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John T. Raymond</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1"/>
              </w:rPr>
              <w:t>/s/ Robert V. Sinnott</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Robert V. Sinnott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7"/>
              </w:rPr>
              <w:t>/s/ Vicky Sutil</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620" w:type="dxa"/>
            <w:vAlign w:val="bottom"/>
          </w:tcPr>
          <w:p>
            <w:pPr>
              <w:jc w:val="center"/>
              <w:ind w:right="636"/>
              <w:spacing w:after="0"/>
              <w:rPr>
                <w:sz w:val="20"/>
                <w:szCs w:val="20"/>
                <w:color w:val="auto"/>
              </w:rPr>
            </w:pPr>
            <w:r>
              <w:rPr>
                <w:rFonts w:ascii="Arial" w:cs="Arial" w:eastAsia="Arial" w:hAnsi="Arial"/>
                <w:sz w:val="18"/>
                <w:szCs w:val="18"/>
                <w:color w:val="auto"/>
                <w:w w:val="98"/>
              </w:rPr>
              <w:t>Vicky Sutil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89"/>
              </w:rPr>
              <w:t>/s/ J. Taft Symonds</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J. Taft Symonds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1"/>
              </w:rPr>
              <w:t>/s/ Christopher M. Temple</w:t>
            </w:r>
          </w:p>
        </w:tc>
        <w:tc>
          <w:tcPr>
            <w:tcW w:w="5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8"/>
                <w:szCs w:val="18"/>
                <w:color w:val="auto"/>
              </w:rPr>
              <w:t>Director of Plains All American GP LLC</w:t>
            </w:r>
          </w:p>
        </w:tc>
        <w:tc>
          <w:tcPr>
            <w:tcW w:w="23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February 27, 2013</w:t>
            </w:r>
          </w:p>
        </w:tc>
        <w:tc>
          <w:tcPr>
            <w:tcW w:w="0" w:type="dxa"/>
            <w:vAlign w:val="bottom"/>
          </w:tcPr>
          <w:p>
            <w:pPr>
              <w:spacing w:after="0"/>
              <w:rPr>
                <w:sz w:val="1"/>
                <w:szCs w:val="1"/>
                <w:color w:val="auto"/>
              </w:rPr>
            </w:pPr>
          </w:p>
        </w:tc>
      </w:tr>
      <w:tr>
        <w:trPr>
          <w:trHeight w:val="224"/>
        </w:trPr>
        <w:tc>
          <w:tcPr>
            <w:tcW w:w="29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Christopher M. Temple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60" w:type="dxa"/>
            <w:vAlign w:val="bottom"/>
            <w:gridSpan w:val="6"/>
          </w:tcPr>
          <w:p>
            <w:pPr>
              <w:jc w:val="center"/>
              <w:ind w:left="1570"/>
              <w:spacing w:after="0"/>
              <w:rPr>
                <w:sz w:val="20"/>
                <w:szCs w:val="20"/>
                <w:color w:val="auto"/>
              </w:rPr>
            </w:pPr>
            <w:r>
              <w:rPr>
                <w:rFonts w:ascii="Arial" w:cs="Arial" w:eastAsia="Arial" w:hAnsi="Arial"/>
                <w:sz w:val="18"/>
                <w:szCs w:val="18"/>
                <w:color w:val="auto"/>
                <w:w w:val="86"/>
              </w:rPr>
              <w:t>130</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624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4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9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Management’s Report on Internal Control Over Financial Reporting</w:t>
              </w:r>
            </w:hyperlink>
          </w:p>
        </w:tc>
        <w:tc>
          <w:tcPr>
            <w:tcW w:w="4220" w:type="dxa"/>
            <w:vAlign w:val="bottom"/>
            <w:gridSpan w:val="3"/>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gridSpan w:val="2"/>
          </w:tcPr>
          <w:p>
            <w:pPr>
              <w:ind w:left="500"/>
              <w:spacing w:after="0" w:line="190"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96"/>
        </w:trPr>
        <w:tc>
          <w:tcPr>
            <w:tcW w:w="9140" w:type="dxa"/>
            <w:vAlign w:val="bottom"/>
            <w:gridSpan w:val="1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1540" w:type="dxa"/>
            <w:vAlign w:val="bottom"/>
          </w:tcPr>
          <w:p>
            <w:pPr>
              <w:spacing w:after="0"/>
              <w:rPr>
                <w:sz w:val="17"/>
                <w:szCs w:val="17"/>
                <w:color w:val="auto"/>
              </w:rPr>
            </w:pPr>
          </w:p>
        </w:tc>
        <w:tc>
          <w:tcPr>
            <w:tcW w:w="78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422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Consolidated Balance Sheets as of December 31, 2012 and 2011</w:t>
              </w:r>
            </w:hyperlink>
          </w:p>
        </w:tc>
        <w:tc>
          <w:tcPr>
            <w:tcW w:w="448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Operations for the years ended December 31, 2012, 2011 and 2010</w:t>
              </w:r>
            </w:hyperlink>
          </w:p>
        </w:tc>
        <w:tc>
          <w:tcPr>
            <w:tcW w:w="228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-1836420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-1836420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77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Comprehensive Income for the years ended December 31, 2012, 2011 and 2010</w:t>
              </w:r>
            </w:hyperlink>
          </w:p>
        </w:tc>
        <w:tc>
          <w:tcPr>
            <w:tcW w:w="2840" w:type="dxa"/>
            <w:vAlign w:val="bottom"/>
            <w:gridSpan w:val="3"/>
          </w:tcPr>
          <w:p>
            <w:pPr>
              <w:spacing w:after="0"/>
              <w:rPr>
                <w:sz w:val="17"/>
                <w:szCs w:val="17"/>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w w:val="96"/>
              </w:rPr>
              <w:t>F-6</w:t>
            </w:r>
          </w:p>
        </w:tc>
      </w:tr>
      <w:tr>
        <w:trPr>
          <w:trHeight w:val="196"/>
        </w:trPr>
        <w:tc>
          <w:tcPr>
            <w:tcW w:w="10620" w:type="dxa"/>
            <w:vAlign w:val="bottom"/>
            <w:gridSpan w:val="6"/>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Consolidated Statements of Changes in Accumulated Other Comprehensive Income for the years ended December 31, 2012, 2011 and 2010</w:t>
              </w:r>
            </w:hyperlink>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Cash Flows for the years ended December 31, 2012, 2011 and 2010</w:t>
              </w:r>
            </w:hyperlink>
          </w:p>
        </w:tc>
        <w:tc>
          <w:tcPr>
            <w:tcW w:w="540" w:type="dxa"/>
            <w:vAlign w:val="bottom"/>
          </w:tcPr>
          <w:p>
            <w:pPr>
              <w:spacing w:after="0"/>
              <w:rPr>
                <w:sz w:val="17"/>
                <w:szCs w:val="17"/>
                <w:color w:val="auto"/>
              </w:rPr>
            </w:pPr>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w w:val="96"/>
              </w:rPr>
              <w:t>F-7</w:t>
            </w:r>
          </w:p>
        </w:tc>
      </w:tr>
      <w:tr>
        <w:trPr>
          <w:trHeight w:val="20"/>
        </w:trPr>
        <w:tc>
          <w:tcPr>
            <w:tcW w:w="342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620" w:type="dxa"/>
            <w:vAlign w:val="bottom"/>
            <w:gridSpan w:val="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Changes in Partners’ Capital for the years ended December 31, 2012, 2011 and 2010</w:t>
              </w:r>
            </w:hyperlink>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w w:val="96"/>
              </w:rPr>
              <w:t>F-8</w:t>
            </w:r>
          </w:p>
        </w:tc>
      </w:tr>
      <w:tr>
        <w:trPr>
          <w:trHeight w:val="196"/>
        </w:trPr>
        <w:tc>
          <w:tcPr>
            <w:tcW w:w="8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Notes to the Consolidated Financial Statements</w:t>
              </w:r>
            </w:hyperlink>
          </w:p>
        </w:tc>
        <w:tc>
          <w:tcPr>
            <w:tcW w:w="2500" w:type="dxa"/>
            <w:vAlign w:val="bottom"/>
            <w:gridSpan w:val="2"/>
          </w:tcPr>
          <w:p>
            <w:pPr>
              <w:spacing w:after="0"/>
              <w:rPr>
                <w:sz w:val="17"/>
                <w:szCs w:val="17"/>
                <w:color w:val="auto"/>
              </w:rPr>
            </w:pPr>
          </w:p>
        </w:tc>
        <w:tc>
          <w:tcPr>
            <w:tcW w:w="840" w:type="dxa"/>
            <w:vAlign w:val="bottom"/>
          </w:tcPr>
          <w:p>
            <w:pPr>
              <w:ind w:left="560"/>
              <w:spacing w:after="0" w:line="196" w:lineRule="exact"/>
              <w:rPr>
                <w:sz w:val="20"/>
                <w:szCs w:val="20"/>
                <w:color w:val="auto"/>
              </w:rPr>
            </w:pPr>
            <w:r>
              <w:rPr>
                <w:rFonts w:ascii="Arial" w:cs="Arial" w:eastAsia="Arial" w:hAnsi="Arial"/>
                <w:sz w:val="18"/>
                <w:szCs w:val="18"/>
                <w:color w:val="auto"/>
                <w:w w:val="96"/>
              </w:rPr>
              <w:t>F-9</w:t>
            </w:r>
          </w:p>
        </w:tc>
      </w:tr>
      <w:tr>
        <w:trPr>
          <w:trHeight w:val="453"/>
        </w:trPr>
        <w:tc>
          <w:tcPr>
            <w:tcW w:w="3420" w:type="dxa"/>
            <w:vAlign w:val="bottom"/>
            <w:tcBorders>
              <w:top w:val="single" w:sz="8" w:color="0000EE"/>
            </w:tcBorders>
          </w:tcPr>
          <w:p>
            <w:pPr>
              <w:spacing w:after="0"/>
              <w:rPr>
                <w:sz w:val="24"/>
                <w:szCs w:val="24"/>
                <w:color w:val="auto"/>
              </w:rPr>
            </w:pPr>
          </w:p>
        </w:tc>
        <w:tc>
          <w:tcPr>
            <w:tcW w:w="7200" w:type="dxa"/>
            <w:vAlign w:val="bottom"/>
            <w:gridSpan w:val="5"/>
          </w:tcPr>
          <w:p>
            <w:pPr>
              <w:ind w:left="2160"/>
              <w:spacing w:after="0"/>
              <w:rPr>
                <w:sz w:val="20"/>
                <w:szCs w:val="20"/>
                <w:color w:val="auto"/>
              </w:rPr>
            </w:pPr>
            <w:r>
              <w:rPr>
                <w:rFonts w:ascii="Arial" w:cs="Arial" w:eastAsia="Arial" w:hAnsi="Arial"/>
                <w:sz w:val="18"/>
                <w:szCs w:val="18"/>
                <w:color w:val="auto"/>
              </w:rPr>
              <w:t>F-1</w:t>
            </w:r>
          </w:p>
        </w:tc>
        <w:tc>
          <w:tcPr>
            <w:tcW w:w="840" w:type="dxa"/>
            <w:vAlign w:val="bottom"/>
          </w:tcPr>
          <w:p>
            <w:pPr>
              <w:spacing w:after="0"/>
              <w:rPr>
                <w:sz w:val="24"/>
                <w:szCs w:val="24"/>
                <w:color w:val="auto"/>
              </w:rPr>
            </w:pPr>
          </w:p>
        </w:tc>
      </w:tr>
      <w:tr>
        <w:trPr>
          <w:trHeight w:val="132"/>
        </w:trPr>
        <w:tc>
          <w:tcPr>
            <w:tcW w:w="342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Management has used the framework set forth in the report entitled “Internal Control—Integrated Framework” issued by the Committee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Sponsoring Organizations of the Treadway Commission (“COSO”) to evaluate the effectiveness of the Partnership’s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that evaluation, management has concluded that the Partnership’s internal control over financial reporting was effective as of December 31, 2012.</w:t>
      </w:r>
    </w:p>
    <w:p>
      <w:pPr>
        <w:spacing w:after="0" w:line="234" w:lineRule="exact"/>
        <w:rPr>
          <w:sz w:val="20"/>
          <w:szCs w:val="20"/>
          <w:color w:val="auto"/>
        </w:rPr>
      </w:pPr>
    </w:p>
    <w:p>
      <w:pPr>
        <w:jc w:val="both"/>
        <w:ind w:right="18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2012 has been audited by PricewaterhouseCoopers LLP, an independent registered public accounting firm, as stated in their report which appears on Page F-3.</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Chief Executive Officer and Director of Plains All</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subsidiaries (the “Partnership”) at December 31, 2012 and 2011, and the results of their operations and their cash flows for each of the three years in the period ended December 31, 2012 in conformity with accounting principles generally accepted in the United States of America. Also in our opinion, the Partnership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ectPr>
          <w:pgSz w:w="11900" w:h="16838" w:orient="portrait"/>
          <w:cols w:equalWidth="0" w:num="1">
            <w:col w:w="11460"/>
          </w:cols>
          <w:pgMar w:left="240" w:top="108" w:right="199" w:bottom="0" w:gutter="0" w:footer="0" w:header="0"/>
        </w:sectPr>
      </w:pPr>
    </w:p>
    <w:bookmarkStart w:id="96" w:name="page97"/>
    <w:bookmarkEnd w:id="96"/>
    <w:p>
      <w:pPr>
        <w:ind w:right="60"/>
        <w:spacing w:after="0" w:line="297" w:lineRule="auto"/>
        <w:rPr>
          <w:sz w:val="20"/>
          <w:szCs w:val="20"/>
          <w:color w:val="auto"/>
        </w:rPr>
      </w:pPr>
      <w:r>
        <w:rPr>
          <w:rFonts w:ascii="Arial" w:cs="Arial" w:eastAsia="Arial" w:hAnsi="Arial"/>
          <w:sz w:val="16"/>
          <w:szCs w:val="16"/>
          <w:color w:val="auto"/>
        </w:rPr>
        <w:t>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11,142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Linefill and base gas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$15 and $13,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(335,283,874 and 310,753,874 units outstanding,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7" w:name="page98"/>
    <w:bookmarkEnd w:id="97"/>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36,438</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33,065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37,797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34,368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31,564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36,372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$36, $25 and $16, respectively)</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benefit/(expense)</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340"/>
              <w:spacing w:after="0"/>
              <w:rPr>
                <w:sz w:val="20"/>
                <w:szCs w:val="20"/>
                <w:color w:val="auto"/>
              </w:rPr>
            </w:pPr>
            <w:r>
              <w:rPr>
                <w:rFonts w:ascii="Arial" w:cs="Arial" w:eastAsia="Arial" w:hAnsi="Arial"/>
                <w:sz w:val="18"/>
                <w:szCs w:val="18"/>
                <w:b w:val="1"/>
                <w:bCs w:val="1"/>
                <w:color w:val="auto"/>
              </w:rPr>
              <w:t>LIMITED PARTNERS</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GENERAL PARTNER</w:t>
            </w: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BASIC NET INCOME PER LIMITED PARTNER UNIT</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DILUTED NET INCOME PER LIMITED PARTNER UNIT</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BASIC WEIGHTED AVERAGE UNITS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UNITS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Plains</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5300" w:type="dxa"/>
        <w:tblCellMar>
          <w:top w:w="0" w:type="dxa"/>
          <w:left w:w="0" w:type="dxa"/>
          <w:bottom w:w="0" w:type="dxa"/>
          <w:right w:w="0" w:type="dxa"/>
        </w:tblCellMar>
      </w:tblPr>
      <w:tr>
        <w:trPr>
          <w:trHeight w:val="161"/>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w w:val="95"/>
              </w:rPr>
              <w:t>Derivative</w:t>
            </w: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Translation</w:t>
            </w:r>
          </w:p>
        </w:tc>
        <w:tc>
          <w:tcPr>
            <w:tcW w:w="15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96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w w:val="94"/>
              </w:rPr>
              <w:t>Instruments</w:t>
            </w: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5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26" w:orient="portrait"/>
          <w:cols w:equalWidth="0" w:num="1">
            <w:col w:w="11420"/>
          </w:cols>
          <w:pgMar w:left="240" w:top="368" w:right="239" w:bottom="0" w:gutter="0" w:footer="0" w:header="0"/>
        </w:sectPr>
      </w:pPr>
    </w:p>
    <w:bookmarkStart w:id="98" w:name="page99"/>
    <w:bookmarkEnd w:id="9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0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160"/>
              <w:spacing w:after="0"/>
              <w:rPr>
                <w:sz w:val="20"/>
                <w:szCs w:val="20"/>
                <w:color w:val="auto"/>
              </w:rPr>
            </w:pPr>
            <w:r>
              <w:rPr>
                <w:rFonts w:ascii="Arial" w:cs="Arial" w:eastAsia="Arial" w:hAnsi="Arial"/>
                <w:sz w:val="18"/>
                <w:szCs w:val="18"/>
                <w:color w:val="auto"/>
              </w:rPr>
              <w:t>2010 Activity</w:t>
            </w: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4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lef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6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Proportionate share of our unconsolidated entities’ other</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2011 Activity</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480" w:type="dxa"/>
            <w:vAlign w:val="bottom"/>
          </w:tcPr>
          <w:p>
            <w:pPr>
              <w:spacing w:after="0"/>
              <w:rPr>
                <w:sz w:val="21"/>
                <w:szCs w:val="21"/>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6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cash flow hedges, net of tax</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2012 Activity</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compensation expense</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Inventory valuation adjustments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linefill and base gas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340"/>
              <w:spacing w:after="0" w:line="201" w:lineRule="exact"/>
              <w:rPr>
                <w:sz w:val="20"/>
                <w:szCs w:val="20"/>
                <w:color w:val="auto"/>
              </w:rPr>
            </w:pPr>
            <w:r>
              <w:rPr>
                <w:rFonts w:ascii="Arial" w:cs="Arial" w:eastAsia="Arial" w:hAnsi="Arial"/>
                <w:sz w:val="18"/>
                <w:szCs w:val="18"/>
                <w:color w:val="auto"/>
                <w:w w:val="96"/>
              </w:rPr>
              <w:t>Net cash received/(paid) for terminated interest rate and foreign currency hedging</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instruments</w:t>
            </w:r>
          </w:p>
        </w:tc>
        <w:tc>
          <w:tcPr>
            <w:tcW w:w="8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receivable and 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3)</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cash received/(paid) for sales and purchases of linefill and base gas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received upon formation of equity-method investment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borrowings/(repayments) on PAA’s revolving credit facility</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on PAA’s hedged inventory facility</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 on PNG’s credit agreements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Repayments of senior notes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 (Note 10)</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received for sale of noncontrolling interest in a subsidiary</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10)</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general partner (Note 10)</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99" w:name="page100"/>
    <w:bookmarkEnd w:id="9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2,151</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net of amounts capitalized</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 of amounts refunded</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Partners’ 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Excluding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w w:val="96"/>
              </w:rPr>
              <w:t>Common Units</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Noncontrolling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Noncontrolling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Pr>
          <w:p>
            <w:pPr>
              <w:ind w:left="300"/>
              <w:spacing w:after="0" w:line="142" w:lineRule="exact"/>
              <w:rPr>
                <w:sz w:val="20"/>
                <w:szCs w:val="20"/>
                <w:color w:val="auto"/>
              </w:rPr>
            </w:pPr>
            <w:r>
              <w:rPr>
                <w:rFonts w:ascii="Arial" w:cs="Arial" w:eastAsia="Arial" w:hAnsi="Arial"/>
                <w:sz w:val="14"/>
                <w:szCs w:val="14"/>
                <w:b w:val="1"/>
                <w:bCs w:val="1"/>
                <w:color w:val="auto"/>
                <w:w w:val="79"/>
              </w:rPr>
              <w:t>Units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2009</w:t>
            </w: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272.3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692"/>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3,965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4,096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4,159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Sale of noncontrolling interest in a subsidiary (Note 10)</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units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units under LTIP</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expense (Note 15)</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2010</w:t>
            </w: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282.4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692"/>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4,189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4,573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Sale of noncontrolling interest in a subsidiary (Note 10)</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units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units under LTIP</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expense (Note 15)</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2011</w:t>
            </w:r>
          </w:p>
        </w:tc>
        <w:tc>
          <w:tcPr>
            <w:tcW w:w="6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310.8</w:t>
            </w:r>
          </w:p>
        </w:tc>
        <w:tc>
          <w:tcPr>
            <w:tcW w:w="2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2"/>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5,249</w:t>
            </w:r>
          </w:p>
        </w:tc>
        <w:tc>
          <w:tcPr>
            <w:tcW w:w="2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units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units under LTIP</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expense (Note 15)</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 equivalent right payments (Note 15)</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Other comprehensive income/(loss)</w:t>
            </w:r>
          </w:p>
        </w:tc>
        <w:tc>
          <w:tcPr>
            <w:tcW w:w="6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2012</w:t>
            </w: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335.3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692"/>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6,388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6,637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7,146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18 for further discussion of our three operating segments.</w:t>
      </w:r>
    </w:p>
    <w:p>
      <w:pPr>
        <w:spacing w:after="0" w:line="17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2% general partner interest is held by PAA GP LLC, a Delaware limited liability company, whose sole member is Plains AAP, L.P., a Delaware limited partnership. Plains All American GP LLC, a Delaware limited liability company, is Plains AAP, L.P.’s general partner. Plains All American GP LLC</w:t>
      </w:r>
    </w:p>
    <w:p>
      <w:pPr>
        <w:sectPr>
          <w:pgSz w:w="11900" w:h="16989" w:orient="portrait"/>
          <w:cols w:equalWidth="0" w:num="1">
            <w:col w:w="11420"/>
          </w:cols>
          <w:pgMar w:left="240" w:top="140" w:right="239" w:bottom="0" w:gutter="0" w:footer="0" w:header="0"/>
        </w:sectPr>
      </w:pPr>
    </w:p>
    <w:bookmarkStart w:id="100" w:name="page101"/>
    <w:bookmarkEnd w:id="100"/>
    <w:p>
      <w:pPr>
        <w:spacing w:after="0" w:line="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manages our operations and activities and employs our domestic officers and personnel. Our Canadian officers and personnel are employed by our subsidiary Plains Midstream Canada ULC. References to our “general partner,” as the context requires, include any or all of PAA GP LLC, Plains AAP, L.P. and Plains All American GP LLC. Plains AAP, L.P. and Plains All American GP LLC are essentially held by 19 owners with interests ranging from approximately 35% to less than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AOCI</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Bcf</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Billion cubic feet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Btu</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British thermal unit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CAD</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Canadian dollar</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CERCLA</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DERs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FASB</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FERC</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GAAP</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GATX</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GATX Corporation</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ICE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IntercontinentalExchange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IPO</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Initial public offering</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LIBOR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Link</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Link Energy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LLS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Light Louisiana Sweet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LTIP</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Long-term incentive plan</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Mcf</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Thousand cubic feet</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MLP</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MQD</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Nexen</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Nexen Holdings U.S.A. Inc.</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NGL</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Natural gas liquids including ethane, natural gasoline products, propane and butane</w:t>
            </w:r>
          </w:p>
        </w:tc>
      </w:tr>
      <w:tr>
        <w:trPr>
          <w:trHeight w:val="43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40" w:type="dxa"/>
            <w:vAlign w:val="bottom"/>
          </w:tcPr>
          <w:p>
            <w:pPr>
              <w:ind w:left="3560"/>
              <w:spacing w:after="0"/>
              <w:rPr>
                <w:sz w:val="20"/>
                <w:szCs w:val="20"/>
                <w:color w:val="auto"/>
              </w:rPr>
            </w:pPr>
            <w:r>
              <w:rPr>
                <w:rFonts w:ascii="Arial" w:cs="Arial" w:eastAsia="Arial" w:hAnsi="Arial"/>
                <w:sz w:val="18"/>
                <w:szCs w:val="18"/>
                <w:color w:val="auto"/>
              </w:rPr>
              <w:t>F-9</w:t>
            </w:r>
          </w:p>
        </w:tc>
      </w:tr>
      <w:tr>
        <w:trPr>
          <w:trHeight w:val="132"/>
        </w:trPr>
        <w:tc>
          <w:tcPr>
            <w:tcW w:w="1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440" w:type="dxa"/>
            <w:vAlign w:val="bottom"/>
            <w:tcBorders>
              <w:bottom w:val="single" w:sz="8" w:color="010101"/>
            </w:tcBorders>
          </w:tcPr>
          <w:p>
            <w:pPr>
              <w:spacing w:after="0"/>
              <w:rPr>
                <w:sz w:val="11"/>
                <w:szCs w:val="11"/>
                <w:color w:val="auto"/>
              </w:rPr>
            </w:pPr>
          </w:p>
        </w:tc>
      </w:tr>
      <w:tr>
        <w:trPr>
          <w:trHeight w:val="523"/>
        </w:trPr>
        <w:tc>
          <w:tcPr>
            <w:tcW w:w="15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NPNS</w:t>
            </w:r>
          </w:p>
        </w:tc>
        <w:tc>
          <w:tcPr>
            <w:tcW w:w="220" w:type="dxa"/>
            <w:vAlign w:val="bottom"/>
          </w:tcPr>
          <w:p>
            <w:pPr>
              <w:spacing w:after="0"/>
              <w:rPr>
                <w:sz w:val="24"/>
                <w:szCs w:val="24"/>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Normal purchase normal sale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NYMEX</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NYSE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New York Stock Exchange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PAA/Vulcan</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PAA/Vulcan Gas Storage,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Pacific Energy Partners, L.P.</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PLA</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Pipeline loss allowance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PNG</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PNGS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PAA Natural Gas Storage,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Rainbow</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Rainbow Pipe Line Company, Ltd.</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RCRA</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SG Resources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SG Resources Mississippi,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SLC Pipeline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SLC Pipeline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SOP</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Shell Oil Products</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TNM</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Texas New Mexico</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USD</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United States dollar</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Velocity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Velocity South Texas Gathering,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White Cliffs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White Cliffs Pipeline, LLC</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WTI</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West Texas Intermediate</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WTS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West Texas Sour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accompanying financial statements and related notes present and discuss our consolidated financial position as of December 31, 2012 and 2011, and the consolidated results of our operations, cash flows, changes in partners’ capital, comprehensive income and changes in accumulated other comprehensive income for the years ended December 31, 2012, 2011 and 2010. All significant intercompany transactions have been eliminated in consolidation, and certain reclassifications have been made to information from previous years to conform to the current presentation. These reclassifications do not affect net income attributable to Plains. The accompanying consolidated financial statements include Plains and all of its wholly owned subsidiaries. Investments in entities over which we have significant influence but not control are accounted for by the equity method.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Two-for-One Unit Split</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August 2012, the board of directors of our general partner approved a two-for-one split of our common units. The two-for-one split was effected on October 1, 2012, by a distribution of one additional common unit for each common unit outstanding and held by unitholders of record at the close of</w:t>
      </w:r>
    </w:p>
    <w:p>
      <w:pPr>
        <w:sectPr>
          <w:pgSz w:w="11900" w:h="16908" w:orient="portrait"/>
          <w:cols w:equalWidth="0" w:num="1">
            <w:col w:w="11460"/>
          </w:cols>
          <w:pgMar w:left="240" w:top="125" w:right="199" w:bottom="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business on September 17, 2012 (and for each common unit issued by the Partnership during the period between September 18, 2012 and October 1,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two-for one split has been retroactively applied to all unit and per-unit amounts presented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 compensation plan accruals, (vi) property and equipment and depreciation expense and (vii) allowance for doubtful accounts. Although we believe these estimates are reasonable, actual results could differ from these estimates.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 xml:space="preserve">Supply and Logistics Segment Revenues. </w:t>
      </w:r>
      <w:r>
        <w:rPr>
          <w:rFonts w:ascii="Arial" w:cs="Arial" w:eastAsia="Arial" w:hAnsi="Arial"/>
          <w:sz w:val="17"/>
          <w:szCs w:val="17"/>
          <w:color w:val="auto"/>
        </w:rPr>
        <w:t>Revenues from sales of crude oil and NGL are recognized at the time title to the product sold transfers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purchaser, which occurs upon delivery of the product to the purchaser or its designee. Sales of crude oil and NGL consist of outright sales contracts and buy/sell arrangements as well as exchanges. Inventory purchases and sales under buy/sell transactions are treated as inventory exchanges and are presented net in Supply and Logistics segment revenues in our Consolidated Statements of Operations.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i w:val="1"/>
          <w:iCs w:val="1"/>
          <w:color w:val="auto"/>
        </w:rPr>
        <w:t xml:space="preserve">Transportation Segment Revenues. </w:t>
      </w:r>
      <w:r>
        <w:rPr>
          <w:rFonts w:ascii="Arial" w:cs="Arial" w:eastAsia="Arial" w:hAnsi="Arial"/>
          <w:sz w:val="17"/>
          <w:szCs w:val="17"/>
          <w:color w:val="auto"/>
        </w:rPr>
        <w:t>Revenues from pipeline tariffs and fees are associated with the transportation of crude oil, NGL and refined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at a published tariff, as well as revenues associated with leases and other agreements for committed space on various assets. Tariff revenues are recognized either at the point of delivery or at the point of receipt pursuant to specifications outlined in the regulated and non-regulated tariffs. Revenues associated with lease fees are recognized in the month to which the lease applies. The majority of our pipeline tariff and fee revenues are based on actual volumes and rates.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178" w:lineRule="exact"/>
        <w:rPr>
          <w:sz w:val="20"/>
          <w:szCs w:val="20"/>
          <w:color w:val="auto"/>
        </w:rPr>
      </w:pPr>
    </w:p>
    <w:p>
      <w:pPr>
        <w:ind w:firstLine="693"/>
        <w:spacing w:after="0" w:line="286" w:lineRule="auto"/>
        <w:rPr>
          <w:sz w:val="20"/>
          <w:szCs w:val="20"/>
          <w:color w:val="auto"/>
        </w:rPr>
      </w:pPr>
      <w:r>
        <w:rPr>
          <w:rFonts w:ascii="Arial" w:cs="Arial" w:eastAsia="Arial" w:hAnsi="Arial"/>
          <w:sz w:val="16"/>
          <w:szCs w:val="16"/>
          <w:i w:val="1"/>
          <w:iCs w:val="1"/>
          <w:color w:val="auto"/>
        </w:rPr>
        <w:t xml:space="preserve">Facilities Segment Revenues. </w:t>
      </w:r>
      <w:r>
        <w:rPr>
          <w:rFonts w:ascii="Arial" w:cs="Arial" w:eastAsia="Arial" w:hAnsi="Arial"/>
          <w:sz w:val="16"/>
          <w:szCs w:val="16"/>
          <w:color w:val="auto"/>
        </w:rPr>
        <w:t>Our Facilities segment operations generally consist of fee-based activities associated with providing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terminalling and throughput services for crude oil, refined products, NGL and natural gas, NGL fractionation and isomerization services and natural gas processing services. 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rail terminal loading and unloading fees, (iv) hub service fees associated with natural gas park and loan activities, interruptible storage services and wheeling and balancing services, (v) revenues from the sale of natural gas, (vi) fees from NGL fractionation and isomerization and (vii) fees from gas processing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 Revenues associated with the sale of natural gas are recognized at the time title to the product sold transfers to the purchaser or its designee.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Purchases and related costs include (i) the cost of crude oil, NGL, natural gas and refined products obtained in outright purchases, (ii) fees incurred for third-party transportation and storage, whether by pipeline, truck, rail, ship or barge, (iii) interest cost attributable to borrowings for inventory stored in a contango market and (iv) performance-related bonus accruals. These costs are recognized when incurred except in the case of products purchased, which are recognized at the time title transfers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Field operating costs consist of various field operating expenses, including fuel and power costs, telecommunications, payroll and benefit costs (including equity compensation expense) for truck drivers and field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 compensation expense), certain information systems and legal costs, office rent, contract and consultant costs and audit and tax fees.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0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Partners’ Capital reflected on our Consolidated Balance Sheet.</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losses of approximately $2 million for each of the years ended December 31, 2012 and 2011 and a gain of approximately $2 million for the year ended December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2012 and 2011, accounts payable included approximately $72 million and $58 million, respectively, of outstanding checks that were reclassified from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refineries,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To mitigate credit risks related to our accounts receivable, we have in place a rigorous credit review process. We closely monitor market conditions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2012 and 2011, we had received approximately $173 million and $186 million, respectively, of advance cash payments from third parties to mitigate credit risk. In addition, we enter into netting arrangements (contractual agreements that allow us and the counterparty to offset receivables and payables against each other) that cover a significant portion of our transactions and also serve to mitigate credit risk.</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efforts. At December 31, 2012 and 2011, substantially all of our accounts receivable (net of allowance for doubtful accounts) were less than 30 days past their scheduled invoice date. Our allowance for doubtful accounts receivable totaled approximately $4 million and $5 million at December 31, 2012 and 2011, respectively. Although we consider our allowance for doubtful trade accounts receivable to be adequate, actual amounts could vary significantly from estimated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4"/>
                <w:szCs w:val="14"/>
                <w:color w:val="auto"/>
              </w:rPr>
            </w:pPr>
          </w:p>
        </w:tc>
        <w:tc>
          <w:tcPr>
            <w:tcW w:w="3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300" w:type="dxa"/>
            <w:vAlign w:val="bottom"/>
            <w:vMerge w:val="restart"/>
          </w:tcPr>
          <w:p>
            <w:pPr>
              <w:spacing w:after="0"/>
              <w:rPr>
                <w:sz w:val="14"/>
                <w:szCs w:val="1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Our Ownership</w:t>
            </w:r>
          </w:p>
        </w:tc>
        <w:tc>
          <w:tcPr>
            <w:tcW w:w="0" w:type="dxa"/>
            <w:vAlign w:val="bottom"/>
          </w:tcPr>
          <w:p>
            <w:pPr>
              <w:spacing w:after="0"/>
              <w:rPr>
                <w:sz w:val="1"/>
                <w:szCs w:val="1"/>
                <w:color w:val="auto"/>
              </w:rPr>
            </w:pPr>
          </w:p>
        </w:tc>
      </w:tr>
      <w:tr>
        <w:trPr>
          <w:trHeight w:val="171"/>
        </w:trPr>
        <w:tc>
          <w:tcPr>
            <w:tcW w:w="56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3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3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we include a proportionate share of our equity method investees’ unrealized gains and losses in other comprehensive income on our Consolidated Balance Sheet. We also adjust our investment balances in these investees by the like amount. Distributions to the Partnership will reduce the carrying value of our investments and will be reflected in our Consolidated Statements of Cash Flows in the line item “Equity earnings in unconsolidated entities, net of distributions.” In turn, contributions will increase the carrying value of our investments and will be reflected in our Consolidated Statements of Cash Flows in investing activities.</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Formation of Eagle Ford Pipeline LLC</w:t>
      </w:r>
      <w:r>
        <w:rPr>
          <w:rFonts w:ascii="Arial" w:cs="Arial" w:eastAsia="Arial" w:hAnsi="Arial"/>
          <w:sz w:val="16"/>
          <w:szCs w:val="16"/>
          <w:color w:val="auto"/>
        </w:rPr>
        <w:t>. In August 2012, we formed Eagle Ford Pipeline LLC (“EF Pipeline”) with Enterprise Products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for the purpose of developing a crude oil pipeline system in the Eagle Ford Area of South Texas. This system will include a 175-mile crude oil and condensate pipeline, a marine terminal facility and approximately 1.8 million barrels of operational storage capacity across the system. The system is expected to be placed into service during 2013. We own a 50% interest in EF Pipeline and account for our investment under the equity method of accounting. We and Enterprise contributed fixed assets with estimated book values of approximately $134 million and $15 million, respectively. In addition, Enterprise</w:t>
      </w:r>
    </w:p>
    <w:p>
      <w:pPr>
        <w:sectPr>
          <w:pgSz w:w="11900" w:h="16838" w:orient="portrait"/>
          <w:cols w:equalWidth="0" w:num="1">
            <w:col w:w="11420"/>
          </w:cols>
          <w:pgMar w:left="240" w:top="125" w:right="239" w:bottom="0" w:gutter="0" w:footer="0" w:header="0"/>
        </w:sectPr>
      </w:pPr>
    </w:p>
    <w:bookmarkStart w:id="103" w:name="page104"/>
    <w:bookmarkEnd w:id="103"/>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contributed cash of $59 million which we received from EF Pipeline in conjunction with the formation. Subsequent to the formation and through December 31, 2012, we and Enterprise contributed $75 million each to fund continued development of the pipeline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account for noncontrolling interests in subsidiaries in accordance with FASB guidance specific to noncontrolling interests. FASB guidance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10 for additional discussion regarding our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retirement obligations for these assets in the period in which sufficient information becomes available for us to reasonably determine the settlement dates.</w:t>
      </w:r>
    </w:p>
    <w:p>
      <w:pPr>
        <w:spacing w:after="0" w:line="248"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$31 million and $9 million, respectively, at December 31, 2012 and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Notes 9 and 11 for further discussion.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See the respective footnotes for our accounting policies regarding (i) net income per limited partner unit, (ii) inventory, linefill, base gas and long-term inventory, (iii) property and equipment, (iv) other assets, (v) goodwill, (vi) derivatives and risk management activities, (vii) income taxes, (viii) equity compensation and (ix) environmental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will be effective for annual and interim impairment tests performed for fiscal years beginning after September 15, 2012, with early adoption permitted in certain circumstances. We adopted this guidance on January 1, 2013. Our adoption is not expected to have a material impact on our financial position, results of operations or cash flows.</w:t>
      </w:r>
    </w:p>
    <w:p>
      <w:pPr>
        <w:spacing w:after="0" w:line="16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December 2011, the FASB issued an accounting standard update that will require disclosure of information to help reconcile differences in the offsetting requirements for assets and liabilities under GAAP and IFRS. Under this new guidance, entities are required to disclose both gross and net information about instruments and transactions eligible for offset in the statement of financial position, as well as instruments and transactions subject to an agreement similar to a master netting arrangement. In addition, the standard requires disclosure of collateral received and posted in connection with master netting agreements or similar arrangements. Entities will need to provide the following enhanced disclosures for both assets and liabilities within the scope of the new standard: (i) the gross amounts of those recognized assets and those recognized liabilities; (ii) the amounts offset to determine the net amounts presented in the statement of financial position; (iii) the net amounts presented in the statement of financial position; (iv) the amounts subject to an enforceable master netting arrangement or similar agreement not otherwise included in (ii); and (v) the net amount after deducting the amounts in (iv) from the amounts in (iii). The standard affects all entities with balances presented on a net basis in the financial statements, derivative assets and derivative liabilities, repurchase agreements, and financial assets and financial liabilities executed under a master netting or similar arrangement. Accordingly, the</w:t>
      </w:r>
    </w:p>
    <w:p>
      <w:pPr>
        <w:sectPr>
          <w:pgSz w:w="11900" w:h="16930" w:orient="portrait"/>
          <w:cols w:equalWidth="0" w:num="1">
            <w:col w:w="11420"/>
          </w:cols>
          <w:pgMar w:left="240" w:top="125" w:right="239" w:bottom="0" w:gutter="0" w:footer="0" w:header="0"/>
        </w:sectPr>
      </w:pPr>
    </w:p>
    <w:bookmarkStart w:id="104" w:name="page105"/>
    <w:bookmarkEnd w:id="104"/>
    <w:p>
      <w:pPr>
        <w:jc w:val="both"/>
        <w:ind w:right="200"/>
        <w:spacing w:after="0" w:line="312" w:lineRule="auto"/>
        <w:rPr>
          <w:sz w:val="20"/>
          <w:szCs w:val="20"/>
          <w:color w:val="auto"/>
        </w:rPr>
      </w:pPr>
      <w:r>
        <w:rPr>
          <w:rFonts w:ascii="Arial" w:cs="Arial" w:eastAsia="Arial" w:hAnsi="Arial"/>
          <w:sz w:val="16"/>
          <w:szCs w:val="16"/>
          <w:color w:val="auto"/>
        </w:rPr>
        <w:t>adoption of this guidance is not expected to have a material impact on our financial position as this standard only impacts the presentation of such financial information. This guidance is effective for annual reporting periods beginning on or after January 1, 2013, and interim periods within those annual periods. We adopted this guidance on January 1, 2013. Our adoption did not have a material impact on our financial position, results of operations or cash flows.</w:t>
      </w:r>
    </w:p>
    <w:p>
      <w:pPr>
        <w:spacing w:after="0" w:line="14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September 2011, the FASB issued guidance with the purpose of simplifying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became effective for annual and interim goodwill impairment tests performed for fiscal years beginning after December 15, 2011. We adopted this guidance on January 1, 2012; however, we did not elect to apply the qualitative assessment during our 2012 goodwill impairment test. Our adoption did not have a material impact on our financial position, results of operations or cash flows.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June 2011, the FASB issued guidance regarding the presentation of other comprehensive income, which was later amended in December 2011, with the purpose of increasing the prominence of other comprehensive income in financial statements. This guidance, as amended, requires entities to present comprehensive income in either (i) a single continuous statement of comprehensive income or (ii) two separate but consecutive statements. This guidance became effective for interim and annual periods beginning after December 15, 2011. We adopted the guidance, as amended, on January 1, 2012 with no material impact to our financial position, results of operations or cash flows. In December 2012, the FASB further amended this guidance requiring an entity to present either in a single note or parenthetically on the face of the financial statements the effect of significant amounts reclassified from each component of accumulated other comprehensive income based on its source and the income statement line items affected by the reclassification. If a component is not required to be reclassified to net income in its entirety, an entity is to instead cross-reference to the related footnote for additional information. This guidance becomes effective for interim and annual periods beginning after December 15, 2012. We adopted this guidance on January 1, 2013. Since this guidance only impacts the presentation of comprehensive income and does not change the composition or calculation of such financial information, adoption of this guidance is not expected to have a material impact on our financial position, results of operations or cash flows.</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May 2011, the FASB issued guidance to amend certain fair value measurement and disclosure requirements in an effort to improve consistency with international reporting standards. The amendments generally clarify that the concepts of highest and best use and valuation premise in fair value measurement are relevant only when measuring the fair value of non-financial assets and are not relevant when measuring the fair value of financial assets or of liabilities. In addition, the guidance expanded disclosure requirements associated with (i) unobservable inputs for Level 3 fair value measurements and</w:t>
      </w:r>
    </w:p>
    <w:p>
      <w:pPr>
        <w:spacing w:after="0" w:line="2" w:lineRule="exact"/>
        <w:rPr>
          <w:sz w:val="20"/>
          <w:szCs w:val="20"/>
          <w:color w:val="auto"/>
        </w:rPr>
      </w:pPr>
    </w:p>
    <w:p>
      <w:pPr>
        <w:ind w:right="180" w:firstLine="8"/>
        <w:spacing w:after="0" w:line="254" w:lineRule="auto"/>
        <w:tabs>
          <w:tab w:leader="none" w:pos="2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items that are not measured at fair value in the financial statements, but for which fair value is required to be disclosed. This guidance became effective prospectively for interim and annual reporting periods beginning after December 15, 2011. We adopted this guidance on January 1, 2012. Other than requiring additional disclosure, which is included in Note 9 and Note 11, our adoption did not have a material impact on our financial position, results of operations or cash flows.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 NGL Acquisition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April 1, 2012, we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Upon completion of this acquisition, we became the indirect owner of all of BP North America’s Canadian-based NGL business and certain of BP North America’s NGL assets located in the upper-Midwest United States (collectively the “BP NGL Assets”). The BP NGL Assets acquired include varying ownership interests and contractual rights relating to approximately 2,600 miles of NGL pipelines (including mileage supporting the NGL facilities assets); approximately 13 million barrels of net usable NGL storage capacity; seven fractionation plants with annualized NGL fractionation volumes of over 100,000 barrels per day; four straddle plants and two field gas processing plants with an aggregate net capacity of approximately six Bcf per day; and long-term and seasonal NGL inventories of approximately 8 million barrels upon closing.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 The determination of the fair value of the assets and liabilities acquired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8"/>
                <w:szCs w:val="18"/>
                <w:color w:val="auto"/>
              </w:rPr>
            </w:pPr>
          </w:p>
        </w:tc>
        <w:tc>
          <w:tcPr>
            <w:tcW w:w="1360" w:type="dxa"/>
            <w:vAlign w:val="bottom"/>
          </w:tcPr>
          <w:p>
            <w:pPr>
              <w:jc w:val="right"/>
              <w:ind w:right="394"/>
              <w:spacing w:after="0"/>
              <w:rPr>
                <w:sz w:val="20"/>
                <w:szCs w:val="20"/>
                <w:color w:val="auto"/>
              </w:rPr>
            </w:pPr>
            <w:r>
              <w:rPr>
                <w:rFonts w:ascii="Arial" w:cs="Arial" w:eastAsia="Arial" w:hAnsi="Arial"/>
                <w:sz w:val="18"/>
                <w:szCs w:val="18"/>
                <w:color w:val="auto"/>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(contract)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105" w:name="page106"/>
    <w:bookmarkEnd w:id="105"/>
    <w:p>
      <w:pPr>
        <w:ind w:right="340" w:firstLine="648"/>
        <w:spacing w:after="0" w:line="286" w:lineRule="auto"/>
        <w:rPr>
          <w:sz w:val="20"/>
          <w:szCs w:val="20"/>
          <w:color w:val="auto"/>
        </w:rPr>
      </w:pPr>
      <w:r>
        <w:rPr>
          <w:rFonts w:ascii="Arial" w:cs="Arial" w:eastAsia="Arial" w:hAnsi="Arial"/>
          <w:sz w:val="17"/>
          <w:szCs w:val="17"/>
          <w:color w:val="auto"/>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Intangible assets above consist of a contract with a 13 year life. Amortization of this contract under the declining balance method was approximately $41 million during the year ended December 31, 2012 and the future amortization is estimated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w w:val="84"/>
              </w:rPr>
              <w:t>2013</w:t>
            </w:r>
          </w:p>
        </w:tc>
        <w:tc>
          <w:tcPr>
            <w:tcW w:w="5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16"/>
        </w:trPr>
        <w:tc>
          <w:tcPr>
            <w:tcW w:w="4780" w:type="dxa"/>
            <w:vAlign w:val="bottom"/>
          </w:tcPr>
          <w:p>
            <w:pPr>
              <w:jc w:val="right"/>
              <w:ind w:right="4330"/>
              <w:spacing w:after="0"/>
              <w:rPr>
                <w:sz w:val="20"/>
                <w:szCs w:val="20"/>
                <w:color w:val="auto"/>
              </w:rPr>
            </w:pPr>
            <w:r>
              <w:rPr>
                <w:rFonts w:ascii="Arial" w:cs="Arial" w:eastAsia="Arial" w:hAnsi="Arial"/>
                <w:sz w:val="18"/>
                <w:szCs w:val="18"/>
                <w:color w:val="auto"/>
                <w:w w:val="84"/>
              </w:rPr>
              <w:t>2014</w:t>
            </w:r>
          </w:p>
        </w:tc>
        <w:tc>
          <w:tcPr>
            <w:tcW w:w="5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16"/>
        </w:trPr>
        <w:tc>
          <w:tcPr>
            <w:tcW w:w="478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w w:val="84"/>
              </w:rPr>
              <w:t>2015</w:t>
            </w:r>
          </w:p>
        </w:tc>
        <w:tc>
          <w:tcPr>
            <w:tcW w:w="5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16"/>
        </w:trPr>
        <w:tc>
          <w:tcPr>
            <w:tcW w:w="4780" w:type="dxa"/>
            <w:vAlign w:val="bottom"/>
          </w:tcPr>
          <w:p>
            <w:pPr>
              <w:jc w:val="right"/>
              <w:ind w:right="4330"/>
              <w:spacing w:after="0"/>
              <w:rPr>
                <w:sz w:val="20"/>
                <w:szCs w:val="20"/>
                <w:color w:val="auto"/>
              </w:rPr>
            </w:pPr>
            <w:r>
              <w:rPr>
                <w:rFonts w:ascii="Arial" w:cs="Arial" w:eastAsia="Arial" w:hAnsi="Arial"/>
                <w:sz w:val="18"/>
                <w:szCs w:val="18"/>
                <w:color w:val="auto"/>
                <w:w w:val="84"/>
              </w:rPr>
              <w:t>2016</w:t>
            </w:r>
          </w:p>
        </w:tc>
        <w:tc>
          <w:tcPr>
            <w:tcW w:w="5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16"/>
        </w:trPr>
        <w:tc>
          <w:tcPr>
            <w:tcW w:w="478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w w:val="84"/>
              </w:rPr>
              <w:t>2017</w:t>
            </w:r>
          </w:p>
        </w:tc>
        <w:tc>
          <w:tcPr>
            <w:tcW w:w="5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BP NGL Acquisition was pre-funded through various means, including the issuance of common units and senior notes in March 2012 for net proceeds of approximately $1.69 billion. During the year ended December 31, 2012, we incurred approximately $13 million of acquisition-related costs associated with the BP NGL Acquisition. Such costs are reflected as a component of “General and administrative expenses” in our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Rail Terminal Acquisition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12, 2012, we completed a transaction with U.S. Development Group (referred to herein as the “USD Rail Terminal Acquisition”) for an aggregate consideration of approximately $503 million, paid in cash. Through the USD Rail Terminal Acquisition, we acquired four operating crude oil rail terminals and one terminal under development. The assets acquired include three crude oil rail loading terminals located in the Eagle Ford, Bakken and Niobrara producing regions with an aggregate daily loading capacity of approximately 75,000 barrels per day, a rail unloading terminal at St. James, Louisiana with capacity of approximately 140,000 barrels per day and a project to construct a crude oil unloading terminal near Bakersfield, California. The preliminary determination of the fair value of the assets and liabilities acquired is approximately $1 million of working capital, $76 million of property and equipment and $426 million of goodwill. The determination of the fair value of the assets and liabilities acquired is preliminary pending completion of internal valuation procedures. The goodwill arising from the USD Rail Terminal Acquisition represents anticipated opportunities to generate future cash flows from the rail facilities by utilizing them to reduce capacity constraints in certain geographic market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2012 Acquisitions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During the year ended December 31, 2012, we completed several additional acquisitions for an aggregate consideration of approximately $150 million. The assets acquired primarily included crude oil and condensate gathering pipelines, a truck unloading terminal and trailers that are utilized in our Transportation segment, and terminal facilities included in our Facilities segment. We recognized goodwill of approximately $10 million related to these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Disclosure of the revenues and earnings from the BP NGL Acquisition, USD Rail Terminal Acquisition and our other 2012 acquisitions in our results for the year ended December 31, 2012 is not practicable as they are not being operated as standalone subsidiaries. Selected unaudited pro forma results of operations for the years ended December 31, 2012 and 2011, assuming our 2012 acquisitions had occurred on January 1, 2011, are presented below (in millions, except per unit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9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w:t>
            </w: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attributable to Plains</w:t>
            </w:r>
          </w:p>
        </w:tc>
        <w:tc>
          <w:tcPr>
            <w:tcW w:w="1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1,149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 interest in net income attributable to Plains</w:t>
            </w:r>
          </w:p>
        </w:tc>
        <w:tc>
          <w:tcPr>
            <w:tcW w:w="19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per limited partner unit: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Pines Acquisition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February 9, 2011, PNG acquired 100% of the equity interests in SG Resources from SGR Holdings, L.L.C. (the “Southern Pines Acquisition”) for an aggregate purchase price of approximately $765 million in cash (approximately $750 million, net of cash and other working capital acquired). The purchase price included the release of restricted cash of approximately $20 million held in escrow prior to the closing of the acquisition. The primary asset of SG Resources is the Southern Pines Energy Center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(“Southern Pines”), a FERC-regulated, salt-cavern natural gas storage facility located in Greene County, Mississippi. In connection with this acquisition, PNG obtained financing through a private placement of PNG common units to third-party purchasers and to us. See Note 10 for further discussion.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assets acquired and liabilities assumed was as follows (in millions):</w:t>
      </w:r>
    </w:p>
    <w:p>
      <w:pPr>
        <w:sectPr>
          <w:pgSz w:w="11900" w:h="16838" w:orient="portrait"/>
          <w:cols w:equalWidth="0" w:num="1">
            <w:col w:w="11420"/>
          </w:cols>
          <w:pgMar w:left="240" w:top="125" w:right="239"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gas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Other working capital (including approximately $13 million of cash acquired)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allocation of fair value to intangible assets above is comprised of a tax abatement valued at approximately $15 million and contracts valued at approximately $77 million, which have lives ranging from 2 to 10 years. Amortization of customer contracts under the declining balance method of amortization was approximately $14 million and $13 million for the years ended December 31, 2012 and 2011, respectively, and is estimated to be approximately $13 million, $11 million and $8 million for the years ending December 31, 2013, 2014 and 2015, respectively. Goodwill or indefinite lived intangible assets will not be subject to depreciation or amortization, but will be subject to periodic impairment testing and, if necessary, will be written down to fair value should circumstances warrant.</w:t>
      </w:r>
    </w:p>
    <w:p>
      <w:pPr>
        <w:spacing w:after="0" w:line="19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Several factors contributed to a purchase price in excess of the fair value of the net tangible and intangible assets acquired. Such factors included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 This acquisition is reflected in our Facilities segment.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Also in connection with the Southern Pines Acquisition, PNG became the owner, with the ability to remarket in the future, and ultimate obligor of the $100,000,000 Mississippi Business Finance Corporation Gulf Opportunity Zone Industrial Development Revenue Bonds (SG Resources Mississippi, LLC Project), Series 2009 and the $100,000,000 Mississippi Business Finance Corporation Gulf Opportunity Zone Industrial Development Revenue Bonds (SG Resources Mississippi, LLC Project), Series 2010 (collectively, the “GO Bonds”). These GO Bonds were originally issued to fund the expansion of the Southern Pines facility. PNG remarketed the GO Bonds in August 2011.</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2011, PNG entered into an agreement with the former owners of SG Resources with respect to certain outstanding issues and purchase price adjustments as well as the distribution of the remaining 5% of the purchase price that was escrowed at closing (totaling $37 million). Pursuant to this agreement, PNG received approximately $10 million and the balance was remitted to the former owners. Funds received by PNG have been and will continue to be used to fund anticipated facility development and other related costs identified subsequent to closing. Approximately $3 million of capital expenditures were incurred related to matters covered by the agreement through December 31, 2012. Remaining amounts, included as a component of accounts payable and accrued liabilities as of December 31, 2012, will be utilized to offset applicable cavern development expenditures as incurred. Any remaining amounts upon completion of applicable cavern development procedures will reduce goodwill. Additionally, as part of this agreement, the parties executed releases of any existing and future claims, subject to customary carve-outs.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2011 Acquisitions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 xml:space="preserve">Western Acquisition. </w:t>
      </w:r>
      <w:r>
        <w:rPr>
          <w:rFonts w:ascii="Arial" w:cs="Arial" w:eastAsia="Arial" w:hAnsi="Arial"/>
          <w:sz w:val="16"/>
          <w:szCs w:val="16"/>
          <w:color w:val="auto"/>
        </w:rPr>
        <w:t>On December 29, 2011, we completed two transactions with Western Refining for a combined consideration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$220 million in cash. Through the first transaction, we acquired crude oil, refined products and NGL storage and the associated manifold and pumping equipment located at Western’s Yorktown, Virginia refinery site, which we will operate as a terminal, as well as certain intangible assets. The second transaction included an 82-mile, 16-inch segment of pipeline that originates in Chaves County, New Mexico and connects into our Basin Pipeline system at Jal, New Mexico. The transaction includes associated tankage, piping and other related assets at the Lynch and Jal Stations.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Gardendale Gathering System Acquisition. </w:t>
      </w:r>
      <w:r>
        <w:rPr>
          <w:rFonts w:ascii="Arial" w:cs="Arial" w:eastAsia="Arial" w:hAnsi="Arial"/>
          <w:sz w:val="18"/>
          <w:szCs w:val="18"/>
          <w:color w:val="auto"/>
        </w:rPr>
        <w:t>On November 29, 2011, we completed the acquisition of 100% of the member interests in Velocity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Velocity Midstream Partners, LLC for an aggregate consideration of approximately $349 million in cash. The assets acquired included approximately 120 miles of crude oil and condensate gathering and transportation pipelines (the “Gardendale Gathering System”) in the Eagle Ford Shale. We recognized goodwill of approximately $155 million associated with this acquisition, which was primarily related to the potential incremental income from anticipated growth projects.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Additional 2011 Acquisitions. </w:t>
      </w:r>
      <w:r>
        <w:rPr>
          <w:rFonts w:ascii="Arial" w:cs="Arial" w:eastAsia="Arial" w:hAnsi="Arial"/>
          <w:sz w:val="17"/>
          <w:szCs w:val="17"/>
          <w:color w:val="auto"/>
        </w:rPr>
        <w:t>During 2011, we completed six additional acquisitions for an aggregate consideration of approximately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acquisitions included propane storage and terminal facilities included in our Facilities segment, a trucking business included in our Transportation segment as well as the right to ship on third-party pipelines, the revenues of which are included in our Supply and Logistics segment.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determination of fair value of assets acquired and liabilities assumed for all other acquisitions completed during 2011, including the Western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Gardendale Gathering System acquisitions, is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Linefill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Other working capital, net of cash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r>
      <w:tr>
        <w:trPr>
          <w:trHeight w:val="210"/>
        </w:trPr>
        <w:tc>
          <w:tcPr>
            <w:tcW w:w="91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Acquisitions</w:t>
      </w:r>
    </w:p>
    <w:p>
      <w:pPr>
        <w:sectPr>
          <w:pgSz w:w="11900" w:h="16838" w:orient="portrait"/>
          <w:cols w:equalWidth="0" w:num="1">
            <w:col w:w="11400"/>
          </w:cols>
          <w:pgMar w:left="240" w:top="320" w:right="259" w:bottom="0" w:gutter="0" w:footer="0" w:header="0"/>
        </w:sectPr>
      </w:pPr>
    </w:p>
    <w:bookmarkStart w:id="107" w:name="page108"/>
    <w:bookmarkEnd w:id="107"/>
    <w:p>
      <w:pPr>
        <w:spacing w:after="0" w:line="4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Nexen Acquisition</w:t>
      </w:r>
      <w:r>
        <w:rPr>
          <w:rFonts w:ascii="Arial" w:cs="Arial" w:eastAsia="Arial" w:hAnsi="Arial"/>
          <w:sz w:val="16"/>
          <w:szCs w:val="16"/>
          <w:color w:val="auto"/>
        </w:rPr>
        <w:t>. On December 30, 2010, we acquired from Nexen Holdings U.S.A. Inc. entities that hold crude oil gathering and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that primarily service Bakken area producers. The aggregate consideration of approximately $229 million was paid in cash and included approximately $170 million for the business and physical assets and approximately $59 million for approximately 460,000 barrels of inventory and other working capital adjustments. The assets are primarily located in Northwestern North Dakota and Northeastern Montana and include (i) a lease gathering business, (ii) the Robinson Lake pipeline, a FERC-regulated 20-mile, 8-inch pipeline, (iii) eight truck terminals and (iv) various other contractual rights. These assets are included in our Transportation and Supply and Logistics segments. We recognized goodwill of approximately $83 million associated with this acquisition.</w:t>
      </w:r>
    </w:p>
    <w:p>
      <w:pPr>
        <w:spacing w:after="0" w:line="165" w:lineRule="exact"/>
        <w:rPr>
          <w:sz w:val="20"/>
          <w:szCs w:val="20"/>
          <w:color w:val="auto"/>
        </w:rPr>
      </w:pPr>
    </w:p>
    <w:p>
      <w:pPr>
        <w:ind w:left="20" w:right="20" w:firstLine="645"/>
        <w:spacing w:after="0" w:line="259" w:lineRule="auto"/>
        <w:rPr>
          <w:sz w:val="20"/>
          <w:szCs w:val="20"/>
          <w:color w:val="auto"/>
        </w:rPr>
      </w:pPr>
      <w:r>
        <w:rPr>
          <w:rFonts w:ascii="Arial" w:cs="Arial" w:eastAsia="Arial" w:hAnsi="Arial"/>
          <w:sz w:val="18"/>
          <w:szCs w:val="18"/>
          <w:i w:val="1"/>
          <w:iCs w:val="1"/>
          <w:color w:val="auto"/>
        </w:rPr>
        <w:t>Other 2010 Acquisitions</w:t>
      </w:r>
      <w:r>
        <w:rPr>
          <w:rFonts w:ascii="Arial" w:cs="Arial" w:eastAsia="Arial" w:hAnsi="Arial"/>
          <w:sz w:val="18"/>
          <w:szCs w:val="18"/>
          <w:color w:val="auto"/>
        </w:rPr>
        <w:t>. During 2010, we completed five additional acquisitions for aggregate consideration of approximately $178 million.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included (i) a 34% interest in White Cliffs that is reflected in our Transportation segment, (ii) an additional 11% interest in Capline pipeline that is reflected in our Transportation segment and (iii) various other assets reflected in both our Transportation and Facilities segments. We did not recognize any goodwill for these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2012, 2011 and 2010, we sold various property and equipment for proceeds totaling approximately $22 million, $12 million and $3 million, respectively. A gain of approximately $6 million, a loss of approximately $6 million and a gain of less than $1 million were recognized in 2012, 2011 and 2010, respectively, related to these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Limited Partner Unit</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 holders and participating securities according to distributions pertaining to the current period’s net income and participation rights in undistributed earnings. Under this method, all earnings are allocated to our general partner, common unit 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distribution equivalent rights (“DERs”), which entitle the grantee to a cash payment equal to the cash distribution paid on our outstanding common units. As a result of our two-for-one unit split that was effected on October 1, 2012, we have adjusted the computation of limited partners’ net income per unit in our Consolidated Statements of Operations and in the table below to present the amounts on a post-split basis for all periods presented.</w:t>
      </w:r>
    </w:p>
    <w:p>
      <w:pPr>
        <w:spacing w:after="0" w:line="178"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right="480" w:firstLine="8"/>
        <w:spacing w:after="0" w:line="302" w:lineRule="auto"/>
        <w:tabs>
          <w:tab w:leader="none" w:pos="2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for a complete discussion of our LTIP awards including specific discussion regarding DERs.</w:t>
      </w:r>
    </w:p>
    <w:p>
      <w:pPr>
        <w:spacing w:after="0" w:line="15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years ended 2012, 2011 and 2010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Net income attributable to Plains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ind w:left="34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52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two-class method for MLPs</w:t>
            </w:r>
          </w:p>
        </w:tc>
        <w:tc>
          <w:tcPr>
            <w:tcW w:w="9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Net income attributable to Plains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ind w:left="34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52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two-class method for MLPs</w:t>
            </w:r>
          </w:p>
        </w:tc>
        <w:tc>
          <w:tcPr>
            <w:tcW w:w="9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Effect of dilutive securities: Weighted average LTIP units</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5" w:right="239" w:bottom="0" w:gutter="0" w:footer="0" w:header="0"/>
        </w:sectPr>
      </w:pPr>
    </w:p>
    <w:bookmarkStart w:id="108" w:name="page109"/>
    <w:bookmarkEnd w:id="108"/>
    <w:p>
      <w:pPr>
        <w:ind w:left="180"/>
        <w:spacing w:after="0"/>
        <w:tabs>
          <w:tab w:leader="none" w:pos="6240" w:val="left"/>
          <w:tab w:leader="none" w:pos="7300" w:val="left"/>
          <w:tab w:leader="none" w:pos="7920" w:val="left"/>
          <w:tab w:leader="none" w:pos="8960" w:val="left"/>
          <w:tab w:leader="none" w:pos="9540" w:val="left"/>
          <w:tab w:leader="none" w:pos="10580" w:val="left"/>
        </w:tabs>
        <w:rPr>
          <w:sz w:val="20"/>
          <w:szCs w:val="20"/>
          <w:color w:val="auto"/>
        </w:rPr>
      </w:pPr>
      <w:r>
        <w:rPr>
          <w:rFonts w:ascii="Arial" w:cs="Arial" w:eastAsia="Arial" w:hAnsi="Arial"/>
          <w:sz w:val="18"/>
          <w:szCs w:val="18"/>
          <w:color w:val="auto"/>
        </w:rPr>
        <w:t>Diluted net income per limited partner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9770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80" w:hanging="652"/>
        <w:spacing w:after="0" w:line="238" w:lineRule="auto"/>
        <w:tabs>
          <w:tab w:leader="none" w:pos="6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for EPU calculation purposes. If, however, undistributed earnings were allocated to our IDRs beyond amounts distributed to them under the terms of the partnership agreement, basic and diluted earnings per limited partner unit as reflected in the table above would be impacted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2"/>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2"/>
              </w:rPr>
              <w:t>(0.22)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(0.11)</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5—Inventory, Linefill, Base Gas and Long-term Inventory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During 2012, we recorded non-cash charges of approximately $128 million related to the writedown of our crude oil and NGL inventory due to declines in prices during the period. As of December 31, 2012, a majority of the inventory subject to writedown has been liquidated and the applicable derivative instruments have been settled. The recognition of this adjustment, which is a component of “Purchases and related costs” in our accompanying Consolidated Statement of Operations, was substantially offset by the recognition of unrealized gains on derivative instruments being utilized to hedge the future sales of our crude oil and NGL inventory. Substantially all of such unrealized gains were recorded to “Supply and Logistics segment revenues” in our Consolidated Statement of Operations. See Note 11 for discussion of our derivative and risk management activities. We did not recognize material writedowns of inventory during 2011 and 2010.</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Linefill,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that we own and (iii) natural gas required to maintain the minimum operating pressure of natural gas storage facilities we own. During 2012, 2011 and 2010, we recorded gains of approximately $19 million, $21 million and $21 million, respectively, on the sale of pipeline linefill for proceeds of approximately $65 million, $56 million and $72 million, respectively.</w:t>
      </w:r>
    </w:p>
    <w:p>
      <w:pPr>
        <w:spacing w:after="0" w:line="193"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base gas and long-term inventory consisted of the following (barrels in thousands,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2012</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Measure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Crude oil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9,492</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77.64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5,361</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9,472</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6,885</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20,374</w:t>
            </w:r>
          </w:p>
        </w:tc>
        <w:tc>
          <w:tcPr>
            <w:tcW w:w="920" w:type="dxa"/>
            <w:vAlign w:val="bottom"/>
          </w:tcPr>
          <w:p>
            <w:pPr>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16,170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9,919</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9,366</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NGL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15,755</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14,105</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Long-term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61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75.94</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1,714</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NGL</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3,238</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38.60</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940" w:type="dxa"/>
            <w:vAlign w:val="bottom"/>
          </w:tcPr>
          <w:p>
            <w:pPr>
              <w:ind w:left="120"/>
              <w:spacing w:after="0"/>
              <w:rPr>
                <w:sz w:val="20"/>
                <w:szCs w:val="20"/>
                <w:color w:val="auto"/>
              </w:rPr>
            </w:pPr>
            <w:r>
              <w:rPr>
                <w:rFonts w:ascii="Arial" w:cs="Arial" w:eastAsia="Arial" w:hAnsi="Arial"/>
                <w:sz w:val="18"/>
                <w:szCs w:val="18"/>
                <w:color w:val="auto"/>
              </w:rPr>
              <w:t>barrels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11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280" w:hanging="11"/>
        <w:spacing w:after="0" w:line="277" w:lineRule="auto"/>
        <w:rPr>
          <w:sz w:val="20"/>
          <w:szCs w:val="20"/>
          <w:color w:val="auto"/>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170" w:lineRule="exact"/>
        <w:rPr>
          <w:sz w:val="20"/>
          <w:szCs w:val="20"/>
          <w:color w:val="auto"/>
        </w:rPr>
      </w:pPr>
    </w:p>
    <w:p>
      <w:pPr>
        <w:ind w:right="340" w:hanging="11"/>
        <w:spacing w:after="0" w:line="277" w:lineRule="auto"/>
        <w:rPr>
          <w:sz w:val="20"/>
          <w:szCs w:val="20"/>
          <w:color w:val="auto"/>
        </w:rPr>
      </w:pPr>
      <w:r>
        <w:rPr>
          <w:rFonts w:ascii="Arial" w:cs="Arial" w:eastAsia="Arial" w:hAnsi="Arial"/>
          <w:sz w:val="18"/>
          <w:szCs w:val="18"/>
          <w:color w:val="auto"/>
        </w:rPr>
        <w:t>The volumetric ratio of Mcf of natural gas to crude Btu equivalent is 6:1; thus, natural gas volumes can be approximately converted to barrels by dividing by 6.</w:t>
      </w:r>
    </w:p>
    <w:p>
      <w:pPr>
        <w:spacing w:after="0" w:line="166" w:lineRule="exact"/>
        <w:rPr>
          <w:sz w:val="20"/>
          <w:szCs w:val="20"/>
          <w:color w:val="auto"/>
        </w:rPr>
      </w:pPr>
    </w:p>
    <w:p>
      <w:pPr>
        <w:sectPr>
          <w:pgSz w:w="11900" w:h="16838" w:orient="portrait"/>
          <w:cols w:equalWidth="0" w:num="2">
            <w:col w:w="140" w:space="520"/>
            <w:col w:w="10760"/>
          </w:cols>
          <w:pgMar w:left="240" w:top="14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our capitalization policy, costs associated with acquisitions and improvements that expand our existing capacity, including related interest costs, are capitalized. For the years ended December 31, 2012, 2011 and 2010, capitalized interest was $36 million, $25 million and $16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expensed as incurred.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Lives (Years)</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4,354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Land and other</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0"/>
        </w:trPr>
        <w:tc>
          <w:tcPr>
            <w:tcW w:w="60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(1,499)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r>
      <w:tr>
        <w:trPr>
          <w:trHeight w:val="210"/>
        </w:trPr>
        <w:tc>
          <w:tcPr>
            <w:tcW w:w="6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Depreciation expense for the years ended December 31, 2012, 2011 and 2010 was approximately $222 million, $196 million and $235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During 2011 and 2010, we extended the depreciable lives of several of our crude oil and other storage facilities and pipeline systems based on a review to assess the useful lives of our property and equipment and to adjust those lives, if appropriate, to reflect current expectations given actual experience and current technology. These depreciable life extensions have reduced depreciation expense prospectively as various phases of the review were completed. For the years ended December 31, 2012, 2011 and 2010, these extensions reduced depreciation expense by $73 million (incrementally $13 million more than the previous year), $60 million (incrementally $37 million more than the previous year) and $23 million, respectively.</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also classify gains and losses on sales of assets and asset impairments as a component of “Depreciation and amortization” in our Consolidated Statements of Operations. During the years ended 2012, 2011 and 2010, we recognized gains of approximately $6 million, losses of approximately $6 million and a gain of less than $1 million, respectively, on disposition of certain assets. See “Impairment of Long-Lived Assets” below for a discussion of our policy for the recognition of asset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ectPr>
          <w:pgSz w:w="11900" w:h="16838" w:orient="portrait"/>
          <w:cols w:equalWidth="0" w:num="1">
            <w:col w:w="11420"/>
          </w:cols>
          <w:pgMar w:left="240" w:top="140" w:right="239" w:bottom="0" w:gutter="0" w:footer="0" w:header="0"/>
          <w:type w:val="continuous"/>
        </w:sectPr>
      </w:pPr>
    </w:p>
    <w:bookmarkStart w:id="110" w:name="page111"/>
    <w:bookmarkEnd w:id="110"/>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During the year ended 2012, we recognized losses on impairments of long-lived assets of approximately $168 million, primarily related to our Pier 400 terminal project and the anticipated sale of certain refined products pipeline systems and related assets. The Pier 400 project, which we acquired in late 2006 by virtue of our merger with Pacific Energy Partners,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spacing w:after="0" w:line="19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During the fourth quarter of 2012, we recognized a loss on impairment as a result of our decision to sell certain refined products pipeline systems and related assets included in our Transportation segment. At December 31, 2012, these assets were classified as held for sale on our Consolidated Balance Sheet (in “Other current assets”). In accordance with GAAP, we wrote their book value down to their expected sales price. In February 2013, we signed a definitive agreement to sell these systems and related assets, and expect the transaction to close during the second quarter of 2013. During 2011 and 2010, impairments of approximately $5 million and $13 million, respectively, were recognized related predominately to assets that were taken out of service. These assets did not support spending the capital necessary to continue service and, in most instances, we utilized other assets to handle these activities.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net of accumulated amortization,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Debt issue costs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0"/>
        </w:trPr>
        <w:tc>
          <w:tcPr>
            <w:tcW w:w="544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$20 million and $18 million in 2012 and 2011, respectively. Approximately $5 million and $11 million of gross debt issue costs were removed from our Consolidated Balance Sheet during 2012 and 2011, respectively, primarily related to the restructuring of our credit facilities in June 2012 and August 2011.</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Amortization expense related to other assets (including finite-lived intangible assets) for the three years ended December 31, 2012, 2011 and 2010 was approximately $110 million, $44 million and $22 million, respectively. Our amortization expense for finite-lived intangible assets for the years ended December 31, 2012, 2011 and 2010 was approximately $101 million, $36 million and $14 million, respectively.</w:t>
      </w:r>
    </w:p>
    <w:p>
      <w:pPr>
        <w:spacing w:after="0" w:line="181"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Our intangible assets that have finite lives consist of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2012</w:t>
            </w: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78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Amortization</w:t>
            </w: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Customer contracts and relationships</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1 - 20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7 - 13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are finite-lived and are subject to surrender in exchange for environmental permits.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We estimate that our amortization expense related to finite-lived intangible assets for the next five years will be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2013</w:t>
            </w:r>
          </w:p>
        </w:tc>
        <w:tc>
          <w:tcPr>
            <w:tcW w:w="7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r>
      <w:tr>
        <w:trPr>
          <w:trHeight w:val="216"/>
        </w:trPr>
        <w:tc>
          <w:tcPr>
            <w:tcW w:w="2960" w:type="dxa"/>
            <w:vAlign w:val="bottom"/>
          </w:tcPr>
          <w:p>
            <w:pPr>
              <w:jc w:val="right"/>
              <w:ind w:right="2510"/>
              <w:spacing w:after="0"/>
              <w:rPr>
                <w:sz w:val="20"/>
                <w:szCs w:val="20"/>
                <w:color w:val="auto"/>
              </w:rPr>
            </w:pPr>
            <w:r>
              <w:rPr>
                <w:rFonts w:ascii="Arial" w:cs="Arial" w:eastAsia="Arial" w:hAnsi="Arial"/>
                <w:sz w:val="18"/>
                <w:szCs w:val="18"/>
                <w:color w:val="auto"/>
                <w:w w:val="84"/>
              </w:rPr>
              <w:t>2014</w:t>
            </w:r>
          </w:p>
        </w:tc>
        <w:tc>
          <w:tcPr>
            <w:tcW w:w="7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2015</w:t>
            </w:r>
          </w:p>
        </w:tc>
        <w:tc>
          <w:tcPr>
            <w:tcW w:w="7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2960" w:type="dxa"/>
            <w:vAlign w:val="bottom"/>
          </w:tcPr>
          <w:p>
            <w:pPr>
              <w:jc w:val="right"/>
              <w:ind w:right="2510"/>
              <w:spacing w:after="0"/>
              <w:rPr>
                <w:sz w:val="20"/>
                <w:szCs w:val="20"/>
                <w:color w:val="auto"/>
              </w:rPr>
            </w:pPr>
            <w:r>
              <w:rPr>
                <w:rFonts w:ascii="Arial" w:cs="Arial" w:eastAsia="Arial" w:hAnsi="Arial"/>
                <w:sz w:val="18"/>
                <w:szCs w:val="18"/>
                <w:color w:val="auto"/>
                <w:w w:val="84"/>
              </w:rPr>
              <w:t>2016</w:t>
            </w:r>
          </w:p>
        </w:tc>
        <w:tc>
          <w:tcPr>
            <w:tcW w:w="7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2017</w:t>
            </w:r>
          </w:p>
        </w:tc>
        <w:tc>
          <w:tcPr>
            <w:tcW w:w="7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432"/>
        </w:trPr>
        <w:tc>
          <w:tcPr>
            <w:tcW w:w="2960" w:type="dxa"/>
            <w:vAlign w:val="bottom"/>
          </w:tcPr>
          <w:p>
            <w:pPr>
              <w:spacing w:after="0"/>
              <w:rPr>
                <w:sz w:val="24"/>
                <w:szCs w:val="24"/>
                <w:color w:val="auto"/>
              </w:rPr>
            </w:pPr>
          </w:p>
        </w:tc>
        <w:tc>
          <w:tcPr>
            <w:tcW w:w="7640" w:type="dxa"/>
            <w:vAlign w:val="bottom"/>
          </w:tcPr>
          <w:p>
            <w:pPr>
              <w:jc w:val="right"/>
              <w:ind w:right="4630"/>
              <w:spacing w:after="0"/>
              <w:rPr>
                <w:sz w:val="20"/>
                <w:szCs w:val="20"/>
                <w:color w:val="auto"/>
              </w:rPr>
            </w:pPr>
            <w:r>
              <w:rPr>
                <w:rFonts w:ascii="Arial" w:cs="Arial" w:eastAsia="Arial" w:hAnsi="Arial"/>
                <w:sz w:val="18"/>
                <w:szCs w:val="18"/>
                <w:color w:val="auto"/>
              </w:rPr>
              <w:t>F-24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960" w:type="dxa"/>
            <w:vAlign w:val="bottom"/>
            <w:tcBorders>
              <w:bottom w:val="single" w:sz="8" w:color="010101"/>
            </w:tcBorders>
          </w:tcPr>
          <w:p>
            <w:pPr>
              <w:spacing w:after="0"/>
              <w:rPr>
                <w:sz w:val="11"/>
                <w:szCs w:val="11"/>
                <w:color w:val="auto"/>
              </w:rPr>
            </w:pPr>
          </w:p>
        </w:tc>
        <w:tc>
          <w:tcPr>
            <w:tcW w:w="76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accordance with FASB guidance, we test goodwill at least annually (as of June 30) and on an interim basis if a triggering event occurs, such as an adverse change in business climate, to determine whether an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2012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Facilities</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 Goodwill Related Activity: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Southern Pines Acquisition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Gardendale Gathering System Acquisition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0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Purchase price accounting adjustments and other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2012 Goodwill Related Activity: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USD Rail Terminal Acquisition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Other acquisitions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Purchase price accounting adjustments and other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 See Note 3 for additional discussion of our acquisitions.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PAA senior secured hedged inventory facility, bearing a weighted-average interest rate of 1.6% and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1.5% at December 31, 2012 and December 31, 2011,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r>
      <w:tr>
        <w:trPr>
          <w:trHeight w:val="202"/>
        </w:trPr>
        <w:tc>
          <w:tcPr>
            <w:tcW w:w="7900" w:type="dxa"/>
            <w:vAlign w:val="bottom"/>
          </w:tcPr>
          <w:p>
            <w:pPr>
              <w:ind w:left="180"/>
              <w:spacing w:after="0" w:line="201" w:lineRule="exact"/>
              <w:rPr>
                <w:sz w:val="20"/>
                <w:szCs w:val="20"/>
                <w:color w:val="auto"/>
              </w:rPr>
            </w:pPr>
            <w:r>
              <w:rPr>
                <w:rFonts w:ascii="Arial" w:cs="Arial" w:eastAsia="Arial" w:hAnsi="Arial"/>
                <w:sz w:val="18"/>
                <w:szCs w:val="18"/>
                <w:color w:val="auto"/>
                <w:w w:val="96"/>
              </w:rPr>
              <w:t>PAA senior unsecured revolving credit facility, bearing a weighted-average interest rate of 2.4% and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1.6% at December 31, 2012 and December 31, 2011, respectively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PNG senior unsecured revolving credit facility, bearing a weighted-average interest rate of 2.1% at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both December 31, 2012 and December 31, 2011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8"/>
                <w:szCs w:val="18"/>
                <w:color w:val="auto"/>
              </w:rPr>
              <w:t xml:space="preserve">5.63% senior notes due December 2013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4.25% senior notes due September 2012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7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short-term debt</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99770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5.63% senior notes due December 2013 </w:t>
            </w:r>
            <w:r>
              <w:rPr>
                <w:rFonts w:ascii="Arial" w:cs="Arial" w:eastAsia="Arial" w:hAnsi="Arial"/>
                <w:sz w:val="23"/>
                <w:szCs w:val="23"/>
                <w:color w:val="auto"/>
                <w:vertAlign w:val="superscript"/>
              </w:rPr>
              <w:t>(4)</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5.25% senior notes due June 2015</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3.95% senior notes due September 2015</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5.88% senior notes due August 2016</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6.50% senior notes due May 2018</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8.75% senior notes due May 2019</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 senior notes due February 2021</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3.65% senior notes due June 2022</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2.85% senior notes due January 2023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5.15% senior notes due June 2042</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Unamortized discounts</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7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Senior notes, net of unamortized discounts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900" w:type="dxa"/>
            <w:vAlign w:val="bottom"/>
          </w:tcPr>
          <w:p>
            <w:pPr>
              <w:spacing w:after="0" w:line="196" w:lineRule="exact"/>
              <w:rPr>
                <w:sz w:val="20"/>
                <w:szCs w:val="20"/>
                <w:color w:val="auto"/>
              </w:rPr>
            </w:pPr>
            <w:r>
              <w:rPr>
                <w:rFonts w:ascii="Arial" w:cs="Arial" w:eastAsia="Arial" w:hAnsi="Arial"/>
                <w:sz w:val="18"/>
                <w:szCs w:val="18"/>
                <w:color w:val="auto"/>
              </w:rPr>
              <w:t>Credit Facilities and Other:</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PNG senior unsecured revolving credit facility, bearing a weighted-average interest rate of 2.1% at</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both December 31, 2012 and December 31, 2011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r>
      <w:tr>
        <w:trPr>
          <w:trHeight w:val="202"/>
        </w:trPr>
        <w:tc>
          <w:tcPr>
            <w:tcW w:w="7900" w:type="dxa"/>
            <w:vAlign w:val="bottom"/>
          </w:tcPr>
          <w:p>
            <w:pPr>
              <w:ind w:left="180"/>
              <w:spacing w:after="0" w:line="201" w:lineRule="exact"/>
              <w:rPr>
                <w:sz w:val="20"/>
                <w:szCs w:val="20"/>
                <w:color w:val="auto"/>
              </w:rPr>
            </w:pPr>
            <w:r>
              <w:rPr>
                <w:rFonts w:ascii="Arial" w:cs="Arial" w:eastAsia="Arial" w:hAnsi="Arial"/>
                <w:sz w:val="18"/>
                <w:szCs w:val="18"/>
                <w:color w:val="auto"/>
                <w:w w:val="98"/>
              </w:rPr>
              <w:t>PNG GO Bond term loans, bearing a weighted-average interest rate of 1.5% at both December 31,</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2012 and December 31, 2011</w:t>
            </w:r>
          </w:p>
        </w:tc>
        <w:tc>
          <w:tcPr>
            <w:tcW w:w="5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debt</w:t>
            </w: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 (3) (6)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740" w:hanging="11"/>
        <w:spacing w:after="0" w:line="277" w:lineRule="auto"/>
        <w:rPr>
          <w:sz w:val="20"/>
          <w:szCs w:val="20"/>
          <w:color w:val="auto"/>
        </w:rPr>
      </w:pPr>
      <w:r>
        <w:rPr>
          <w:rFonts w:ascii="Arial" w:cs="Arial" w:eastAsia="Arial" w:hAnsi="Arial"/>
          <w:sz w:val="18"/>
          <w:szCs w:val="18"/>
          <w:color w:val="auto"/>
        </w:rPr>
        <w:t>During 2012 and 2011, we renewed, extended or refinanced our principal bank credit facilities, including PNG’s credit facility. See “Credit Facilities” below for further discussion.</w:t>
      </w:r>
    </w:p>
    <w:p>
      <w:pPr>
        <w:spacing w:after="0" w:line="170" w:lineRule="exact"/>
        <w:rPr>
          <w:sz w:val="20"/>
          <w:szCs w:val="20"/>
          <w:color w:val="auto"/>
        </w:rPr>
      </w:pPr>
    </w:p>
    <w:p>
      <w:pPr>
        <w:jc w:val="both"/>
        <w:ind w:left="20" w:hanging="11"/>
        <w:spacing w:after="0" w:line="264" w:lineRule="auto"/>
        <w:rPr>
          <w:sz w:val="20"/>
          <w:szCs w:val="20"/>
          <w:color w:val="auto"/>
        </w:rPr>
      </w:pPr>
      <w:r>
        <w:rPr>
          <w:rFonts w:ascii="Arial" w:cs="Arial" w:eastAsia="Arial" w:hAnsi="Arial"/>
          <w:sz w:val="18"/>
          <w:szCs w:val="18"/>
          <w:color w:val="auto"/>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spacing w:after="0" w:line="181" w:lineRule="exact"/>
        <w:rPr>
          <w:sz w:val="20"/>
          <w:szCs w:val="20"/>
          <w:color w:val="auto"/>
        </w:rPr>
      </w:pPr>
    </w:p>
    <w:p>
      <w:pPr>
        <w:ind w:left="20" w:right="240" w:hanging="11"/>
        <w:spacing w:after="0" w:line="342" w:lineRule="auto"/>
        <w:rPr>
          <w:sz w:val="20"/>
          <w:szCs w:val="20"/>
          <w:color w:val="auto"/>
        </w:rPr>
      </w:pPr>
      <w:r>
        <w:rPr>
          <w:rFonts w:ascii="Arial" w:cs="Arial" w:eastAsia="Arial" w:hAnsi="Arial"/>
          <w:sz w:val="16"/>
          <w:szCs w:val="16"/>
          <w:color w:val="auto"/>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spacing w:after="0" w:line="124"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60"/>
          </w:cols>
          <w:pgMar w:left="240" w:top="125" w:right="25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$250 million 5.63% senior notes will mature in December 2013 and are thus classified as short-term at December 31, 2012.</w:t>
      </w:r>
    </w:p>
    <w:p>
      <w:pPr>
        <w:spacing w:after="0" w:line="225" w:lineRule="exact"/>
        <w:rPr>
          <w:sz w:val="20"/>
          <w:szCs w:val="20"/>
          <w:color w:val="auto"/>
        </w:rPr>
      </w:pPr>
    </w:p>
    <w:p>
      <w:pPr>
        <w:ind w:left="20" w:right="20" w:hanging="11"/>
        <w:spacing w:after="0" w:line="259" w:lineRule="auto"/>
        <w:rPr>
          <w:sz w:val="20"/>
          <w:szCs w:val="20"/>
          <w:color w:val="auto"/>
        </w:rPr>
      </w:pPr>
      <w:r>
        <w:rPr>
          <w:rFonts w:ascii="Arial" w:cs="Arial" w:eastAsia="Arial" w:hAnsi="Arial"/>
          <w:sz w:val="18"/>
          <w:szCs w:val="18"/>
          <w:color w:val="auto"/>
        </w:rPr>
        <w:t>Our $500 million 4.25% senior notes matured in September 2012 and were repaid with proceeds from our credit facilities. The proceeds from the issuance of these senior notes were used to supplement capital available from our hedged inventory facility, to fund working capital needs associated with base levels of waterborne cargos and for seasonal NGL inventory requirements. After the maturity of these senior notes, we are now using our expanded credit facilities for such purposes.</w:t>
      </w:r>
    </w:p>
    <w:p>
      <w:pPr>
        <w:spacing w:after="0" w:line="187" w:lineRule="exact"/>
        <w:rPr>
          <w:sz w:val="20"/>
          <w:szCs w:val="20"/>
          <w:color w:val="auto"/>
        </w:rPr>
      </w:pPr>
    </w:p>
    <w:p>
      <w:pPr>
        <w:sectPr>
          <w:pgSz w:w="11900" w:h="16838" w:orient="portrait"/>
          <w:cols w:equalWidth="0" w:num="2">
            <w:col w:w="140" w:space="500"/>
            <w:col w:w="10760"/>
          </w:cols>
          <w:pgMar w:left="240" w:top="125" w:right="259" w:bottom="0" w:gutter="0" w:footer="0" w:header="0"/>
          <w:type w:val="continuous"/>
        </w:sectPr>
      </w:pPr>
    </w:p>
    <w:p>
      <w:pPr>
        <w:ind w:left="660" w:right="80" w:hanging="652"/>
        <w:spacing w:after="0" w:line="276" w:lineRule="auto"/>
        <w:tabs>
          <w:tab w:leader="none" w:pos="648"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Our fixed-rate senior notes (including current maturities) had a face value of approximately $6.3 billion and $4.8 billion as of December 31, 2012 and 2011, respectively. We estimated the aggregate fair value of these notes as of December 31, 2012 and 2011 to be approximately $7.3 billion and $5.4 billion, respectively. Our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agreements approximates fair value as interest rates reflect current market rates. The fair value estimates for both our senior notes and credit facilities are based upon observable market data and are classified within Level 2 of the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PAA senior secured hedged inventory facility</w:t>
      </w:r>
      <w:r>
        <w:rPr>
          <w:rFonts w:ascii="Arial" w:cs="Arial" w:eastAsia="Arial" w:hAnsi="Arial"/>
          <w:sz w:val="17"/>
          <w:szCs w:val="17"/>
          <w:color w:val="auto"/>
        </w:rPr>
        <w:t>. In June 2012, we amended our senior secured hedged inventory facility which,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 Proceeds from the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 Amounts outstanding under this facility were approximately $665 million and $75 million at December 31, 2012 and December 31, 2011, respectively.</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PNG senior unsecured credit agreement. </w:t>
      </w:r>
      <w:r>
        <w:rPr>
          <w:rFonts w:ascii="Arial" w:cs="Arial" w:eastAsia="Arial" w:hAnsi="Arial"/>
          <w:sz w:val="16"/>
          <w:szCs w:val="16"/>
          <w:color w:val="auto"/>
        </w:rPr>
        <w:t>In June 2012, PNG partially exercised the accordion feature of its original senior unsecured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maturity date of</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August 2016 and the GO Bond mandatory put date of its two $100 million GO Bond term loans, as defined in such amendment, in each case subject to lender approvals. PNG’s revolving credit facility includes the ability to issue letters of credit. Borrowings under the revolving credit facility accrue interest, at PNG’s</w:t>
      </w:r>
    </w:p>
    <w:p>
      <w:pPr>
        <w:sectPr>
          <w:pgSz w:w="11900" w:h="16838" w:orient="portrait"/>
          <w:cols w:equalWidth="0" w:num="1">
            <w:col w:w="11400"/>
          </w:cols>
          <w:pgMar w:left="240" w:top="125" w:right="259" w:bottom="0" w:gutter="0" w:footer="0" w:header="0"/>
          <w:type w:val="continuous"/>
        </w:sectPr>
      </w:pPr>
    </w:p>
    <w:bookmarkStart w:id="113" w:name="page114"/>
    <w:bookmarkEnd w:id="113"/>
    <w:p>
      <w:pPr>
        <w:ind w:right="180"/>
        <w:spacing w:after="0" w:line="259" w:lineRule="auto"/>
        <w:rPr>
          <w:sz w:val="20"/>
          <w:szCs w:val="20"/>
          <w:color w:val="auto"/>
        </w:rPr>
      </w:pPr>
      <w:r>
        <w:rPr>
          <w:rFonts w:ascii="Arial" w:cs="Arial" w:eastAsia="Arial" w:hAnsi="Arial"/>
          <w:sz w:val="18"/>
          <w:szCs w:val="18"/>
          <w:color w:val="auto"/>
        </w:rPr>
        <w:t>election, on either the Eurodollar Rate or the Base Rate, in each case plus an applicable margin. The GO Bond term loans accrue interest in accordance with the interest payable on the related GO Bonds purchased with respect thereto as provided in such GO Bonds and the GO Bonds Indenture pursuant to which such GO Bonds are issued and governed. Amounts outstanding under the credit agreement were approximately $382 million and $322 million at December 31, 2012 and December 31, 2011, respectively.</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PAA senior unsecured revolving credit facility</w:t>
      </w:r>
      <w:r>
        <w:rPr>
          <w:rFonts w:ascii="Arial" w:cs="Arial" w:eastAsia="Arial" w:hAnsi="Arial"/>
          <w:sz w:val="18"/>
          <w:szCs w:val="18"/>
          <w:color w:val="auto"/>
        </w:rPr>
        <w:t>. In August 2011, we entered into an unsecured revolving credit agreement with a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 Amounts outstanding under this facility were approximately $92 million and $32 million at December 31, 2012 and December 31, 2011, respectively.</w:t>
      </w:r>
    </w:p>
    <w:p>
      <w:pPr>
        <w:spacing w:after="0" w:line="18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i w:val="1"/>
          <w:iCs w:val="1"/>
          <w:color w:val="auto"/>
        </w:rPr>
        <w:t xml:space="preserve">Senior unsecured 364-day revolving credit agreement. </w:t>
      </w:r>
      <w:r>
        <w:rPr>
          <w:rFonts w:ascii="Arial" w:cs="Arial" w:eastAsia="Arial" w:hAnsi="Arial"/>
          <w:sz w:val="18"/>
          <w:szCs w:val="18"/>
          <w:color w:val="auto"/>
        </w:rPr>
        <w:t>In December 2011, we entered into a 364-day credit facility agreement with a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$1.2 billion. Pursuant to its terms, we had the option to activate the facility at any time over a six-month period. In March 2012, we elected to terminate this credit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In August 2011, as permitted under the indentures governing the senior notes, PAA released the guarantees of each subsidiary guarantor in conjunction with the refinancing of our credit facilities. As such, our senior notes are no longer guaranteed by any of our subsidiaries.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December 2012, we completed the sale and issuance of $400 million, 2.85% senior notes due January 31, 2023 and $350 million, 4.30% senior notes due January 31, 2043. The senior notes were sold at 99.752% and 99.925% of face value, respectively. Interest payments are due on January 31 and July 31 each year beginning on July 31, 2013. We used the net proceeds from these offerings to repay outstanding borrowings under our credit facilities and for general partnership purposes.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March 2012, we completed the sale and issuance of $750 million, 3.65% senior notes due June 1, 2022 and $500 million, 5.15% senior notes due June 1, 2042. The senior notes were sold at 99.823% and 99.755% of face value, respectively. Interest payments are due on June 1 and December 1 each year, which began on December 1, 2012. We used the net proceeds from these offerings to fund a portion of the consideration for the BP NGL Acquisition and for general partnership purposes.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January 2011, we completed the issuance of $600 million of 5.00% senior notes due February 1, 2021. The senior notes were sold at 99.521% of face value. Interest payments are due on February 1 and August 1 of each year, which began on August 1, 2011. We used the net proceeds from this offering to reduce outstanding borrowings under our credit facilities and for general partnership purposes.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July 2010, we completed the issuance of $400 million of 3.95% senior notes due September 15, 2015. The senior notes were sold at 99.889% of face value. Interest payments are due on March 15 and September 15 of each year, which began on September 15, 2010. We used the net proceeds from this offering to repay outstanding indebtedness under our credit facilities.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 and Redemptions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September 4, 2012, we repaid our $500 million, 4.25% senior notes. We utilized cash on hand and available capacity under our credit facilities to repay these notes.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7, 2011, our $200 million 7.75% senior notes due 2012 were redeemed in full. In conjunction with the early redemption, we recognized a loss of approximately $23 million, recorded to “Other income/(expense), net” in our Consolidated Statement of Operations. We utilized cash on hand and available capacity under our credit facilities to redeem these notes.</w:t>
      </w:r>
    </w:p>
    <w:p>
      <w:pPr>
        <w:spacing w:after="0" w:line="181"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On September 15, 2010, our $175 million, 6.25% senior notes due 2015 were redeemed in full. In conjunction with the early redemption, we recognized a loss of approximately $6 million. We utilized cash on hand and available capacity under our credit facilities to redeem these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weighted average life of our long-term debt outstanding at December 31, 2012 was approximately 12 years and the aggregate maturities for the next five years and thereafter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Calendar Year</w:t>
            </w:r>
          </w:p>
        </w:tc>
        <w:tc>
          <w:tcPr>
            <w:tcW w:w="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92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2013 </w:t>
            </w:r>
            <w:r>
              <w:rPr>
                <w:rFonts w:ascii="Arial" w:cs="Arial" w:eastAsia="Arial" w:hAnsi="Arial"/>
                <w:sz w:val="23"/>
                <w:szCs w:val="23"/>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210"/>
        </w:trPr>
        <w:tc>
          <w:tcPr>
            <w:tcW w:w="9560" w:type="dxa"/>
            <w:vAlign w:val="bottom"/>
            <w:tcBorders>
              <w:top w:val="single" w:sz="8" w:color="CCEEFF"/>
              <w:bottom w:val="single" w:sz="8" w:color="CCEEFF"/>
            </w:tcBorders>
            <w:gridSpan w:val="2"/>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14" w:name="page115"/>
    <w:bookmarkEnd w:id="114"/>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5540" w:right="1540" w:hanging="5532"/>
        <w:spacing w:after="0" w:line="461" w:lineRule="auto"/>
        <w:tabs>
          <w:tab w:leader="none" w:pos="640"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Our $250 million 5.63% senior notes will mature in December 2013 and thus are classified as short-term at December 31, 2012.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Excludes aggregate unamortized net discount of approximately $15 million and other long-term obligations of approximately $5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credit agreements and the indentures governing the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81" w:lineRule="exact"/>
        <w:rPr>
          <w:sz w:val="20"/>
          <w:szCs w:val="20"/>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PAA senior unsecured revolving credit facility and the PAA senior secured hedged inventory facility treat a change of control as an event of default and also require us to maintain a debt-to-EBITDA coverage ratio that will not be greater than 5.00 to 1.00 or 5.50 to 1.00 on all outstanding debt during an acquisition period (generally, the period consisting of three fiscal quarters following an acquisition greater than $150 million).</w:t>
      </w:r>
    </w:p>
    <w:p>
      <w:pPr>
        <w:spacing w:after="0" w:line="14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2012, we were in compliance with the covenants contained in our credit agreements and indentures.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PNG’s new credit agreement contains covenants and events of default provisions that are substantially consistent with those contained in PNG’s previous credit facility. This new agreement restricts, among other things, PNG’s ability to make distributions of available cash to unitholders if any default or event of default, as defined in the credit agreement, exists or would result therefrom. In addition, the credit agreement contains restrictive covenants, including those that restrict PNG’s ability to grant liens, incur additional indebtedness, engage in certain transactions with affiliates, engage in substantially unrelated businesses, sell substantially all of its assets or enter into a merger or consolidation, and enter into certain burdensome agreements. In addition, the credit agreement contains certain financial covenants which, among other things, require PNG to maintain a debt-to-EBITDA coverage ratio that will not be greater than 5.00 to 1.00 on outstanding debt (5.50 to 1.00 during an acquisition period) and also require that PNG maintain an EBITDA-to-interest coverage ratio that will not be less than 3.00 to 1.00, as such terms are defined in the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In connection with our crude oil supply and logistics activities, we provide certain suppliers with irrevocable standby letters of credit to secure our obligation for the purchase of crude oil. These letters of credit are issued under our PAA senior unsecured revolving credit facility, the PAA senior secured hedged inventory facility and PNG’s senior unsecured revolving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2012 and 2011, we had outstanding letters of credit of approximately $24 million and $33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Partners’ capital at December 31, 2012 consists of 335,283,874 common units outstanding, representing a 98% effective aggregate ownership interest in the Partnership and its subsidiaries after giving effect to the 2% general partner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w:t>
      </w:r>
    </w:p>
    <w:p>
      <w:pPr>
        <w:spacing w:after="0" w:line="18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i w:val="1"/>
          <w:iCs w:val="1"/>
          <w:color w:val="auto"/>
        </w:rPr>
        <w:t>General Partner Incentive Distributions</w:t>
      </w:r>
      <w:r>
        <w:rPr>
          <w:rFonts w:ascii="Arial" w:cs="Arial" w:eastAsia="Arial" w:hAnsi="Arial"/>
          <w:sz w:val="16"/>
          <w:szCs w:val="16"/>
          <w:color w:val="auto"/>
        </w:rPr>
        <w:t>. Our general partner is entitled to receive incentive distributions if the amount we distribute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quarter exceeds levels specified in our partnership agreement. As a result of the two-for-one unit split that was effected on October 1, 2012, the</w:t>
      </w:r>
    </w:p>
    <w:p>
      <w:pPr>
        <w:sectPr>
          <w:pgSz w:w="11900" w:h="16989" w:orient="portrait"/>
          <w:cols w:equalWidth="0" w:num="1">
            <w:col w:w="11400"/>
          </w:cols>
          <w:pgMar w:left="240" w:top="571" w:right="259" w:bottom="0" w:gutter="0" w:footer="0" w:header="0"/>
        </w:sectPr>
      </w:pPr>
    </w:p>
    <w:bookmarkStart w:id="115" w:name="page116"/>
    <w:bookmarkEnd w:id="115"/>
    <w:p>
      <w:pPr>
        <w:spacing w:after="0" w:line="10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partnership agreement was amended to adjust the quarterly incentive distribution provisions. Under the provisions of the amended partnership agreement, the general partner is entitled, without duplication, to 15% of amounts we distribute in excess of $0.2250 per unit, referred to as our MQD, 25% of the amounts we distribute in excess of $0.2475 per unit and 50% of amounts we distribute in excess of $0.3375 per unit (referred to as “incentive distributions”).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 unit cash distributions on our outstanding units and the portion of the distributions representing an excess over the MQD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040"/>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77"/>
              <w:spacing w:after="0" w:line="119" w:lineRule="exact"/>
              <w:rPr>
                <w:sz w:val="20"/>
                <w:szCs w:val="20"/>
                <w:color w:val="auto"/>
              </w:rPr>
            </w:pPr>
            <w:r>
              <w:rPr>
                <w:rFonts w:ascii="Arial" w:cs="Arial" w:eastAsia="Arial" w:hAnsi="Arial"/>
                <w:sz w:val="13"/>
                <w:szCs w:val="13"/>
                <w:b w:val="1"/>
                <w:bCs w:val="1"/>
                <w:color w:val="auto"/>
              </w:rPr>
              <w:t>Excess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(1)</w:t>
            </w:r>
          </w:p>
        </w:tc>
        <w:tc>
          <w:tcPr>
            <w:tcW w:w="180" w:type="dxa"/>
            <w:vAlign w:val="bottom"/>
          </w:tcPr>
          <w:p>
            <w:pPr>
              <w:spacing w:after="0"/>
              <w:rPr>
                <w:sz w:val="10"/>
                <w:szCs w:val="10"/>
                <w:color w:val="auto"/>
              </w:rPr>
            </w:pPr>
          </w:p>
        </w:tc>
        <w:tc>
          <w:tcPr>
            <w:tcW w:w="960" w:type="dxa"/>
            <w:vAlign w:val="bottom"/>
          </w:tcPr>
          <w:p>
            <w:pPr>
              <w:jc w:val="right"/>
              <w:ind w:right="277"/>
              <w:spacing w:after="0" w:line="119" w:lineRule="exact"/>
              <w:rPr>
                <w:sz w:val="20"/>
                <w:szCs w:val="20"/>
                <w:color w:val="auto"/>
              </w:rPr>
            </w:pPr>
            <w:r>
              <w:rPr>
                <w:rFonts w:ascii="Arial" w:cs="Arial" w:eastAsia="Arial" w:hAnsi="Arial"/>
                <w:sz w:val="13"/>
                <w:szCs w:val="13"/>
                <w:b w:val="1"/>
                <w:bCs w:val="1"/>
                <w:color w:val="auto"/>
              </w:rPr>
              <w:t>Excess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Excess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over MQD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over MQD</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over MQD</w:t>
            </w:r>
          </w:p>
        </w:tc>
        <w:tc>
          <w:tcPr>
            <w:tcW w:w="0" w:type="dxa"/>
            <w:vAlign w:val="bottom"/>
          </w:tcPr>
          <w:p>
            <w:pPr>
              <w:spacing w:after="0"/>
              <w:rPr>
                <w:sz w:val="1"/>
                <w:szCs w:val="1"/>
                <w:color w:val="auto"/>
              </w:rPr>
            </w:pPr>
          </w:p>
        </w:tc>
      </w:tr>
      <w:tr>
        <w:trPr>
          <w:trHeight w:val="210"/>
        </w:trPr>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0.4788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0.4638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0.2975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0.4850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0.4675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0.2425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0.4713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0.2463</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0.5425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0.3175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0.4975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0.2725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0.4750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color w:val="auto"/>
        </w:rPr>
        <w:t>Distributions represent those declared and paid in the applicable period.</w:t>
      </w:r>
    </w:p>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order to enhance our distribution coverage ratio and liquidity in connection with a significant acquisition, our general partner has, from time to time, agreed to reduce the amounts due to it as incentive distributions. Upon closing of the Pacific acquisition in November 2006, the Rainbow acquisition in May 2008 and the PNGS Acquisition in September 2009, our general partner agreed to reduce the amounts due to it as incentive distributions by a total of $83 million as displayed on an annual basis in the following table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Acquisition</w:t>
            </w: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Pacific</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Rainbow</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PNGS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connection with the BP NGL Acquisition, our general partner agreed to reduce the amount of its incentive distributions by $3.75 million per quarter through February 2014 and $2.5 million per quarter thereafter. Through December 31, 2012 our general partner’s incentive distributions had been reduced by $11.25 million related to this acquisition. See Note 3 for further discussion of the BP NGL Acquisition.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cash distributions made were as follows (in millions, except per unit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4"/>
                <w:szCs w:val="14"/>
                <w:b w:val="1"/>
                <w:bCs w:val="1"/>
                <w:color w:val="auto"/>
              </w:rPr>
              <w:t>Distributions Paid</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86"/>
              <w:spacing w:after="0" w:line="142" w:lineRule="exact"/>
              <w:rPr>
                <w:sz w:val="20"/>
                <w:szCs w:val="20"/>
                <w:color w:val="auto"/>
              </w:rPr>
            </w:pPr>
            <w:r>
              <w:rPr>
                <w:rFonts w:ascii="Arial" w:cs="Arial" w:eastAsia="Arial" w:hAnsi="Arial"/>
                <w:sz w:val="14"/>
                <w:szCs w:val="14"/>
                <w:b w:val="1"/>
                <w:bCs w:val="1"/>
                <w:color w:val="auto"/>
              </w:rPr>
              <w:t>General Partner</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3840" w:type="dxa"/>
            <w:vAlign w:val="bottom"/>
          </w:tcPr>
          <w:p>
            <w:pPr>
              <w:spacing w:after="0" w:line="142"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Incentive</w:t>
            </w:r>
          </w:p>
        </w:tc>
        <w:tc>
          <w:tcPr>
            <w:tcW w:w="80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 xml:space="preserve">partner unit </w:t>
            </w:r>
            <w:r>
              <w:rPr>
                <w:rFonts w:ascii="Arial" w:cs="Arial" w:eastAsia="Arial" w:hAnsi="Arial"/>
                <w:sz w:val="8"/>
                <w:szCs w:val="8"/>
                <w:b w:val="1"/>
                <w:bCs w:val="1"/>
                <w:color w:val="auto"/>
                <w:w w:val="96"/>
              </w:rPr>
              <w:t>(1)</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684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969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2011</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575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791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512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Distributions per limited partner unit are presented as adjusted for the two-for-one unit split effected on October 1, 2012.</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January 7, 2013, we declared a cash distribution of $0.5625 per unit on our outstanding common units. The distribution was paid on February 14, 2013 to unitholders of record on February 1, 2013, for the period October 1, 2012 through December 31, 2012. The total distribution paid was approximately $274 million, with approximately $189 million paid to our common unitholders and $4 million and $81 million paid to our general partner for its general partner and incentive distribution interests,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2012, noncontrolling interests in our subsidiaries consisted of the following: (i) an approximate 36% interest in PNG and (ii) a 25% interest in SLC Pipeline.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PNG Initial Public Offering</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$268 million and were used to repay amounts outstanding under our credit facilities and for general partnership purposes. The common units offered represented approximately 23% of the outstanding equity of PNG.</w:t>
      </w:r>
    </w:p>
    <w:p>
      <w:pPr>
        <w:spacing w:after="0" w:line="15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Prior to the PNG IPO, we owned 100% of PNGS’ natural gas storage business, the predecessor of PNG, and related operating entities. Immediately prior to the closing of the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PNG IPO, we recorded noncontrolling interest of $167 million associated with the book value of PNG sold to the public. We also recorded an increase to our partners’ capital of approximately $101 million associated with the net increase from our share of the proceeds received in the offering partially offset by the dilution of our interest in PNG resulting from the IPO.</w:t>
      </w:r>
    </w:p>
    <w:p>
      <w:pPr>
        <w:spacing w:after="0" w:line="16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 xml:space="preserve">Series A and Series B Subordinated Units. </w:t>
      </w:r>
      <w:r>
        <w:rPr>
          <w:rFonts w:ascii="Arial" w:cs="Arial" w:eastAsia="Arial" w:hAnsi="Arial"/>
          <w:sz w:val="16"/>
          <w:szCs w:val="16"/>
          <w:color w:val="auto"/>
        </w:rPr>
        <w:t>The Series A subordinated units are not entitled to receive any distributions until the common units have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the MQD ($1.35 on an annualized basis) plus any arrearages in the payment of the MQD from prior quarters. The Series A subordinated units will convert to common units once certain earnings and distribution targets are met for three consecutive, non-overlapping four-quarter periods. The Series B subordinated units are not entitled to participate in quarterly distributions. Instead, the Series B subordinated units convert to Series A subordinated units in</w:t>
      </w:r>
    </w:p>
    <w:p>
      <w:pPr>
        <w:sectPr>
          <w:pgSz w:w="11900" w:h="16945" w:orient="portrait"/>
          <w:cols w:equalWidth="0" w:num="1">
            <w:col w:w="11420"/>
          </w:cols>
          <w:pgMar w:left="240" w:top="125" w:right="239" w:bottom="0" w:gutter="0" w:footer="0" w:header="0"/>
        </w:sectPr>
      </w:pPr>
    </w:p>
    <w:bookmarkStart w:id="116" w:name="page117"/>
    <w:bookmarkEnd w:id="116"/>
    <w:p>
      <w:pPr>
        <w:ind w:right="20"/>
        <w:spacing w:after="0" w:line="291" w:lineRule="auto"/>
        <w:rPr>
          <w:sz w:val="20"/>
          <w:szCs w:val="20"/>
          <w:color w:val="auto"/>
        </w:rPr>
      </w:pPr>
      <w:r>
        <w:rPr>
          <w:rFonts w:ascii="Arial" w:cs="Arial" w:eastAsia="Arial" w:hAnsi="Arial"/>
          <w:sz w:val="16"/>
          <w:szCs w:val="16"/>
          <w:color w:val="auto"/>
        </w:rPr>
        <w:t>distinct tranches upon the achievement of defined benchmarks tied to the amount of capacity in service at Pine Prairie and increases in PNG’s quarterly distributions. The Series B subordinated units will convert into Series A subordinated units on a one-for-one basis for each tranche when the respective benchmarks are reached for (i) the aggregate amount of working gas storage capacity at Pine Prairie that has been placed into service, (ii) the distributable cash flow generated by PNG for two consecutive quarters sufficient to pay a quarterly distribution of at least the annualized distribution benchmark on the weighted average number of outstanding common units and Series A subordinated units and all of such Series B subordinated units and (iii) the quarterly distribution of available cash of at least the annualized distribution benchmark for two consecutive quarters on all outstanding common units and Series A subordinated units and the corresponding distributions on PNG’s general partner’s 2% interest and the related distributions on the incentive distribution rights.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Modifications of Holdings in and Conversion of PNG Subordinated Units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August 16, 2010, the Amended and Restated Agreement of Limited Partnership of PNG was amended and restated (the “Second Amended and Restated Agreement”) to reduce the number of Series A subordinated units by 2.0 million and increase the number of Series B subordinated units by an equivalent amount. The Second Amended and Restated Agreement also increased the number of potential conversion tranches on Series B subordinated units from three to five. In addition, the terms of the Series B subordinated units were modified to extend the conversion period by raising the operating and financial performance benchmarks of approximately one-third of the Series B subordinated units outstanding prior to this modification. This amendment was intended to increase the distribution coverage and organic growth profile of PNG’s common and Series A subordinated units and improve PNG’s posture with respect to potential acquisitions. We accounted for this transaction as an exchange between entities under common control and accordingly, we reclassified the book value of the 2.0 million Series A subordinated units at the time of the modification to Series B subordinated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changes made to our holdings in the limited partner units of PNG as a result of the August 2010 modification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Prior to</w:t>
            </w: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Modification</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Modification</w:t>
            </w:r>
          </w:p>
        </w:tc>
        <w:tc>
          <w:tcPr>
            <w:tcW w:w="1640" w:type="dxa"/>
            <w:vAlign w:val="bottom"/>
            <w:gridSpan w:val="2"/>
            <w:vMerge w:val="continue"/>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PNG Units Owned by PAA:</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Common Units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Subordinated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360"/>
              <w:spacing w:after="0"/>
              <w:rPr>
                <w:sz w:val="20"/>
                <w:szCs w:val="20"/>
                <w:color w:val="auto"/>
              </w:rPr>
            </w:pPr>
            <w:r>
              <w:rPr>
                <w:rFonts w:ascii="Arial" w:cs="Arial" w:eastAsia="Arial" w:hAnsi="Arial"/>
                <w:sz w:val="18"/>
                <w:szCs w:val="18"/>
                <w:color w:val="auto"/>
              </w:rPr>
              <w:t>Common &amp; Series A Subordinated Unit Subtotal</w:t>
            </w:r>
          </w:p>
        </w:tc>
        <w:tc>
          <w:tcPr>
            <w:tcW w:w="13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vMerge w:val="continue"/>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 Subordinated Units (Performance Thresholds):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Tranche 1 ($1.44 / 29.6 Bcf)</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Tranche 2 ($1.53 / 35.6 Bcf)</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Tranche 3 ($1.63 / 41.6 Bcf)</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Tranche 4 ($1.71 / 48.0 Bcf)</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Tranche 5 ($1.80 / 48.0 Bcf)</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Series B Subordinated Unit Subtotal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720"/>
              <w:spacing w:after="0" w:line="210" w:lineRule="exact"/>
              <w:rPr>
                <w:sz w:val="20"/>
                <w:szCs w:val="20"/>
                <w:color w:val="auto"/>
              </w:rPr>
            </w:pPr>
            <w:r>
              <w:rPr>
                <w:rFonts w:ascii="Arial" w:cs="Arial" w:eastAsia="Arial" w:hAnsi="Arial"/>
                <w:sz w:val="18"/>
                <w:szCs w:val="18"/>
                <w:color w:val="auto"/>
              </w:rPr>
              <w:t xml:space="preserve">Total PNG Units Owned by PAA </w:t>
            </w:r>
            <w:r>
              <w:rPr>
                <w:rFonts w:ascii="Arial" w:cs="Arial" w:eastAsia="Arial" w:hAnsi="Arial"/>
                <w:sz w:val="23"/>
                <w:szCs w:val="23"/>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See “PNG Transaction Grants” in Note 15.</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2012, PNG modified the terms of the first three tranches of the PNG Series B subordinated units held by PAA. The modification increases the quarterly distribution benchmark for Tranche 1, 2 and 3 from annualized levels of $1.44 per unit, $1.53 per unit and $1.63 per unit, respectively, to an annualized level of $1.71 per unit. The following table presents the operational and financial benchmarks, as modified, for conversion of the Series B subordinated units into Series A subordinated units for each tranche (units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Series B Subordinated Units to Convert</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Working Gas Storage</w:t>
            </w:r>
          </w:p>
        </w:tc>
        <w:tc>
          <w:tcPr>
            <w:tcW w:w="240" w:type="dxa"/>
            <w:vAlign w:val="bottom"/>
          </w:tcPr>
          <w:p>
            <w:pPr>
              <w:spacing w:after="0"/>
              <w:rPr>
                <w:sz w:val="14"/>
                <w:szCs w:val="14"/>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Annualized</w:t>
            </w:r>
          </w:p>
        </w:tc>
      </w:tr>
      <w:tr>
        <w:trPr>
          <w:trHeight w:val="171"/>
        </w:trPr>
        <w:tc>
          <w:tcPr>
            <w:tcW w:w="2840" w:type="dxa"/>
            <w:vAlign w:val="bottom"/>
          </w:tcPr>
          <w:p>
            <w:pPr>
              <w:spacing w:after="0"/>
              <w:rPr>
                <w:sz w:val="14"/>
                <w:szCs w:val="14"/>
                <w:color w:val="auto"/>
              </w:rPr>
            </w:pPr>
          </w:p>
        </w:tc>
        <w:tc>
          <w:tcPr>
            <w:tcW w:w="3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into Series A Subordinated Units</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Capacity (Bcf)</w:t>
            </w:r>
          </w:p>
        </w:tc>
        <w:tc>
          <w:tcPr>
            <w:tcW w:w="2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Distribution Level</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29.6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Tranche 2</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35.6</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Tranche 4</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48.0</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bl>
    <w:p>
      <w:pPr>
        <w:spacing w:after="0" w:line="20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PNG’s general partner will determine whether the in-service operational tests set forth above have been satisfied. To the extent that the operational tests described above are satisfied prior to or during the two-quarter period applicable to the financial tests described above, the holder of the Series B subordinated units subject to conversion will be entitled to receive the quarterly distribution payable with respect to the second quarter of such two-quarter period. In all other circumstances, 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Series B subordinated units that remain outstanding as of December 31, 2018 will automatically be cancelled.</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Following conversion of any Series B subordinated units into Series A subordinated units, such converted Series B subordinated units will further convert into common units (together with any other outstanding Series A subordinated units) to the extent that the tests for conversion of the Series A subordinated units are satisfied. In determining whether such conversion tests have been satisfied, the Series B subordinated units that have converted into Series A subordinated units will be treated as Series A subordinated units from and after the date of their conversion into Series A subordinated units.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at the time the above operational and financial tests are satisfied, the subordination period has already ended and all outstanding Series A subordinated units have converted into common units, the Series B subordinated units will instead convert directly into common units on a one-for-one basis and participate in the quarterly distribution payable to common units.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Common Unit Issuance</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During February 2011, in connection with the Southern Pines Acquisition, PNG completed a private placement of approximately 17.4 million PNG common units to third-party purchasers for net proceeds of approximately $370 million. In addition, we purchased approximately 10.2 million PNG common units for approximately $230 million, including our proportionate general partner contribution of $12 million (collectively, “the PNG offering”). Also, during both May 2011 and May 2012, a portion of the PNG Transaction Grants vested and was settled with 58,672 PNG units, which were owned by us. See Note 15 for further detail. As a result of these transactions, our aggregate ownership interest in PNG decreased from approximately 77% to approximately 64%. The following table sets forth our ownership changes in the limited partner units of PNG from December 31, 2010 to December 31, 2012 (units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May 2011 and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February 2011</w:t>
            </w: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2012</w:t>
            </w:r>
          </w:p>
        </w:tc>
        <w:tc>
          <w:tcPr>
            <w:tcW w:w="14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PNG Issuance</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Grants</w:t>
            </w: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PNG Units Owned by PAA:</w:t>
            </w: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Common Units</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18.1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Subordinated Units</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11.9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Series B Subordinated Units</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13.5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PNG Units Owned by PAA</w:t>
            </w:r>
          </w:p>
        </w:tc>
        <w:tc>
          <w:tcPr>
            <w:tcW w:w="13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43.5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our limited partner interest, we also own the general partner’s 2% interest and the incentive distribution rights in PNG.</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conjunction with the PNG offering, we recorded an increase in noncontrolling interest of $306 million and an increase to our partners’ capital of approximately $64 million. The increases result from the portion of the proceeds attributable to the respective ownership interests in PNG, adjusted for the impact of the dilution of our ownership interest resulting from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changes in the noncontrolling interests in partners’ capital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Sale of noncontrolling interests in a subsidiary</w:t>
            </w:r>
          </w:p>
        </w:tc>
        <w:tc>
          <w:tcPr>
            <w:tcW w:w="9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9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9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Reclassification adjustments</w:t>
            </w:r>
          </w:p>
        </w:tc>
        <w:tc>
          <w:tcPr>
            <w:tcW w:w="9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gain/(loss) on cash flow hedges</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the impact upon net income attributable to Plains giving effect to the changes in our ownership interest in PNG, which is recognized in partners’ capital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Transfers to the noncontrolling interests: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capital from sale of PNG units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Change from net income attributable to Plains and net transfers to the</w:t>
            </w: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80" w:type="dxa"/>
            <w:vAlign w:val="bottom"/>
            <w:vMerge w:val="continue"/>
          </w:tcPr>
          <w:p>
            <w:pPr>
              <w:spacing w:after="0"/>
              <w:rPr>
                <w:sz w:val="15"/>
                <w:szCs w:val="15"/>
                <w:color w:val="auto"/>
              </w:rPr>
            </w:pPr>
          </w:p>
        </w:tc>
        <w:tc>
          <w:tcPr>
            <w:tcW w:w="980" w:type="dxa"/>
            <w:vAlign w:val="bottom"/>
            <w:vMerge w:val="restart"/>
          </w:tcPr>
          <w:p>
            <w:pPr>
              <w:spacing w:after="0"/>
              <w:rPr>
                <w:sz w:val="15"/>
                <w:szCs w:val="15"/>
                <w:color w:val="auto"/>
              </w:rPr>
            </w:pPr>
          </w:p>
        </w:tc>
        <w:tc>
          <w:tcPr>
            <w:tcW w:w="900" w:type="dxa"/>
            <w:vAlign w:val="bottom"/>
            <w:vMerge w:val="restart"/>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80" w:type="dxa"/>
            <w:vAlign w:val="bottom"/>
            <w:vMerge w:val="restart"/>
          </w:tcPr>
          <w:p>
            <w:pPr>
              <w:spacing w:after="0"/>
              <w:rPr>
                <w:sz w:val="15"/>
                <w:szCs w:val="15"/>
                <w:color w:val="auto"/>
              </w:rPr>
            </w:pPr>
          </w:p>
        </w:tc>
        <w:tc>
          <w:tcPr>
            <w:tcW w:w="52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1,030</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9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880" w:type="dxa"/>
            <w:vAlign w:val="bottom"/>
            <w:gridSpan w:val="2"/>
          </w:tcPr>
          <w:p>
            <w:pPr>
              <w:jc w:val="right"/>
              <w:ind w:right="1196"/>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Vesting</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connection with the settlement of vested LTIP awards, we issued approximately 1.0 million common units, as adjusted for the two-for-one unit split, during 2012, which resulted in an increase to partners’ capital of approximately $34 million, including the general partner’s contribution.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Continuous Offering Programs</w:t>
      </w:r>
      <w:r>
        <w:rPr>
          <w:rFonts w:ascii="Arial" w:cs="Arial" w:eastAsia="Arial" w:hAnsi="Arial"/>
          <w:sz w:val="16"/>
          <w:szCs w:val="16"/>
          <w:color w:val="auto"/>
        </w:rPr>
        <w:t>. On May 9, 2012, we entered into an equity distribution agreement with respect to the offer and sale,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agent, of common units representing limited partner interests having an aggregate offering price of up to $300 million. The final sales under this equity distribution agreement occurred during September 2012. Under this agreement, we sold an aggregate of approximately 7.2 million common units, as adjusted for the two-for-one unit split, generating proceeds of approximately $302 million, including our general partner’s proportionate capital contribution, net of approximately $4 million of commissions to our sales agent. The net proceeds from sales were used for general partnership purposes.</w:t>
      </w:r>
    </w:p>
    <w:p>
      <w:pPr>
        <w:spacing w:after="0" w:line="15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September 13, 2012, we entered into an additional equity distribution agreement with several financial institutions pursuant to which we may offer and sell, through our sales agents, common units representing limited partner interests having an aggregate offering price of up to $500 million. Sales of</w:t>
      </w:r>
    </w:p>
    <w:p>
      <w:pPr>
        <w:sectPr>
          <w:pgSz w:w="11900" w:h="16838" w:orient="portrait"/>
          <w:cols w:equalWidth="0" w:num="1">
            <w:col w:w="11460"/>
          </w:cols>
          <w:pgMar w:left="240" w:top="368" w:right="199" w:bottom="0" w:gutter="0" w:footer="0" w:header="0"/>
        </w:sectPr>
      </w:pPr>
    </w:p>
    <w:bookmarkStart w:id="118" w:name="page119"/>
    <w:bookmarkEnd w:id="118"/>
    <w:p>
      <w:pPr>
        <w:spacing w:after="0" w:line="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such common units will be made by means of ordinary brokers’ transactions on the NYSE at market prices, in block transactions or as otherwise agreed upon by our sales agent and us. Under the terms of the agreement, we have the option to sell common units to any of our sales agents as principal for its own account at a price to be agreed upon at the time of the sale. For any such sales, we will enter into a separate terms agreement with the sales agent.</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Through December 31, 2012, we sold an aggregate of approximately 4.8 million common units, as adjusted for the two-for-one unit split, under this agreement, generating proceeds of approximately $222 million, including our general partner’s proportionate capital contribution, net of approximately $2 million of commissions to our sales agents. The net proceeds from sales were used for general partnership purposes.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Other Equity Offerings</w:t>
      </w:r>
      <w:r>
        <w:rPr>
          <w:rFonts w:ascii="Arial" w:cs="Arial" w:eastAsia="Arial" w:hAnsi="Arial"/>
          <w:sz w:val="18"/>
          <w:szCs w:val="18"/>
          <w:color w:val="auto"/>
        </w:rPr>
        <w:t>. During the three years ended December 31, 2012, we completed the following offerings of our common units, not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Continuous Offering Programs, as shown in the table below (in millions, except unit and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Proceeds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Units Issued </w:t>
            </w:r>
            <w:r>
              <w:rPr>
                <w:rFonts w:ascii="Arial" w:cs="Arial" w:eastAsia="Arial" w:hAnsi="Arial"/>
                <w:sz w:val="8"/>
                <w:szCs w:val="8"/>
                <w:b w:val="1"/>
                <w:bCs w:val="1"/>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Partner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Unit Price </w:t>
            </w:r>
            <w:r>
              <w:rPr>
                <w:rFonts w:ascii="Arial" w:cs="Arial" w:eastAsia="Arial" w:hAnsi="Arial"/>
                <w:sz w:val="8"/>
                <w:szCs w:val="8"/>
                <w:b w:val="1"/>
                <w:bCs w:val="1"/>
                <w:color w:val="auto"/>
                <w:w w:val="96"/>
              </w:rPr>
              <w:t>(2)</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from Sale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Contribution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March 2012 </w:t>
            </w:r>
            <w:r>
              <w:rPr>
                <w:rFonts w:ascii="Arial" w:cs="Arial" w:eastAsia="Arial" w:hAnsi="Arial"/>
                <w:sz w:val="23"/>
                <w:szCs w:val="23"/>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2012 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November 2011 </w:t>
            </w:r>
            <w:r>
              <w:rPr>
                <w:rFonts w:ascii="Arial" w:cs="Arial" w:eastAsia="Arial" w:hAnsi="Arial"/>
                <w:sz w:val="23"/>
                <w:szCs w:val="23"/>
                <w:color w:val="auto"/>
                <w:vertAlign w:val="superscript"/>
              </w:rPr>
              <w:t>(1)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32.515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March 2011 </w:t>
            </w:r>
            <w:r>
              <w:rPr>
                <w:rFonts w:ascii="Arial" w:cs="Arial" w:eastAsia="Arial" w:hAnsi="Arial"/>
                <w:sz w:val="23"/>
                <w:szCs w:val="23"/>
                <w:color w:val="auto"/>
                <w:vertAlign w:val="superscript"/>
              </w:rPr>
              <w:t>(1)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2011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27,870,000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November 2010 </w:t>
            </w:r>
            <w:r>
              <w:rPr>
                <w:rFonts w:ascii="Arial" w:cs="Arial" w:eastAsia="Arial" w:hAnsi="Arial"/>
                <w:sz w:val="23"/>
                <w:szCs w:val="23"/>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9,560,000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2010 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64" w:lineRule="auto"/>
        <w:rPr>
          <w:sz w:val="20"/>
          <w:szCs w:val="20"/>
          <w:color w:val="auto"/>
        </w:rPr>
      </w:pPr>
      <w:r>
        <w:rPr>
          <w:rFonts w:ascii="Arial" w:cs="Arial" w:eastAsia="Arial" w:hAnsi="Arial"/>
          <w:sz w:val="18"/>
          <w:szCs w:val="18"/>
          <w:color w:val="auto"/>
        </w:rPr>
        <w:t>These offerings of common units were underwritten transactions that required us to pay a gross spread. The net proceeds from these offerings were used to reduce outstanding borrowings under our credit facilities and for general partnership purposes. The net proceeds from the March 2012 offering were also used to fund a portion of the BP NGL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Units issued and gross unit price are presented as adjusted for the two-for-one unit split effected on October 1, 2012.</w:t>
      </w:r>
    </w:p>
    <w:p>
      <w:pPr>
        <w:spacing w:after="0" w:line="200" w:lineRule="exact"/>
        <w:rPr>
          <w:sz w:val="20"/>
          <w:szCs w:val="20"/>
          <w:color w:val="auto"/>
        </w:rPr>
      </w:pPr>
    </w:p>
    <w:p>
      <w:pPr>
        <w:sectPr>
          <w:pgSz w:w="11900" w:h="16848" w:orient="portrait"/>
          <w:cols w:equalWidth="0" w:num="2">
            <w:col w:w="140" w:space="500"/>
            <w:col w:w="10780"/>
          </w:cols>
          <w:pgMar w:left="240" w:top="125"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 of Plains AAP, L.P.</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August 2007, the owners of Plains AAP, L.P. authorized the board of directors of Plains All American GP LLC to issue Class B units of Plains AAP, L.P. (“AAP LP Class B Units”). At December 31, 2012, approximately 182,125 AAP LP Class B Units were outstanding, of which 130,250 had been earned. A total of 17,875 AAP LP Class B Units are reserved for future issuances. See Note 15 for further discussion of the AAP LP Class B Units.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2012, net derivative positions related to these activities included:</w:t>
      </w:r>
    </w:p>
    <w:p>
      <w:pPr>
        <w:spacing w:after="0" w:line="147" w:lineRule="exact"/>
        <w:rPr>
          <w:sz w:val="20"/>
          <w:szCs w:val="20"/>
          <w:color w:val="auto"/>
        </w:rPr>
      </w:pPr>
    </w:p>
    <w:p>
      <w:pPr>
        <w:ind w:left="1460" w:right="60" w:hanging="318"/>
        <w:spacing w:after="0" w:line="277" w:lineRule="auto"/>
        <w:tabs>
          <w:tab w:leader="none" w:pos="1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approximate 160,600 barrels per day net long position (total of 5.0 million barrels) associated with our crude oil purchases, which was unwound ratably during January 2013 to match monthly average pricing.</w:t>
      </w:r>
    </w:p>
    <w:p>
      <w:pPr>
        <w:spacing w:after="0" w:line="170" w:lineRule="exact"/>
        <w:rPr>
          <w:rFonts w:ascii="Arial" w:cs="Arial" w:eastAsia="Arial" w:hAnsi="Arial"/>
          <w:sz w:val="18"/>
          <w:szCs w:val="18"/>
          <w:color w:val="auto"/>
        </w:rPr>
      </w:pPr>
    </w:p>
    <w:p>
      <w:pPr>
        <w:ind w:left="1460" w:right="100" w:hanging="318"/>
        <w:spacing w:after="0" w:line="286" w:lineRule="auto"/>
        <w:tabs>
          <w:tab w:leader="none" w:pos="142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net short spread position averaging approximately 15,700 barrels per day (total of 7.6 million barrels), which hedges a portion of our anticipated crude oil lease gathering purchases through April 2014. These derivatives are time spreads consisting of offsetting purchases and sales between two different months. Our use of these derivatives does not expose us to outright price risk.</w:t>
      </w:r>
    </w:p>
    <w:p>
      <w:pPr>
        <w:spacing w:after="0" w:line="165" w:lineRule="exact"/>
        <w:rPr>
          <w:rFonts w:ascii="Arial" w:cs="Arial" w:eastAsia="Arial" w:hAnsi="Arial"/>
          <w:sz w:val="17"/>
          <w:szCs w:val="17"/>
          <w:color w:val="auto"/>
        </w:rPr>
      </w:pPr>
    </w:p>
    <w:p>
      <w:pPr>
        <w:ind w:left="1440" w:hanging="298"/>
        <w:spacing w:after="0"/>
        <w:tabs>
          <w:tab w:leader="none" w:pos="1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Approximately 11,700 barrels per day on average (total of 4.2 million barrels) of WTS/WTI crude oil basis swaps through</w:t>
      </w:r>
    </w:p>
    <w:p>
      <w:pPr>
        <w:spacing w:after="0" w:line="23" w:lineRule="exact"/>
        <w:rPr>
          <w:sz w:val="20"/>
          <w:szCs w:val="20"/>
          <w:color w:val="auto"/>
        </w:rPr>
      </w:pPr>
    </w:p>
    <w:p>
      <w:pPr>
        <w:ind w:left="1460" w:right="180"/>
        <w:spacing w:after="0" w:line="261" w:lineRule="auto"/>
        <w:rPr>
          <w:sz w:val="20"/>
          <w:szCs w:val="20"/>
          <w:color w:val="auto"/>
        </w:rPr>
      </w:pPr>
      <w:r>
        <w:rPr>
          <w:rFonts w:ascii="Arial" w:cs="Arial" w:eastAsia="Arial" w:hAnsi="Arial"/>
          <w:sz w:val="18"/>
          <w:szCs w:val="18"/>
          <w:color w:val="auto"/>
        </w:rPr>
        <w:t>December 2013, which hedge anticipated sales of crude oil (WTI). These derivatives are grade spreads between two different grades of crude oil. Our use of these derivatives does not expose us to outright price risk.</w:t>
      </w:r>
    </w:p>
    <w:p>
      <w:pPr>
        <w:sectPr>
          <w:pgSz w:w="11900" w:h="16848" w:orient="portrait"/>
          <w:cols w:equalWidth="0" w:num="1">
            <w:col w:w="11420"/>
          </w:cols>
          <w:pgMar w:left="240" w:top="125" w:right="239" w:bottom="0" w:gutter="0" w:footer="0" w:header="0"/>
          <w:type w:val="continuous"/>
        </w:sectPr>
      </w:pPr>
    </w:p>
    <w:bookmarkStart w:id="119" w:name="page120"/>
    <w:bookmarkEnd w:id="119"/>
    <w:p>
      <w:pPr>
        <w:ind w:left="1460" w:right="80" w:hanging="318"/>
        <w:spacing w:after="0" w:line="264" w:lineRule="auto"/>
        <w:tabs>
          <w:tab w:leader="none" w:pos="1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Approximately 2,700 barrels per day on average (total of 1.0 million barrels) of LLS/WTI crude oil basis swaps from January 2013 through December 2013, which hedge anticipated sales of crude oil. These derivatives are grade spreads between two different grades of crude oil. Our use of these derivatives does not expose us to outright price risk.</w:t>
      </w:r>
    </w:p>
    <w:p>
      <w:pPr>
        <w:spacing w:after="0" w:line="181" w:lineRule="exact"/>
        <w:rPr>
          <w:rFonts w:ascii="Arial" w:cs="Arial" w:eastAsia="Arial" w:hAnsi="Arial"/>
          <w:sz w:val="18"/>
          <w:szCs w:val="18"/>
          <w:color w:val="auto"/>
        </w:rPr>
      </w:pPr>
    </w:p>
    <w:p>
      <w:pPr>
        <w:ind w:left="1460" w:right="500" w:hanging="318"/>
        <w:spacing w:after="0" w:line="277" w:lineRule="auto"/>
        <w:tabs>
          <w:tab w:leader="none" w:pos="1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average of 1,100 barrels per day (total of 0.5 million barrels) of butane/WTI spread positions, which hedge specific butane sales contracts that are based on a percentage of WTI through March 2014.</w:t>
      </w:r>
    </w:p>
    <w:p>
      <w:pPr>
        <w:spacing w:after="0" w:line="170" w:lineRule="exact"/>
        <w:rPr>
          <w:rFonts w:ascii="Arial" w:cs="Arial" w:eastAsia="Arial" w:hAnsi="Arial"/>
          <w:sz w:val="18"/>
          <w:szCs w:val="18"/>
          <w:color w:val="auto"/>
        </w:rPr>
      </w:pPr>
    </w:p>
    <w:p>
      <w:pPr>
        <w:ind w:left="1440" w:hanging="298"/>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long swap position of approximately 4.2 Bcf through April 2016 related to anticipated base gas requirements.</w:t>
      </w:r>
    </w:p>
    <w:p>
      <w:pPr>
        <w:spacing w:after="0" w:line="225" w:lineRule="exact"/>
        <w:rPr>
          <w:rFonts w:ascii="Arial" w:cs="Arial" w:eastAsia="Arial" w:hAnsi="Arial"/>
          <w:sz w:val="18"/>
          <w:szCs w:val="18"/>
          <w:color w:val="auto"/>
        </w:rPr>
      </w:pPr>
    </w:p>
    <w:p>
      <w:pPr>
        <w:ind w:left="1440" w:hanging="298"/>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short swap position of approximately 20.4 Bcf through December 2013 related to anticipated sales of natural gas.</w:t>
      </w:r>
    </w:p>
    <w:p>
      <w:pPr>
        <w:spacing w:after="0" w:line="225" w:lineRule="exact"/>
        <w:rPr>
          <w:rFonts w:ascii="Arial" w:cs="Arial" w:eastAsia="Arial" w:hAnsi="Arial"/>
          <w:sz w:val="18"/>
          <w:szCs w:val="18"/>
          <w:color w:val="auto"/>
        </w:rPr>
      </w:pPr>
    </w:p>
    <w:p>
      <w:pPr>
        <w:ind w:left="1460" w:right="100" w:hanging="318"/>
        <w:spacing w:after="0" w:line="277" w:lineRule="auto"/>
        <w:tabs>
          <w:tab w:leader="none" w:pos="1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Approximately 800 barrels per day (total of 0.3 million barrels) of diesel swaps, which hedge anticipated purchases of diesel fuel through December 2013.</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 </w:t>
      </w:r>
      <w:r>
        <w:rPr>
          <w:rFonts w:ascii="Arial" w:cs="Arial" w:eastAsia="Arial" w:hAnsi="Arial"/>
          <w:sz w:val="18"/>
          <w:szCs w:val="18"/>
          <w:color w:val="auto"/>
        </w:rPr>
        <w:t>We own approximately 96 million barrels of crude oil, NGL and refined products storage capacity other than that</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December 31, 2012, we used derivatives to manage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risk of not utilizing approximately 1.9 million barrels per month of storage capacity through 2013. These positions are a combination of calendar spread options and futures contracts. These positions involve no outright price exposure, but instead enable us to profitably use the capacity to store hedged crude oil.</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Inventory Storage </w:t>
      </w:r>
      <w:r>
        <w:rPr>
          <w:rFonts w:ascii="Arial" w:cs="Arial" w:eastAsia="Arial" w:hAnsi="Arial"/>
          <w:sz w:val="18"/>
          <w:szCs w:val="18"/>
          <w:color w:val="auto"/>
        </w:rPr>
        <w:t>— From time to time, we elect to purchase and store crude oil, NGL and refined products inventory in conjunction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supply and logistics activities. When we purchase and store inventory, we enter into physical sales contracts or use derivatives to mitigate price risk associated with the inventory. As of December 31, 2012, we had derivatives totaling approximately 12.0 million barrels hedging our inventory. These positions are a combination of futures, swaps and option contracts.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December 31, 2012, our PLA hedges included (i) a net short position consisting of crude oil futures and swaps for an average of approximately 1,500 barrels per day (total of 1.7 million barrels) through December 2015, (ii) a long put option position of approximately 0.2 million barrels through December 2013 and (iii) a long call option position of approximately 0.6 million barrels through December 2015.</w:t>
      </w:r>
    </w:p>
    <w:p>
      <w:pPr>
        <w:spacing w:after="0" w:line="193"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As part of our supply and logistics activities, we purchase natural gas for processing and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we sell the resulting individual specification products (including ethane, propane, butane and condensate). In conjunction with these activities, we hedge the purchase of natural gas and the subsequent sale of the individual specification products. As of December 31, 2012, we had a long natural gas position of approximately 16 Bcf through October 2014, a short propane position of approximately 2.8 million barrels through October 2014, a short butane position of approximately 0.8 million barrels through October 2014 and a short WTI position of approximately 0.3 million barrels through October 2014. In addition, we had a long power position of 0.8 million megawatt hours which hedges a portion of our power supply requirements at our natural gas processing and fractionation plants through December 2015.</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2012, AOCI includes deferred losses of approximately $143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2015. The following table summarizes the terms of our forward starting interest rate swaps as of December 31, 2012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Notional</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6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Average Rate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66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rPr>
              <w:t>Locked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5 forward starting</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125</w:t>
            </w: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6/16/2014</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3.39</w:t>
            </w:r>
          </w:p>
        </w:tc>
        <w:tc>
          <w:tcPr>
            <w:tcW w:w="30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87"/>
              </w:rPr>
              <w:t>%</w:t>
            </w: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2"/>
              </w:rPr>
              <w:t>10 forward starting</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250</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9"/>
              </w:rPr>
              <w:t>6/15/2015</w:t>
            </w:r>
          </w:p>
        </w:tc>
        <w:tc>
          <w:tcPr>
            <w:tcW w:w="280" w:type="dxa"/>
            <w:vAlign w:val="bottom"/>
          </w:tcPr>
          <w:p>
            <w:pPr>
              <w:spacing w:after="0"/>
              <w:rPr>
                <w:sz w:val="17"/>
                <w:szCs w:val="17"/>
                <w:color w:val="auto"/>
              </w:rPr>
            </w:pPr>
          </w:p>
        </w:tc>
        <w:tc>
          <w:tcPr>
            <w:tcW w:w="166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3.60%</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spacing w:after="0" w:line="18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Concurrent with our December 2012 senior note issuance, we terminated six thirty-year forward starting swaps. These swaps had an aggregate notional amount of $250 million and an average fixed rate of 4.24%. We made a cash payment of approximately $89 million in connection with the</w:t>
      </w:r>
    </w:p>
    <w:p>
      <w:pPr>
        <w:sectPr>
          <w:pgSz w:w="11900" w:h="16838" w:orient="portrait"/>
          <w:cols w:equalWidth="0" w:num="1">
            <w:col w:w="11420"/>
          </w:cols>
          <w:pgMar w:left="240" w:top="341" w:right="239" w:bottom="0" w:gutter="0" w:footer="0" w:header="0"/>
        </w:sectPr>
      </w:pPr>
    </w:p>
    <w:bookmarkStart w:id="120" w:name="page121"/>
    <w:bookmarkEnd w:id="120"/>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these swaps.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Concurrent with our March 2012 senior note issuances, we terminated four ten-year forward starting interest rate swaps. These swaps had an aggregate notional amount of $200 million and an average fixed rate of 3.46%. We made a cash payment of approximately $24 million in connection with the termination of the swaps.</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Concurrent with our January 2011 senior notes issuance, we terminated three forward starting interest rate swaps. These swaps had an aggregate notional amount of $100 million and an average fixed rate of 3.6%. We received cash proceeds of approximately $12 million in connection with the termination of these swaps.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July 2009, concurrent with our senior notes issuance, we entered into four interest rate swaps for which we received fixed interest payments and paid floating-rate interest payments based on three-month LIBOR plus an average spread of 2.42% on a semi-annual basis. The swaps had an aggregate notional amount of $300 million with fixed rates of 4.25%. Two of the swaps terminated in September 2011, and the remaining two swaps terminated in September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December 31, 2012, AOCI includes net deferred gains of approximately $6 million that relate to foreign currency derivatives that were designated for hedge accounting.</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2012,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2012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CAD</w:t>
            </w:r>
          </w:p>
        </w:tc>
        <w:tc>
          <w:tcPr>
            <w:tcW w:w="26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Forward exchange contracts that exchange CAD for</w:t>
            </w: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USD:</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$1.00 to $1.00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80" w:type="dxa"/>
            <w:vAlign w:val="bottom"/>
          </w:tcPr>
          <w:p>
            <w:pPr>
              <w:spacing w:after="0" w:line="198" w:lineRule="exact"/>
              <w:rPr>
                <w:sz w:val="20"/>
                <w:szCs w:val="20"/>
                <w:color w:val="auto"/>
              </w:rPr>
            </w:pPr>
            <w:r>
              <w:rPr>
                <w:rFonts w:ascii="Arial" w:cs="Arial" w:eastAsia="Arial" w:hAnsi="Arial"/>
                <w:sz w:val="18"/>
                <w:szCs w:val="18"/>
                <w:b w:val="1"/>
                <w:bCs w:val="1"/>
                <w:color w:val="auto"/>
              </w:rPr>
              <w:t>Forward exchange contracts that exchange USD for</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b w:val="1"/>
                <w:bCs w:val="1"/>
                <w:color w:val="auto"/>
              </w:rPr>
              <w:t>CAD:</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$1.00 to $1.00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$1.00 to $1.00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position by currency: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impact earnings. For our interest rate swaps that qualify as fair value hedges, changes in the fair value of the derivatives are recognized in earnings each period.</w:t>
      </w:r>
    </w:p>
    <w:p>
      <w:pPr>
        <w:spacing w:after="0" w:line="2" w:lineRule="exact"/>
        <w:rPr>
          <w:sz w:val="20"/>
          <w:szCs w:val="20"/>
          <w:color w:val="auto"/>
        </w:rPr>
      </w:pPr>
    </w:p>
    <w:p>
      <w:pPr>
        <w:ind w:right="180" w:firstLine="35"/>
        <w:spacing w:after="0" w:line="271" w:lineRule="auto"/>
        <w:rPr>
          <w:sz w:val="20"/>
          <w:szCs w:val="20"/>
          <w:color w:val="auto"/>
        </w:rPr>
      </w:pPr>
      <w:r>
        <w:rPr>
          <w:rFonts w:ascii="Arial" w:cs="Arial" w:eastAsia="Arial" w:hAnsi="Arial"/>
          <w:sz w:val="17"/>
          <w:szCs w:val="17"/>
          <w:color w:val="auto"/>
        </w:rPr>
        <w:t>Additionally, the change in fair value of the hedged item, attributable to the hedged risk, is recognized as a basis adjustment to the hedged item and is also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 A summary of the impact of our derivative activities recognized in earnings for the three years ended December 31, 2012 is as follows (in millions):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tcPr>
          <w:p>
            <w:pPr>
              <w:jc w:val="center"/>
              <w:ind w:left="15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500" w:type="dxa"/>
            <w:vAlign w:val="bottom"/>
          </w:tcPr>
          <w:p>
            <w:pPr>
              <w:jc w:val="center"/>
              <w:ind w:left="150"/>
              <w:spacing w:after="0" w:line="149" w:lineRule="exact"/>
              <w:rPr>
                <w:sz w:val="20"/>
                <w:szCs w:val="20"/>
                <w:color w:val="auto"/>
              </w:rPr>
            </w:pPr>
            <w:r>
              <w:rPr>
                <w:rFonts w:ascii="Arial" w:cs="Arial" w:eastAsia="Arial" w:hAnsi="Arial"/>
                <w:sz w:val="14"/>
                <w:szCs w:val="14"/>
                <w:b w:val="1"/>
                <w:bCs w:val="1"/>
                <w:color w:val="auto"/>
                <w:w w:val="93"/>
              </w:rPr>
              <w:t>in Hedging</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left="150"/>
              <w:spacing w:after="0"/>
              <w:rPr>
                <w:sz w:val="20"/>
                <w:szCs w:val="20"/>
                <w:color w:val="auto"/>
              </w:rPr>
            </w:pPr>
            <w:r>
              <w:rPr>
                <w:rFonts w:ascii="Arial" w:cs="Arial" w:eastAsia="Arial" w:hAnsi="Arial"/>
                <w:sz w:val="14"/>
                <w:szCs w:val="14"/>
                <w:b w:val="1"/>
                <w:bCs w:val="1"/>
                <w:color w:val="auto"/>
                <w:w w:val="95"/>
              </w:rPr>
              <w:t xml:space="preserve">Relationships </w:t>
            </w:r>
            <w:r>
              <w:rPr>
                <w:rFonts w:ascii="Arial" w:cs="Arial" w:eastAsia="Arial" w:hAnsi="Arial"/>
                <w:sz w:val="8"/>
                <w:szCs w:val="8"/>
                <w:b w:val="1"/>
                <w:bCs w:val="1"/>
                <w:color w:val="auto"/>
                <w:w w:val="95"/>
              </w:rPr>
              <w:t>(1)(2)(3)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xml:space="preserve">as a Hedge </w:t>
            </w:r>
            <w:r>
              <w:rPr>
                <w:rFonts w:ascii="Arial" w:cs="Arial" w:eastAsia="Arial" w:hAnsi="Arial"/>
                <w:sz w:val="8"/>
                <w:szCs w:val="8"/>
                <w:b w:val="1"/>
                <w:bCs w:val="1"/>
                <w:color w:val="auto"/>
                <w:w w:val="91"/>
              </w:rPr>
              <w:t>(4)</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800" w:type="dxa"/>
            <w:vAlign w:val="bottom"/>
            <w:gridSpan w:val="2"/>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2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 2011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in Hedging</w:t>
            </w:r>
          </w:p>
        </w:tc>
        <w:tc>
          <w:tcPr>
            <w:tcW w:w="1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4"/>
            <w:vMerge w:val="continue"/>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 xml:space="preserve">Relationships </w:t>
            </w:r>
            <w:r>
              <w:rPr>
                <w:rFonts w:ascii="Arial" w:cs="Arial" w:eastAsia="Arial" w:hAnsi="Arial"/>
                <w:sz w:val="8"/>
                <w:szCs w:val="8"/>
                <w:b w:val="1"/>
                <w:bCs w:val="1"/>
                <w:color w:val="auto"/>
                <w:w w:val="95"/>
              </w:rPr>
              <w:t>(1)(2)(3)</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xml:space="preserve">as a Hedge </w:t>
            </w:r>
            <w:r>
              <w:rPr>
                <w:rFonts w:ascii="Arial" w:cs="Arial" w:eastAsia="Arial" w:hAnsi="Arial"/>
                <w:sz w:val="8"/>
                <w:szCs w:val="8"/>
                <w:b w:val="1"/>
                <w:bCs w:val="1"/>
                <w:color w:val="auto"/>
                <w:w w:val="91"/>
              </w:rPr>
              <w:t>(4)</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26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gridSpan w:val="3"/>
          </w:tcPr>
          <w:p>
            <w:pPr>
              <w:jc w:val="right"/>
              <w:ind w:right="510"/>
              <w:spacing w:after="0"/>
              <w:rPr>
                <w:sz w:val="20"/>
                <w:szCs w:val="20"/>
                <w:color w:val="auto"/>
              </w:rPr>
            </w:pPr>
            <w:r>
              <w:rPr>
                <w:rFonts w:ascii="Arial" w:cs="Arial" w:eastAsia="Arial" w:hAnsi="Arial"/>
                <w:sz w:val="18"/>
                <w:szCs w:val="18"/>
                <w:color w:val="auto"/>
              </w:rPr>
              <w:t>F-38</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 2010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in Hedging</w:t>
            </w:r>
          </w:p>
        </w:tc>
        <w:tc>
          <w:tcPr>
            <w:tcW w:w="14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4"/>
            <w:vMerge w:val="continue"/>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 xml:space="preserve">Relationships </w:t>
            </w:r>
            <w:r>
              <w:rPr>
                <w:rFonts w:ascii="Arial" w:cs="Arial" w:eastAsia="Arial" w:hAnsi="Arial"/>
                <w:sz w:val="8"/>
                <w:szCs w:val="8"/>
                <w:b w:val="1"/>
                <w:bCs w:val="1"/>
                <w:color w:val="auto"/>
                <w:w w:val="95"/>
              </w:rPr>
              <w:t>(1)(2)(3)</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xml:space="preserve">as a Hedge </w:t>
            </w:r>
            <w:r>
              <w:rPr>
                <w:rFonts w:ascii="Arial" w:cs="Arial" w:eastAsia="Arial" w:hAnsi="Arial"/>
                <w:sz w:val="8"/>
                <w:szCs w:val="8"/>
                <w:color w:val="auto"/>
                <w:w w:val="91"/>
              </w:rPr>
              <w:t>(4)</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Transportation segment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-4340860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-4340860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0" w:gutter="0" w:footer="0" w:header="0"/>
        </w:sectPr>
      </w:pPr>
    </w:p>
    <w:bookmarkStart w:id="122" w:name="page123"/>
    <w:bookmarkEnd w:id="122"/>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hanging="11"/>
        <w:spacing w:after="0" w:line="258" w:lineRule="auto"/>
        <w:rPr>
          <w:sz w:val="20"/>
          <w:szCs w:val="20"/>
          <w:color w:val="auto"/>
        </w:rPr>
      </w:pPr>
      <w:r>
        <w:rPr>
          <w:rFonts w:ascii="Arial" w:cs="Arial" w:eastAsia="Arial" w:hAnsi="Arial"/>
          <w:sz w:val="18"/>
          <w:szCs w:val="18"/>
          <w:color w:val="auto"/>
        </w:rPr>
        <w:t>Amounts represent derivative gains and losses that were reclassified from AOCI to earnings during the period to coincide with the earnings impact of the hedged transaction.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Amounts include losses of approximately $2 million, $8 million and $1 million for the years ended December 31, 2012, 2011 and 2010, respectively.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These amounts represent the ineffective portion of our commodity and interest rate derivatives that are designated as cash flow hedges.</w:t>
      </w:r>
    </w:p>
    <w:p>
      <w:pPr>
        <w:spacing w:after="0" w:line="2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Interest expense includes net gains of approximately $2 million, $2 million and $1 million for the years ended December 31, 2012, 2011 and 2010, respectively, associated with interest rate swaps designated as a fair value hedge. These swaps terminated during September 2012. Includes realized and unrealized gains or losses for derivatives not designated for hedge accounting during the period.</w:t>
      </w:r>
    </w:p>
    <w:p>
      <w:pPr>
        <w:spacing w:after="0" w:line="17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8"/>
              </w:rPr>
              <w:t>Liability Derivatives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6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24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79"/>
              </w:rPr>
              <w:t>45</w:t>
            </w:r>
          </w:p>
        </w:tc>
        <w:tc>
          <w:tcPr>
            <w:tcW w:w="160" w:type="dxa"/>
            <w:vAlign w:val="bottom"/>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w:t>
            </w: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0</wp:posOffset>
            </wp:positionV>
            <wp:extent cx="643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580" w:type="dxa"/>
            <w:vAlign w:val="bottom"/>
          </w:tcPr>
          <w:p>
            <w:pPr>
              <w:ind w:left="180"/>
              <w:spacing w:after="0" w:line="182" w:lineRule="exact"/>
              <w:rPr>
                <w:sz w:val="20"/>
                <w:szCs w:val="20"/>
                <w:color w:val="auto"/>
              </w:rPr>
            </w:pPr>
            <w:r>
              <w:rPr>
                <w:rFonts w:ascii="Arial" w:cs="Arial" w:eastAsia="Arial" w:hAnsi="Arial"/>
                <w:sz w:val="18"/>
                <w:szCs w:val="18"/>
                <w:color w:val="auto"/>
              </w:rPr>
              <w:t>Total derivatives designated as hedging</w:t>
            </w:r>
          </w:p>
        </w:tc>
        <w:tc>
          <w:tcPr>
            <w:tcW w:w="2860" w:type="dxa"/>
            <w:vAlign w:val="bottom"/>
          </w:tcPr>
          <w:p>
            <w:pPr>
              <w:spacing w:after="0"/>
              <w:rPr>
                <w:sz w:val="15"/>
                <w:szCs w:val="15"/>
                <w:color w:val="auto"/>
              </w:rPr>
            </w:pPr>
          </w:p>
        </w:tc>
        <w:tc>
          <w:tcPr>
            <w:tcW w:w="420" w:type="dxa"/>
            <w:vAlign w:val="bottom"/>
            <w:tcBorders>
              <w:top w:val="single" w:sz="8" w:color="auto"/>
            </w:tcBorders>
            <w:vMerge w:val="restart"/>
          </w:tcPr>
          <w:p>
            <w:pPr>
              <w:jc w:val="right"/>
              <w:ind w:right="2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86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Derivatives not designated as hedging</w:t>
            </w:r>
          </w:p>
        </w:tc>
        <w:tc>
          <w:tcPr>
            <w:tcW w:w="2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vMerge w:val="continue"/>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21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180" w:type="dxa"/>
            <w:vAlign w:val="bottom"/>
          </w:tcPr>
          <w:p>
            <w:pPr>
              <w:ind w:left="30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1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3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w w:val="97"/>
              </w:rPr>
              <w:t>Total derivatives not designated as hedging</w:t>
            </w:r>
          </w:p>
        </w:tc>
        <w:tc>
          <w:tcPr>
            <w:tcW w:w="286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180" w:type="dxa"/>
            <w:vAlign w:val="bottom"/>
          </w:tcPr>
          <w:p>
            <w:pPr>
              <w:ind w:left="30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182"/>
        </w:trPr>
        <w:tc>
          <w:tcPr>
            <w:tcW w:w="3580" w:type="dxa"/>
            <w:vAlign w:val="bottom"/>
            <w:vMerge w:val="continue"/>
          </w:tcPr>
          <w:p>
            <w:pPr>
              <w:spacing w:after="0"/>
              <w:rPr>
                <w:sz w:val="15"/>
                <w:szCs w:val="15"/>
                <w:color w:val="auto"/>
              </w:rPr>
            </w:pPr>
          </w:p>
        </w:tc>
        <w:tc>
          <w:tcPr>
            <w:tcW w:w="2860" w:type="dxa"/>
            <w:vAlign w:val="bottom"/>
          </w:tcPr>
          <w:p>
            <w:pPr>
              <w:spacing w:after="0"/>
              <w:rPr>
                <w:sz w:val="15"/>
                <w:szCs w:val="15"/>
                <w:color w:val="auto"/>
              </w:rPr>
            </w:pPr>
          </w:p>
        </w:tc>
        <w:tc>
          <w:tcPr>
            <w:tcW w:w="420" w:type="dxa"/>
            <w:vAlign w:val="bottom"/>
            <w:vMerge w:val="restart"/>
          </w:tcPr>
          <w:p>
            <w:pPr>
              <w:jc w:val="right"/>
              <w:ind w:right="265"/>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86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274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781" w:hanging="781"/>
        <w:spacing w:after="0"/>
        <w:tabs>
          <w:tab w:leader="none" w:pos="78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1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1" w:hanging="681"/>
        <w:spacing w:after="0"/>
        <w:tabs>
          <w:tab w:leader="none" w:pos="68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(115)</w:t>
      </w:r>
    </w:p>
    <w:p>
      <w:pPr>
        <w:spacing w:after="0" w:line="34" w:lineRule="exact"/>
        <w:rPr>
          <w:rFonts w:ascii="Arial" w:cs="Arial" w:eastAsia="Arial" w:hAnsi="Arial"/>
          <w:sz w:val="17"/>
          <w:szCs w:val="17"/>
          <w:color w:val="auto"/>
        </w:rPr>
      </w:pPr>
    </w:p>
    <w:p>
      <w:pPr>
        <w:ind w:left="861"/>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9" w:lineRule="exact"/>
        <w:rPr>
          <w:rFonts w:ascii="Arial" w:cs="Arial" w:eastAsia="Arial" w:hAnsi="Arial"/>
          <w:sz w:val="17"/>
          <w:szCs w:val="17"/>
          <w:color w:val="auto"/>
        </w:rPr>
      </w:pPr>
    </w:p>
    <w:p>
      <w:pPr>
        <w:ind w:left="861"/>
        <w:spacing w:after="0"/>
        <w:rPr>
          <w:rFonts w:ascii="Arial" w:cs="Arial" w:eastAsia="Arial" w:hAnsi="Arial"/>
          <w:sz w:val="17"/>
          <w:szCs w:val="17"/>
          <w:color w:val="auto"/>
        </w:rPr>
      </w:pPr>
      <w:r>
        <w:rPr>
          <w:rFonts w:ascii="Arial" w:cs="Arial" w:eastAsia="Arial" w:hAnsi="Arial"/>
          <w:sz w:val="18"/>
          <w:szCs w:val="18"/>
          <w:color w:val="auto"/>
        </w:rPr>
        <w:t>(7)</w:t>
      </w:r>
    </w:p>
    <w:p>
      <w:pPr>
        <w:spacing w:after="0" w:line="9" w:lineRule="exact"/>
        <w:rPr>
          <w:rFonts w:ascii="Arial" w:cs="Arial" w:eastAsia="Arial" w:hAnsi="Arial"/>
          <w:sz w:val="17"/>
          <w:szCs w:val="17"/>
          <w:color w:val="auto"/>
        </w:rPr>
      </w:pPr>
    </w:p>
    <w:p>
      <w:pPr>
        <w:ind w:left="861"/>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77" w:lineRule="exact"/>
        <w:rPr>
          <w:sz w:val="20"/>
          <w:szCs w:val="20"/>
          <w:color w:val="auto"/>
        </w:rPr>
      </w:pPr>
    </w:p>
    <w:p>
      <w:pPr>
        <w:ind w:left="681" w:hanging="681"/>
        <w:spacing w:after="0"/>
        <w:tabs>
          <w:tab w:leader="none" w:pos="68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1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9620" w:space="679"/>
            <w:col w:w="1121"/>
          </w:cols>
          <w:pgMar w:left="240" w:top="125" w:right="239" w:bottom="0" w:gutter="0" w:footer="0" w:header="0"/>
          <w:type w:val="continuous"/>
        </w:sectPr>
      </w:pPr>
    </w:p>
    <w:p>
      <w:pPr>
        <w:spacing w:after="0" w:line="2" w:lineRule="exact"/>
        <w:rPr>
          <w:sz w:val="20"/>
          <w:szCs w:val="20"/>
          <w:color w:val="auto"/>
        </w:rPr>
      </w:pPr>
    </w:p>
    <w:p>
      <w:pPr>
        <w:ind w:left="180"/>
        <w:spacing w:after="0"/>
        <w:tabs>
          <w:tab w:leader="none" w:pos="6420" w:val="left"/>
          <w:tab w:leader="none" w:pos="7160" w:val="left"/>
          <w:tab w:leader="none" w:pos="10280" w:val="left"/>
          <w:tab w:leader="none" w:pos="10960" w:val="left"/>
        </w:tabs>
        <w:rPr>
          <w:sz w:val="20"/>
          <w:szCs w:val="20"/>
          <w:color w:val="auto"/>
        </w:rPr>
      </w:pPr>
      <w:r>
        <w:rPr>
          <w:rFonts w:ascii="Arial" w:cs="Arial" w:eastAsia="Arial" w:hAnsi="Arial"/>
          <w:sz w:val="18"/>
          <w:szCs w:val="18"/>
          <w:color w:val="auto"/>
        </w:rPr>
        <w:t>Total derivatives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(189</w:t>
      </w:r>
      <w:r>
        <w:rPr>
          <w:rFonts w:ascii="Arial" w:cs="Arial" w:eastAsia="Arial" w:hAnsi="Arial"/>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-62230</wp:posOffset>
            </wp:positionV>
            <wp:extent cx="643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-45085</wp:posOffset>
            </wp:positionV>
            <wp:extent cx="643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-62230</wp:posOffset>
            </wp:positionV>
            <wp:extent cx="643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-45085</wp:posOffset>
            </wp:positionV>
            <wp:extent cx="643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2011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8"/>
              </w:rPr>
              <w:t>Liability Derivatives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60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Balance Sheet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0"/>
                <w:szCs w:val="10"/>
                <w:color w:val="auto"/>
              </w:rPr>
            </w:pPr>
          </w:p>
        </w:tc>
        <w:tc>
          <w:tcPr>
            <w:tcW w:w="24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60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180"/>
              <w:spacing w:after="0" w:line="182" w:lineRule="exact"/>
              <w:rPr>
                <w:sz w:val="20"/>
                <w:szCs w:val="20"/>
                <w:color w:val="auto"/>
              </w:rPr>
            </w:pPr>
            <w:r>
              <w:rPr>
                <w:rFonts w:ascii="Arial" w:cs="Arial" w:eastAsia="Arial" w:hAnsi="Arial"/>
                <w:sz w:val="18"/>
                <w:szCs w:val="18"/>
                <w:color w:val="auto"/>
              </w:rPr>
              <w:t>Total derivatives designated as hedging</w:t>
            </w: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7"/>
        </w:trPr>
        <w:tc>
          <w:tcPr>
            <w:tcW w:w="384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58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20" w:type="dxa"/>
            <w:vAlign w:val="bottom"/>
          </w:tcPr>
          <w:p>
            <w:pPr>
              <w:ind w:left="140"/>
              <w:spacing w:after="0"/>
              <w:rPr>
                <w:sz w:val="20"/>
                <w:szCs w:val="20"/>
                <w:color w:val="auto"/>
              </w:rPr>
            </w:pPr>
            <w:r>
              <w:rPr>
                <w:rFonts w:ascii="Arial" w:cs="Arial" w:eastAsia="Arial" w:hAnsi="Arial"/>
                <w:sz w:val="18"/>
                <w:szCs w:val="18"/>
                <w:color w:val="auto"/>
                <w:w w:val="90"/>
              </w:rPr>
              <w:t>Other long-term assets</w:t>
            </w:r>
          </w:p>
        </w:tc>
        <w:tc>
          <w:tcPr>
            <w:tcW w:w="0" w:type="dxa"/>
            <w:vAlign w:val="bottom"/>
          </w:tcPr>
          <w:p>
            <w:pPr>
              <w:spacing w:after="0"/>
              <w:rPr>
                <w:sz w:val="1"/>
                <w:szCs w:val="1"/>
                <w:color w:val="auto"/>
              </w:rPr>
            </w:pPr>
          </w:p>
        </w:tc>
      </w:tr>
      <w:tr>
        <w:trPr>
          <w:trHeight w:val="23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w w:val="97"/>
              </w:rPr>
              <w:t>Total derivatives not designated as hedging</w:t>
            </w:r>
          </w:p>
        </w:tc>
        <w:tc>
          <w:tcPr>
            <w:tcW w:w="2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w w:val="92"/>
              </w:rPr>
              <w:t>Other current liabilities</w:t>
            </w:r>
          </w:p>
        </w:tc>
        <w:tc>
          <w:tcPr>
            <w:tcW w:w="0" w:type="dxa"/>
            <w:vAlign w:val="bottom"/>
          </w:tcPr>
          <w:p>
            <w:pPr>
              <w:spacing w:after="0"/>
              <w:rPr>
                <w:sz w:val="1"/>
                <w:szCs w:val="1"/>
                <w:color w:val="auto"/>
              </w:rPr>
            </w:pPr>
          </w:p>
        </w:tc>
      </w:tr>
      <w:tr>
        <w:trPr>
          <w:trHeight w:val="182"/>
        </w:trPr>
        <w:tc>
          <w:tcPr>
            <w:tcW w:w="3580" w:type="dxa"/>
            <w:vAlign w:val="bottom"/>
            <w:vMerge w:val="continue"/>
          </w:tcPr>
          <w:p>
            <w:pPr>
              <w:spacing w:after="0"/>
              <w:rPr>
                <w:sz w:val="15"/>
                <w:szCs w:val="15"/>
                <w:color w:val="auto"/>
              </w:rPr>
            </w:pPr>
          </w:p>
        </w:tc>
        <w:tc>
          <w:tcPr>
            <w:tcW w:w="2860" w:type="dxa"/>
            <w:vAlign w:val="bottom"/>
          </w:tcPr>
          <w:p>
            <w:pPr>
              <w:spacing w:after="0"/>
              <w:rPr>
                <w:sz w:val="15"/>
                <w:szCs w:val="15"/>
                <w:color w:val="auto"/>
              </w:rPr>
            </w:pPr>
          </w:p>
        </w:tc>
        <w:tc>
          <w:tcPr>
            <w:tcW w:w="460" w:type="dxa"/>
            <w:vAlign w:val="bottom"/>
            <w:vMerge w:val="restart"/>
          </w:tcPr>
          <w:p>
            <w:pPr>
              <w:jc w:val="right"/>
              <w:ind w:right="305"/>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86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781" w:hanging="781"/>
        <w:spacing w:after="0"/>
        <w:tabs>
          <w:tab w:leader="none" w:pos="78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(39)</w:t>
      </w:r>
    </w:p>
    <w:p>
      <w:pPr>
        <w:spacing w:after="0" w:line="46"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9"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77" w:lineRule="exact"/>
        <w:rPr>
          <w:sz w:val="20"/>
          <w:szCs w:val="20"/>
          <w:color w:val="auto"/>
        </w:rPr>
      </w:pPr>
    </w:p>
    <w:p>
      <w:pPr>
        <w:ind w:left="781" w:hanging="781"/>
        <w:spacing w:after="0"/>
        <w:tabs>
          <w:tab w:leader="none" w:pos="78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9579" w:space="720"/>
            <w:col w:w="1121"/>
          </w:cols>
          <w:pgMar w:left="240" w:top="125" w:right="239" w:bottom="0" w:gutter="0" w:footer="0" w:header="0"/>
          <w:type w:val="continuous"/>
        </w:sectPr>
      </w:pPr>
    </w:p>
    <w:p>
      <w:pPr>
        <w:spacing w:after="0" w:line="2" w:lineRule="exact"/>
        <w:rPr>
          <w:sz w:val="20"/>
          <w:szCs w:val="20"/>
          <w:color w:val="auto"/>
        </w:rPr>
      </w:pPr>
    </w:p>
    <w:p>
      <w:pPr>
        <w:ind w:left="180"/>
        <w:spacing w:after="0"/>
        <w:tabs>
          <w:tab w:leader="none" w:pos="6420" w:val="left"/>
          <w:tab w:leader="none" w:pos="7160" w:val="left"/>
          <w:tab w:leader="none" w:pos="10280" w:val="left"/>
          <w:tab w:leader="none" w:pos="10960" w:val="left"/>
        </w:tabs>
        <w:rPr>
          <w:sz w:val="20"/>
          <w:szCs w:val="20"/>
          <w:color w:val="auto"/>
        </w:rPr>
      </w:pPr>
      <w:r>
        <w:rPr>
          <w:rFonts w:ascii="Arial" w:cs="Arial" w:eastAsia="Arial" w:hAnsi="Arial"/>
          <w:sz w:val="18"/>
          <w:szCs w:val="18"/>
          <w:color w:val="auto"/>
        </w:rPr>
        <w:t>Total derivatives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(230</w:t>
      </w:r>
      <w:r>
        <w:rPr>
          <w:rFonts w:ascii="Arial" w:cs="Arial" w:eastAsia="Arial" w:hAnsi="Arial"/>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-62230</wp:posOffset>
            </wp:positionV>
            <wp:extent cx="643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-45085</wp:posOffset>
            </wp:positionV>
            <wp:extent cx="643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-62230</wp:posOffset>
            </wp:positionV>
            <wp:extent cx="643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-45085</wp:posOffset>
            </wp:positionV>
            <wp:extent cx="643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-216535</wp:posOffset>
            </wp:positionV>
            <wp:extent cx="643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-216535</wp:posOffset>
            </wp:positionV>
            <wp:extent cx="643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December 31, 2012, there was a net loss of approximately $120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December 31, 2012, we expect to reclassify a net gain of approximately $17 million to earnings in the next twelve months. Of the remaining deferred loss in AOCI, a net loss of approximately $2 million is expected to be reclassified to earnings prior to 2015 with the remaining deferred loss of approximately $135 million being reclassified to</w:t>
      </w:r>
    </w:p>
    <w:p>
      <w:pPr>
        <w:sectPr>
          <w:pgSz w:w="11900" w:h="16838" w:orient="portrait"/>
          <w:cols w:equalWidth="0" w:num="1">
            <w:col w:w="11420"/>
          </w:cols>
          <w:pgMar w:left="240" w:top="125" w:right="239" w:bottom="0" w:gutter="0" w:footer="0" w:header="0"/>
          <w:type w:val="continuous"/>
        </w:sectPr>
      </w:pPr>
    </w:p>
    <w:bookmarkStart w:id="123" w:name="page124"/>
    <w:bookmarkEnd w:id="123"/>
    <w:p>
      <w:pPr>
        <w:spacing w:after="0" w:line="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earnings through 2045. A portion of these amounts are based on market prices at the current period end, thus actual amounts to be reclassified will differ and could vary materially as a result of changes in market conditions.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During the year ended December 31, 2012, all of our hedged transactions were deemed probable of occurring. During the year ended December 31, 2011, we reclassified a gain of approximately $1 million from AOCI to Facilities segment revenues and a gain of approximately $1 million from AOCI to other expense, net as a result of anticipated hedged transactions that were no longer considered probable of occurring. The net deferred gain/(loss), including tax effects, recognized in AOCI for derivatives during the years ended December 31, 2012, 2011and 2010 are as follows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gridSpan w:val="2"/>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Foreign currency derivatives, net</w:t>
            </w:r>
          </w:p>
        </w:tc>
        <w:tc>
          <w:tcPr>
            <w:tcW w:w="9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 net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2012, we had a net broker receivable of approximately $41 million (consisting of initial margin of $69 million reduced by $28 million of variation margin that had been returned to us). As of December 31, 2011, we had a net broker payable of approximately $7 million (consisting of initial margin of $52 million reduced by $59 million of variation margin that had been returned to us). At December 31, 2012 and December 31, 2011, none of our outstanding derivatives contained credit-risk related contingent features that would result in a material adverse impact to us upon any change in our credit ratings. We do not require our derivative counterparties to post collateral with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December 31, 2012 and December 31, 2011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3"/>
              </w:rPr>
              <w:t>Fair Value as of December 31, 2012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3"/>
              </w:rPr>
              <w:t>Fair Value as of December 31, 2011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205740</wp:posOffset>
            </wp:positionV>
            <wp:extent cx="17665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77" w:lineRule="exact"/>
        <w:rPr>
          <w:sz w:val="20"/>
          <w:szCs w:val="20"/>
          <w:color w:val="auto"/>
        </w:rPr>
      </w:pPr>
    </w:p>
    <w:p>
      <w:pPr>
        <w:ind w:left="380" w:hanging="372"/>
        <w:spacing w:after="0"/>
        <w:tabs>
          <w:tab w:leader="none" w:pos="380"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options and swaps. The fair value of exchange-traded commodity derivatives is based on unadjusted quoted prices in active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500" w:right="24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500" w:right="60"/>
        <w:spacing w:after="0" w:line="273" w:lineRule="auto"/>
        <w:rPr>
          <w:sz w:val="20"/>
          <w:szCs w:val="20"/>
          <w:color w:val="auto"/>
        </w:rPr>
      </w:pPr>
      <w:r>
        <w:rPr>
          <w:rFonts w:ascii="Arial" w:cs="Arial" w:eastAsia="Arial" w:hAnsi="Arial"/>
          <w:sz w:val="17"/>
          <w:szCs w:val="17"/>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20" w:type="dxa"/>
            <w:vAlign w:val="bottom"/>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Unrealized gains/(losses):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bl>
    <w:p>
      <w:pPr>
        <w:sectPr>
          <w:pgSz w:w="11900" w:h="16870" w:orient="portrait"/>
          <w:cols w:equalWidth="0" w:num="1">
            <w:col w:w="11420"/>
          </w:cols>
          <w:pgMar w:left="240" w:top="125" w:right="239" w:bottom="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2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54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10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0" w:type="dxa"/>
            <w:vAlign w:val="bottom"/>
          </w:tcPr>
          <w:p>
            <w:pPr>
              <w:spacing w:after="0" w:line="201" w:lineRule="exact"/>
              <w:rPr>
                <w:sz w:val="20"/>
                <w:szCs w:val="20"/>
                <w:color w:val="auto"/>
              </w:rPr>
            </w:pPr>
            <w:r>
              <w:rPr>
                <w:rFonts w:ascii="Arial" w:cs="Arial" w:eastAsia="Arial" w:hAnsi="Arial"/>
                <w:sz w:val="18"/>
                <w:szCs w:val="18"/>
                <w:color w:val="auto"/>
                <w:w w:val="90"/>
              </w:rPr>
              <w:t>Change in unrealized gains/(losses) included in earnings relating to level 3</w:t>
            </w:r>
          </w:p>
        </w:tc>
        <w:tc>
          <w:tcPr>
            <w:tcW w:w="2720" w:type="dxa"/>
            <w:vAlign w:val="bottom"/>
            <w:gridSpan w:val="2"/>
          </w:tcPr>
          <w:p>
            <w:pPr>
              <w:jc w:val="right"/>
              <w:ind w:right="965"/>
              <w:spacing w:after="0" w:line="201" w:lineRule="exact"/>
              <w:rPr>
                <w:sz w:val="20"/>
                <w:szCs w:val="20"/>
                <w:color w:val="auto"/>
              </w:rPr>
            </w:pPr>
            <w:r>
              <w:rPr>
                <w:rFonts w:ascii="Arial" w:cs="Arial" w:eastAsia="Arial" w:hAnsi="Arial"/>
                <w:sz w:val="18"/>
                <w:szCs w:val="18"/>
                <w:color w:val="auto"/>
                <w:w w:val="94"/>
              </w:rPr>
              <w:t>derivatives still held at</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the end of the periods</w:t>
            </w:r>
          </w:p>
        </w:tc>
        <w:tc>
          <w:tcPr>
            <w:tcW w:w="272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7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line="227" w:lineRule="auto"/>
        <w:tabs>
          <w:tab w:leader="none" w:pos="390" w:val="left"/>
        </w:tabs>
        <w:numPr>
          <w:ilvl w:val="0"/>
          <w:numId w:val="118"/>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2011, we transferred interest rate and commodity derivatives with an aggregate fair value of a $17 million gain from level 3 to level 2. This transfer resulted from the implementation of additional valuation procedures, using market observable inputs, to validate the broker or dealer price quotations used for fair value measurement.</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2012 and 2011,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2012, 2011, and 2010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2010 and prior years, our Canadian operations were operated through a combination of corporate entities subject to Canadian federal and provincial taxes and a limited partnership which was treated as a flow-through entity for tax purposes. Due to changes in Canadian legislation and the Fifth Protocol to the U.S./Canada Tax Treaty, we restructured our Canadian investment on January 1, 2011. As of this date, all of our Canadian operations are conducted within entities that are treated as corporations for Canadian tax purposes (flow through for U.S. tax purposes) and that are subject to Canadian federal and provincial taxes. Additionally, payments of interest and dividends from Canada to other Plains entities are subject to Canadian withholding tax that is treated as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(benefit)/expense:</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Total current tax (benefit)/ expense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w:t>
            </w: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expense</w:t>
            </w:r>
          </w:p>
        </w:tc>
        <w:tc>
          <w:tcPr>
            <w:tcW w:w="102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Total income tax (benefit)/expense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25" w:name="page126"/>
    <w:bookmarkEnd w:id="125"/>
    <w:p>
      <w:pPr>
        <w:ind w:right="640" w:firstLine="648"/>
        <w:spacing w:after="0" w:line="277" w:lineRule="auto"/>
        <w:rPr>
          <w:sz w:val="20"/>
          <w:szCs w:val="20"/>
          <w:color w:val="auto"/>
        </w:rPr>
      </w:pPr>
      <w:r>
        <w:rPr>
          <w:rFonts w:ascii="Arial" w:cs="Arial" w:eastAsia="Arial" w:hAnsi="Arial"/>
          <w:sz w:val="18"/>
          <w:szCs w:val="18"/>
          <w:color w:val="auto"/>
        </w:rPr>
        <w:t>The difference between tax expense based on the statutory federal income tax rate and our effective tax expense is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Partnership earnings not subject to current Canadian tax</w:t>
            </w: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federal and provincial corporate tax rate</w:t>
            </w:r>
          </w:p>
        </w:tc>
        <w:tc>
          <w:tcPr>
            <w:tcW w:w="8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(benefit)/expense: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withholding tax</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6"/>
              </w:rPr>
              <w:t>Canadian period tax adjustments resulting from tax rate changes and tax return filings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permanent differences between book and tax</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60"/>
              <w:spacing w:after="0"/>
              <w:rPr>
                <w:sz w:val="20"/>
                <w:szCs w:val="20"/>
                <w:color w:val="auto"/>
              </w:rPr>
            </w:pPr>
            <w:r>
              <w:rPr>
                <w:rFonts w:ascii="Arial" w:cs="Arial" w:eastAsia="Arial" w:hAnsi="Arial"/>
                <w:sz w:val="18"/>
                <w:szCs w:val="18"/>
                <w:color w:val="auto"/>
              </w:rPr>
              <w:t>Current income tax (benefit)/expense</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vMerge w:val="continue"/>
          </w:tcPr>
          <w:p>
            <w:pPr>
              <w:spacing w:after="0"/>
              <w:rPr>
                <w:sz w:val="21"/>
                <w:szCs w:val="21"/>
                <w:color w:val="auto"/>
              </w:rPr>
            </w:pP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expense:</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State deferred income tax (benefit)/expense</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deferred tax (benefit)/expense as a result of book versus tax differences</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income tax (benefit)/expense</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5520"/>
              <w:spacing w:after="0"/>
              <w:rPr>
                <w:sz w:val="20"/>
                <w:szCs w:val="20"/>
                <w:color w:val="auto"/>
              </w:rPr>
            </w:pPr>
            <w:r>
              <w:rPr>
                <w:rFonts w:ascii="Arial" w:cs="Arial" w:eastAsia="Arial" w:hAnsi="Arial"/>
                <w:sz w:val="18"/>
                <w:szCs w:val="18"/>
                <w:color w:val="auto"/>
              </w:rPr>
              <w:t>F-43</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6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Deferred tax assets and liabilities, which are included net in “Other long-term liabilities and deferred credits” on our Consolidated Balance Sheet, result from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Book accruals in excess of current tax deductions</w:t>
            </w:r>
          </w:p>
        </w:tc>
        <w:tc>
          <w:tcPr>
            <w:tcW w:w="282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9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Property and equipment in excess of tax values</w:t>
            </w: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9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90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BP NGL Acquisition in 2012 increased net deferred tax liabilities by approximately $236 million. See Note 3 for additional discussion of this acquisition. Generally, tax returns for our Canadian entities are open to audit from 2008 through 2012. Our U.S. and state tax years are generally open to examination from 2009 to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13—Major Customers and Concentration of Credit Risk</w:t>
      </w:r>
    </w:p>
    <w:p>
      <w:pPr>
        <w:spacing w:after="0" w:line="229" w:lineRule="exact"/>
        <w:rPr>
          <w:sz w:val="20"/>
          <w:szCs w:val="20"/>
          <w:color w:val="auto"/>
        </w:rPr>
      </w:pPr>
    </w:p>
    <w:p>
      <w:pPr>
        <w:ind w:right="100" w:firstLine="792"/>
        <w:spacing w:after="0" w:line="293" w:lineRule="auto"/>
        <w:rPr>
          <w:sz w:val="20"/>
          <w:szCs w:val="20"/>
          <w:color w:val="auto"/>
        </w:rPr>
      </w:pPr>
      <w:r>
        <w:rPr>
          <w:rFonts w:ascii="Arial" w:cs="Arial" w:eastAsia="Arial" w:hAnsi="Arial"/>
          <w:sz w:val="16"/>
          <w:szCs w:val="16"/>
          <w:color w:val="auto"/>
        </w:rPr>
        <w:t>Marathon Petroleum Corporation and its affiliates accounted for approximately 16%, 16% and 14% of our revenues for each of the three years ended December 31, 2012, 2011 and 2010, respectively. ConocoPhillips Company (prior to the spin-off of Phillips 66, which was effective May 1, 2012) accounted for 10% of our revenues for each of the years ended December 31, 2011 and 2010. No other customers accounted for 10% or more of our revenues during any of the three years ended December 31, 2012.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6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 of Our General Partner and its Affiliates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AAP LP Class B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2012, 2011 and 2010 were $535 million, $419 million and $374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Vulcan Energy Corporation</w:t>
      </w:r>
    </w:p>
    <w:p>
      <w:pPr>
        <w:sectPr>
          <w:pgSz w:w="11900" w:h="16838" w:orient="portrait"/>
          <w:cols w:equalWidth="0" w:num="1">
            <w:col w:w="11460"/>
          </w:cols>
          <w:pgMar w:left="240" w:top="125" w:right="199" w:bottom="0" w:gutter="0" w:footer="0" w:header="0"/>
        </w:sectPr>
      </w:pPr>
    </w:p>
    <w:bookmarkStart w:id="126" w:name="page127"/>
    <w:bookmarkEnd w:id="126"/>
    <w:p>
      <w:pPr>
        <w:ind w:right="360" w:firstLine="648"/>
        <w:spacing w:after="0" w:line="277" w:lineRule="auto"/>
        <w:rPr>
          <w:sz w:val="20"/>
          <w:szCs w:val="20"/>
          <w:color w:val="auto"/>
        </w:rPr>
      </w:pPr>
      <w:r>
        <w:rPr>
          <w:rFonts w:ascii="Arial" w:cs="Arial" w:eastAsia="Arial" w:hAnsi="Arial"/>
          <w:sz w:val="18"/>
          <w:szCs w:val="18"/>
          <w:color w:val="auto"/>
        </w:rPr>
        <w:t>In December 2010, Vulcan Energy Corporation sold its 50.1% ownership interest in our general partner. Substantially all of the interest sold was acquired by existing owners of our general partner or their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2012, a subsidiary of Occidental Petroleum Corporation (“Oxy”) owned approximately 35% of our general partner interest and had a representative on the board of directors of Plains All American GP LLC. During the three years ended December 31, 2012, we recognized sales and transportation revenues and purchased petroleum products from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affiliated with Oxy. These transactions were conducted at posted tariff rates or prices that we believe approximate market. See detail below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231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(see Note 2 for information related to these investments). We recorded revenues of approximately $18 million during the year ended December 31, 2012, primarily associated with sales of crude oil to Eagle Ford Pipeline LLC for its linefill requirements. These sales did not result in any gain for us. Revenues from transactions with our equity method investees in 2011 and 2010 were immaterial. During the three years ended December 31, 2012, we utilized transportation services provided by these companies. Costs related to these services totaled approximately $42 million, $33 million and $36 million for the years ended December 31, 2012, 2011 and 2010, respectively. These transactions were conducted at posted tariff rates or contracted rates or prices that we believe approximate market. Receivables from our equity method investees totaled approximately $8 million and $10 million at December 31, 2012 and 2011, respectively. Accounts payable at December 31, 2012 and 2011 were approximately $4 million and $5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Two-for-One Unit Split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 two-for-one split of PAA’s common units was effected on October 1, 2012. In conjunction with the split, the number of units available for issuance under each of PAA’s LTIP Plans was doubled and for all outstanding unit-denominated LTIP awards, the number of unvested units and DERs (if applicable) was doubled, and the vesting requirements for such outstanding LTIP grants and related DERs, as well as awards associated with Class B units of Plains AAP, L.P. (“AAP LP Class B Units”), that are based on achievement of a specified distribution level were reduced by 50%. The remaining terms and conditions of the outstanding LTIP awards were not impacted. All LTIP information for PAA is presented as adjusted for the unit split.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Long-Term Incentive Tracking Unit Plan (the “2006 Plan”) for non-officer employees. The 1998 Plan, 2005 Plan and PPX Successor Plan authorize the issuance of an aggregate of 10.8 million common units deliverable upon vesting. Although other types of awards are contemplated under the plans, currently outstanding awards are limited to “phantom units,” which mature into the right to receive common units of PAA (or cash equivalent) upon vesting. Some awards also include distribution equivalent rights (“DERs”). Subject to applicable vesting criteria, a DER entitles the grantee to a cash payment equal to the cash distribution paid on an outstanding common unit. The 2006 Plan authorizes the grant of approximately 4.2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2012, the following LTIP awards, denominated in PAA Units, were outstanding (units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LTIP Units</w:t>
            </w:r>
          </w:p>
        </w:tc>
        <w:tc>
          <w:tcPr>
            <w:tcW w:w="50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PAA</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vMerge w:val="restart"/>
          </w:tcPr>
          <w:p>
            <w:pPr>
              <w:ind w:left="1060"/>
              <w:spacing w:after="0"/>
              <w:rPr>
                <w:sz w:val="20"/>
                <w:szCs w:val="20"/>
                <w:color w:val="auto"/>
              </w:rPr>
            </w:pPr>
            <w:r>
              <w:rPr>
                <w:rFonts w:ascii="Arial" w:cs="Arial" w:eastAsia="Arial" w:hAnsi="Arial"/>
                <w:sz w:val="14"/>
                <w:szCs w:val="14"/>
                <w:b w:val="1"/>
                <w:bCs w:val="1"/>
                <w:color w:val="auto"/>
              </w:rPr>
              <w:t>Estimated Unit Vesting Date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Distribution</w:t>
            </w: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 xml:space="preserve">Outstanding </w:t>
            </w:r>
            <w:r>
              <w:rPr>
                <w:rFonts w:ascii="Arial" w:cs="Arial" w:eastAsia="Arial" w:hAnsi="Arial"/>
                <w:sz w:val="8"/>
                <w:szCs w:val="8"/>
                <w:b w:val="1"/>
                <w:bCs w:val="1"/>
                <w:color w:val="auto"/>
                <w:w w:val="96"/>
              </w:rPr>
              <w:t>(1) (2)</w:t>
            </w:r>
          </w:p>
        </w:tc>
        <w:tc>
          <w:tcPr>
            <w:tcW w:w="500" w:type="dxa"/>
            <w:vAlign w:val="bottom"/>
          </w:tcPr>
          <w:p>
            <w:pPr>
              <w:spacing w:after="0"/>
              <w:rPr>
                <w:sz w:val="12"/>
                <w:szCs w:val="12"/>
                <w:color w:val="auto"/>
              </w:rPr>
            </w:pPr>
          </w:p>
        </w:tc>
        <w:tc>
          <w:tcPr>
            <w:tcW w:w="182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Pr>
          <w:p>
            <w:pPr>
              <w:jc w:val="right"/>
              <w:ind w:right="36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$1.925 - $2.40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27" w:name="page128"/>
    <w:bookmarkEnd w:id="127"/>
    <w:p>
      <w:pPr>
        <w:ind w:left="660" w:right="120" w:hanging="652"/>
        <w:spacing w:after="0" w:line="227" w:lineRule="auto"/>
        <w:tabs>
          <w:tab w:leader="none" w:pos="648"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color w:val="auto"/>
        </w:rPr>
        <w:t>Approximately 2.9 million of the 6.0 million outstanding PAA LTIP awards also include DERs, of which 2.7 million had vested as of December 31, 2012.</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1"/>
          <w:numId w:val="119"/>
        </w:numPr>
        <w:rPr>
          <w:rFonts w:ascii="Arial" w:cs="Arial" w:eastAsia="Arial" w:hAnsi="Arial"/>
          <w:sz w:val="23"/>
          <w:szCs w:val="23"/>
          <w:color w:val="auto"/>
          <w:vertAlign w:val="superscript"/>
        </w:rPr>
      </w:pPr>
      <w:r>
        <w:rPr>
          <w:rFonts w:ascii="Arial" w:cs="Arial" w:eastAsia="Arial" w:hAnsi="Arial"/>
          <w:sz w:val="18"/>
          <w:szCs w:val="18"/>
          <w:color w:val="auto"/>
        </w:rPr>
        <w:t>LTIP units outstanding do not include AAP LP Class B Units described below.</w:t>
      </w:r>
    </w:p>
    <w:p>
      <w:pPr>
        <w:spacing w:after="0" w:line="201" w:lineRule="exact"/>
        <w:rPr>
          <w:rFonts w:ascii="Arial" w:cs="Arial" w:eastAsia="Arial" w:hAnsi="Arial"/>
          <w:sz w:val="23"/>
          <w:szCs w:val="23"/>
          <w:color w:val="auto"/>
          <w:vertAlign w:val="superscript"/>
        </w:rPr>
      </w:pPr>
    </w:p>
    <w:p>
      <w:pPr>
        <w:ind w:left="700" w:right="20" w:hanging="647"/>
        <w:spacing w:after="0" w:line="273" w:lineRule="auto"/>
        <w:tabs>
          <w:tab w:leader="none" w:pos="688" w:val="left"/>
        </w:tabs>
        <w:numPr>
          <w:ilvl w:val="1"/>
          <w:numId w:val="119"/>
        </w:numPr>
        <w:rPr>
          <w:rFonts w:ascii="Arial" w:cs="Arial" w:eastAsia="Arial" w:hAnsi="Arial"/>
          <w:sz w:val="21"/>
          <w:szCs w:val="21"/>
          <w:color w:val="auto"/>
          <w:vertAlign w:val="superscript"/>
        </w:rPr>
      </w:pPr>
      <w:r>
        <w:rPr>
          <w:rFonts w:ascii="Arial" w:cs="Arial" w:eastAsia="Arial" w:hAnsi="Arial"/>
          <w:sz w:val="16"/>
          <w:szCs w:val="16"/>
          <w:color w:val="auto"/>
        </w:rPr>
        <w:t>These LTIP awards have performance conditions requiring the attainment of an annualized PAA distribution of between $1.925 and $2.40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 of Plains AAP, L.P.</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August 2007, the owners of Plains AAP, L.P. authorized the issuance of up to 200,000 AAP LP Class B Units. AAP LP Class B Units become earned in various increments upon the achievement of PAA distribution levels of between $1.75 and $2.40 (or in some cases, within 180 days thereof). When earned, the AAP LP Class B Unit awards are entitled to participate in distributions paid by Plains AAP, L.P. in excess of $11 million (as adjusted for debt service costs and excluding special distributions funded by debt) per quarter. Assuming all 200,000 AAP LP Class B Units were granted and earned, the maximum participation would be 8% of Plains AAP, L.P.’s distribution in excess of $11 million (as adjusted) each quarter. The following table contains a summary of AAP LP Class B Unit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Reserved for</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Fair Value Of Outstanding</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Future Grants</w:t>
            </w:r>
          </w:p>
        </w:tc>
        <w:tc>
          <w:tcPr>
            <w:tcW w:w="1660" w:type="dxa"/>
            <w:vAlign w:val="bottom"/>
            <w:gridSpan w:val="2"/>
            <w:vMerge w:val="continue"/>
          </w:tcPr>
          <w:p>
            <w:pPr>
              <w:spacing w:after="0"/>
              <w:rPr>
                <w:sz w:val="14"/>
                <w:szCs w:val="14"/>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Units Earned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 xml:space="preserve">Class B Units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center"/>
              <w:ind w:right="1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183,500</w:t>
            </w:r>
          </w:p>
        </w:tc>
        <w:tc>
          <w:tcPr>
            <w:tcW w:w="15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80,063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1,375</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(1,375)</w:t>
            </w:r>
          </w:p>
        </w:tc>
        <w:tc>
          <w:tcPr>
            <w:tcW w:w="1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182,125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130,250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360" w:hanging="692"/>
        <w:spacing w:after="0" w:line="227" w:lineRule="auto"/>
        <w:tabs>
          <w:tab w:leader="none" w:pos="683" w:val="left"/>
        </w:tabs>
        <w:numPr>
          <w:ilvl w:val="0"/>
          <w:numId w:val="120"/>
        </w:numPr>
        <w:rPr>
          <w:rFonts w:ascii="Arial" w:cs="Arial" w:eastAsia="Arial" w:hAnsi="Arial"/>
          <w:sz w:val="23"/>
          <w:szCs w:val="23"/>
          <w:color w:val="auto"/>
          <w:vertAlign w:val="superscript"/>
        </w:rPr>
      </w:pPr>
      <w:r>
        <w:rPr>
          <w:rFonts w:ascii="Arial" w:cs="Arial" w:eastAsia="Arial" w:hAnsi="Arial"/>
          <w:sz w:val="18"/>
          <w:szCs w:val="18"/>
          <w:color w:val="auto"/>
        </w:rPr>
        <w:t>Of the grant date fair value, approximately $6 million and $9 million was recognized as expense during the years ended December 31, 2012 and 2011, respectively.</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the entire economic burden of the AAP LP Class B Units, which are equity classified, is borne solely by Plains AAP, L.P. and does not impact our cash or units outstanding, the intent of the AAP LP Class B Units is to provide a performance incentive and encourage retention for certain members of our senior management. Therefore, we recognize the grant date fair value of the AAP LP Class B Units as compensation expense over the service period. The expense is also reflected as a capital contribution and thus, results in a corresponding credit to partners’ capital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PNG Long-Term Incentive Plan Awards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April 2010, PNG’s general partner adopted the PAA Natural Gas Storage, L.P. 2010 Long Term Incentive Plan (the “PNG Plan”) for employees, directors and consultants. The PNG Plan limits the number of PNG common units that may be delivered pursuant to awards under the plan to 3.0 million units. Although other types of awards are contemplated under the plan, currently outstanding awards are limited to phantom units, which mature into the right to receive common units of PNG (or cash equivalent) upon vesting. Some awards also include 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2012, the following LTIP awards, denominated in PNG Units, were outstanding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PNG</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vMerge w:val="restart"/>
          </w:tcPr>
          <w:p>
            <w:pPr>
              <w:ind w:left="1060"/>
              <w:spacing w:after="0"/>
              <w:rPr>
                <w:sz w:val="20"/>
                <w:szCs w:val="20"/>
                <w:color w:val="auto"/>
              </w:rPr>
            </w:pPr>
            <w:r>
              <w:rPr>
                <w:rFonts w:ascii="Arial" w:cs="Arial" w:eastAsia="Arial" w:hAnsi="Arial"/>
                <w:sz w:val="14"/>
                <w:szCs w:val="14"/>
                <w:b w:val="1"/>
                <w:bCs w:val="1"/>
                <w:color w:val="auto"/>
              </w:rPr>
              <w:t>Estimated Unit Vesting Date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380" w:type="dxa"/>
            <w:vAlign w:val="bottom"/>
            <w:gridSpan w:val="2"/>
            <w:vMerge w:val="restart"/>
          </w:tcPr>
          <w:p>
            <w:pPr>
              <w:jc w:val="center"/>
              <w:ind w:right="402"/>
              <w:spacing w:after="0" w:line="149" w:lineRule="exact"/>
              <w:rPr>
                <w:sz w:val="20"/>
                <w:szCs w:val="20"/>
                <w:color w:val="auto"/>
              </w:rPr>
            </w:pPr>
            <w:r>
              <w:rPr>
                <w:rFonts w:ascii="Arial" w:cs="Arial" w:eastAsia="Arial" w:hAnsi="Arial"/>
                <w:sz w:val="14"/>
                <w:szCs w:val="14"/>
                <w:b w:val="1"/>
                <w:bCs w:val="1"/>
                <w:color w:val="auto"/>
                <w:w w:val="98"/>
              </w:rPr>
              <w:t>LTIP Units</w:t>
            </w:r>
          </w:p>
        </w:tc>
        <w:tc>
          <w:tcPr>
            <w:tcW w:w="23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gridSpan w:val="5"/>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380" w:type="dxa"/>
            <w:vAlign w:val="bottom"/>
            <w:gridSpan w:val="2"/>
            <w:vMerge w:val="continue"/>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11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3"/>
                <w:szCs w:val="3"/>
                <w:color w:val="auto"/>
              </w:rPr>
            </w:pPr>
          </w:p>
        </w:tc>
        <w:tc>
          <w:tcPr>
            <w:tcW w:w="116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3"/>
                <w:szCs w:val="3"/>
                <w:color w:val="auto"/>
              </w:rPr>
            </w:pPr>
          </w:p>
        </w:tc>
        <w:tc>
          <w:tcPr>
            <w:tcW w:w="11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3"/>
                <w:szCs w:val="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line="20" w:lineRule="exact"/>
              <w:rPr>
                <w:sz w:val="1"/>
                <w:szCs w:val="1"/>
                <w:color w:val="auto"/>
              </w:rPr>
            </w:pPr>
          </w:p>
        </w:tc>
      </w:tr>
      <w:tr>
        <w:trPr>
          <w:trHeight w:val="171"/>
        </w:trPr>
        <w:tc>
          <w:tcPr>
            <w:tcW w:w="23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2"/>
              </w:rPr>
              <w:t>Outstanding</w:t>
            </w:r>
          </w:p>
        </w:tc>
        <w:tc>
          <w:tcPr>
            <w:tcW w:w="2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Required</w:t>
            </w: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w w:val="87"/>
              </w:rPr>
              <w:t>0.4</w:t>
            </w:r>
          </w:p>
        </w:tc>
        <w:tc>
          <w:tcPr>
            <w:tcW w:w="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(1)</w:t>
            </w: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$1.35 - $1.55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680"/>
              <w:spacing w:after="0" w:line="216" w:lineRule="exact"/>
              <w:rPr>
                <w:sz w:val="20"/>
                <w:szCs w:val="20"/>
                <w:color w:val="auto"/>
              </w:rPr>
            </w:pPr>
            <w:r>
              <w:rPr>
                <w:rFonts w:ascii="Arial" w:cs="Arial" w:eastAsia="Arial" w:hAnsi="Arial"/>
                <w:sz w:val="18"/>
                <w:szCs w:val="18"/>
                <w:color w:val="auto"/>
              </w:rPr>
              <w:t>0.2</w:t>
            </w:r>
            <w:r>
              <w:rPr>
                <w:rFonts w:ascii="Arial" w:cs="Arial" w:eastAsia="Arial" w:hAnsi="Arial"/>
                <w:sz w:val="23"/>
                <w:szCs w:val="23"/>
                <w:b w:val="1"/>
                <w:bCs w:val="1"/>
                <w:color w:val="auto"/>
                <w:vertAlign w:val="superscript"/>
              </w:rPr>
              <w:t>(2)</w:t>
            </w: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920" w:type="dxa"/>
            <w:vAlign w:val="bottom"/>
            <w:tcBorders>
              <w:top w:val="single" w:sz="8" w:color="auto"/>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w w:val="87"/>
              </w:rPr>
              <w:t>0.6</w:t>
            </w:r>
          </w:p>
        </w:tc>
        <w:tc>
          <w:tcPr>
            <w:tcW w:w="46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(3) (4)</w:t>
            </w: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222885</wp:posOffset>
            </wp:positionV>
            <wp:extent cx="17240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hanging="652"/>
        <w:spacing w:after="0" w:line="234" w:lineRule="auto"/>
        <w:tabs>
          <w:tab w:leader="none" w:pos="648"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These LTIP awards have performance conditions requiring the attainment of an annualized PNG distribution of between $1.35 and $1.55 and vest upon attainment of such levels. For purposes of this disclosure, vesting dates are based on an estimate of future distribution levels and assume that all grantees remain employed by us through the vesting date.</w:t>
      </w:r>
    </w:p>
    <w:p>
      <w:pPr>
        <w:spacing w:after="0" w:line="202" w:lineRule="exact"/>
        <w:rPr>
          <w:rFonts w:ascii="Arial" w:cs="Arial" w:eastAsia="Arial" w:hAnsi="Arial"/>
          <w:sz w:val="23"/>
          <w:szCs w:val="23"/>
          <w:color w:val="auto"/>
          <w:vertAlign w:val="superscript"/>
        </w:rPr>
      </w:pPr>
    </w:p>
    <w:p>
      <w:pPr>
        <w:ind w:left="700" w:right="120" w:hanging="647"/>
        <w:spacing w:after="0" w:line="234" w:lineRule="auto"/>
        <w:tabs>
          <w:tab w:leader="none" w:pos="688" w:val="left"/>
        </w:tabs>
        <w:numPr>
          <w:ilvl w:val="1"/>
          <w:numId w:val="121"/>
        </w:numPr>
        <w:rPr>
          <w:rFonts w:ascii="Arial" w:cs="Arial" w:eastAsia="Arial" w:hAnsi="Arial"/>
          <w:sz w:val="23"/>
          <w:szCs w:val="23"/>
          <w:color w:val="auto"/>
          <w:vertAlign w:val="superscript"/>
        </w:rPr>
      </w:pPr>
      <w:r>
        <w:rPr>
          <w:rFonts w:ascii="Arial" w:cs="Arial" w:eastAsia="Arial" w:hAnsi="Arial"/>
          <w:sz w:val="18"/>
          <w:szCs w:val="18"/>
          <w:color w:val="auto"/>
        </w:rPr>
        <w:t>These LTIP awards have performance conditions requiring the conversion of PNG’s Series A subordinated units (see Note 10). For purposes of this disclosure, vesting dates are based on an estimate of future distribution levels and assume that all grantees remain employed by us through the vesting date.</w:t>
      </w:r>
    </w:p>
    <w:p>
      <w:pPr>
        <w:spacing w:after="0" w:line="202" w:lineRule="exact"/>
        <w:rPr>
          <w:rFonts w:ascii="Arial" w:cs="Arial" w:eastAsia="Arial" w:hAnsi="Arial"/>
          <w:sz w:val="23"/>
          <w:szCs w:val="23"/>
          <w:color w:val="auto"/>
          <w:vertAlign w:val="superscript"/>
        </w:rPr>
      </w:pPr>
    </w:p>
    <w:p>
      <w:pPr>
        <w:ind w:left="700" w:right="20" w:hanging="647"/>
        <w:spacing w:after="0" w:line="227" w:lineRule="auto"/>
        <w:tabs>
          <w:tab w:leader="none" w:pos="688" w:val="left"/>
        </w:tabs>
        <w:numPr>
          <w:ilvl w:val="1"/>
          <w:numId w:val="121"/>
        </w:numPr>
        <w:rPr>
          <w:rFonts w:ascii="Arial" w:cs="Arial" w:eastAsia="Arial" w:hAnsi="Arial"/>
          <w:sz w:val="23"/>
          <w:szCs w:val="23"/>
          <w:color w:val="auto"/>
          <w:vertAlign w:val="superscript"/>
        </w:rPr>
      </w:pPr>
      <w:r>
        <w:rPr>
          <w:rFonts w:ascii="Arial" w:cs="Arial" w:eastAsia="Arial" w:hAnsi="Arial"/>
          <w:sz w:val="18"/>
          <w:szCs w:val="18"/>
          <w:color w:val="auto"/>
        </w:rPr>
        <w:t>Approximately 0.5 million of the 0.6 million outstanding PNG LTIP awards also include DERs, of which approximately 0.2 million had vested as of December 31, 2012.</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1"/>
          <w:numId w:val="121"/>
        </w:numPr>
        <w:rPr>
          <w:rFonts w:ascii="Arial" w:cs="Arial" w:eastAsia="Arial" w:hAnsi="Arial"/>
          <w:sz w:val="23"/>
          <w:szCs w:val="23"/>
          <w:color w:val="auto"/>
          <w:vertAlign w:val="superscript"/>
        </w:rPr>
      </w:pPr>
      <w:r>
        <w:rPr>
          <w:rFonts w:ascii="Arial" w:cs="Arial" w:eastAsia="Arial" w:hAnsi="Arial"/>
          <w:sz w:val="18"/>
          <w:szCs w:val="18"/>
          <w:color w:val="auto"/>
        </w:rPr>
        <w:t>LTIP units outstanding do not include the PNG Transaction Grants or PNGS GP LLC Class B Units described below.</w:t>
      </w:r>
    </w:p>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PNG LTIP Modification</w:t>
      </w:r>
      <w:r>
        <w:rPr>
          <w:rFonts w:ascii="Arial" w:cs="Arial" w:eastAsia="Arial" w:hAnsi="Arial"/>
          <w:sz w:val="16"/>
          <w:szCs w:val="16"/>
          <w:color w:val="auto"/>
        </w:rPr>
        <w:t>. In February 2012, the Board of Directors of PNG’s general partner approved the modification of certain awards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PNG Plan. As a result of the modification, 232,500 equity-classified phantom unit awards will now vest in the following manner: (i)</w:t>
      </w:r>
    </w:p>
    <w:p>
      <w:pPr>
        <w:spacing w:after="0" w:line="323" w:lineRule="auto"/>
        <w:rPr>
          <w:sz w:val="20"/>
          <w:szCs w:val="20"/>
          <w:color w:val="auto"/>
        </w:rPr>
      </w:pPr>
      <w:r>
        <w:rPr>
          <w:rFonts w:ascii="Arial" w:cs="Arial" w:eastAsia="Arial" w:hAnsi="Arial"/>
          <w:sz w:val="16"/>
          <w:szCs w:val="16"/>
          <w:color w:val="auto"/>
        </w:rPr>
        <w:t>69,750 awards, with DERs also modified to begin payment in February 2012, will vest upon the date PNG pays an annualized distribution of at least $1.45, (ii) 69,750 awards, with DERs also modified to begin payment in May 2013, will vest upon the date PNG pays an annualized distribution of at least $1.50 and</w:t>
      </w:r>
    </w:p>
    <w:p>
      <w:pPr>
        <w:sectPr>
          <w:pgSz w:w="11900" w:h="16838" w:orient="portrait"/>
          <w:cols w:equalWidth="0" w:num="1">
            <w:col w:w="11420"/>
          </w:cols>
          <w:pgMar w:left="240" w:top="125" w:right="239" w:bottom="0" w:gutter="0" w:footer="0" w:header="0"/>
        </w:sectPr>
      </w:pPr>
    </w:p>
    <w:bookmarkStart w:id="128" w:name="page129"/>
    <w:bookmarkEnd w:id="128"/>
    <w:p>
      <w:pPr>
        <w:spacing w:after="0" w:line="62" w:lineRule="exact"/>
        <w:rPr>
          <w:sz w:val="20"/>
          <w:szCs w:val="20"/>
          <w:color w:val="auto"/>
        </w:rPr>
      </w:pPr>
    </w:p>
    <w:p>
      <w:pPr>
        <w:ind w:right="20" w:firstLine="8"/>
        <w:spacing w:after="0" w:line="273"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93,000 awards, with DERs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DERs were also granted with respect to these awards to begin payment in February 2012. There was no financial impact at the time of the modification; however, we anticipate that we will recognize additional equity compensation expense in the future as a result of the modification.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PNG Transaction Grants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September 2010, we entered into agreements with certain of our officers, pursuant to which these officers acquired an aggregate of 375,000 phantom common units, phantom Series A subordinated units, and phantom Series B subordinated units representing a portion of the limited partner interests of PNG issued to us in the PNG IPO. The awards, referred to herein as “PNG Transaction Grants,” will vest upon the completion of the service period and certain performance conditions, including the conversion of PNG’s Series A subordinated units into common units of PNG and the conversion of PNG’s Series B subordinated units into Series A subordinated units of PNG. Upon vesting, these awards will be settled with outstanding common or Series A subordinated units of PNG currently owned by us, resulting in a dilution of our interest in PNG. As of December 31, 2012, 125,000 PNG Transaction Grants had vested in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 of PNGS GP LLC</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July 2010, the Board of Directors of PNG’s general partner authorized the issuance of 165,000 Class B units of PNGS GP LLC (“PNGS GP LLC Class B Units”). As of December 31, 2012, 74,250 units were outstanding, and the remaining 90,750 units are reserved for future grants. The PNGS GP LLC Class B Units earn the right to participate in distributions (i.e. become “earned”) in 25% increments 180 days following annualized PNG distribution levels of $2.00, $2.30, $2.50 and $2.70. In addition, 50% of the applicable earned units vest immediately upon becoming earned units and the remaining 50% vest on the fifth anniversary of the date of grant. If PNGS GP LLC Class B Units become earned units after the fifth anniversary of the date of grant, 100% of such units will vest immediately upon becoming earned units. When earned, the PNGS GP LLC Class B Units participate in quarterly distributions paid to PNG’s general partner to the extent such distributions exceed $2.5 million per quarter. Assuming all 165,000 PNGS GP LLC Class B Units were granted and earned, the maximum participation rate would be 6% of PNG’s quarterly general partner distribution in excess of $2.5 million. As the PNG distribution levels required for vesting are not currently considered to be probable of occurring, no expense was recognized for the PNGS GP LLC Class B Units during the years ended December 31, 2012 or 2011.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 Compensation Information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LTIP awards include both liability classified and equity classified awards. In accordance with FASB guidance regarding share-based payments, the fair value of our liability classified LTIP awards is calculated based on the closing market price of the underlying PAA or PNG Units at each balance sheet date and adjusted for the present value of any distributions that are estimated to occur on the underlying units over the vesting period that will not be received by the award recipients. The fair value of our equity classified LTIP awards is calculated based on the closing market price of the PAA or PNG Units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our probability assessment changes. This is necessary to bring the accrued obligation associated with these awards up to the level it would be as if we had been accruing for these awards since the grant date. Our DER awards typically contain performance conditions based on the attainment of certain annualized distribution levels and become earned upon the attainment of such levels. The DERs terminate with the vesting or forfeiture of the underlying LTIP award. For liability classified awards, we recognize DER payments in the period the payment is earned as compensation expense. For equity classified awards, we recognize DER payments in the period it is paid as a reduction of partners’ capital.</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Prior to PNG’s IPO and adoption of the PNG Plan, certain PNG officers and other individuals were granted LTIP awards under the PAA LTIP Plans. In connection with the adoption of the PNG plan, substantially all of the then outstanding PAA LTIP awards held by PNG officers were converted to PNG LTIP awards. We recognized incremental compensation expense of less than $1 million during the twelve months ended December 31, 2010 as a result of this modification.</w:t>
      </w:r>
    </w:p>
    <w:p>
      <w:pPr>
        <w:spacing w:after="0" w:line="18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Our accrued liability at December 31, 2012 related to all outstanding liability-classified LTIP awards and DERs is approximately $90 million, of which approximately $44 million was classified as short-term and approximately $46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the following performance conditions are probable of occurring: (i) an annualized PAA distribution of $2.45, (ii) an annualized PNG distribution of $1.45 and (iii) the conversion of PNG’s Series A subordinated units. At December 31, 2011, the accrued liability was approximately $138 million, which includes accruals associated with our assessments that the following performance conditions were probable of occurring: (i) an annualized PAA distribution of $2.175, (ii) an annualized PNG distribution of $1.45 and</w:t>
      </w:r>
    </w:p>
    <w:p>
      <w:pPr>
        <w:spacing w:after="0" w:line="3" w:lineRule="exact"/>
        <w:rPr>
          <w:sz w:val="20"/>
          <w:szCs w:val="20"/>
          <w:color w:val="auto"/>
        </w:rPr>
      </w:pPr>
    </w:p>
    <w:p>
      <w:pPr>
        <w:ind w:right="440" w:firstLine="8"/>
        <w:spacing w:after="0" w:line="290" w:lineRule="auto"/>
        <w:tabs>
          <w:tab w:leader="none" w:pos="3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conversion of PNG’s Series A subordinated units and the first tranche of PNG’s Series B subordinated units. In February 2012, the performance conditions related to PNG’s Series B subordinated units were modified. See “PNG LTIP Modification” above for further discussion.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equity compensation activity for LTIP awards denominated in PAA and PNG Units is summarized in the following table (units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80" w:type="dxa"/>
            <w:vAlign w:val="bottom"/>
            <w:gridSpan w:val="5"/>
          </w:tcPr>
          <w:p>
            <w:pPr>
              <w:ind w:left="24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(2)</w:t>
            </w:r>
          </w:p>
        </w:tc>
        <w:tc>
          <w:tcPr>
            <w:tcW w:w="3440" w:type="dxa"/>
            <w:vAlign w:val="bottom"/>
            <w:gridSpan w:val="5"/>
          </w:tcPr>
          <w:p>
            <w:pPr>
              <w:ind w:left="106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(3) (4) (5) (6)</w:t>
            </w: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ind w:right="102"/>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2"/>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Fair Value per Unit</w:t>
            </w: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2009</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22.83</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17.81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vMerge w:val="continue"/>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27.53</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7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20.99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33.90</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7"/>
                <w:szCs w:val="17"/>
                <w:color w:val="auto"/>
              </w:rPr>
            </w:pPr>
          </w:p>
        </w:tc>
        <w:tc>
          <w:tcPr>
            <w:tcW w:w="7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15.33</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F-48</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220980</wp:posOffset>
            </wp:positionV>
            <wp:extent cx="16725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LP Class B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PAA Units are presented as adjusted for the two-for-one unit split effected on October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PNGS GP LLC Class B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PNG Transaction Grants.</w:t>
      </w:r>
    </w:p>
    <w:p>
      <w:pPr>
        <w:spacing w:after="0" w:line="225"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Weighted average grant date fair value per unit for PNG Units outstanding at December 31, 2012 is impacted by the modification of PNG awards during the first quarter of 2012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Less than 0.1 million PNG Units vested during the twelve months ended December 31, 2012.</w:t>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25"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We refer to our LTIP Plans, PNG Transaction Grants, AAP LP Class B Units and PNGS GP LLC Class B Units collectively as “Equity compensation plans.” The table below summarizes the expense recognized and the value of vesting (settled both in units and cash) related to our equity compensation plans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LTIP unit-settled vestings </w:t>
            </w:r>
            <w:r>
              <w:rPr>
                <w:rFonts w:ascii="Arial" w:cs="Arial" w:eastAsia="Arial" w:hAnsi="Arial"/>
                <w:sz w:val="23"/>
                <w:szCs w:val="23"/>
                <w:color w:val="auto"/>
                <w:vertAlign w:val="superscript"/>
              </w:rPr>
              <w:t>(2)</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 cash payments</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Includes expense associated with equity and liability classified awards.</w:t>
      </w:r>
    </w:p>
    <w:p>
      <w:pPr>
        <w:spacing w:after="0" w:line="225" w:lineRule="exact"/>
        <w:rPr>
          <w:sz w:val="20"/>
          <w:szCs w:val="20"/>
          <w:color w:val="auto"/>
        </w:rPr>
      </w:pPr>
    </w:p>
    <w:p>
      <w:pPr>
        <w:ind w:left="20" w:right="140" w:hanging="16"/>
        <w:spacing w:after="0" w:line="277" w:lineRule="auto"/>
        <w:rPr>
          <w:sz w:val="20"/>
          <w:szCs w:val="20"/>
          <w:color w:val="auto"/>
        </w:rPr>
      </w:pPr>
      <w:r>
        <w:rPr>
          <w:rFonts w:ascii="Arial" w:cs="Arial" w:eastAsia="Arial" w:hAnsi="Arial"/>
          <w:sz w:val="18"/>
          <w:szCs w:val="18"/>
          <w:color w:val="auto"/>
        </w:rPr>
        <w:t>For the years ended December 31, 2012 and 2011, approximately $1 million and $2 million, respectively, relates to unit vestings which were settled with PNG common units.</w:t>
      </w:r>
    </w:p>
    <w:p>
      <w:pPr>
        <w:spacing w:after="0" w:line="170" w:lineRule="exact"/>
        <w:rPr>
          <w:sz w:val="20"/>
          <w:szCs w:val="20"/>
          <w:color w:val="auto"/>
        </w:rPr>
      </w:pPr>
    </w:p>
    <w:p>
      <w:pPr>
        <w:sectPr>
          <w:pgSz w:w="11900" w:h="16838" w:orient="portrait"/>
          <w:cols w:equalWidth="0" w:num="2">
            <w:col w:w="140" w:space="540"/>
            <w:col w:w="10780"/>
          </w:cols>
          <w:pgMar w:left="240" w:top="140" w:right="199" w:bottom="0" w:gutter="0" w:footer="0" w:header="0"/>
          <w:type w:val="continuous"/>
        </w:sectPr>
      </w:pPr>
    </w:p>
    <w:p>
      <w:pPr>
        <w:ind w:right="60" w:firstLine="648"/>
        <w:spacing w:after="0" w:line="255" w:lineRule="auto"/>
        <w:rPr>
          <w:sz w:val="20"/>
          <w:szCs w:val="20"/>
          <w:color w:val="auto"/>
        </w:rPr>
      </w:pPr>
      <w:r>
        <w:rPr>
          <w:rFonts w:ascii="Arial" w:cs="Arial" w:eastAsia="Arial" w:hAnsi="Arial"/>
          <w:sz w:val="18"/>
          <w:szCs w:val="18"/>
          <w:color w:val="auto"/>
        </w:rPr>
        <w:t>Approximately 1.0 million, 0.4 million, and 0.6 million PAA common units were issued net of tax withholding of approximately 0.5 million, 0.2 million and 0.4 million units, in 2012, 2011, and 2010 respectively, in connection with the settlement of vested awards. The remaining 1.7 million, 0.8 million and 1.2 million of awards that vested during 2012, 2011 and 2010 respectively, were settled in cash. Based on the December 31, 2012 fair value measurement and probability assessment regarding future distributions, we expect to recognize approximately $88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2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Plan Fair Value</w:t>
            </w:r>
          </w:p>
        </w:tc>
        <w:tc>
          <w:tcPr>
            <w:tcW w:w="0" w:type="dxa"/>
            <w:vAlign w:val="bottom"/>
          </w:tcPr>
          <w:p>
            <w:pPr>
              <w:spacing w:after="0"/>
              <w:rPr>
                <w:sz w:val="1"/>
                <w:szCs w:val="1"/>
                <w:color w:val="auto"/>
              </w:rPr>
            </w:pPr>
          </w:p>
        </w:tc>
      </w:tr>
      <w:tr>
        <w:trPr>
          <w:trHeight w:val="171"/>
        </w:trPr>
        <w:tc>
          <w:tcPr>
            <w:tcW w:w="8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8"/>
                <w:szCs w:val="8"/>
                <w:b w:val="1"/>
                <w:bCs w:val="1"/>
                <w:color w:val="auto"/>
                <w:w w:val="97"/>
              </w:rPr>
              <w:t>(1) (2)</w:t>
            </w:r>
          </w:p>
        </w:tc>
        <w:tc>
          <w:tcPr>
            <w:tcW w:w="0" w:type="dxa"/>
            <w:vAlign w:val="bottom"/>
          </w:tcPr>
          <w:p>
            <w:pPr>
              <w:spacing w:after="0"/>
              <w:rPr>
                <w:sz w:val="1"/>
                <w:szCs w:val="1"/>
                <w:color w:val="auto"/>
              </w:rPr>
            </w:pP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180" w:hanging="647"/>
        <w:spacing w:after="0" w:line="227" w:lineRule="auto"/>
        <w:tabs>
          <w:tab w:leader="none" w:pos="688"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2012.</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Includes unamortized fair value associated with AAP LP Class B Units, PNGS GP LLC Class B Units and PNG Transaction Grants.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Expenditures related to leases for 2012, 2011 and 2010 were approximately $102 million, $60 million and $52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2012, are summarized below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0"/>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capital and operating leases as defined by the FASB guidance.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Primarily includes third-party storage and transportation agreements and pipeline throughput agreements.</w:t>
      </w:r>
    </w:p>
    <w:p>
      <w:pPr>
        <w:spacing w:after="0" w:line="200" w:lineRule="exact"/>
        <w:rPr>
          <w:sz w:val="20"/>
          <w:szCs w:val="20"/>
          <w:color w:val="auto"/>
        </w:rPr>
      </w:pPr>
    </w:p>
    <w:p>
      <w:pPr>
        <w:sectPr>
          <w:pgSz w:w="11900" w:h="16838" w:orient="portrait"/>
          <w:cols w:equalWidth="0" w:num="2">
            <w:col w:w="140" w:space="460"/>
            <w:col w:w="10820"/>
          </w:cols>
          <w:pgMar w:left="240" w:top="121"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the ordinary course of business, we are involved in various legal proceedings. To the extent we are able to assess the likelihood of a</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6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Pemex Exploración y Producción v. Big Star Gathering Ltd L.L.P. et al. </w:t>
      </w:r>
      <w:r>
        <w:rPr>
          <w:rFonts w:ascii="Arial" w:cs="Arial" w:eastAsia="Arial" w:hAnsi="Arial"/>
          <w:sz w:val="18"/>
          <w:szCs w:val="18"/>
          <w:color w:val="auto"/>
        </w:rPr>
        <w:t>In two cases filed in the Texas Southern District Court in May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At December 31, 2012, our estimated undiscounted reserve for environmental liabilities, including the reserve related to our Rangeland Pipeline release as discussed further below, totaled approximately $96 million, of which approximately $13 million was classified as short-term and approximately $83 million was classified as long-term. At December 31, 2011, our estimated undiscounted reserve for environmental liabilities totaled approximately $74 million, of which approximately $12 million was classified as short-term and $62 million was classified as long-term. The short- and long-term environmental liabilities referenced above are reflected in “Accounts payable and accrued liabilities” and “Other long-term liabilities and deferred credits,” respectively, on our Consolidated Balance Sheet. At December 31, 2012 and December 31, 2011, we had recorded receivables totaling approximately $42 million and $47 million, respectively, for amounts probable of recovery under insurance and from third parties under indemnification agreements, which are predominantly reflected in “Trade accounts receivable and other receivables, net” on our Consolidated Balance Sheet.</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sectPr>
          <w:pgSz w:w="11900" w:h="16838" w:orient="portrait"/>
          <w:cols w:equalWidth="0" w:num="1">
            <w:col w:w="11420"/>
          </w:cols>
          <w:pgMar w:left="240" w:top="121" w:right="239" w:bottom="0" w:gutter="0" w:footer="0" w:header="0"/>
          <w:type w:val="continuous"/>
        </w:sectPr>
      </w:pPr>
    </w:p>
    <w:bookmarkStart w:id="131" w:name="page132"/>
    <w:bookmarkEnd w:id="131"/>
    <w:p>
      <w:pPr>
        <w:ind w:left="660"/>
        <w:spacing w:after="0"/>
        <w:rPr>
          <w:sz w:val="20"/>
          <w:szCs w:val="20"/>
          <w:color w:val="auto"/>
        </w:rPr>
      </w:pPr>
      <w:r>
        <w:rPr>
          <w:rFonts w:ascii="Arial" w:cs="Arial" w:eastAsia="Arial" w:hAnsi="Arial"/>
          <w:sz w:val="18"/>
          <w:szCs w:val="18"/>
          <w:b w:val="1"/>
          <w:bCs w:val="1"/>
          <w:color w:val="auto"/>
        </w:rPr>
        <w:t>Rangeland Pipeline Release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June 7, 2012, we experienced a crude oil release on a section of our Rangeland Pipeline located near Sundre, Alberta, Canada. Approximately 3,000 barrels were released into the Red Deer River and were contained downstream in the Gleniffer Reservoir. The pipeline, while pressurized, was shut in at the time of the incident. Clean-up and remediation activities were conducted in cooperation with the applicable regulatory agencies.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w:t>
      </w:r>
    </w:p>
    <w:p>
      <w:pPr>
        <w:spacing w:after="0" w:line="17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estimate that the aggregate total clean-up and remediation costs, before insurance recoveries, will be approximately $51 million. This estimate considers our prior experience in environmental investigation and remediation matters, as well as available data from, and in consultation with, our environmental specialists. Although actual remediation costs may be more than amounts accrued, we believe we have established adequate reserves for all probable and reasonably estimable costs. We have accrued the total estimated costs to “Field operating costs” in our Consolidated Statement of Operations.</w:t>
      </w:r>
    </w:p>
    <w:p>
      <w:pPr>
        <w:spacing w:after="0" w:line="154"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As of December 31, 2012, we had a remaining undiscounted gross environmental remediation liability related to this release of approximately $7 million, substantially all of which is presented as a current liability in “Accounts payable and accrued liabilities” on our Consolidated Balance Sheet. We maintain insurance coverage, which is subject to certain exclusions and deductibles, to protect us against such environmental liabilities. This coverage is adequate to cover the total remediation costs net of our deductible. As of December 31, 2012, we had a receivable of approximately $36 million for the portion of this liability that we believe is probable of recovery from insurance, net of deductibles. This receivable has been recognized as a current asset in “Trade accounts receivable and other receivables, net” on our Consolidated Balance Sheet with the offset reducing “Field operating costs” in our Consolidated Statement of Operations.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SOP. As of December 31, 2012, we had incurred approximately $24 million of remediation costs associated with these sites, while SOP’s share has been approximately $13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assets we have acquired or will acquire in the future may have environmental remediation liabilities for which we are not indemnified.</w:t>
      </w:r>
    </w:p>
    <w:p>
      <w:pPr>
        <w:spacing w:after="0" w:line="2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32" w:name="page133"/>
    <w:bookmarkEnd w:id="132"/>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 per unit data)</w:t>
            </w:r>
          </w:p>
        </w:tc>
        <w:tc>
          <w:tcPr>
            <w:tcW w:w="9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2012</w:t>
            </w:r>
          </w:p>
        </w:tc>
        <w:tc>
          <w:tcPr>
            <w:tcW w:w="35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9,218</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9,786</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9,354</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9,439</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313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402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attributable to Plains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0.27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0.69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0.5125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0.5225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0.5325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0.5425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2011</w:t>
            </w:r>
          </w:p>
        </w:tc>
        <w:tc>
          <w:tcPr>
            <w:tcW w:w="35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7,694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8,859</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8,837</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8,884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285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attributable to Plains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278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0.45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0.74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0.68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0.4788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0.4850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0.4913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0.4975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1"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in the applicable period.</w:t>
      </w:r>
    </w:p>
    <w:p>
      <w:pPr>
        <w:spacing w:after="0" w:line="200" w:lineRule="exact"/>
        <w:rPr>
          <w:sz w:val="20"/>
          <w:szCs w:val="20"/>
          <w:color w:val="auto"/>
        </w:rPr>
      </w:pPr>
    </w:p>
    <w:p>
      <w:pPr>
        <w:sectPr>
          <w:pgSz w:w="11900" w:h="16861" w:orient="portrait"/>
          <w:cols w:equalWidth="0" w:num="2">
            <w:col w:w="140" w:space="500"/>
            <w:col w:w="10780"/>
          </w:cols>
          <w:pgMar w:left="240" w:top="368"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18—Operating Segments</w:t>
      </w:r>
    </w:p>
    <w:p>
      <w:pPr>
        <w:spacing w:after="0" w:line="229"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manage our operations through three operating segments: (i) Transportation, (ii) Facilities and (iii) Supply and Logistics. See “Revenue Recognition” in Note 2 for a summary of the types of products and services from which each segment derives its revenues.</w:t>
      </w:r>
    </w:p>
    <w:p>
      <w:pPr>
        <w:spacing w:after="0" w:line="1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w:t>
      </w:r>
    </w:p>
    <w:p>
      <w:pPr>
        <w:spacing w:after="0" w:line="14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acts to partially offset the aging and wear and tear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assets in order to maintain the service capability, level of production and/or functionality of our existing assets. Capital expenditures made to expand the existing earnings capacity of our assets are considered expansion capital expenditures, not maintenance capital. Repair and maintenance expenditures incurred in order to maintain the day to day operation of our existing assets are charged to expense as incurred.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Supply and Logistics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December 31, 2012</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1,724</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6,423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Twelve Months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1" w:orient="portrait"/>
          <w:cols w:equalWidth="0" w:num="1">
            <w:col w:w="11420"/>
          </w:cols>
          <w:pgMar w:left="240" w:top="368" w:right="239" w:bottom="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638</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33,065</w:t>
            </w:r>
          </w:p>
        </w:tc>
        <w:tc>
          <w:tcPr>
            <w:tcW w:w="560" w:type="dxa"/>
            <w:vAlign w:val="bottom"/>
            <w:gridSpan w:val="2"/>
          </w:tcPr>
          <w:p>
            <w:pPr>
              <w:jc w:val="right"/>
              <w:ind w:right="38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c>
          <w:tcPr>
            <w:tcW w:w="2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1,317</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5,156</w:t>
            </w:r>
          </w:p>
        </w:tc>
        <w:tc>
          <w:tcPr>
            <w:tcW w:w="2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4,506</w:t>
            </w:r>
          </w:p>
        </w:tc>
        <w:tc>
          <w:tcPr>
            <w:tcW w:w="2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15,381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2010</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24,989</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6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6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w:t>
            </w:r>
          </w:p>
        </w:tc>
        <w:tc>
          <w:tcPr>
            <w:tcW w:w="2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4,701</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3,303</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5,699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13,703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vMerge w:val="continue"/>
          </w:tcPr>
          <w:p>
            <w:pPr>
              <w:spacing w:after="0"/>
              <w:rPr>
                <w:sz w:val="17"/>
                <w:szCs w:val="17"/>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w:t>
            </w:r>
          </w:p>
        </w:tc>
        <w:tc>
          <w:tcPr>
            <w:tcW w:w="2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w:t>
      </w:r>
    </w:p>
    <w:p>
      <w:pPr>
        <w:spacing w:after="0" w:line="17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approximately $12 million, $20 million and $17 million for the years ended December 31, 2012, 2011 and 2010, respectively.</w:t>
      </w:r>
    </w:p>
    <w:p>
      <w:pPr>
        <w:spacing w:after="0" w:line="17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Plains (in millions):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Net income attributable to Plains</w:t>
            </w:r>
          </w:p>
        </w:tc>
        <w:tc>
          <w:tcPr>
            <w:tcW w:w="10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7,819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tcBorders>
            <w:gridSpan w:val="3"/>
            <w:vMerge w:val="continue"/>
          </w:tcPr>
          <w:p>
            <w:pPr>
              <w:spacing w:after="0"/>
              <w:rPr>
                <w:sz w:val="12"/>
                <w:szCs w:val="12"/>
                <w:color w:val="auto"/>
              </w:rPr>
            </w:pPr>
          </w:p>
        </w:tc>
        <w:tc>
          <w:tcPr>
            <w:tcW w:w="35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1"/>
              </w:rPr>
              <w:t>Canada</w:t>
            </w:r>
          </w:p>
        </w:tc>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3,677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2"/>
                <w:szCs w:val="12"/>
                <w:color w:val="auto"/>
              </w:rPr>
              <w:t>(1)</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Excludes long-term derivative assets.</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80" w:type="dxa"/>
            <w:vAlign w:val="bottom"/>
            <w:gridSpan w:val="3"/>
          </w:tcPr>
          <w:p>
            <w:pPr>
              <w:jc w:val="right"/>
              <w:ind w:right="2650"/>
              <w:spacing w:after="0"/>
              <w:rPr>
                <w:sz w:val="20"/>
                <w:szCs w:val="20"/>
                <w:color w:val="auto"/>
              </w:rPr>
            </w:pPr>
            <w:r>
              <w:rPr>
                <w:rFonts w:ascii="Arial" w:cs="Arial" w:eastAsia="Arial" w:hAnsi="Arial"/>
                <w:sz w:val="18"/>
                <w:szCs w:val="18"/>
                <w:color w:val="auto"/>
              </w:rPr>
              <w:t>F-55</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Share Purchase Agreement dated December 1, 2011 by and among Amoco Canada International Holdings B.V. and Plains Midstream</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Canada ULC (the schedules and exhibits have been omitted pursuant to Item 601(b)(2) of Regulation S-K) (incorporated by reference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to Exhibit 2.1 to the Annual Report on Form 10-K for the year ended December 31,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Fourth Amended and Restated Agreement of Limited Partnership of Plains All American Pipeline, L.P. dated as of May 17, 2012</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3.1 to the Current Report on Form 8-K filed May 23,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Amendment No. 1 dated October 1, 2012 to the Fourth Amended and Restated Agreement of Limited Partnership of Plains All</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American Pipeline, L.P. (incorporated by reference to Exhibit 3.1 to the Current Report on Form 8-K filed October 2,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Amendment No. 1 dated December 31, 2010 to the Third Amended and Restated Agreement of Limited Partnership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Marketing, L.P. (incorporated by reference to Exhibit 3.9 to the Annual Report on Form 10-K for the year ended December 31,</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Amendment No. 2 dated January 1, 2011 to the Third Amended and Restated Agreement of Limited Partnership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Marketing, L.P. (incorporated by reference to Exhibit 3.10 to the Annual Report on Form 10-K for the year ended December 31,</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Third Amended and Restated Agreement of Limited Partnership of Plains Pipeline, L.P. dated as of April 1, 2004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3.7</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Fifth Amended and Restated Limited Liability Company Agreement of Plains All American GP LLC dated December 23, 2010</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3.1 to the Current Report on Form 8-K filed December 30,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Sixth Amended and Restated Limited Partnership Agreement of Plains AAP, L.P. dated December 23, 2010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3.2 to the Current Report on Form 8-K filed December 30,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3.9</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Certificate of Incorporation of PAA Finance Corp (f/k/a Pacific Energy Finance Corporation, successor-by-merger to PAA Finance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Corp.) (incorporated by reference to Exhibit 3.10 to the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Bylaws of PAA Finance Corp (f/k/a Pacific Energy Finance Corporation, successor-by-merger to PAA Finance Corp.) (incorporated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by reference to Exhibit 3.11 to the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Limited Liability Company Agreement of PAA GP LLC dated December 28, 2007 (incorporated by reference to Exhibit 3.3 to the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Indenture dated September 25, 2002 among Plains All American Pipeline, L.P., PAA Finance Corp. and Wachovia Bank, National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8"/>
              </w:rPr>
              <w:t>Association, as trustee (incorporated by reference to Exhibit 4.1 to the Quarterly Report on Form 10-Q for the quarter ended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September 30, 2002).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89"/>
              </w:rPr>
              <w:t>Second Supplemental Indenture (Series A and Series B 5.625% Senior Notes due 2013) dated as of December 10, 2003 among Plains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All American Pipeline, L.P., PAA Finance Corp., the Subsidiary Guarantors named therein</w:t>
            </w: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8"/>
                <w:szCs w:val="18"/>
                <w:color w:val="auto"/>
              </w:rPr>
              <w:t>1</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and Wachovia Bank, National Association, as trustee (incorporated by reference to Exhibit 4.4 to the Annual Report on Form 10-K</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 the year ended December 31, 2003).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Fourth Supplemental Indenture (Series A and Series B 5.875% Senior Notes due 2016) dated August 12, 2004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4.5 to the Registration Statement on Form S-4, File No. 333-121168).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Fifth Supplemental Indenture (Series A and Series B 5.25% Senior Notes due 2015) dated May 27, 2005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Ninth Supplemental Indenture (Series A and Series B 6.125% Senior Notes due 2017)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October 30,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4.2 to the Current Report on Form 8-K filed October 30,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35" w:name="page136"/>
    <w:bookmarkEnd w:id="135"/>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Thirteenth Supplemental Indenture (Series A and Series B 6.5% Senior Notes due 2018) dated April 23, 2008 among Plains All</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April 23,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4.9</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Fifteenth Supplemental Indenture (8.75% Senior Notes due 2019) dated April 20, 2009 among Plains All American Pipeline, L.P.,</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April 20,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 by</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September 4,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4.11</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Eighteenth Supplemental Indenture (3.95% Senior Notes due 2015) dated July 14, 2010 among Plains All American Pipeline, L.P.,</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July 13,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Nineteenth Supplemental Indenture (5.00% Senior Notes due 2021) dated January 14, 2011 among Plains All American Pipeline,</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 by</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January 11, 2011).</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4.13</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Twentieth Supplemental Indenture (3.65% Senior Notes due 2022) dated March 22, 2012 among Plains All</w:t>
            </w:r>
          </w:p>
        </w:tc>
      </w:tr>
      <w:tr>
        <w:trPr>
          <w:trHeight w:val="432"/>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8"/>
                <w:szCs w:val="18"/>
                <w:color w:val="auto"/>
              </w:rPr>
              <w:t>2</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38"/>
        </w:trPr>
        <w:tc>
          <w:tcPr>
            <w:tcW w:w="8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American Pipeline, L.P., PAA Finance Corp and U.S. Bank National Association, as trustee (incorporated by reference to Exhibit 4.1</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to the Current Report on Form 8-K filed March 26,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4.14</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Twenty-First Supplemental Indenture (5.15% Senior Notes due 2042) dated March 22, 2012 among Plains All American Pipeline,</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L.P., PAA Finance Corp and U.S. Bank National Association, as trustee (incorporated by reference to Exhibit 4.3 to the Current</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4.15</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Twenty-Second Supplemental Indenture (2.85% Senior Notes due 2023) dated December 10, 2012, by and among Plains All</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Exhibit 4.1 to the Current Report on Form 8-K filed December 12,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4.16</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Twenty-Third Supplemental Indenture (4.30% Senior Notes due 2043) dated December 10, 2012, by and among Plains All American</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the</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4.17</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dated September 3, 2009 by and between Plains All American Pipeline, L.P. and Vulcan Gas Storage</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LLC (incorporated by reference to Exhibit 4.1 to the Registration Statement on Form S-3, File No. 333-162477).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Credit Agreement dated as of August 19, 2011 among Plains All American Pipeline, L.P., as Borrower; certain subsidiaries of Plains</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All American Pipeline, L.P. from time to time party thereto, as Designated Borrowers; Bank of America, N.A., as Administrative</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Agent; and the other Lenders party thereto (incorporated by reference to Exhibit 10.1 to the Current Report on Form 8-K filed</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August 25,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First Amendment to Credit Agreement dated as of June 27, 2012, among Plains All American Pipeline, L.P. and Plains Midstream</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Canada ULC, as Borrowers; Bank of America, N.A., as Administrative Agent, Swing Line Lender and L/C Issuer; Wells Fargo Bank,</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National Association, as an L/C Issuer; and the other Lenders party thereto (incorporated by reference to Exhibit 10.2 to the Current</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July 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Amended and Restated Omnibus Agreement dated as of July 23, 2004, among Plains Resources Inc., Plains All American</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Pipeline, L.P., Plains Marketing, L.P., Plains Pipeline, L.P. and Plains All American GP LLC (incorporated by reference to</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Exhibit 10.3 to the Quarterly Report on Form 10-Q for the quarter ended June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Contribution, Assignment and Amendment Agreement dated as of June 27, 2001, among Plains All American Pipeline, L.P., Plains</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Marketing, L.P., All American Pipeline, L.P., Plains AAP, L.P., Plains All American GP LLC and Plains Marketing GP Inc.</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10.1 to the Current Report on Form 8-K filed June 27,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Contribution, Assignment and Amendment Agreement dated as of June 8, 2001, among Plains All American Inc., Plains AAP, L.P.</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and Plains All American GP LLC (incorporated by reference to Exhibit 10.1 to the Current Report on Form 8-K filed June 11,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the Current</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Report on Form 8-K filed June 11,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Pension and Employee Benefits Assumption and Transition Agreement dated as of June 8, 2001 among Plains Resources Inc., Plains</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All American Inc. and Plains All American GP LLC (incorporated by reference to Exhibit 10.3 to the Current Report on Form 8-K</w:t>
            </w:r>
          </w:p>
        </w:tc>
      </w:tr>
      <w:tr>
        <w:trPr>
          <w:trHeight w:val="230"/>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June 11, 2001).</w:t>
            </w:r>
          </w:p>
        </w:tc>
      </w:tr>
      <w:tr>
        <w:trPr>
          <w:trHeight w:val="514"/>
        </w:trPr>
        <w:tc>
          <w:tcPr>
            <w:tcW w:w="88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Plains All American GP LLC 2005 Long-Term Incentive Plan (incorporated by reference to Exhibit 10.1 to the Current Report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-7162800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2" w:orient="portrait"/>
          <w:cols w:equalWidth="0" w:num="1">
            <w:col w:w="11460"/>
          </w:cols>
          <w:pgMar w:left="240" w:top="341" w:right="199" w:bottom="0" w:gutter="0" w:footer="0" w:header="0"/>
        </w:sectPr>
      </w:pPr>
    </w:p>
    <w:bookmarkStart w:id="136" w:name="page137"/>
    <w:bookmarkEnd w:id="136"/>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8-K filed January 26, 2005).</w:t>
            </w:r>
          </w:p>
        </w:tc>
      </w:tr>
      <w:tr>
        <w:trPr>
          <w:trHeight w:val="43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8"/>
                <w:szCs w:val="18"/>
                <w:color w:val="auto"/>
              </w:rPr>
              <w:t>3</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Plains All American GP LLC 1998 Long-Term Incentive Plan (incorporated by reference to Exhibit 99.1 to Registration Statement</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on Form S-8, File No. 333-74920) as amended June 27, 2003 (incorporated by reference to Exhibit 10.1 to the Quarterly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Amended and Restated Employment Agreement between Plains All American GP LLC and Greg L. Armstrong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2001 (incorporated by reference to Exhibit 10.1 to the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Amended and Restated Employment Agreement between Plains All American GP LLC and Harry N. Pefanis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2001 (incorporated by reference to Exhibit 10.2 to the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0"/>
              </w:rPr>
              <w:t>Asset Purchase and Sale Agreement dated February 28, 2001 between Murphy Oil Company Ltd. and Plains Marketing Canada, L.P.</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99.1 to the Current Report on Form 8-K filed May 10,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Transportation Agreement dated July 30, 1993, between All American Pipeline Company and Exxon Company, U.S.A. (incorporated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by reference to Exhibit 10.9 to the Registration Statement on Form S-1 filed September 23, 1998, File No. 333-64107).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Transportation Agreement dated August 2, 1993, among All American Pipeline Company, Texaco Trading and Transportation Inc.,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Chevron U.S.A. and Sun Operating Limited Partnership (incorporated by reference to Exhibit 10.10 to the Registration Statement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S-1 filed September 23, 1998, File No. 333-64107).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First Amendment to Contribution, Conveyance and Assumption Agreement dated as of December 15, 1998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10.13 to the Annual Report on Form 10-K for the 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Agreement for Purchase and Sale of Membership Interest in Scurlock Permian LLC between Marathon Ashland LLC and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Marketing, L.P. dated as of March 17, 1999 (incorporated by reference to Exhibit 10.16 to the Annual Report on Form 10-K for the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PMC (Nova Scotia) Company Bonus Program (incorporated by reference to Exhibit 10.20 to the Annual Report on Form 10-K for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Quarterly Bonus Program Summary (incorporated by reference to Exhibit 10.21 to the Annual Report on Form 10-K for the year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Form of LTIP Grant Letter (independent directors) (incorporated by reference to Exhibit 10.3 to the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Form of LTIP Grant Letter (designated directors) (incorporated by reference to Exhibit 10.4 to the Current Report on Form 8-K filed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dated August 19, 2005 (incorporated by reference to Exhibit 1.2 to the Current Report on Form 8-K filed September 19,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Greg L. Armstrong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10.31 to the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Waiver Agreement dated as of December 23, 2010 between Plains All American GP LLC and Harry N. Pefanis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10.32 to the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Excess Voting Rights Agreement dated as of August 12, 2005 between Vulcan Energy GP Holdings Inc. and Plains All</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American GP LLC (incorporated by reference to Exhibit 10.3 to the Current Report on Form 8-K filed August 16, 2005).</w:t>
            </w:r>
          </w:p>
        </w:tc>
      </w:tr>
      <w:tr>
        <w:trPr>
          <w:trHeight w:val="43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8"/>
                <w:szCs w:val="18"/>
                <w:color w:val="auto"/>
              </w:rPr>
              <w:t>4</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Excess Voting Rights Agreement dated as of August 12, 2005 between Lynx Holdings I, LLC and Plains All American GP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10.4 to the Current Report on Form 8-K filed August 16,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Employment Agreement between Plains All American GP LLC and John P. vonBerg dated December 18, 2001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10.40 to the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LTIP Grant Letter (audit committee members) (incorporated by reference to Exhibit 10.1 to the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filed August 23,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Plains All American PPX Successor Long-Term Incentive Plan (incorporated by reference to Exhibit 10.45 to the Annual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2006).</w:t>
            </w:r>
          </w:p>
        </w:tc>
      </w:tr>
      <w:tr>
        <w:trPr>
          <w:trHeight w:val="514"/>
        </w:trPr>
        <w:tc>
          <w:tcPr>
            <w:tcW w:w="90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3"/>
                <w:szCs w:val="23"/>
                <w:color w:val="auto"/>
                <w:vertAlign w:val="superscript"/>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Form of Plains AAP, L.P. Class B Restricted Units Agreement (incorporated by reference to Exhibit 10.1 to the Current Report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-10087610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-10087610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-2360295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-2360295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80" w:orient="portrait"/>
          <w:cols w:equalWidth="0" w:num="1">
            <w:col w:w="11460"/>
          </w:cols>
          <w:pgMar w:left="240" w:top="125" w:right="199" w:bottom="0" w:gutter="0" w:footer="0" w:header="0"/>
        </w:sectPr>
      </w:pPr>
    </w:p>
    <w:bookmarkStart w:id="137" w:name="page138"/>
    <w:bookmarkEnd w:id="137"/>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8-K filed January 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Third Amended and Restated Credit Agreement dated as of August 19, 2011 by and among Plains Marketing, L.P., as Borrower,</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Plains All American Pipeline, L.P., as Guarantor, Bank of America, N.A., as Administrative Agent, and the other Lenders party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thereto (incorporated by reference to Exhibit 10.1 to the Current Report on Form 8-K filed August 25, 2011).</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First Amendment to Third Amended and Restated Credit Agreement dated as of June 27, 2012, among Plains Marketing, L.P. and</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9"/>
              </w:rPr>
              <w:t>Plains Midstream Canada ULC, as Borrowers; Plains All American Pipeline, L.P., as Guarantor; Bank of America, N.A., as</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Administrative Agent, Swing Line Lender and L/C Issuer; and the other Lenders and L/C Issuers party thereto (incorporated by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10.1 to the Current Report on Form 8-K filed July 3, 2012).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Contribution and Assumption Agreement dated December 28, 2007, by and between Plains AAP, L.P. and PAA GP LLC</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10.2 to the Current Report on Form 8-K filed January 4,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and Greg L. Armstrong (incorporated by reference to Exhibit 10.49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and Harry N. Pefanis (incorporated by reference to Exhibit 10.50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8"/>
              </w:rPr>
              <w:t>First Amendment to Plains All American GP LLC 2005 Long-Term Incentive Plan dated December 4, 2008 (incorporated by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10.51 to the Annual Report on Form 10-K 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5"/>
              </w:rPr>
              <w:t>Second Amendment to Plains All American GP LLC 1998 Long-Term Incentive Plan dated December 4, 2008 (incorporated by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reference to Exhibit 10.52 to the Annual Report on Form 10-K 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4"/>
              </w:rPr>
              <w:t>Form of Amendment to LTIP grant letters (executive officers) (incorporated by reference to Exhibit 10.53 to the Annual Report on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Amendment to LTIP grant letters (directors) (incorporated by reference to Exhibit 10.54 to the Annual Report on Form 10-K</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for the year ended December 31, 2008).</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10.39</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Contribution Agreement dated as of April 29, 2010 by and among PAA Natural Gas Storage, L.P., PNGS GP</w:t>
            </w:r>
          </w:p>
        </w:tc>
      </w:tr>
      <w:tr>
        <w:trPr>
          <w:trHeight w:val="432"/>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8"/>
                <w:szCs w:val="18"/>
                <w:color w:val="auto"/>
              </w:rPr>
              <w:t>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38"/>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LLC, Plains All American Pipeline, L.P., PAA Natural Gas Storage, LLC, PAA/Vulcan Gas Storage, LLC, Plains Marketing, L.P. and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7"/>
              </w:rPr>
              <w:t>Plains Marketing GP Inc. (incorporated by reference to Exhibit 10.1 to PNG’s Current Report on Form 8-K filed May 4,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10.40</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3"/>
              </w:rPr>
              <w:t>Omnibus Agreement dated May 5, 2010 by and among Plains All American GP LLC, Plains All American Pipeline, L.P., PNGS GP</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LLC and PAA Natural Gas Storage, L.P. (incorporated by reference to Exhibit 10.1 to PNG’s Current Report on Form 8-K filed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May 11,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10.41</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6"/>
              </w:rPr>
              <w:t>Form of Transaction Grant Agreement (incorporated by reference to Exhibit 10.3 to the Quarterly Report on Form 10-Q for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quarter ended September 30,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10.42</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Form of 2010 LTIP Grant Letters (incorporated by reference to Exhibit 10.58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2010).</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w w:val="92"/>
              </w:rPr>
              <w:t>Director Compensation Summary (incorporated by reference to Exhibit 10.45 to the Annual Report on Form 10-K for the year ended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December 31, 2011).</w:t>
            </w:r>
          </w:p>
        </w:tc>
      </w:tr>
      <w:tr>
        <w:trPr>
          <w:trHeight w:val="514"/>
        </w:trPr>
        <w:tc>
          <w:tcPr>
            <w:tcW w:w="1000" w:type="dxa"/>
            <w:vAlign w:val="bottom"/>
          </w:tcPr>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-5379085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-5379085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2" w:orient="portrait"/>
          <w:cols w:equalWidth="0" w:num="1">
            <w:col w:w="11460"/>
          </w:cols>
          <w:pgMar w:left="240" w:top="125" w:right="199"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313"/>
        </w:trPr>
        <w:tc>
          <w:tcPr>
            <w:tcW w:w="1000" w:type="dxa"/>
            <w:vAlign w:val="bottom"/>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5260" w:type="dxa"/>
            <w:vAlign w:val="bottom"/>
            <w:gridSpan w:val="2"/>
          </w:tcPr>
          <w:p>
            <w:pPr>
              <w:ind w:left="260"/>
              <w:spacing w:after="0"/>
              <w:rPr>
                <w:sz w:val="20"/>
                <w:szCs w:val="20"/>
                <w:color w:val="auto"/>
              </w:rPr>
            </w:pPr>
            <w:r>
              <w:rPr>
                <w:rFonts w:ascii="Arial" w:cs="Arial" w:eastAsia="Arial" w:hAnsi="Arial"/>
                <w:sz w:val="18"/>
                <w:szCs w:val="18"/>
                <w:color w:val="auto"/>
                <w:w w:val="93"/>
              </w:rPr>
              <w:t>—XBRL Taxonomy Extension Definition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46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4640" w:type="dxa"/>
            <w:vAlign w:val="bottom"/>
          </w:tcPr>
          <w:p>
            <w:pPr>
              <w:ind w:left="1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20" w:hanging="8"/>
        <w:spacing w:after="0" w:line="277" w:lineRule="auto"/>
        <w:rPr>
          <w:sz w:val="20"/>
          <w:szCs w:val="20"/>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compensatory plan or arrangement.</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20" w:space="520"/>
            <w:col w:w="10440"/>
          </w:cols>
          <w:pgMar w:left="240" w:top="341" w:right="57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w w:val="97"/>
              </w:rPr>
              <w:t>noncontrolling interest and income from equity investees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572</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4.03x</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2.57x</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54" w:lineRule="auto"/>
        <w:tabs>
          <w:tab w:leader="none" w:pos="328" w:val="left"/>
        </w:tabs>
        <w:numPr>
          <w:ilvl w:val="0"/>
          <w:numId w:val="127"/>
        </w:numPr>
        <w:rPr>
          <w:rFonts w:ascii="Arial" w:cs="Arial" w:eastAsia="Arial" w:hAnsi="Arial"/>
          <w:sz w:val="22"/>
          <w:szCs w:val="22"/>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2" w:lineRule="exact"/>
        <w:rPr>
          <w:rFonts w:ascii="Arial" w:cs="Arial" w:eastAsia="Arial" w:hAnsi="Arial"/>
          <w:sz w:val="22"/>
          <w:szCs w:val="22"/>
          <w:color w:val="auto"/>
          <w:vertAlign w:val="superscript"/>
        </w:rPr>
      </w:pPr>
    </w:p>
    <w:p>
      <w:pPr>
        <w:ind w:left="340" w:hanging="332"/>
        <w:spacing w:after="0" w:line="227" w:lineRule="auto"/>
        <w:tabs>
          <w:tab w:leader="none" w:pos="328" w:val="left"/>
        </w:tabs>
        <w:numPr>
          <w:ilvl w:val="0"/>
          <w:numId w:val="127"/>
        </w:numPr>
        <w:rPr>
          <w:rFonts w:ascii="Arial" w:cs="Arial" w:eastAsia="Arial" w:hAnsi="Arial"/>
          <w:sz w:val="23"/>
          <w:szCs w:val="23"/>
          <w:color w:val="auto"/>
          <w:vertAlign w:val="superscript"/>
        </w:rPr>
      </w:pPr>
      <w:r>
        <w:rPr>
          <w:rFonts w:ascii="Arial" w:cs="Arial" w:eastAsia="Arial" w:hAnsi="Arial"/>
          <w:sz w:val="18"/>
          <w:szCs w:val="18"/>
          <w:color w:val="auto"/>
        </w:rPr>
        <w:t>Includes interest costs attributable to borrowings for hedged inventory purchases of $12 million, $20 million, $17 million, $11 million and $21 million for the years ended December 31, 2012, 2011, 2010, 2009 and 2008, respectively.</w:t>
      </w:r>
    </w:p>
    <w:p>
      <w:pPr>
        <w:spacing w:after="0" w:line="168"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7"/>
        </w:numPr>
        <w:rPr>
          <w:rFonts w:ascii="Arial" w:cs="Arial" w:eastAsia="Arial" w:hAnsi="Arial"/>
          <w:sz w:val="23"/>
          <w:szCs w:val="23"/>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3800" w:type="dxa"/>
            <w:vAlign w:val="bottom"/>
          </w:tcPr>
          <w:p>
            <w:pPr>
              <w:spacing w:after="0"/>
              <w:rPr>
                <w:sz w:val="19"/>
                <w:szCs w:val="19"/>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PLAINS ALL AMERICAN PIPELINE, L.P.</w:t>
            </w:r>
          </w:p>
        </w:tc>
        <w:tc>
          <w:tcPr>
            <w:tcW w:w="4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12/31/12</w:t>
            </w:r>
            <w:r>
              <w:rPr>
                <w:rFonts w:ascii="Arial" w:cs="Arial" w:eastAsia="Arial" w:hAnsi="Arial"/>
                <w:sz w:val="18"/>
                <w:szCs w:val="18"/>
                <w:color w:val="auto"/>
                <w:w w:val="92"/>
              </w:rPr>
              <w:t>)</w:t>
            </w:r>
          </w:p>
        </w:tc>
        <w:tc>
          <w:tcPr>
            <w:tcW w:w="40" w:type="dxa"/>
            <w:vAlign w:val="bottom"/>
          </w:tcPr>
          <w:p>
            <w:pPr>
              <w:spacing w:after="0"/>
              <w:rPr>
                <w:sz w:val="20"/>
                <w:szCs w:val="20"/>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c>
          <w:tcPr>
            <w:tcW w:w="40" w:type="dxa"/>
            <w:vAlign w:val="bottom"/>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Centerpoint Access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Durham Transport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Hawks Oil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Lazybay Operating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Legacy Line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LMC Transport,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Georgia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Lone Star Trucking,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Mountain Ridge Resources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Luxembourg S.a.r.l.</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Vulcan Gas Storage,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Energy Group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Pacific L.A. Marine Terminal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PACONO1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PACONO2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PICSCO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Plains All American Emergency Relief Fund, Inc.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 North Dakota Inc.</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550"/>
        </w:trPr>
        <w:tc>
          <w:tcPr>
            <w:tcW w:w="380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Plains Marketing GP Inc.</w:t>
            </w:r>
          </w:p>
        </w:tc>
        <w:tc>
          <w:tcPr>
            <w:tcW w:w="34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Plains Midstream Luxembourg S.a.r.l.</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54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Plains Rail Holdings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South Texas Gathering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Plains Southcap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PMC (Nova Scotia) Company</w:t>
            </w: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Nova Scotia</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PMDSE, Inc.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Mississippi</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PNG Finance Corp.</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PNGS GP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Rancho LPG Holdings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 Transportation,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RCAT Logistics,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SFC Marketing &amp; Logistics, LLC</w:t>
            </w: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SLC Pipeline LLC</w:t>
            </w: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Smart Transport Unlimited, LLC</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Georgia</w:t>
            </w:r>
          </w:p>
        </w:tc>
      </w:tr>
    </w:tbl>
    <w:p>
      <w:pPr>
        <w:sectPr>
          <w:pgSz w:w="11900" w:h="16838" w:orient="portrait"/>
          <w:cols w:equalWidth="0" w:num="1">
            <w:col w:w="11460"/>
          </w:cols>
          <w:pgMar w:left="240" w:top="121" w:right="199" w:bottom="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61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610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Van Hook Crude Terminal LLC</w:t>
            </w:r>
          </w:p>
        </w:tc>
        <w:tc>
          <w:tcPr>
            <w:tcW w:w="6100" w:type="dxa"/>
            <w:vAlign w:val="bottom"/>
          </w:tcPr>
          <w:p>
            <w:pPr>
              <w:ind w:left="30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VirKel Backhoe Services LLLP</w:t>
            </w:r>
          </w:p>
        </w:tc>
        <w:tc>
          <w:tcPr>
            <w:tcW w:w="610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348"/>
        </w:trPr>
        <w:tc>
          <w:tcPr>
            <w:tcW w:w="5320" w:type="dxa"/>
            <w:vAlign w:val="bottom"/>
            <w:tcBorders>
              <w:bottom w:val="single" w:sz="8" w:color="010101"/>
            </w:tcBorders>
          </w:tcPr>
          <w:p>
            <w:pPr>
              <w:spacing w:after="0"/>
              <w:rPr>
                <w:sz w:val="24"/>
                <w:szCs w:val="24"/>
                <w:color w:val="auto"/>
              </w:rPr>
            </w:pPr>
          </w:p>
        </w:tc>
        <w:tc>
          <w:tcPr>
            <w:tcW w:w="6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333-184135, 333-184137, and 333-162477) and on Form S-8 (No. 333-91141, 333-54118, 333-74920, 333-122806 and 333-141185) of Plains All American Pipeline, L.P. of our report dated February 27, 2013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2012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2012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x"/>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1)"/>
      <w:numFmt w:val="decimal"/>
      <w:start w:val="4"/>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lvl w:ilvl="1">
      <w:lvlJc w:val="left"/>
      <w:lvlText w:val="\emdash "/>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1)"/>
      <w:numFmt w:val="decimal"/>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Roman"/>
      <w:start w:val="2"/>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1)"/>
      <w:numFmt w:val="decimal"/>
      <w:start w:val="1"/>
    </w:lvl>
  </w:abstractNum>
  <w:abstractNum w:abstractNumId="23">
    <w:nsid w:val="4962813B"/>
    <w:multiLevelType w:val="hybridMultilevel"/>
    <w:lvl w:ilvl="0">
      <w:lvlJc w:val="left"/>
      <w:lvlText w:val="(%1)"/>
      <w:numFmt w:val="lowerRoman"/>
      <w:start w:val="2"/>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decimal"/>
      <w:start w:val="3"/>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1)"/>
      <w:numFmt w:val="lowerRoman"/>
      <w:start w:val="3"/>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1)"/>
      <w:numFmt w:val="decimal"/>
      <w:start w:val="1"/>
    </w:lvl>
  </w:abstractNum>
  <w:abstractNum w:abstractNumId="42">
    <w:nsid w:val="68EBC550"/>
    <w:multiLevelType w:val="hybridMultilevel"/>
    <w:lvl w:ilvl="0">
      <w:lvlJc w:val="left"/>
      <w:lvlText w:val="·"/>
      <w:numFmt w:val="bullet"/>
      <w:start w:val="1"/>
    </w:lvl>
    <w:lvl w:ilvl="1">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1)"/>
      <w:numFmt w:val="decimal"/>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2"/>
    </w:lvl>
  </w:abstractNum>
  <w:abstractNum w:abstractNumId="48">
    <w:nsid w:val="CC1016F"/>
    <w:multiLevelType w:val="hybridMultilevel"/>
    <w:lvl w:ilvl="0">
      <w:lvlJc w:val="left"/>
      <w:lvlText w:val="%1"/>
      <w:numFmt w:val="decimal"/>
      <w:start w:val="1"/>
    </w:lvl>
    <w:lvl w:ilvl="1">
      <w:lvlJc w:val="left"/>
      <w:lvlText w:val="(%2)"/>
      <w:numFmt w:val="decimal"/>
      <w:start w:val="1"/>
    </w:lvl>
  </w:abstractNum>
  <w:abstractNum w:abstractNumId="49">
    <w:nsid w:val="43F18422"/>
    <w:multiLevelType w:val="hybridMultilevel"/>
    <w:lvl w:ilvl="0">
      <w:lvlJc w:val="left"/>
      <w:lvlText w:val="(%1)"/>
      <w:numFmt w:val="decimal"/>
      <w:start w:val="2"/>
    </w:lvl>
    <w:lvl w:ilvl="1">
      <w:lvlJc w:val="left"/>
      <w:lvlText w:val="%2"/>
      <w:numFmt w:val="decimal"/>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decimal"/>
      <w:start w:val="6"/>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1)"/>
      <w:numFmt w:val="lowerRoman"/>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4"/>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1)"/>
      <w:numFmt w:val="decimal"/>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lowerRoman"/>
      <w:start w:val="4"/>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1)"/>
      <w:numFmt w:val="decimal"/>
      <w:start w:val="1"/>
    </w:lvl>
  </w:abstractNum>
  <w:abstractNum w:abstractNumId="67">
    <w:nsid w:val="555C55B5"/>
    <w:multiLevelType w:val="hybridMultilevel"/>
    <w:lvl w:ilvl="0">
      <w:lvlJc w:val="left"/>
      <w:lvlText w:val="(%1)"/>
      <w:numFmt w:val="decimal"/>
      <w:start w:val="5"/>
    </w:lvl>
  </w:abstractNum>
  <w:abstractNum w:abstractNumId="68">
    <w:nsid w:val="3FA62ACA"/>
    <w:multiLevelType w:val="hybridMultilevel"/>
    <w:lvl w:ilvl="0">
      <w:lvlJc w:val="left"/>
      <w:lvlText w:val="(%1)"/>
      <w:numFmt w:val="decimal"/>
      <w:start w:val="1"/>
    </w:lvl>
  </w:abstractNum>
  <w:abstractNum w:abstractNumId="69">
    <w:nsid w:val="14FCE74E"/>
    <w:multiLevelType w:val="hybridMultilevel"/>
    <w:lvl w:ilvl="0">
      <w:lvlJc w:val="left"/>
      <w:lvlText w:val="(%1)"/>
      <w:numFmt w:val="decimal"/>
      <w:start w:val="4"/>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decimal"/>
      <w:start w:val="2"/>
    </w:lvl>
  </w:abstractNum>
  <w:abstractNum w:abstractNumId="74">
    <w:nsid w:val="1FBFE8E0"/>
    <w:multiLevelType w:val="hybridMultilevel"/>
    <w:lvl w:ilvl="0">
      <w:lvlJc w:val="left"/>
      <w:lvlText w:val="(%1)"/>
      <w:numFmt w:val="lowerRoman"/>
      <w:start w:val="1"/>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lowerLetter"/>
      <w:start w:val="2"/>
    </w:lvl>
    <w:lvl w:ilvl="1">
      <w:lvlJc w:val="left"/>
      <w:lvlText w:val="·"/>
      <w:numFmt w:val="bullet"/>
      <w:start w:val="1"/>
    </w:lvl>
  </w:abstractNum>
  <w:abstractNum w:abstractNumId="77">
    <w:nsid w:val="59ADEA3D"/>
    <w:multiLevelType w:val="hybridMultilevel"/>
    <w:lvl w:ilvl="0">
      <w:lvlJc w:val="left"/>
      <w:lvlText w:val="(%1)"/>
      <w:numFmt w:val="lowerRoman"/>
      <w:start w:val="2"/>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2"/>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decimal"/>
      <w:start w:val="4"/>
    </w:lvl>
  </w:abstractNum>
  <w:abstractNum w:abstractNumId="82">
    <w:nsid w:val="51088277"/>
    <w:multiLevelType w:val="hybridMultilevel"/>
    <w:lvl w:ilvl="0">
      <w:lvlJc w:val="left"/>
      <w:lvlText w:val="(%1)"/>
      <w:numFmt w:val="decimal"/>
      <w:start w:val="1"/>
    </w:lvl>
    <w:lvl w:ilvl="1">
      <w:lvlJc w:val="left"/>
      <w:lvlText w:val="(%2)"/>
      <w:numFmt w:val="lowerLetter"/>
      <w:start w:val="1"/>
    </w:lvl>
  </w:abstractNum>
  <w:abstractNum w:abstractNumId="83">
    <w:nsid w:val="1CA0C5FA"/>
    <w:multiLevelType w:val="hybridMultilevel"/>
    <w:lvl w:ilvl="0">
      <w:lvlJc w:val="left"/>
      <w:lvlText w:val="%1"/>
      <w:numFmt w:val="decimal"/>
      <w:start w:val="1"/>
    </w:lvl>
    <w:lvl w:ilvl="1">
      <w:lvlJc w:val="left"/>
      <w:lvlText w:val="(%2)"/>
      <w:numFmt w:val="lowerLetter"/>
      <w:start w:val="1"/>
    </w:lvl>
  </w:abstractNum>
  <w:abstractNum w:abstractNumId="84">
    <w:nsid w:val="53584BCB"/>
    <w:multiLevelType w:val="hybridMultilevel"/>
    <w:lvl w:ilvl="0">
      <w:lvlJc w:val="left"/>
      <w:lvlText w:val="(%1)"/>
      <w:numFmt w:val="decimal"/>
      <w:start w:val="2"/>
    </w:lvl>
  </w:abstractNum>
  <w:abstractNum w:abstractNumId="85">
    <w:nsid w:val="415E286C"/>
    <w:multiLevelType w:val="hybridMultilevel"/>
    <w:lvl w:ilvl="0">
      <w:lvlJc w:val="left"/>
      <w:lvlText w:val="(%1)"/>
      <w:numFmt w:val="decimal"/>
      <w:start w:val="9"/>
    </w:lvl>
    <w:lvl w:ilvl="1">
      <w:lvlJc w:val="left"/>
      <w:lvlText w:val="(%2)"/>
      <w:numFmt w:val="decimal"/>
      <w:start w:val="10"/>
    </w:lvl>
  </w:abstractNum>
  <w:abstractNum w:abstractNumId="86">
    <w:nsid w:val="7C58FD05"/>
    <w:multiLevelType w:val="hybridMultilevel"/>
    <w:lvl w:ilvl="0">
      <w:lvlJc w:val="left"/>
      <w:lvlText w:val="(%1)"/>
      <w:numFmt w:val="decimal"/>
      <w:start w:val="1"/>
    </w:lvl>
  </w:abstractNum>
  <w:abstractNum w:abstractNumId="87">
    <w:nsid w:val="23D86AAC"/>
    <w:multiLevelType w:val="hybridMultilevel"/>
    <w:lvl w:ilvl="0">
      <w:lvlJc w:val="left"/>
      <w:lvlText w:val="(%1)"/>
      <w:numFmt w:val="decimal"/>
      <w:start w:val="5"/>
    </w:lvl>
  </w:abstractNum>
  <w:abstractNum w:abstractNumId="88">
    <w:nsid w:val="45E6D486"/>
    <w:multiLevelType w:val="hybridMultilevel"/>
    <w:lvl w:ilvl="0">
      <w:lvlJc w:val="left"/>
      <w:lvlText w:val="(%1)"/>
      <w:numFmt w:val="decimal"/>
      <w:start w:val="3"/>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4"/>
    </w:lvl>
  </w:abstractNum>
  <w:abstractNum w:abstractNumId="91">
    <w:nsid w:val="3C5991AA"/>
    <w:multiLevelType w:val="hybridMultilevel"/>
    <w:lvl w:ilvl="0">
      <w:lvlJc w:val="left"/>
      <w:lvlText w:val="(%1)"/>
      <w:numFmt w:val="decimal"/>
      <w:start w:val="7"/>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lowerLetter"/>
      <w:start w:val="1"/>
    </w:lvl>
    <w:lvl w:ilvl="1">
      <w:lvlJc w:val="left"/>
      <w:lvlText w:val="(%2)"/>
      <w:numFmt w:val="decimal"/>
      <w:start w:val="2"/>
    </w:lvl>
  </w:abstractNum>
  <w:abstractNum w:abstractNumId="94">
    <w:nsid w:val="39B7AAA2"/>
    <w:multiLevelType w:val="hybridMultilevel"/>
    <w:lvl w:ilvl="0">
      <w:lvlJc w:val="left"/>
      <w:lvlText w:val="(%1)"/>
      <w:numFmt w:val="decimal"/>
      <w:start w:val="3"/>
    </w:lvl>
  </w:abstractNum>
  <w:abstractNum w:abstractNumId="95">
    <w:nsid w:val="2B0D8DBE"/>
    <w:multiLevelType w:val="hybridMultilevel"/>
    <w:lvl w:ilvl="0">
      <w:lvlJc w:val="left"/>
      <w:lvlText w:val="(%1)"/>
      <w:numFmt w:val="lowerRoman"/>
      <w:start w:val="2"/>
    </w:lvl>
  </w:abstractNum>
  <w:abstractNum w:abstractNumId="96">
    <w:nsid w:val="6C80EC70"/>
    <w:multiLevelType w:val="hybridMultilevel"/>
    <w:lvl w:ilvl="0">
      <w:lvlJc w:val="left"/>
      <w:lvlText w:val="(%1)"/>
      <w:numFmt w:val="lowerRoman"/>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1)"/>
      <w:numFmt w:val="decimal"/>
      <w:start w:val="1"/>
    </w:lvl>
  </w:abstractNum>
  <w:abstractNum w:abstractNumId="102">
    <w:nsid w:val="1DF029D3"/>
    <w:multiLevelType w:val="hybridMultilevel"/>
    <w:lvl w:ilvl="0">
      <w:lvlJc w:val="left"/>
      <w:lvlText w:val="(%1)"/>
      <w:numFmt w:val="decimal"/>
      <w:start w:val="6"/>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decimal"/>
      <w:start w:val="2"/>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1)"/>
      <w:numFmt w:val="decimal"/>
      <w:start w:val="1"/>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
    </w:lvl>
    <w:lvl w:ilvl="1">
      <w:lvlJc w:val="left"/>
      <w:lvlText w:val="(%2)"/>
      <w:numFmt w:val="decimal"/>
      <w:start w:val="2"/>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decimal"/>
      <w:start w:val="1"/>
    </w:lvl>
    <w:lvl w:ilvl="1">
      <w:lvlJc w:val="left"/>
      <w:lvlText w:val="(%2)"/>
      <w:numFmt w:val="decimal"/>
      <w:start w:val="2"/>
    </w:lvl>
  </w:abstractNum>
  <w:abstractNum w:abstractNumId="121">
    <w:nsid w:val="5EC6AFD4"/>
    <w:multiLevelType w:val="hybridMultilevel"/>
    <w:lvl w:ilvl="0">
      <w:lvlJc w:val="left"/>
      <w:lvlText w:val="(%1)"/>
      <w:numFmt w:val="lowerRoman"/>
      <w:start w:val="3"/>
    </w:lvl>
  </w:abstractNum>
  <w:abstractNum w:abstractNumId="122">
    <w:nsid w:val="19E21BB2"/>
    <w:multiLevelType w:val="hybridMultilevel"/>
    <w:lvl w:ilvl="0">
      <w:lvlJc w:val="left"/>
      <w:lvlText w:val="(%1)"/>
      <w:numFmt w:val="lowerRoman"/>
      <w:start w:val="3"/>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3"/>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5"/>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lowerRoman"/>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2020-01-29T12:51:50Z</dcterms:created>
  <dcterms:modified xsi:type="dcterms:W3CDTF">2020-01-29T12:51:50Z</dcterms:modified>
</cp:coreProperties>
</file>