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5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18415</wp:posOffset>
            </wp:positionV>
            <wp:extent cx="7324725" cy="8420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8420735"/>
                    </a:xfrm>
                    <a:prstGeom prst="rect">
                      <a:avLst/>
                    </a:prstGeom>
                    <a:noFill/>
                  </pic:spPr>
                </pic:pic>
              </a:graphicData>
            </a:graphic>
          </wp:anchor>
        </w:drawing>
      </w:r>
    </w:p>
    <w:p>
      <w:pPr>
        <w:spacing w:after="0" w:line="44" w:lineRule="exact"/>
        <w:rPr>
          <w:sz w:val="24"/>
          <w:szCs w:val="24"/>
          <w:color w:val="auto"/>
        </w:rPr>
      </w:pPr>
    </w:p>
    <w:p>
      <w:pPr>
        <w:sectPr>
          <w:pgSz w:w="11900" w:h="16838" w:orient="portrait"/>
          <w:cols w:equalWidth="0" w:num="2">
            <w:col w:w="2320" w:space="400"/>
            <w:col w:w="8800"/>
          </w:cols>
          <w:pgMar w:left="240" w:top="223"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4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SINNOTT ROBERT V</w:t>
              </w:r>
            </w:hyperlink>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360" w:type="dxa"/>
            <w:vAlign w:val="bottom"/>
            <w:gridSpan w:val="6"/>
          </w:tcPr>
          <w:p>
            <w:pPr>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3"/>
            <w:vMerge w:val="continue"/>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920" w:type="dxa"/>
            <w:vAlign w:val="bottom"/>
          </w:tcPr>
          <w:p>
            <w:pPr>
              <w:spacing w:after="0"/>
              <w:rPr>
                <w:sz w:val="2"/>
                <w:szCs w:val="2"/>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80" w:type="dxa"/>
            <w:vAlign w:val="bottom"/>
            <w:gridSpan w:val="2"/>
            <w:vMerge w:val="restart"/>
          </w:tcPr>
          <w:p>
            <w:pPr>
              <w:ind w:left="620"/>
              <w:spacing w:after="0"/>
              <w:rPr>
                <w:sz w:val="20"/>
                <w:szCs w:val="20"/>
                <w:color w:val="auto"/>
              </w:rPr>
            </w:pPr>
            <w:r>
              <w:rPr>
                <w:rFonts w:ascii="Arial" w:cs="Arial" w:eastAsia="Arial" w:hAnsi="Arial"/>
                <w:sz w:val="13"/>
                <w:szCs w:val="13"/>
                <w:color w:val="auto"/>
              </w:rPr>
              <w:t>Officer (give title</w:t>
            </w:r>
          </w:p>
        </w:tc>
        <w:tc>
          <w:tcPr>
            <w:tcW w:w="1360" w:type="dxa"/>
            <w:vAlign w:val="bottom"/>
            <w:gridSpan w:val="2"/>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80" w:type="dxa"/>
            <w:vAlign w:val="bottom"/>
            <w:gridSpan w:val="2"/>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20"/>
              <w:spacing w:after="0"/>
              <w:rPr>
                <w:sz w:val="20"/>
                <w:szCs w:val="20"/>
                <w:color w:val="auto"/>
              </w:rPr>
            </w:pPr>
            <w:r>
              <w:rPr>
                <w:rFonts w:ascii="Arial" w:cs="Arial" w:eastAsia="Arial" w:hAnsi="Arial"/>
                <w:sz w:val="13"/>
                <w:szCs w:val="13"/>
                <w:color w:val="auto"/>
              </w:rPr>
              <w:t>(Middle)</w:t>
            </w:r>
          </w:p>
        </w:tc>
        <w:tc>
          <w:tcPr>
            <w:tcW w:w="2860" w:type="dxa"/>
            <w:vAlign w:val="bottom"/>
            <w:gridSpan w:val="5"/>
            <w:vMerge w:val="continue"/>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ind w:left="620"/>
              <w:spacing w:after="0" w:line="124" w:lineRule="exact"/>
              <w:rPr>
                <w:sz w:val="20"/>
                <w:szCs w:val="20"/>
                <w:color w:val="auto"/>
              </w:rPr>
            </w:pPr>
            <w:r>
              <w:rPr>
                <w:rFonts w:ascii="Arial" w:cs="Arial" w:eastAsia="Arial" w:hAnsi="Arial"/>
                <w:sz w:val="13"/>
                <w:szCs w:val="13"/>
                <w:color w:val="auto"/>
              </w:rPr>
              <w:t>below)</w:t>
            </w:r>
          </w:p>
        </w:tc>
        <w:tc>
          <w:tcPr>
            <w:tcW w:w="920" w:type="dxa"/>
            <w:vAlign w:val="bottom"/>
          </w:tcPr>
          <w:p>
            <w:pPr>
              <w:spacing w:after="0"/>
              <w:rPr>
                <w:sz w:val="10"/>
                <w:szCs w:val="10"/>
                <w:color w:val="auto"/>
              </w:rPr>
            </w:pPr>
          </w:p>
        </w:tc>
        <w:tc>
          <w:tcPr>
            <w:tcW w:w="1360" w:type="dxa"/>
            <w:vAlign w:val="bottom"/>
            <w:gridSpan w:val="2"/>
          </w:tcPr>
          <w:p>
            <w:pPr>
              <w:ind w:left="160"/>
              <w:spacing w:after="0" w:line="12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09/29/2017</w:t>
            </w: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vMerge w:val="restart"/>
          </w:tcPr>
          <w:p>
            <w:pPr>
              <w:spacing w:after="0"/>
              <w:rPr>
                <w:sz w:val="20"/>
                <w:szCs w:val="20"/>
                <w:color w:val="auto"/>
              </w:rPr>
            </w:pPr>
            <w:r>
              <w:rPr>
                <w:rFonts w:ascii="Arial" w:cs="Arial" w:eastAsia="Arial" w:hAnsi="Arial"/>
                <w:sz w:val="17"/>
                <w:szCs w:val="17"/>
                <w:color w:val="0000FF"/>
              </w:rPr>
              <w:t>1800 AVE OF THE STATE</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2ND FLR</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36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560" w:type="dxa"/>
            <w:vAlign w:val="bottom"/>
          </w:tcPr>
          <w:p>
            <w:pPr>
              <w:spacing w:after="0"/>
              <w:rPr>
                <w:sz w:val="8"/>
                <w:szCs w:val="8"/>
                <w:color w:val="auto"/>
              </w:rPr>
            </w:pPr>
          </w:p>
        </w:tc>
        <w:tc>
          <w:tcPr>
            <w:tcW w:w="3440" w:type="dxa"/>
            <w:vAlign w:val="bottom"/>
            <w:gridSpan w:val="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360" w:type="dxa"/>
            <w:vAlign w:val="bottom"/>
            <w:gridSpan w:val="6"/>
            <w:vMerge w:val="continue"/>
          </w:tcPr>
          <w:p>
            <w:pPr>
              <w:spacing w:after="0"/>
              <w:rPr>
                <w:sz w:val="8"/>
                <w:szCs w:val="8"/>
                <w:color w:val="auto"/>
              </w:rPr>
            </w:pPr>
          </w:p>
        </w:tc>
        <w:tc>
          <w:tcPr>
            <w:tcW w:w="560" w:type="dxa"/>
            <w:vAlign w:val="bottom"/>
          </w:tcPr>
          <w:p>
            <w:pPr>
              <w:spacing w:after="0"/>
              <w:rPr>
                <w:sz w:val="8"/>
                <w:szCs w:val="8"/>
                <w:color w:val="auto"/>
              </w:rPr>
            </w:pPr>
          </w:p>
        </w:tc>
        <w:tc>
          <w:tcPr>
            <w:tcW w:w="3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40" w:type="dxa"/>
            <w:vAlign w:val="bottom"/>
            <w:gridSpan w:val="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w w:val="99"/>
              </w:rPr>
              <w:t>LOS ANGELES</w:t>
            </w:r>
          </w:p>
        </w:tc>
        <w:tc>
          <w:tcPr>
            <w:tcW w:w="132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260" w:type="dxa"/>
            <w:vAlign w:val="bottom"/>
          </w:tcPr>
          <w:p>
            <w:pPr>
              <w:ind w:left="2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40" w:type="dxa"/>
            <w:vAlign w:val="bottom"/>
            <w:gridSpan w:val="4"/>
          </w:tcPr>
          <w:p>
            <w:pPr>
              <w:ind w:left="6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ind w:left="620"/>
              <w:spacing w:after="0" w:line="13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260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12"/>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3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13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gridSpan w:val="4"/>
          </w:tcPr>
          <w:p>
            <w:pPr>
              <w:ind w:left="48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13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68"/>
              <w:spacing w:after="0" w:line="132" w:lineRule="exact"/>
              <w:rPr>
                <w:sz w:val="20"/>
                <w:szCs w:val="20"/>
                <w:color w:val="auto"/>
              </w:rPr>
            </w:pPr>
            <w:r>
              <w:rPr>
                <w:rFonts w:ascii="Arial" w:cs="Arial" w:eastAsia="Arial" w:hAnsi="Arial"/>
                <w:sz w:val="12"/>
                <w:szCs w:val="12"/>
                <w:b w:val="1"/>
                <w:bCs w:val="1"/>
                <w:color w:val="auto"/>
                <w:w w:val="99"/>
              </w:rPr>
              <w:t>(A) or</w:t>
            </w:r>
          </w:p>
        </w:tc>
        <w:tc>
          <w:tcPr>
            <w:tcW w:w="560" w:type="dxa"/>
            <w:vAlign w:val="bottom"/>
            <w:vMerge w:val="restart"/>
          </w:tcPr>
          <w:p>
            <w:pPr>
              <w:jc w:val="right"/>
              <w:ind w:right="183"/>
              <w:spacing w:after="0"/>
              <w:rPr>
                <w:sz w:val="20"/>
                <w:szCs w:val="20"/>
                <w:color w:val="auto"/>
              </w:rPr>
            </w:pPr>
            <w:r>
              <w:rPr>
                <w:rFonts w:ascii="Arial" w:cs="Arial" w:eastAsia="Arial" w:hAnsi="Arial"/>
                <w:sz w:val="12"/>
                <w:szCs w:val="12"/>
                <w:b w:val="1"/>
                <w:bCs w:val="1"/>
                <w:color w:val="auto"/>
                <w:w w:val="95"/>
              </w:rPr>
              <w:t>Price</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20" w:type="dxa"/>
            <w:vAlign w:val="bottom"/>
            <w:gridSpan w:val="3"/>
            <w:vMerge w:val="restart"/>
          </w:tcPr>
          <w:p>
            <w:pPr>
              <w:ind w:left="580"/>
              <w:spacing w:after="0"/>
              <w:rPr>
                <w:sz w:val="20"/>
                <w:szCs w:val="20"/>
                <w:color w:val="auto"/>
              </w:rPr>
            </w:pPr>
            <w:r>
              <w:rPr>
                <w:rFonts w:ascii="Arial" w:cs="Arial" w:eastAsia="Arial" w:hAnsi="Arial"/>
                <w:sz w:val="17"/>
                <w:szCs w:val="17"/>
                <w:color w:val="0000FF"/>
                <w:w w:val="96"/>
              </w:rPr>
              <w:t>09/29/2017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8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38,267</w:t>
            </w:r>
          </w:p>
        </w:tc>
        <w:tc>
          <w:tcPr>
            <w:tcW w:w="500" w:type="dxa"/>
            <w:vAlign w:val="bottom"/>
            <w:vMerge w:val="restart"/>
          </w:tcPr>
          <w:p>
            <w:pPr>
              <w:jc w:val="center"/>
              <w:ind w:right="28"/>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right"/>
              <w:ind w:right="14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2"/>
              </w:rPr>
              <w:t>38,267</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1"/>
                <w:szCs w:val="21"/>
                <w:color w:val="008000"/>
                <w:w w:val="98"/>
                <w:vertAlign w:val="superscript"/>
              </w:rPr>
              <w:t>(1)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34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20" w:type="dxa"/>
            <w:vAlign w:val="bottom"/>
            <w:gridSpan w:val="3"/>
            <w:vMerge w:val="restart"/>
          </w:tcPr>
          <w:p>
            <w:pPr>
              <w:ind w:left="580"/>
              <w:spacing w:after="0"/>
              <w:rPr>
                <w:sz w:val="20"/>
                <w:szCs w:val="20"/>
                <w:color w:val="auto"/>
              </w:rPr>
            </w:pPr>
            <w:r>
              <w:rPr>
                <w:rFonts w:ascii="Arial" w:cs="Arial" w:eastAsia="Arial" w:hAnsi="Arial"/>
                <w:sz w:val="17"/>
                <w:szCs w:val="17"/>
                <w:color w:val="0000FF"/>
                <w:w w:val="96"/>
              </w:rPr>
              <w:t>09/29/2017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8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38,267</w:t>
            </w:r>
          </w:p>
        </w:tc>
        <w:tc>
          <w:tcPr>
            <w:tcW w:w="500" w:type="dxa"/>
            <w:vAlign w:val="bottom"/>
            <w:vMerge w:val="restart"/>
          </w:tcPr>
          <w:p>
            <w:pPr>
              <w:jc w:val="center"/>
              <w:ind w:right="28"/>
              <w:spacing w:after="0"/>
              <w:rPr>
                <w:sz w:val="20"/>
                <w:szCs w:val="20"/>
                <w:color w:val="auto"/>
              </w:rPr>
            </w:pPr>
            <w:r>
              <w:rPr>
                <w:rFonts w:ascii="Arial" w:cs="Arial" w:eastAsia="Arial" w:hAnsi="Arial"/>
                <w:sz w:val="17"/>
                <w:szCs w:val="17"/>
                <w:color w:val="0000FF"/>
                <w:w w:val="97"/>
              </w:rPr>
              <w:t>D</w:t>
            </w:r>
          </w:p>
        </w:tc>
        <w:tc>
          <w:tcPr>
            <w:tcW w:w="560" w:type="dxa"/>
            <w:vAlign w:val="bottom"/>
            <w:vMerge w:val="restart"/>
          </w:tcPr>
          <w:p>
            <w:pPr>
              <w:jc w:val="right"/>
              <w:ind w:right="14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1"/>
                <w:szCs w:val="21"/>
                <w:color w:val="008000"/>
                <w:w w:val="98"/>
                <w:vertAlign w:val="superscript"/>
              </w:rPr>
              <w:t>(1)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34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rPr>
              <w:t>Rosa Sinnott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558,492</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rPr>
              <w:t>Robert Sinnott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558.492</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rPr>
              <w:t>Cliffwood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75,104</w:t>
            </w:r>
          </w:p>
        </w:tc>
        <w:tc>
          <w:tcPr>
            <w:tcW w:w="920" w:type="dxa"/>
            <w:vAlign w:val="bottom"/>
          </w:tcPr>
          <w:p>
            <w:pPr>
              <w:ind w:left="440"/>
              <w:spacing w:after="0"/>
              <w:rPr>
                <w:sz w:val="20"/>
                <w:szCs w:val="20"/>
                <w:color w:val="auto"/>
              </w:rPr>
            </w:pPr>
            <w:r>
              <w:rPr>
                <w:rFonts w:ascii="Arial" w:cs="Arial" w:eastAsia="Arial" w:hAnsi="Arial"/>
                <w:sz w:val="17"/>
                <w:szCs w:val="17"/>
                <w:color w:val="0000FF"/>
              </w:rPr>
              <w:t>I</w:t>
            </w: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rPr>
              <w:t>Energy</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rPr>
              <w:t>Partners</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00" w:type="dxa"/>
            <w:vAlign w:val="bottom"/>
            <w:gridSpan w:val="3"/>
          </w:tcPr>
          <w:p>
            <w:pPr>
              <w:ind w:left="420"/>
              <w:spacing w:after="0"/>
              <w:rPr>
                <w:sz w:val="20"/>
                <w:szCs w:val="20"/>
                <w:color w:val="auto"/>
              </w:rPr>
            </w:pPr>
            <w:r>
              <w:rPr>
                <w:rFonts w:ascii="Arial" w:cs="Arial" w:eastAsia="Arial" w:hAnsi="Arial"/>
                <w:sz w:val="17"/>
                <w:szCs w:val="17"/>
                <w:color w:val="0000FF"/>
                <w:w w:val="98"/>
              </w:rPr>
              <w:t>Robert and Rosa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00" w:type="dxa"/>
            <w:vAlign w:val="bottom"/>
            <w:gridSpan w:val="3"/>
          </w:tcPr>
          <w:p>
            <w:pPr>
              <w:ind w:left="420"/>
              <w:spacing w:after="0"/>
              <w:rPr>
                <w:sz w:val="20"/>
                <w:szCs w:val="20"/>
                <w:color w:val="auto"/>
              </w:rPr>
            </w:pPr>
            <w:r>
              <w:rPr>
                <w:rFonts w:ascii="Arial" w:cs="Arial" w:eastAsia="Arial" w:hAnsi="Arial"/>
                <w:sz w:val="17"/>
                <w:szCs w:val="17"/>
                <w:color w:val="0000FF"/>
              </w:rPr>
              <w:t>Sinnott Living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00" w:type="dxa"/>
            <w:vAlign w:val="bottom"/>
            <w:gridSpan w:val="3"/>
          </w:tcPr>
          <w:p>
            <w:pPr>
              <w:ind w:left="420"/>
              <w:spacing w:after="0"/>
              <w:rPr>
                <w:sz w:val="20"/>
                <w:szCs w:val="20"/>
                <w:color w:val="auto"/>
              </w:rPr>
            </w:pPr>
            <w:r>
              <w:rPr>
                <w:rFonts w:ascii="Arial" w:cs="Arial" w:eastAsia="Arial" w:hAnsi="Arial"/>
                <w:sz w:val="17"/>
                <w:szCs w:val="17"/>
                <w:color w:val="0000FF"/>
              </w:rPr>
              <w:t>Trust dtd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0000FF"/>
              </w:rPr>
              <w:t>37,552</w:t>
            </w:r>
          </w:p>
        </w:tc>
        <w:tc>
          <w:tcPr>
            <w:tcW w:w="880" w:type="dxa"/>
            <w:vAlign w:val="bottom"/>
          </w:tcPr>
          <w:p>
            <w:pPr>
              <w:ind w:left="740"/>
              <w:spacing w:after="0"/>
              <w:rPr>
                <w:sz w:val="20"/>
                <w:szCs w:val="20"/>
                <w:color w:val="auto"/>
              </w:rPr>
            </w:pPr>
            <w:r>
              <w:rPr>
                <w:rFonts w:ascii="Arial" w:cs="Arial" w:eastAsia="Arial" w:hAnsi="Arial"/>
                <w:sz w:val="17"/>
                <w:szCs w:val="17"/>
                <w:color w:val="0000FF"/>
              </w:rPr>
              <w:t>I</w:t>
            </w:r>
          </w:p>
        </w:tc>
        <w:tc>
          <w:tcPr>
            <w:tcW w:w="1700" w:type="dxa"/>
            <w:vAlign w:val="bottom"/>
            <w:gridSpan w:val="3"/>
          </w:tcPr>
          <w:p>
            <w:pPr>
              <w:ind w:left="420"/>
              <w:spacing w:after="0"/>
              <w:rPr>
                <w:sz w:val="20"/>
                <w:szCs w:val="20"/>
                <w:color w:val="auto"/>
              </w:rPr>
            </w:pPr>
            <w:r>
              <w:rPr>
                <w:rFonts w:ascii="Arial" w:cs="Arial" w:eastAsia="Arial" w:hAnsi="Arial"/>
                <w:sz w:val="17"/>
                <w:szCs w:val="17"/>
                <w:color w:val="0000FF"/>
                <w:w w:val="99"/>
              </w:rPr>
              <w:t>10/24/97, Robert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00" w:type="dxa"/>
            <w:vAlign w:val="bottom"/>
            <w:gridSpan w:val="3"/>
          </w:tcPr>
          <w:p>
            <w:pPr>
              <w:ind w:left="420"/>
              <w:spacing w:after="0"/>
              <w:rPr>
                <w:sz w:val="20"/>
                <w:szCs w:val="20"/>
                <w:color w:val="auto"/>
              </w:rPr>
            </w:pPr>
            <w:r>
              <w:rPr>
                <w:rFonts w:ascii="Arial" w:cs="Arial" w:eastAsia="Arial" w:hAnsi="Arial"/>
                <w:sz w:val="17"/>
                <w:szCs w:val="17"/>
                <w:color w:val="0000FF"/>
              </w:rPr>
              <w:t>V Sinnott and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00" w:type="dxa"/>
            <w:vAlign w:val="bottom"/>
            <w:gridSpan w:val="3"/>
          </w:tcPr>
          <w:p>
            <w:pPr>
              <w:ind w:left="420"/>
              <w:spacing w:after="0"/>
              <w:rPr>
                <w:sz w:val="20"/>
                <w:szCs w:val="20"/>
                <w:color w:val="auto"/>
              </w:rPr>
            </w:pPr>
            <w:r>
              <w:rPr>
                <w:rFonts w:ascii="Arial" w:cs="Arial" w:eastAsia="Arial" w:hAnsi="Arial"/>
                <w:sz w:val="17"/>
                <w:szCs w:val="17"/>
                <w:color w:val="0000FF"/>
              </w:rPr>
              <w:t>Rosa R Sinnott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00" w:type="dxa"/>
            <w:vAlign w:val="bottom"/>
            <w:gridSpan w:val="3"/>
          </w:tcPr>
          <w:p>
            <w:pPr>
              <w:ind w:left="420"/>
              <w:spacing w:after="0"/>
              <w:rPr>
                <w:sz w:val="20"/>
                <w:szCs w:val="20"/>
                <w:color w:val="auto"/>
              </w:rPr>
            </w:pPr>
            <w:r>
              <w:rPr>
                <w:rFonts w:ascii="Arial" w:cs="Arial" w:eastAsia="Arial" w:hAnsi="Arial"/>
                <w:sz w:val="17"/>
                <w:szCs w:val="17"/>
                <w:color w:val="0000FF"/>
              </w:rPr>
              <w:t>Trustees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Class A Shares</w:t>
            </w:r>
          </w:p>
        </w:tc>
        <w:tc>
          <w:tcPr>
            <w:tcW w:w="10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257,624</w:t>
            </w:r>
          </w:p>
        </w:tc>
        <w:tc>
          <w:tcPr>
            <w:tcW w:w="880" w:type="dxa"/>
            <w:vAlign w:val="bottom"/>
            <w:tcBorders>
              <w:bottom w:val="single" w:sz="8" w:color="2C2C2C"/>
            </w:tcBorders>
          </w:tcPr>
          <w:p>
            <w:pPr>
              <w:ind w:left="740"/>
              <w:spacing w:after="0"/>
              <w:rPr>
                <w:sz w:val="20"/>
                <w:szCs w:val="20"/>
                <w:color w:val="auto"/>
              </w:rPr>
            </w:pPr>
            <w:r>
              <w:rPr>
                <w:rFonts w:ascii="Arial" w:cs="Arial" w:eastAsia="Arial" w:hAnsi="Arial"/>
                <w:sz w:val="17"/>
                <w:szCs w:val="17"/>
                <w:color w:val="0000FF"/>
              </w:rPr>
              <w:t>I</w:t>
            </w:r>
          </w:p>
        </w:tc>
        <w:tc>
          <w:tcPr>
            <w:tcW w:w="17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w w:val="92"/>
              </w:rPr>
              <w:t>See Footnote</w:t>
            </w:r>
            <w:r>
              <w:rPr>
                <w:rFonts w:ascii="Arial" w:cs="Arial" w:eastAsia="Arial" w:hAnsi="Arial"/>
                <w:sz w:val="21"/>
                <w:szCs w:val="21"/>
                <w:color w:val="008000"/>
                <w:w w:val="92"/>
                <w:vertAlign w:val="superscript"/>
              </w:rPr>
              <w:t>(3)(7)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4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9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9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9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9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vMerge w:val="restart"/>
          </w:tcPr>
          <w:p>
            <w:pPr>
              <w:ind w:left="80"/>
              <w:spacing w:after="0"/>
              <w:rPr>
                <w:sz w:val="20"/>
                <w:szCs w:val="20"/>
                <w:color w:val="auto"/>
              </w:rPr>
            </w:pPr>
            <w:r>
              <w:rPr>
                <w:rFonts w:ascii="Arial" w:cs="Arial" w:eastAsia="Arial" w:hAnsi="Arial"/>
                <w:sz w:val="13"/>
                <w:szCs w:val="13"/>
                <w:color w:val="0000FF"/>
              </w:rPr>
              <w:t>Class</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w w:val="84"/>
              </w:rPr>
              <w:t>See Footnotes</w:t>
            </w:r>
            <w:r>
              <w:rPr>
                <w:rFonts w:ascii="Arial" w:cs="Arial" w:eastAsia="Arial" w:hAnsi="Arial"/>
                <w:sz w:val="21"/>
                <w:szCs w:val="21"/>
                <w:color w:val="008000"/>
                <w:w w:val="84"/>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w w:val="93"/>
              </w:rPr>
              <w:t>Shares/Class</w:t>
            </w: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jc w:val="right"/>
              <w:ind w:right="182"/>
              <w:spacing w:after="0"/>
              <w:rPr>
                <w:sz w:val="20"/>
                <w:szCs w:val="20"/>
                <w:color w:val="auto"/>
              </w:rPr>
            </w:pPr>
            <w:r>
              <w:rPr>
                <w:rFonts w:ascii="Arial" w:cs="Arial" w:eastAsia="Arial" w:hAnsi="Arial"/>
                <w:sz w:val="11"/>
                <w:szCs w:val="11"/>
                <w:color w:val="008000"/>
              </w:rPr>
              <w:t>(1)(2)</w:t>
            </w:r>
          </w:p>
        </w:tc>
        <w:tc>
          <w:tcPr>
            <w:tcW w:w="460" w:type="dxa"/>
            <w:vAlign w:val="bottom"/>
            <w:vMerge w:val="continue"/>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w w:val="99"/>
              </w:rPr>
              <w:t>38,267</w:t>
            </w: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vMerge w:val="restart"/>
          </w:tcPr>
          <w:p>
            <w:pPr>
              <w:ind w:left="40"/>
              <w:spacing w:after="0" w:line="207" w:lineRule="exact"/>
              <w:rPr>
                <w:sz w:val="20"/>
                <w:szCs w:val="20"/>
                <w:color w:val="auto"/>
              </w:rPr>
            </w:pPr>
            <w:r>
              <w:rPr>
                <w:rFonts w:ascii="Arial" w:cs="Arial" w:eastAsia="Arial" w:hAnsi="Arial"/>
                <w:sz w:val="13"/>
                <w:szCs w:val="13"/>
                <w:color w:val="0000FF"/>
                <w:w w:val="99"/>
              </w:rPr>
              <w:t>21,049,662</w:t>
            </w:r>
            <w:r>
              <w:rPr>
                <w:rFonts w:ascii="Arial" w:cs="Arial" w:eastAsia="Arial" w:hAnsi="Arial"/>
                <w:sz w:val="21"/>
                <w:szCs w:val="21"/>
                <w:color w:val="008000"/>
                <w:w w:val="99"/>
                <w:vertAlign w:val="superscript"/>
              </w:rPr>
              <w:t>(6)</w:t>
            </w:r>
          </w:p>
        </w:tc>
        <w:tc>
          <w:tcPr>
            <w:tcW w:w="7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tcPr>
          <w:p>
            <w:pPr>
              <w:ind w:left="34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60" w:type="dxa"/>
            <w:vAlign w:val="bottom"/>
          </w:tcPr>
          <w:p>
            <w:pPr>
              <w:jc w:val="right"/>
              <w:ind w:right="139"/>
              <w:spacing w:after="0" w:line="141" w:lineRule="exact"/>
              <w:rPr>
                <w:sz w:val="20"/>
                <w:szCs w:val="20"/>
                <w:color w:val="auto"/>
              </w:rPr>
            </w:pPr>
            <w:r>
              <w:rPr>
                <w:rFonts w:ascii="Arial" w:cs="Arial" w:eastAsia="Arial" w:hAnsi="Arial"/>
                <w:sz w:val="13"/>
                <w:szCs w:val="13"/>
                <w:color w:val="0000FF"/>
              </w:rPr>
              <w:t>09/29/2017</w:t>
            </w:r>
          </w:p>
        </w:tc>
        <w:tc>
          <w:tcPr>
            <w:tcW w:w="1160" w:type="dxa"/>
            <w:vAlign w:val="bottom"/>
          </w:tcPr>
          <w:p>
            <w:pPr>
              <w:spacing w:after="0"/>
              <w:rPr>
                <w:sz w:val="12"/>
                <w:szCs w:val="12"/>
                <w:color w:val="auto"/>
              </w:rPr>
            </w:pPr>
          </w:p>
        </w:tc>
        <w:tc>
          <w:tcPr>
            <w:tcW w:w="82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800" w:type="dxa"/>
            <w:vAlign w:val="bottom"/>
          </w:tcPr>
          <w:p>
            <w:pPr>
              <w:ind w:left="380"/>
              <w:spacing w:after="0" w:line="141" w:lineRule="exact"/>
              <w:rPr>
                <w:sz w:val="20"/>
                <w:szCs w:val="20"/>
                <w:color w:val="auto"/>
              </w:rPr>
            </w:pPr>
            <w:r>
              <w:rPr>
                <w:rFonts w:ascii="Arial" w:cs="Arial" w:eastAsia="Arial" w:hAnsi="Arial"/>
                <w:sz w:val="13"/>
                <w:szCs w:val="13"/>
                <w:color w:val="0000FF"/>
              </w:rPr>
              <w:t>38,267</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46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ind w:left="24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vMerge w:val="continue"/>
          </w:tcPr>
          <w:p>
            <w:pPr>
              <w:spacing w:after="0"/>
              <w:rPr>
                <w:sz w:val="12"/>
                <w:szCs w:val="12"/>
                <w:color w:val="auto"/>
              </w:rPr>
            </w:pPr>
          </w:p>
        </w:tc>
        <w:tc>
          <w:tcPr>
            <w:tcW w:w="760" w:type="dxa"/>
            <w:vAlign w:val="bottom"/>
          </w:tcPr>
          <w:p>
            <w:pPr>
              <w:ind w:left="360"/>
              <w:spacing w:after="0" w:line="141" w:lineRule="exact"/>
              <w:rPr>
                <w:sz w:val="20"/>
                <w:szCs w:val="20"/>
                <w:color w:val="auto"/>
              </w:rPr>
            </w:pPr>
            <w:r>
              <w:rPr>
                <w:rFonts w:ascii="Arial" w:cs="Arial" w:eastAsia="Arial" w:hAnsi="Arial"/>
                <w:sz w:val="13"/>
                <w:szCs w:val="13"/>
                <w:color w:val="0000FF"/>
              </w:rPr>
              <w:t>I</w:t>
            </w: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0" w:type="dxa"/>
            <w:vAlign w:val="bottom"/>
          </w:tcPr>
          <w:p>
            <w:pPr>
              <w:ind w:left="60"/>
              <w:spacing w:after="0" w:line="84" w:lineRule="exact"/>
              <w:rPr>
                <w:sz w:val="20"/>
                <w:szCs w:val="20"/>
                <w:color w:val="auto"/>
              </w:rPr>
            </w:pPr>
            <w:r>
              <w:rPr>
                <w:rFonts w:ascii="Arial" w:cs="Arial" w:eastAsia="Arial" w:hAnsi="Arial"/>
                <w:sz w:val="9"/>
                <w:szCs w:val="9"/>
                <w:color w:val="0000FF"/>
              </w:rPr>
              <w:t>A Units/GP</w:t>
            </w: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3"/>
                <w:szCs w:val="13"/>
                <w:color w:val="0000FF"/>
                <w:w w:val="97"/>
              </w:rPr>
              <w:t>shares</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ind w:left="60"/>
              <w:spacing w:after="0" w:line="84" w:lineRule="exact"/>
              <w:rPr>
                <w:sz w:val="20"/>
                <w:szCs w:val="20"/>
                <w:color w:val="auto"/>
              </w:rPr>
            </w:pPr>
            <w:r>
              <w:rPr>
                <w:rFonts w:ascii="Arial" w:cs="Arial" w:eastAsia="Arial" w:hAnsi="Arial"/>
                <w:sz w:val="9"/>
                <w:szCs w:val="9"/>
                <w:color w:val="008000"/>
              </w:rPr>
              <w:t>(2)(3)</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jc w:val="both"/>
        <w:ind w:left="40" w:right="24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Co-Chairman of Kayne Anderson Capital Advisors, L.P. ("KACALP"), an SEC registered investment adviser and the managing member of KAFU. The Reporting Person may be deemed to be the beneficial owner of all of the interests held by KAFU.</w:t>
      </w:r>
    </w:p>
    <w:p>
      <w:pPr>
        <w:spacing w:after="0" w:line="29" w:lineRule="exact"/>
        <w:rPr>
          <w:rFonts w:ascii="Arial" w:cs="Arial" w:eastAsia="Arial" w:hAnsi="Arial"/>
          <w:sz w:val="13"/>
          <w:szCs w:val="13"/>
          <w:color w:val="008000"/>
        </w:rPr>
      </w:pPr>
    </w:p>
    <w:p>
      <w:pPr>
        <w:ind w:left="40" w:right="50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has the right at any time (without expiration) to immediately exchange (the "Exchange Right") its Class A units in AAP, together with a like number of associated Class B shares in the Issuer and GP units in PAA GP Holdings LLC, for a like number of Class A shares of the Issuer. On September 29, 2017, KAFU Holdings, L.P. and KAFU Holdings (QP), L.P. exercised the Exchange Right with respect to 38,267 Class A Units.</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securities held by KAFU and KACALP, except to the extent of his pecuniary interest therein.</w:t>
      </w:r>
    </w:p>
    <w:p>
      <w:pPr>
        <w:sectPr>
          <w:pgSz w:w="11900" w:h="16838" w:orient="portrait"/>
          <w:cols w:equalWidth="0" w:num="1">
            <w:col w:w="11520"/>
          </w:cols>
          <w:pgMar w:left="240" w:top="223" w:right="139" w:bottom="0" w:gutter="0" w:footer="0" w:header="0"/>
          <w:type w:val="continuous"/>
        </w:sectPr>
      </w:pPr>
    </w:p>
    <w:bookmarkStart w:id="1" w:name="page2"/>
    <w:bookmarkEnd w:id="1"/>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transactions involve in-kind distributions to redeeming limited partners of KAFU Holdings, L.P. and KAFU Holdings (QP), L.P.</w:t>
      </w:r>
    </w:p>
    <w:p>
      <w:pPr>
        <w:spacing w:after="0" w:line="48"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Cliffwood Energy Partners, L.P. is a family investment vehicle. Mr. Sinnott is the managing member of the general partner.</w:t>
      </w:r>
    </w:p>
    <w:p>
      <w:pPr>
        <w:spacing w:after="0" w:line="48" w:lineRule="exact"/>
        <w:rPr>
          <w:rFonts w:ascii="Arial" w:cs="Arial" w:eastAsia="Arial" w:hAnsi="Arial"/>
          <w:sz w:val="13"/>
          <w:szCs w:val="13"/>
          <w:color w:val="008000"/>
        </w:rPr>
      </w:pPr>
    </w:p>
    <w:p>
      <w:pPr>
        <w:ind w:firstLine="5"/>
        <w:spacing w:after="0" w:line="245"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1,173,528 Class A units. As a result, such Class A units were cancelled and 1,173,528 Common Units of Plains All American Pipeline, L.P. were distributed by AAP to KAFU. The number of derivative securities owned reflects both the exchange transaction reported herein and the simultaneous redemption transaction.</w:t>
      </w:r>
    </w:p>
    <w:p>
      <w:pPr>
        <w:spacing w:after="0" w:line="29"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KACALP. The Reporting Person is Co-Chairman of KACALP and may be deemed to beneficially own the Class A Shares.</w:t>
      </w:r>
    </w:p>
    <w:p>
      <w:pPr>
        <w:spacing w:after="0" w:line="5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00" w:type="dxa"/>
            <w:vAlign w:val="bottom"/>
          </w:tcPr>
          <w:p>
            <w:pPr>
              <w:spacing w:after="0"/>
              <w:rPr>
                <w:sz w:val="20"/>
                <w:szCs w:val="20"/>
                <w:color w:val="auto"/>
              </w:rPr>
            </w:pPr>
            <w:r>
              <w:rPr>
                <w:rFonts w:ascii="Arial" w:cs="Arial" w:eastAsia="Arial" w:hAnsi="Arial"/>
                <w:sz w:val="17"/>
                <w:szCs w:val="17"/>
                <w:color w:val="0000FF"/>
                <w:w w:val="91"/>
              </w:rPr>
              <w:t>Robert V. Sinnott</w:t>
            </w:r>
          </w:p>
        </w:tc>
        <w:tc>
          <w:tcPr>
            <w:tcW w:w="90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10/03/2017</w:t>
            </w:r>
          </w:p>
        </w:tc>
      </w:tr>
      <w:tr>
        <w:trPr>
          <w:trHeight w:val="20"/>
        </w:trPr>
        <w:tc>
          <w:tcPr>
            <w:tcW w:w="12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560"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60"/>
      </w:cols>
      <w:pgMar w:left="280" w:top="13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2020-01-16T04:53:44Z</dcterms:created>
  <dcterms:modified xsi:type="dcterms:W3CDTF">2020-01-16T04:53:44Z</dcterms:modified>
</cp:coreProperties>
</file>