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6640" w:type="dxa"/>
            <w:vAlign w:val="bottom"/>
          </w:tcPr>
          <w:p>
            <w:pPr>
              <w:jc w:val="center"/>
              <w:ind w:left="243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402"/>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1, 2016, there were 397,736,728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84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6711315</wp:posOffset>
            </wp:positionH>
            <wp:positionV relativeFrom="paragraph">
              <wp:posOffset>20955</wp:posOffset>
            </wp:positionV>
            <wp:extent cx="540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620" w:type="dxa"/>
            <w:vAlign w:val="bottom"/>
            <w:gridSpan w:val="18"/>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28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0500" w:type="dxa"/>
            <w:vAlign w:val="bottom"/>
            <w:gridSpan w:val="3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June 30, 2016 and December 31, 2015</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4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six months ended June 30, 2016 and 2015</w:t>
              </w:r>
            </w:hyperlink>
          </w:p>
        </w:tc>
        <w:tc>
          <w:tcPr>
            <w:tcW w:w="246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896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 For the three and six months ended June 30, 2016 and 2015</w:t>
              </w:r>
            </w:hyperlink>
          </w:p>
        </w:tc>
        <w:tc>
          <w:tcPr>
            <w:tcW w:w="154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0500" w:type="dxa"/>
            <w:vAlign w:val="bottom"/>
            <w:gridSpan w:val="37"/>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Changes in Accumulated Other Comprehensive Income/(Loss): For the six months ended June 30,</w:t>
              </w:r>
            </w:hyperlink>
          </w:p>
        </w:tc>
        <w:tc>
          <w:tcPr>
            <w:tcW w:w="7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2016 and 2015</w:t>
              </w:r>
            </w:hyperlink>
          </w:p>
        </w:tc>
        <w:tc>
          <w:tcPr>
            <w:tcW w:w="8720" w:type="dxa"/>
            <w:vAlign w:val="bottom"/>
            <w:tcBorders>
              <w:top w:val="single" w:sz="8" w:color="0000EE"/>
            </w:tcBorders>
            <w:gridSpan w:val="28"/>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738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 For the six months ended June 30, 2016 and 2015</w:t>
              </w:r>
            </w:hyperlink>
          </w:p>
        </w:tc>
        <w:tc>
          <w:tcPr>
            <w:tcW w:w="312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860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Partners’ Capital: For the six months ended June 30, 2016 and 2015</w:t>
              </w:r>
            </w:hyperlink>
          </w:p>
        </w:tc>
        <w:tc>
          <w:tcPr>
            <w:tcW w:w="190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10500" w:type="dxa"/>
            <w:vAlign w:val="bottom"/>
            <w:gridSpan w:val="3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7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gridSpan w:val="3"/>
          </w:tcPr>
          <w:p>
            <w:pPr>
              <w:ind w:left="1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1.</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2.</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3. Net Income Per Common Unit</w:t>
              </w:r>
            </w:hyperlink>
          </w:p>
        </w:tc>
        <w:tc>
          <w:tcPr>
            <w:tcW w:w="420" w:type="dxa"/>
            <w:vAlign w:val="bottom"/>
            <w:tcBorders>
              <w:top w:val="single" w:sz="8" w:color="0000EE"/>
            </w:tcBorders>
            <w:gridSpan w:val="6"/>
          </w:tcPr>
          <w:p>
            <w:pPr>
              <w:spacing w:after="0"/>
              <w:rPr>
                <w:sz w:val="17"/>
                <w:szCs w:val="17"/>
                <w:color w:val="auto"/>
              </w:rPr>
            </w:pPr>
          </w:p>
        </w:tc>
        <w:tc>
          <w:tcPr>
            <w:tcW w:w="752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4.</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Accounts Receivable, Net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5.</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Inventory, Linefill and Base Gas and Long-term Inventory</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6.</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Goodwill</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7.</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Debt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8.</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Partners’ Capital and Distributions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9.</w:t>
              </w:r>
            </w:hyperlink>
          </w:p>
        </w:tc>
        <w:tc>
          <w:tcPr>
            <w:tcW w:w="10180" w:type="dxa"/>
            <w:vAlign w:val="bottom"/>
            <w:gridSpan w:val="34"/>
          </w:tcPr>
          <w:p>
            <w:pPr>
              <w:ind w:lef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Derivatives and Risk Management Activities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10. Related Party Transactions</w:t>
              </w:r>
            </w:hyperlink>
          </w:p>
        </w:tc>
        <w:tc>
          <w:tcPr>
            <w:tcW w:w="1200" w:type="dxa"/>
            <w:vAlign w:val="bottom"/>
            <w:tcBorders>
              <w:top w:val="single" w:sz="8" w:color="0000EE"/>
            </w:tcBorders>
            <w:gridSpan w:val="10"/>
          </w:tcPr>
          <w:p>
            <w:pPr>
              <w:spacing w:after="0"/>
              <w:rPr>
                <w:sz w:val="17"/>
                <w:szCs w:val="17"/>
                <w:color w:val="auto"/>
              </w:rPr>
            </w:pPr>
          </w:p>
        </w:tc>
        <w:tc>
          <w:tcPr>
            <w:tcW w:w="6920" w:type="dxa"/>
            <w:vAlign w:val="bottom"/>
            <w:gridSpan w:val="1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11. Commitments and Contingencies</w:t>
              </w:r>
            </w:hyperlink>
          </w:p>
        </w:tc>
        <w:tc>
          <w:tcPr>
            <w:tcW w:w="764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00" w:type="dxa"/>
            <w:vAlign w:val="bottom"/>
            <w:gridSpan w:val="3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12. Operating Segments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13. Acquisitions, Dispositions and Impairments</w:t>
              </w:r>
            </w:hyperlink>
          </w:p>
        </w:tc>
        <w:tc>
          <w:tcPr>
            <w:tcW w:w="690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00" w:type="dxa"/>
            <w:vAlign w:val="bottom"/>
            <w:gridSpan w:val="3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14. Simplification Transactions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6"/>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Item 2. MANAGEMENT’S DISCUSSION AND ANALYSIS OF FINANCIAL CONDITION AND RESULTS OF OPERATIONS</w:t>
              </w:r>
            </w:hyperlink>
          </w:p>
        </w:tc>
        <w:tc>
          <w:tcPr>
            <w:tcW w:w="12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0700" w:type="dxa"/>
            <w:vAlign w:val="bottom"/>
            <w:gridSpan w:val="3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3. QUANTITATIVE AND QUALITATIVE DISCLOSURES ABOUT MARKET RISK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400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412"/>
        </w:trPr>
        <w:tc>
          <w:tcPr>
            <w:tcW w:w="278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1. LEGAL PROCEEDINGS</w:t>
              </w:r>
            </w:hyperlink>
          </w:p>
        </w:tc>
        <w:tc>
          <w:tcPr>
            <w:tcW w:w="8260" w:type="dxa"/>
            <w:vAlign w:val="bottom"/>
            <w:gridSpan w:val="2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0700" w:type="dxa"/>
            <w:vAlign w:val="bottom"/>
            <w:gridSpan w:val="3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2. UNREGISTERED SALES OF EQUITY SECURITIES AND USE OF PROCEEDS</w:t>
              </w:r>
            </w:hyperlink>
          </w:p>
        </w:tc>
        <w:tc>
          <w:tcPr>
            <w:tcW w:w="406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0700" w:type="dxa"/>
            <w:vAlign w:val="bottom"/>
            <w:gridSpan w:val="3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 DEFAULTS UPON SENIOR SECURITIES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 MINE SAFETY DISCLOSURES</w:t>
              </w:r>
            </w:hyperlink>
          </w:p>
        </w:tc>
        <w:tc>
          <w:tcPr>
            <w:tcW w:w="696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5. OTHER INFORMATION</w:t>
              </w:r>
            </w:hyperlink>
          </w:p>
        </w:tc>
        <w:tc>
          <w:tcPr>
            <w:tcW w:w="770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6. EXHIBITS</w:t>
              </w:r>
            </w:hyperlink>
          </w:p>
        </w:tc>
        <w:tc>
          <w:tcPr>
            <w:tcW w:w="8260" w:type="dxa"/>
            <w:vAlign w:val="bottom"/>
            <w:gridSpan w:val="2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9320" w:type="dxa"/>
            <w:vAlign w:val="bottom"/>
            <w:gridSpan w:val="3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53"/>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320" w:type="dxa"/>
            <w:vAlign w:val="bottom"/>
            <w:gridSpan w:val="23"/>
          </w:tcPr>
          <w:p>
            <w:pPr>
              <w:jc w:val="right"/>
              <w:ind w:right="6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15,849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2,161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Short-term debt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long-term debt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long-term liabilities</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unitholders (61,888,566 units outstanding)</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Common unitholders (397,736,728 and 397,727,624 units outstanding, respectively)</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7,085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8,912</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3"/>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4,648</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6,346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8,467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4,224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7,571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3"/>
              </w:rPr>
              <w:t>Interest expense (net of capitalized interest of $12, $13, $26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$27, respectively)</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INCOME/(LOSS) PER COMMON UNIT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(NOTE 3):</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w w:val="97"/>
              </w:rPr>
              <w:t>Net income/(loss) allocated to common unitholders — Basic</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Basic net income/(loss) per common unit</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4"/>
              </w:rPr>
              <w:t>Net income/(loss) allocated to common unitholders — Diluted</w:t>
            </w:r>
          </w:p>
        </w:tc>
        <w:tc>
          <w:tcPr>
            <w:tcW w:w="1000" w:type="dxa"/>
            <w:vAlign w:val="bottom"/>
            <w:tcBorders>
              <w:bottom w:val="single" w:sz="8" w:color="CCEEFF"/>
            </w:tcBorders>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(81)</w:t>
            </w:r>
          </w:p>
        </w:tc>
        <w:tc>
          <w:tcPr>
            <w:tcW w:w="540" w:type="dxa"/>
            <w:vAlign w:val="bottom"/>
            <w:tcBorders>
              <w:bottom w:val="single" w:sz="8" w:color="CCEEFF"/>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(53)</w:t>
            </w:r>
          </w:p>
        </w:tc>
        <w:tc>
          <w:tcPr>
            <w:tcW w:w="480" w:type="dxa"/>
            <w:vAlign w:val="bottom"/>
            <w:tcBorders>
              <w:bottom w:val="single" w:sz="8" w:color="CCEEFF"/>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(0.20)   $</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(0.06)   $</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(0.13)   $</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8"/>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Arial" w:cs="Arial" w:eastAsia="Arial" w:hAnsi="Arial"/>
                <w:sz w:val="18"/>
                <w:szCs w:val="18"/>
                <w:color w:val="auto"/>
                <w:w w:val="93"/>
              </w:rPr>
              <w:t>Comprehensive income 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304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319</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Inventory valuation adjustments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Gain on foreign currency revaluation</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terminated interest rate hedging instruments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53"/>
        </w:trPr>
        <w:tc>
          <w:tcPr>
            <w:tcW w:w="6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Change in fair value of Preferred Distribution Rate Reset Option (Note 9)</w:t>
            </w:r>
          </w:p>
        </w:tc>
        <w:tc>
          <w:tcPr>
            <w:tcW w:w="14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(25)</w:t>
            </w:r>
          </w:p>
        </w:tc>
        <w:tc>
          <w:tcPr>
            <w:tcW w:w="48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paid in connection with acquisitions</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linefill and base gas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commercial paper program (Note 7)</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borrowings under senior secured hedged inventory facility (Note 7)</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senior notes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proceeds from the sale of Series A preferred units (Note 8)</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1,569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sale of common units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Contributions from general partner</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8)</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Distributions paid to general partner (Note 8)</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5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54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paid for:</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20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20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Partners’ 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Series A</w:t>
            </w:r>
          </w:p>
        </w:tc>
        <w:tc>
          <w:tcPr>
            <w:tcW w:w="10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0"/>
                <w:szCs w:val="10"/>
                <w:color w:val="auto"/>
              </w:rPr>
            </w:pPr>
          </w:p>
        </w:tc>
        <w:tc>
          <w:tcPr>
            <w:tcW w:w="110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rPr>
              <w:t>General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left="55"/>
              <w:spacing w:after="0" w:line="119" w:lineRule="exact"/>
              <w:rPr>
                <w:sz w:val="20"/>
                <w:szCs w:val="20"/>
                <w:color w:val="auto"/>
              </w:rPr>
            </w:pPr>
            <w:r>
              <w:rPr>
                <w:rFonts w:ascii="Arial" w:cs="Arial" w:eastAsia="Arial" w:hAnsi="Arial"/>
                <w:sz w:val="13"/>
                <w:szCs w:val="13"/>
                <w:b w:val="1"/>
                <w:bCs w:val="1"/>
                <w:color w:val="auto"/>
                <w:w w:val="99"/>
              </w:rPr>
              <w:t>Excluding</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0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Unitholders</w:t>
            </w:r>
          </w:p>
        </w:tc>
        <w:tc>
          <w:tcPr>
            <w:tcW w:w="10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Unitholders</w:t>
            </w:r>
          </w:p>
        </w:tc>
        <w:tc>
          <w:tcPr>
            <w:tcW w:w="220" w:type="dxa"/>
            <w:vAlign w:val="bottom"/>
          </w:tcPr>
          <w:p>
            <w:pPr>
              <w:spacing w:after="0"/>
              <w:rPr>
                <w:sz w:val="14"/>
                <w:szCs w:val="14"/>
                <w:color w:val="auto"/>
              </w:rPr>
            </w:pPr>
          </w:p>
        </w:tc>
        <w:tc>
          <w:tcPr>
            <w:tcW w:w="110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7,580</w:t>
            </w:r>
          </w:p>
        </w:tc>
        <w:tc>
          <w:tcPr>
            <w:tcW w:w="8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9"/>
              </w:rPr>
              <w:t>$</w:t>
            </w:r>
          </w:p>
        </w:tc>
        <w:tc>
          <w:tcPr>
            <w:tcW w:w="13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7,881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291</w:t>
            </w:r>
          </w:p>
        </w:tc>
        <w:tc>
          <w:tcPr>
            <w:tcW w:w="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302</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distributions to partners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94"/>
              <w:spacing w:after="0"/>
              <w:rPr>
                <w:sz w:val="20"/>
                <w:szCs w:val="20"/>
                <w:color w:val="auto"/>
              </w:rPr>
            </w:pPr>
            <w:r>
              <w:rPr>
                <w:rFonts w:ascii="Arial" w:cs="Arial" w:eastAsia="Arial" w:hAnsi="Arial"/>
                <w:sz w:val="18"/>
                <w:szCs w:val="18"/>
                <w:color w:val="auto"/>
              </w:rPr>
              <w:t>(557)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Sale of Series A preferred units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7,085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Partners’ Capital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5"/>
              </w:rPr>
              <w:t>General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Excluding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153"/>
              <w:spacing w:after="0" w:line="142" w:lineRule="exact"/>
              <w:rPr>
                <w:sz w:val="20"/>
                <w:szCs w:val="20"/>
                <w:color w:val="auto"/>
              </w:rPr>
            </w:pPr>
            <w:r>
              <w:rPr>
                <w:rFonts w:ascii="Arial" w:cs="Arial" w:eastAsia="Arial" w:hAnsi="Arial"/>
                <w:sz w:val="14"/>
                <w:szCs w:val="14"/>
                <w:b w:val="1"/>
                <w:bCs w:val="1"/>
                <w:color w:val="auto"/>
                <w:w w:val="99"/>
              </w:rPr>
              <w:t>Common Unitholders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7"/>
              </w:rPr>
              <w:t>Partner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7,793</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8,133</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291</w:t>
            </w:r>
          </w:p>
        </w:tc>
        <w:tc>
          <w:tcPr>
            <w:tcW w:w="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407</w:t>
            </w:r>
          </w:p>
        </w:tc>
        <w:tc>
          <w:tcPr>
            <w:tcW w:w="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408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distributions to partners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Sale of common units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5" w:name="page6"/>
    <w:bookmarkEnd w:id="5"/>
    <w:p>
      <w:pPr>
        <w:spacing w:after="0" w:line="5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12 for further discussion of our operating segments.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2% general partner interest is held by PAA GP LLC (“PAA GP”), a Delaware limited liability company, whose sole member is Plains AAP, L.P. (“AAP”), a Delaware limited partnership. In addition to its ownership of PAA GP, AAP also owns all of our incentive distribution rights (“IDRs”). Plains All American GP LLC (“GP LLC”), a Delaware limited liability company, is AAP’s general partner. Plains GP Holdings, L.P. (“PAGP”) is the sole member of GP LLC, and at June 30, 2016, owned an approximate 43% limited partner interest in AAP. PAA GP Holdings LLC (“GP Holdings”) is PAGP’s general partner.</w:t>
      </w:r>
    </w:p>
    <w:p>
      <w:pPr>
        <w:spacing w:after="0" w:line="18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AAP and GP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July 11, 2016, PAA, PAGP,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AAP will contribute the IDRs to PAA and PAA GP’s 2% economic general partner interest in PAA will be converted into a non-economic general partner interest in PAA. Following the closing of the transactions contemplated by the Simplification Agreement, both PAA and PAGP will continue to be publicly traded. See Note 14 for further discussion of this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AOCI</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Bcf</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Billion cubic feet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Btu</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British thermal unit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CAD</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Canadian dollar</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DERs</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EPA</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FASB</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GAAP</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ICE</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Intercontinental Exchange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LIBOR</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LTIP</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Long-term incentive plan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Mcf</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Thousand cubic feet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MLP</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NGL</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NYMEX</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Oxy</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PLA</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Pipeline loss allowance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United States Securities and Exchange Commission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USD</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United States dollar</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WTI</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West Texas Intermediate</w:t>
            </w:r>
          </w:p>
        </w:tc>
      </w:tr>
      <w:tr>
        <w:trPr>
          <w:trHeight w:val="432"/>
        </w:trPr>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0" w:type="dxa"/>
            <w:vAlign w:val="bottom"/>
          </w:tcPr>
          <w:p>
            <w:pPr>
              <w:ind w:left="3600"/>
              <w:spacing w:after="0"/>
              <w:rPr>
                <w:sz w:val="20"/>
                <w:szCs w:val="20"/>
                <w:color w:val="auto"/>
              </w:rPr>
            </w:pPr>
            <w:r>
              <w:rPr>
                <w:rFonts w:ascii="Arial" w:cs="Arial" w:eastAsia="Arial" w:hAnsi="Arial"/>
                <w:sz w:val="18"/>
                <w:szCs w:val="18"/>
                <w:color w:val="auto"/>
              </w:rPr>
              <w:t>8</w:t>
            </w:r>
          </w:p>
        </w:tc>
      </w:tr>
      <w:tr>
        <w:trPr>
          <w:trHeight w:val="132"/>
        </w:trPr>
        <w:tc>
          <w:tcPr>
            <w:tcW w:w="1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9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2015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w:t>
      </w:r>
    </w:p>
    <w:p>
      <w:pPr>
        <w:sectPr>
          <w:pgSz w:w="11900" w:h="16894" w:orient="portrait"/>
          <w:cols w:equalWidth="0" w:num="1">
            <w:col w:w="11460"/>
          </w:cols>
          <w:pgMar w:left="240" w:top="368" w:right="199" w:bottom="0" w:gutter="0" w:footer="0" w:header="0"/>
        </w:sectPr>
      </w:pPr>
    </w:p>
    <w:bookmarkStart w:id="6" w:name="page7"/>
    <w:bookmarkEnd w:id="6"/>
    <w:p>
      <w:pPr>
        <w:spacing w:after="0" w:line="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information from previous years to conform to the current presentation. Such reclassifications include $2 million and $5 million reclassified from “Depreciation and amortization” to “Interest expense, net” in our accompanying Condensed Consolidated Statements of Operations for the three and six months ended June 30, 2015, respectively, due to the retrospective application of revised debt issuance costs guidance issued by the FASB, which we adopted during the fourth quarter of 2015. These reclassifications do not affect net income attributable to PAA. The condensed consolidated balance sheet data as of December 31, 2015 was derived from audited financial statements, but does not include all disclosures required by GAAP. The results of operations for the three and six months ended June 30, 2016 should not be taken as indicative of results to be expected for the entire year.</w:t>
      </w:r>
    </w:p>
    <w:p>
      <w:pPr>
        <w:spacing w:after="0" w:line="16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Net income for partners’ capital presentation purposes is allocated in accordance with our partnership agreement. Our general partner and common unitholders are allocated income based on their respective partnership percentages, after giving effect to income allocations for (i) incentive distributions, if any, to our general partner (the holder of the IDRs pursuant to our partnership agreement) for distributions declared and paid following the close of each quarter and (ii) cash distributions to our preferred unitholders. In accordance with our partnership agreement, our preferred unitholders are not allocated income for paid-in-kind distributions.</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application of the two-class method for MLPs. See Note 3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2015 Annual Report on Form 10-K, there have been no new accounting pronouncements that have become effective or have been issued during the six months ended June 30, 2016 that are of significance or potential significance to us.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we are currently evaluating the effect that adopting this guidance will have on our financial position, results of operations and cash flows.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will become effective for interim and annual periods beginning after December 15, 2016, with early adoption permitted. We expect to adopt this guidance on January 1, 2017, and we are currently evaluating the effect that adopting this guidance will have on our financial position, results of operations and cash flows.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June 2016, the FASB issued new guidance for the accounting for credit losses on certain financial instruments. This guidance will become effective for interim and annual periods beginning after December 15, 2019, with early adoption permitted by one year. We expect to adopt this guidance on January 1, 2020, and we are currently evaluating the effect that adopting this guidance will have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Basic and diluted net income per common unit is determined pursuant to the two-class method for MLPs as prescribed in FASB guidance. The two-class method is an earnings allocation formula that is used to determine earnings to our general partner, limited partners and participating securities according to distributions pertaining to the current period’s net income and participation rights in undistributed earnings. Under this method, all earnings are allocated to our preferred unitholders,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the amount allocated to the preferred unitholders, the general partner’s interest, IDRs and participating securities)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Diluted net income per common unit is computed based on the weighted-average number of common units plus the effect of potentially dilutive securities outstanding during the period. When applying the if-converted method prescribed by FASB guidance, the possible conversion of our Series A preferred units was excluded from the calculation of diluted net income per common unit for the three and six months ended June 30, 2016 as the effect was antidilutive. See Note 8 to our Condensed Consolidated Financial Statements for additional information regarding our Series A preferred units.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common unit repurchase based on the remaining unamortized fair value, as prescribed by the treasury stock method in guidance issued by the FASB. LTIP awards were excluded from the computation of diluted net loss per common unit for the three months ended June 30, 2016 and 2015 and the six months ended June 30, 2016 as the effect was antidilutive. See Note 15 to our Consolidated Financial Statements included in Part IV of our 2015 Annual Report on Form 10-K for a complete discussion of our LTIP awards including specific discussion regarding 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ectPr>
          <w:pgSz w:w="11900" w:h="16917" w:orient="portrait"/>
          <w:cols w:equalWidth="0" w:num="1">
            <w:col w:w="11380"/>
          </w:cols>
          <w:pgMar w:left="240" w:top="125" w:right="279" w:bottom="0" w:gutter="0" w:footer="0" w:header="0"/>
        </w:sectPr>
      </w:pPr>
    </w:p>
    <w:p>
      <w:pPr>
        <w:spacing w:after="0" w:line="217" w:lineRule="exact"/>
        <w:rPr>
          <w:sz w:val="20"/>
          <w:szCs w:val="20"/>
          <w:color w:val="auto"/>
        </w:rPr>
      </w:pPr>
    </w:p>
    <w:p>
      <w:pPr>
        <w:ind w:left="6680"/>
        <w:spacing w:after="0"/>
        <w:tabs>
          <w:tab w:leader="none" w:pos="94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Six Months Ended</w:t>
      </w:r>
    </w:p>
    <w:p>
      <w:pPr>
        <w:spacing w:after="0" w:line="4" w:lineRule="exact"/>
        <w:rPr>
          <w:sz w:val="20"/>
          <w:szCs w:val="20"/>
          <w:color w:val="auto"/>
        </w:rPr>
      </w:pPr>
    </w:p>
    <w:p>
      <w:pPr>
        <w:ind w:left="7080"/>
        <w:spacing w:after="0"/>
        <w:tabs>
          <w:tab w:leader="none" w:pos="98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June 30,</w:t>
      </w:r>
    </w:p>
    <w:p>
      <w:pPr>
        <w:sectPr>
          <w:pgSz w:w="11900" w:h="16917" w:orient="portrait"/>
          <w:cols w:equalWidth="0" w:num="1">
            <w:col w:w="11380"/>
          </w:cols>
          <w:pgMar w:left="240" w:top="125" w:right="279" w:bottom="0" w:gutter="0" w:footer="0" w:header="0"/>
          <w:type w:val="continuous"/>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Distributions to Series A preferred units</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income/(loss) allocated to common unitholders in accordance with</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60" w:type="dxa"/>
            <w:vAlign w:val="bottom"/>
            <w:vMerge w:val="restart"/>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840" w:type="dxa"/>
            <w:vAlign w:val="bottom"/>
            <w:gridSpan w:val="2"/>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application of the two-class method for MLPs</w:t>
            </w:r>
          </w:p>
        </w:tc>
        <w:tc>
          <w:tcPr>
            <w:tcW w:w="76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income/(loss) per common unit</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(0.20)</w:t>
            </w: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Distributions to Series A preferred units</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income/(loss) allocated to common unitholders in accordance with</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60" w:type="dxa"/>
            <w:vAlign w:val="bottom"/>
            <w:vMerge w:val="restart"/>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840" w:type="dxa"/>
            <w:vAlign w:val="bottom"/>
            <w:gridSpan w:val="2"/>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application of the two-class method for MLPs</w:t>
            </w:r>
          </w:p>
        </w:tc>
        <w:tc>
          <w:tcPr>
            <w:tcW w:w="76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Effect of dilutive securities: Weighted average LTIP units</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(0.20)</w:t>
            </w: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38"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Pursuant to the terms of our partnership agreement, the general partner’s incentive distribution is limited to a percentage of available cash, which, as defined in our partnership agreement, is net of reserves deemed appropriate. As such, IDRs are not allocated undistributed earnings or distributions in excess of earnings in the calculation of net income per common unit. If, however, undistributed earnings were allocated to our IDRs beyond amounts distributed to them under the terms of our partnership agreement, basic and diluted net income per common unit as reflected in the table above would not have been impacted, as we did not have undistributed earnings for any of the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June 30, 2016 and December 31, 2015, we had received $93 million and $88 million, respectively, of advance cash payments from third parties to mitigate credit risk.</w:t>
      </w:r>
    </w:p>
    <w:p>
      <w:pPr>
        <w:spacing w:after="0" w:line="193"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We also received $73 million and $36 million as of June 30, 2016 and December 31,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2016 and December 31, 2015, substantially all of our trade accounts receivable (net of allowance for doubtful accounts) were less than 30 days past their scheduled invoice date. Our allowance for doubtful accounts receivable totaled $4 million at both June 30, 2016 and December 31, 2015.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Volumes</w:t>
            </w:r>
          </w:p>
        </w:tc>
        <w:tc>
          <w:tcPr>
            <w:tcW w:w="11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Unit of</w:t>
            </w:r>
          </w:p>
        </w:tc>
        <w:tc>
          <w:tcPr>
            <w:tcW w:w="100" w:type="dxa"/>
            <w:vAlign w:val="bottom"/>
          </w:tcPr>
          <w:p>
            <w:pPr>
              <w:spacing w:after="0"/>
              <w:rPr>
                <w:sz w:val="10"/>
                <w:szCs w:val="10"/>
                <w:color w:val="auto"/>
              </w:rPr>
            </w:pPr>
          </w:p>
        </w:tc>
        <w:tc>
          <w:tcPr>
            <w:tcW w:w="10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64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Price/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Volumes</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Measure</w:t>
            </w: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80" w:type="dxa"/>
            <w:vAlign w:val="bottom"/>
            <w:gridSpan w:val="2"/>
          </w:tcPr>
          <w:p>
            <w:pPr>
              <w:jc w:val="center"/>
              <w:ind w:right="36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Crude oil</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20,013</w:t>
            </w:r>
          </w:p>
        </w:tc>
        <w:tc>
          <w:tcPr>
            <w:tcW w:w="110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40.92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16,345</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84"/>
        </w:trPr>
        <w:tc>
          <w:tcPr>
            <w:tcW w:w="27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tcBorders>
              <w:right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12,813</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barrels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16.31</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13,907</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Natural gas</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15,055</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Mcf</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2.06</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22,080</w:t>
            </w:r>
          </w:p>
        </w:tc>
        <w:tc>
          <w:tcPr>
            <w:tcW w:w="920" w:type="dxa"/>
            <w:vAlign w:val="bottom"/>
          </w:tcPr>
          <w:p>
            <w:pPr>
              <w:ind w:left="140"/>
              <w:spacing w:after="0"/>
              <w:rPr>
                <w:sz w:val="20"/>
                <w:szCs w:val="20"/>
                <w:color w:val="auto"/>
              </w:rPr>
            </w:pPr>
            <w:r>
              <w:rPr>
                <w:rFonts w:ascii="Arial" w:cs="Arial" w:eastAsia="Arial" w:hAnsi="Arial"/>
                <w:sz w:val="18"/>
                <w:szCs w:val="18"/>
                <w:color w:val="auto"/>
              </w:rPr>
              <w:t>Mcf</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Inventory subtotal</w:t>
            </w:r>
          </w:p>
        </w:tc>
        <w:tc>
          <w:tcPr>
            <w:tcW w:w="10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right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12,227</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barrels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58.56</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12,298</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NGL</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1,355</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barrels</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33.21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1,348</w:t>
            </w:r>
          </w:p>
        </w:tc>
        <w:tc>
          <w:tcPr>
            <w:tcW w:w="920" w:type="dxa"/>
            <w:vAlign w:val="bottom"/>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30,812</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Mcf</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4.58</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30,812</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Linefill and base gas subtotal</w:t>
            </w:r>
          </w:p>
        </w:tc>
        <w:tc>
          <w:tcPr>
            <w:tcW w:w="10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right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3,396</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barrels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47.70</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3,417</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NGL</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1,418</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barrels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15.51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1,652</w:t>
            </w:r>
          </w:p>
        </w:tc>
        <w:tc>
          <w:tcPr>
            <w:tcW w:w="920" w:type="dxa"/>
            <w:vAlign w:val="bottom"/>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right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2,171</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4"/>
        </w:numPr>
        <w:rPr>
          <w:rFonts w:ascii="Arial" w:cs="Arial" w:eastAsia="Arial" w:hAnsi="Arial"/>
          <w:sz w:val="23"/>
          <w:szCs w:val="23"/>
          <w:b w:val="1"/>
          <w:bCs w:val="1"/>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2016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line="216" w:lineRule="exact"/>
              <w:rPr>
                <w:sz w:val="20"/>
                <w:szCs w:val="20"/>
                <w:color w:val="auto"/>
              </w:rPr>
            </w:pPr>
            <w:r>
              <w:rPr>
                <w:rFonts w:ascii="Arial" w:cs="Arial" w:eastAsia="Arial" w:hAnsi="Arial"/>
                <w:sz w:val="18"/>
                <w:szCs w:val="18"/>
                <w:color w:val="auto"/>
                <w:w w:val="96"/>
              </w:rPr>
              <w:t xml:space="preserve">Commercial paper notes, bearing a weighted-average interest rate of 1.3% and 1.1%, respectively </w:t>
            </w:r>
            <w:r>
              <w:rPr>
                <w:rFonts w:ascii="Arial" w:cs="Arial" w:eastAsia="Arial" w:hAnsi="Arial"/>
                <w:sz w:val="23"/>
                <w:szCs w:val="23"/>
                <w:color w:val="auto"/>
                <w:w w:val="96"/>
                <w:vertAlign w:val="superscript"/>
              </w:rPr>
              <w:t>(1)</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Senior secured hedged inventory facility, bearing a weighted-average interest rate of 1.4% and 1.4%,</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3"/>
                <w:szCs w:val="23"/>
                <w:color w:val="auto"/>
                <w:vertAlign w:val="superscript"/>
              </w:rPr>
              <w:t>(1)</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notes: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5.88% senior notes due August 2016</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6.13% senior notes due January 2017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Arial" w:cs="Arial" w:eastAsia="Arial" w:hAnsi="Arial"/>
                <w:sz w:val="18"/>
                <w:szCs w:val="18"/>
                <w:color w:val="auto"/>
              </w:rPr>
              <w:t>Total short-term debt</w:t>
            </w: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 of $72 and $77, respectively</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9"/>
              </w:rPr>
              <w:t>Commercial paper notes, bearing a weighted-average interest rate of 1.3% and 1.1%, respectively</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debt</w:t>
            </w:r>
          </w:p>
        </w:tc>
        <w:tc>
          <w:tcPr>
            <w:tcW w:w="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5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100" w:hanging="11"/>
        <w:spacing w:after="0" w:line="264" w:lineRule="auto"/>
        <w:rPr>
          <w:sz w:val="20"/>
          <w:szCs w:val="20"/>
          <w:color w:val="auto"/>
        </w:rPr>
      </w:pPr>
      <w:r>
        <w:rPr>
          <w:rFonts w:ascii="Arial" w:cs="Arial" w:eastAsia="Arial" w:hAnsi="Arial"/>
          <w:sz w:val="18"/>
          <w:szCs w:val="18"/>
          <w:color w:val="auto"/>
        </w:rPr>
        <w:t>We classified these commercial paper notes and credit facility borrowings as short-term as of June 30, 2016 and December 31, 2015, as these notes and borrowings were primarily designated as working capital borrowings, were required to be repaid within one year and were primarily for hedged NGL and crude oil inventory and NYMEX and ICE margin deposits.</w:t>
      </w:r>
    </w:p>
    <w:p>
      <w:pPr>
        <w:spacing w:after="0" w:line="181" w:lineRule="exact"/>
        <w:rPr>
          <w:sz w:val="20"/>
          <w:szCs w:val="20"/>
          <w:color w:val="auto"/>
        </w:rPr>
      </w:pPr>
    </w:p>
    <w:p>
      <w:pPr>
        <w:ind w:right="140" w:hanging="11"/>
        <w:spacing w:after="0" w:line="272" w:lineRule="auto"/>
        <w:rPr>
          <w:sz w:val="20"/>
          <w:szCs w:val="20"/>
          <w:color w:val="auto"/>
        </w:rPr>
      </w:pPr>
      <w:r>
        <w:rPr>
          <w:rFonts w:ascii="Arial" w:cs="Arial" w:eastAsia="Arial" w:hAnsi="Arial"/>
          <w:sz w:val="17"/>
          <w:szCs w:val="17"/>
          <w:color w:val="auto"/>
        </w:rPr>
        <w:t>Our fixed-rate senior notes (including current maturities) had a face value of approximately $9.8 billion as of both June 30, 2016 and December 31, 2015. We estimated the aggregate fair value of these notes as of June 30, 2016 and December 31, 2015 to be approximately $9.6 billion and $8.6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ectPr>
          <w:pgSz w:w="11900" w:h="16838" w:orient="portrait"/>
          <w:cols w:equalWidth="0" w:num="2">
            <w:col w:w="140" w:space="520"/>
            <w:col w:w="10760"/>
          </w:cols>
          <w:pgMar w:left="240" w:top="140" w:right="23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borrowings under our credit facilities and commercial paper program for the six months ended June 30, 2016 and 2015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$23.0 billion and $17.9 billion, respectively. Total repayments under our credit facilities and commercial paper program were approximately $23.6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$17.7 billion for the six months ended June 30, 2016 and 2015, respectively. The variance in total gross borrowings and repayments is impacted by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and financial factors including, but not limited to, the timing, average term and method of general partnership borrowing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June 30, 2016 and December 31, 2015, we had outstanding letters of credit of $48 million and $46 million, respectively.</w:t>
      </w:r>
    </w:p>
    <w:p>
      <w:pPr>
        <w:sectPr>
          <w:pgSz w:w="11900" w:h="16838" w:orient="portrait"/>
          <w:cols w:equalWidth="0" w:num="1">
            <w:col w:w="11420"/>
          </w:cols>
          <w:pgMar w:left="240" w:top="125" w:right="239" w:bottom="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the activity for our Series A preferred units and common units: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 of Series A preferred units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Issuance of Series A preferred units in connection with in-kind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Issuance of common units under LTIP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6350</wp:posOffset>
            </wp:positionV>
            <wp:extent cx="2126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tabs>
          <w:tab w:leader="none" w:pos="1800" w:val="left"/>
        </w:tabs>
        <w:rPr>
          <w:sz w:val="20"/>
          <w:szCs w:val="20"/>
          <w:color w:val="auto"/>
        </w:rPr>
      </w:pPr>
      <w:r>
        <w:rPr>
          <w:rFonts w:ascii="Arial" w:cs="Arial" w:eastAsia="Arial" w:hAnsi="Arial"/>
          <w:sz w:val="14"/>
          <w:szCs w:val="14"/>
          <w:b w:val="1"/>
          <w:bCs w:val="1"/>
          <w:color w:val="auto"/>
        </w:rPr>
        <w:t>Preferred Units</w:t>
      </w:r>
      <w:r>
        <w:rPr>
          <w:sz w:val="20"/>
          <w:szCs w:val="20"/>
          <w:color w:val="auto"/>
        </w:rPr>
        <w:tab/>
      </w:r>
      <w:r>
        <w:rPr>
          <w:rFonts w:ascii="Arial" w:cs="Arial" w:eastAsia="Arial" w:hAnsi="Arial"/>
          <w:sz w:val="13"/>
          <w:szCs w:val="13"/>
          <w:b w:val="1"/>
          <w:bCs w:val="1"/>
          <w:color w:val="auto"/>
        </w:rPr>
        <w:t>Common Units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397,727,624</w:t>
      </w:r>
    </w:p>
    <w:p>
      <w:pPr>
        <w:spacing w:after="0" w:line="34" w:lineRule="exact"/>
        <w:rPr>
          <w:sz w:val="20"/>
          <w:szCs w:val="20"/>
          <w:color w:val="auto"/>
        </w:rPr>
      </w:pPr>
    </w:p>
    <w:p>
      <w:pPr>
        <w:jc w:val="both"/>
        <w:ind w:left="520"/>
        <w:spacing w:after="0"/>
        <w:tabs>
          <w:tab w:leader="none" w:pos="2780" w:val="left"/>
        </w:tabs>
        <w:rPr>
          <w:sz w:val="20"/>
          <w:szCs w:val="20"/>
          <w:color w:val="auto"/>
        </w:rPr>
      </w:pPr>
      <w:r>
        <w:rPr>
          <w:rFonts w:ascii="Arial" w:cs="Arial" w:eastAsia="Arial" w:hAnsi="Arial"/>
          <w:sz w:val="18"/>
          <w:szCs w:val="18"/>
          <w:color w:val="auto"/>
        </w:rPr>
        <w:t>61,030,127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-130175</wp:posOffset>
            </wp:positionV>
            <wp:extent cx="21266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jc w:val="both"/>
        <w:ind w:left="740"/>
        <w:spacing w:after="0"/>
        <w:tabs>
          <w:tab w:leader="none" w:pos="2780" w:val="left"/>
        </w:tabs>
        <w:rPr>
          <w:sz w:val="20"/>
          <w:szCs w:val="20"/>
          <w:color w:val="auto"/>
        </w:rPr>
      </w:pPr>
      <w:r>
        <w:rPr>
          <w:rFonts w:ascii="Arial" w:cs="Arial" w:eastAsia="Arial" w:hAnsi="Arial"/>
          <w:sz w:val="18"/>
          <w:szCs w:val="18"/>
          <w:color w:val="auto"/>
        </w:rPr>
        <w:t>858,439</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9,104</w:t>
      </w:r>
    </w:p>
    <w:p>
      <w:pPr>
        <w:spacing w:after="0" w:line="7" w:lineRule="exact"/>
        <w:rPr>
          <w:sz w:val="20"/>
          <w:szCs w:val="20"/>
          <w:color w:val="auto"/>
        </w:rPr>
      </w:pPr>
    </w:p>
    <w:p>
      <w:pPr>
        <w:sectPr>
          <w:pgSz w:w="11900" w:h="16838" w:orient="portrait"/>
          <w:cols w:equalWidth="0" w:num="2">
            <w:col w:w="7620" w:space="720"/>
            <w:col w:w="308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61,888,566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397,736,728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4"/>
                <w:szCs w:val="14"/>
                <w:b w:val="1"/>
                <w:bCs w:val="1"/>
                <w:color w:val="auto"/>
              </w:rPr>
              <w:t>Limited Partners</w:t>
            </w:r>
          </w:p>
        </w:tc>
        <w:tc>
          <w:tcPr>
            <w:tcW w:w="0" w:type="dxa"/>
            <w:vAlign w:val="bottom"/>
          </w:tcPr>
          <w:p>
            <w:pPr>
              <w:spacing w:after="0"/>
              <w:rPr>
                <w:sz w:val="1"/>
                <w:szCs w:val="1"/>
                <w:color w:val="auto"/>
              </w:rPr>
            </w:pPr>
          </w:p>
        </w:tc>
      </w:tr>
      <w:tr>
        <w:trPr>
          <w:trHeight w:val="142"/>
        </w:trPr>
        <w:tc>
          <w:tcPr>
            <w:tcW w:w="79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Common Units</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375,107,793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200"/>
              <w:spacing w:after="0"/>
              <w:rPr>
                <w:sz w:val="20"/>
                <w:szCs w:val="20"/>
                <w:color w:val="auto"/>
              </w:rPr>
            </w:pPr>
            <w:r>
              <w:rPr>
                <w:rFonts w:ascii="Arial" w:cs="Arial" w:eastAsia="Arial" w:hAnsi="Arial"/>
                <w:sz w:val="18"/>
                <w:szCs w:val="18"/>
                <w:color w:val="auto"/>
              </w:rPr>
              <w:t>Sale of common units</w:t>
            </w: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22,133,904</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units under LTIP</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8"/>
                <w:szCs w:val="18"/>
                <w:color w:val="auto"/>
              </w:rPr>
              <w:t>Outstanding at June 30, 2015</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397,680,214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Series A Preferred Unit Offering. </w:t>
      </w:r>
      <w:r>
        <w:rPr>
          <w:rFonts w:ascii="Arial" w:cs="Arial" w:eastAsia="Arial" w:hAnsi="Arial"/>
          <w:sz w:val="18"/>
          <w:szCs w:val="18"/>
          <w:color w:val="auto"/>
        </w:rPr>
        <w:t>In January 2016, we completed the private placement of approximately 61.0 million Series A preferred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limited partner interests in us for a cash purchase price of $26.25 per unit (the “Issue Price”).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Series A preferred units are a new class of equity security that ranks senior to all classes or series of our equity securities with respect to distribution rights and rights upon liquidation. The holders of the Series A preferred units will receive cumulative quarterly distributions, subject to customary antidilution adjustments, equal to $0.525 per unit ($2.10 per unit annualized). With respect to any quarter ending on or prior to December 31, 2017 (the “Initial Distribution Period”), we may elect to pay distributions on the Series A preferred units in additional preferred units, in cash or a combination of both. With respect to any quarter ending after the Initial Distribution Period, we must pay distributions on the Series A preferred units in cash. Our general partner will be entitled to participate in cash distributions on the Series A preferred units equal to its 2% general partner interest.</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purchasers may convert their Series A preferred units, generally on a one-for-one basis and subject to customary antidilution adjustments, at any time after the second anniversary of the issuance date (or prior to a liquidation), in whole or in part, subject to certain minimum conversion amounts. We may convert the Series A preferred units at any time (but not more often than once per quarter) after the third anniversary of the issuance date, in whole or in part, subject to certain minimum conversion amounts, if the closing price of our common units is greater than 150% of the Issue Price for the preceding 20 trading days. The Series A preferred units will vote on an as-converted basis with our common units and will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to common units at the then applicable conversion rate.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a period of 30 days following (a) the fifth anniversary of the issuance date of the Series A preferred units and (b) each subsequent anniversary of the issuance date, the holders of the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9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the common units for a trading day period specified in our partnership agreement) or a combination of cash and common units at a redemption price equal to 110% of the Issue Price, plus any accrued and unpaid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ectPr>
          <w:pgSz w:w="11900" w:h="16838" w:orient="portrait"/>
          <w:cols w:equalWidth="0" w:num="1">
            <w:col w:w="11420"/>
          </w:cols>
          <w:pgMar w:left="240" w:top="125" w:right="239" w:bottom="0" w:gutter="0" w:footer="0" w:header="0"/>
          <w:type w:val="continuous"/>
        </w:sectPr>
      </w:pPr>
    </w:p>
    <w:bookmarkStart w:id="10" w:name="page11"/>
    <w:bookmarkEnd w:id="10"/>
    <w:p>
      <w:pPr>
        <w:ind w:right="80" w:firstLine="648"/>
        <w:spacing w:after="0" w:line="277" w:lineRule="auto"/>
        <w:rPr>
          <w:sz w:val="20"/>
          <w:szCs w:val="20"/>
          <w:color w:val="auto"/>
        </w:rPr>
      </w:pPr>
      <w:r>
        <w:rPr>
          <w:rFonts w:ascii="Arial" w:cs="Arial" w:eastAsia="Arial" w:hAnsi="Arial"/>
          <w:sz w:val="18"/>
          <w:szCs w:val="18"/>
          <w:i w:val="1"/>
          <w:iCs w:val="1"/>
          <w:color w:val="auto"/>
        </w:rPr>
        <w:t>Cash Distributions</w:t>
      </w:r>
      <w:r>
        <w:rPr>
          <w:rFonts w:ascii="Arial" w:cs="Arial" w:eastAsia="Arial" w:hAnsi="Arial"/>
          <w:sz w:val="18"/>
          <w:szCs w:val="18"/>
          <w:color w:val="auto"/>
        </w:rPr>
        <w:t>. The following table details the distributions paid in cash during or pertaining to the first six months of 2016, net of reductions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partner’s incentive distributions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Distributions</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Distributions per</w:t>
            </w:r>
          </w:p>
        </w:tc>
      </w:tr>
      <w:tr>
        <w:trPr>
          <w:trHeight w:val="142"/>
        </w:trPr>
        <w:tc>
          <w:tcPr>
            <w:tcW w:w="2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14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Distribution Date</w:t>
            </w:r>
          </w:p>
        </w:tc>
        <w:tc>
          <w:tcPr>
            <w:tcW w:w="160" w:type="dxa"/>
            <w:vAlign w:val="bottom"/>
          </w:tcPr>
          <w:p>
            <w:pPr>
              <w:spacing w:after="0"/>
              <w:rPr>
                <w:sz w:val="12"/>
                <w:szCs w:val="12"/>
                <w:color w:val="auto"/>
              </w:rPr>
            </w:pPr>
          </w:p>
        </w:tc>
        <w:tc>
          <w:tcPr>
            <w:tcW w:w="17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Common Unitholders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General Partner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common unit</w:t>
            </w:r>
          </w:p>
        </w:tc>
      </w:tr>
      <w:tr>
        <w:trPr>
          <w:trHeight w:val="210"/>
        </w:trPr>
        <w:tc>
          <w:tcPr>
            <w:tcW w:w="2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11, 2016</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August 12, 2016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April 7,</w:t>
            </w:r>
          </w:p>
        </w:tc>
        <w:tc>
          <w:tcPr>
            <w:tcW w:w="1400" w:type="dxa"/>
            <w:vAlign w:val="bottom"/>
          </w:tcPr>
          <w:p>
            <w:pPr>
              <w:ind w:left="2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May 13, 2016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433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January</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12, 2016</w:t>
            </w: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12, 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96"/>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29, 2016 for the period April 1, 2016 through June 30, 2016.</w:t>
      </w:r>
    </w:p>
    <w:p>
      <w:pPr>
        <w:spacing w:after="0" w:line="20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In-Kind Distributions</w:t>
      </w:r>
      <w:r>
        <w:rPr>
          <w:rFonts w:ascii="Arial" w:cs="Arial" w:eastAsia="Arial" w:hAnsi="Arial"/>
          <w:sz w:val="18"/>
          <w:szCs w:val="18"/>
          <w:color w:val="auto"/>
        </w:rPr>
        <w:t>. On May 13, 2016, we issued 858,439 additional Series A preferred units in lieu of a cash distribution of $23 million.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was issued to Series A preferred unitholders of record as of April 29, 2016 and was prorated for the period beginning on January 28, 2016, the issuance date of the Series A preferred units, through March 31, 2016.</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On August 12, 2016, we will issue 1,237,765 additional Series A preferred units in lieu of a cash distribution of $33 million. Since the August 12, 2016 Series A preferred unit distribution was declared as payment-in-kind, this distribution payable was accrued to partners’ capital as of June 30, 2016 and thus had no net impact on the Series A preferred unitholders’ capital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2016, noncontrolling interests in our subsidiaries consisted of a 25% interest in SLC Pipeline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2016, net derivative positions related to these activities included:</w:t>
      </w:r>
    </w:p>
    <w:p>
      <w:pPr>
        <w:spacing w:after="0" w:line="147" w:lineRule="exact"/>
        <w:rPr>
          <w:sz w:val="20"/>
          <w:szCs w:val="20"/>
          <w:color w:val="auto"/>
        </w:rPr>
      </w:pPr>
    </w:p>
    <w:p>
      <w:pPr>
        <w:ind w:left="980" w:right="60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long position of 2.1 million barrels associated with our crude oil purchases, which was unwound ratably during July 2016 to match monthly average pricing.</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time spread position of 3.9 million barrels, which hedges a portion of our anticipated crude oil lease gathering purchases through August 2017.</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crude oil grade spread position of 7.0 million barrels through December 2018. These derivatives allow us to lock in grade basis differentials.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13.0 Bcf through July 2017 related to anticipated sales of natural gas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net short position of 25.8 million barrels through December 2019 related to anticipated net sales of our crude oil and NGL inventory.</w:t>
      </w:r>
    </w:p>
    <w:p>
      <w:pPr>
        <w:spacing w:after="0" w:line="2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June 30, 2016, our PLA hedges included a long call option position of 1.2 million barrels through December 2018.</w:t>
      </w:r>
    </w:p>
    <w:p>
      <w:pPr>
        <w:spacing w:after="0" w:line="18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2016, we had a long natural gas position of 22.0 Bcf through December 2017, a short propane position of 4.2 million barrels through December 2017, a short butane position of 1.3 million barrels through December 2017 and a short WTI position of 0.5 million barrels through</w:t>
      </w:r>
    </w:p>
    <w:p>
      <w:pPr>
        <w:sectPr>
          <w:pgSz w:w="11900" w:h="16838" w:orient="portrait"/>
          <w:cols w:equalWidth="0" w:num="1">
            <w:col w:w="11420"/>
          </w:cols>
          <w:pgMar w:left="240" w:top="125" w:right="239" w:bottom="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color w:val="auto"/>
        </w:rPr>
        <w:t>December 2017. In addition, we had a long power position of 0.3 million megawatt hours, which hedges a portion of our power supply requirements at our Canadian natural gas processing and fractionation plants through December 2018.</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June 30, 2016, AOCI includes deferred losses of $334 million that relate to open and terminated interest rate derivatives that were designated as cash flow hedges. The majority of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June 30, 2016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and Types of</w:t>
            </w: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Notional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 Rate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Derivatives Employed</w:t>
            </w: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 Date</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Locked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8 forward starting swaps (30-</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year)</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4/13/2017</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year)</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6/15/2017</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year)</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year)</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June 2016, we made a cash payment of approximately $52 million in connection with the termination of eight forward starting interest rate swaps that had an aggregate notional amount of $200 million and an average fixed rate of 3.06%. In conjunction with this termination, a loss of approximately $50 million was deferred to AOCI, and a loss of approximately $2 million was immediately recognized in interest expense attributable to the determination that a previously forecasted interest payment is now considered probable of not occurring.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June 30,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2016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USD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jc w:val="right"/>
              <w:ind w:right="207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2016</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241</w:t>
            </w:r>
          </w:p>
        </w:tc>
        <w:tc>
          <w:tcPr>
            <w:tcW w:w="20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$1.29</w:t>
            </w:r>
          </w:p>
        </w:tc>
      </w:tr>
      <w:tr>
        <w:trPr>
          <w:trHeight w:val="230"/>
        </w:trPr>
        <w:tc>
          <w:tcPr>
            <w:tcW w:w="664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26</w:t>
            </w:r>
          </w:p>
        </w:tc>
        <w:tc>
          <w:tcPr>
            <w:tcW w:w="2020" w:type="dxa"/>
            <w:vAlign w:val="bottom"/>
          </w:tcPr>
          <w:p>
            <w:pPr>
              <w:jc w:val="right"/>
              <w:ind w:right="570"/>
              <w:spacing w:after="0"/>
              <w:rPr>
                <w:sz w:val="20"/>
                <w:szCs w:val="20"/>
                <w:color w:val="auto"/>
              </w:rPr>
            </w:pPr>
            <w:r>
              <w:rPr>
                <w:rFonts w:ascii="Arial" w:cs="Arial" w:eastAsia="Arial" w:hAnsi="Arial"/>
                <w:sz w:val="18"/>
                <w:szCs w:val="18"/>
                <w:color w:val="auto"/>
              </w:rPr>
              <w:t>$1.00 - $1.29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At June 30, 2016, the fair value of this embedded derivative was a liability of approximately $35 million. We recognized a gain of approximately $25 million during the three and six months ended June 30, 2016 due to changes in fair value during the period. See Note 8 for additional information regarding our Series A preferred units and the Preferred Distribution Rate Reset 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w:t>
      </w:r>
    </w:p>
    <w:p>
      <w:pPr>
        <w:sectPr>
          <w:pgSz w:w="11900" w:h="16838" w:orient="portrait"/>
          <w:cols w:equalWidth="0" w:num="1">
            <w:col w:w="11420"/>
          </w:cols>
          <w:pgMar w:left="240" w:top="125" w:right="239" w:bottom="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 June 30, 2016</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Three Months Ended June 30, 2015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left="128"/>
              <w:spacing w:after="0" w:line="119" w:lineRule="exact"/>
              <w:rPr>
                <w:sz w:val="20"/>
                <w:szCs w:val="20"/>
                <w:color w:val="auto"/>
              </w:rPr>
            </w:pPr>
            <w:r>
              <w:rPr>
                <w:rFonts w:ascii="Arial" w:cs="Arial" w:eastAsia="Arial" w:hAnsi="Arial"/>
                <w:sz w:val="13"/>
                <w:szCs w:val="13"/>
                <w:b w:val="1"/>
                <w:bCs w:val="1"/>
                <w:color w:val="auto"/>
              </w:rPr>
              <w:t>Derivatives in</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Derivatives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Derivatives in</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Derivatives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180" w:type="dxa"/>
            <w:vAlign w:val="bottom"/>
          </w:tcPr>
          <w:p>
            <w:pPr>
              <w:jc w:val="center"/>
              <w:ind w:left="128"/>
              <w:spacing w:after="0" w:line="172" w:lineRule="exact"/>
              <w:rPr>
                <w:sz w:val="20"/>
                <w:szCs w:val="20"/>
                <w:color w:val="auto"/>
              </w:rPr>
            </w:pPr>
            <w:r>
              <w:rPr>
                <w:rFonts w:ascii="Arial" w:cs="Arial" w:eastAsia="Arial" w:hAnsi="Arial"/>
                <w:sz w:val="14"/>
                <w:szCs w:val="14"/>
                <w:b w:val="1"/>
                <w:bCs w:val="1"/>
                <w:color w:val="auto"/>
                <w:w w:val="89"/>
              </w:rPr>
              <w:t xml:space="preserve">Relationships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as a Hedge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jc w:val="right"/>
              <w:ind w:right="102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Preferred Distribution Rate Reset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Option</w:t>
            </w: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180" w:type="dxa"/>
            <w:vAlign w:val="bottom"/>
            <w:vMerge w:val="restart"/>
            <w:shd w:val="clear" w:color="auto" w:fill="CCEEFF"/>
          </w:tcPr>
          <w:p>
            <w:pPr>
              <w:jc w:val="right"/>
              <w:ind w:right="1028"/>
              <w:spacing w:after="0"/>
              <w:rPr>
                <w:sz w:val="20"/>
                <w:szCs w:val="20"/>
                <w:color w:val="auto"/>
              </w:rPr>
            </w:pPr>
            <w:r>
              <w:rPr>
                <w:rFonts w:ascii="Arial" w:cs="Arial" w:eastAsia="Arial" w:hAnsi="Arial"/>
                <w:sz w:val="15"/>
                <w:szCs w:val="15"/>
                <w:color w:val="auto"/>
                <w:w w:val="71"/>
              </w:rPr>
              <w:t>$</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1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tcBorders>
              <w:right w:val="single" w:sz="8" w:color="auto"/>
            </w:tcBorders>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Six Months Ended June 30, 2016</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Six Months Ended June 30, 2015</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left="128"/>
              <w:spacing w:after="0" w:line="119" w:lineRule="exact"/>
              <w:rPr>
                <w:sz w:val="20"/>
                <w:szCs w:val="20"/>
                <w:color w:val="auto"/>
              </w:rPr>
            </w:pPr>
            <w:r>
              <w:rPr>
                <w:rFonts w:ascii="Arial" w:cs="Arial" w:eastAsia="Arial" w:hAnsi="Arial"/>
                <w:sz w:val="13"/>
                <w:szCs w:val="13"/>
                <w:b w:val="1"/>
                <w:bCs w:val="1"/>
                <w:color w:val="auto"/>
              </w:rPr>
              <w:t>Derivatives in</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Derivatives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Derivatives in</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Derivatives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180" w:type="dxa"/>
            <w:vAlign w:val="bottom"/>
          </w:tcPr>
          <w:p>
            <w:pPr>
              <w:jc w:val="center"/>
              <w:ind w:left="128"/>
              <w:spacing w:after="0" w:line="172" w:lineRule="exact"/>
              <w:rPr>
                <w:sz w:val="20"/>
                <w:szCs w:val="20"/>
                <w:color w:val="auto"/>
              </w:rPr>
            </w:pPr>
            <w:r>
              <w:rPr>
                <w:rFonts w:ascii="Arial" w:cs="Arial" w:eastAsia="Arial" w:hAnsi="Arial"/>
                <w:sz w:val="14"/>
                <w:szCs w:val="14"/>
                <w:b w:val="1"/>
                <w:bCs w:val="1"/>
                <w:color w:val="auto"/>
                <w:w w:val="89"/>
              </w:rPr>
              <w:t xml:space="preserve">Relationships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as a Hedge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jc w:val="right"/>
              <w:ind w:right="102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Preferred Distribution Rate Reset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Option</w:t>
            </w: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180" w:type="dxa"/>
            <w:vAlign w:val="bottom"/>
            <w:vMerge w:val="restart"/>
            <w:shd w:val="clear" w:color="auto" w:fill="CCEEFF"/>
          </w:tcPr>
          <w:p>
            <w:pPr>
              <w:jc w:val="right"/>
              <w:ind w:right="1028"/>
              <w:spacing w:after="0"/>
              <w:rPr>
                <w:sz w:val="20"/>
                <w:szCs w:val="20"/>
                <w:color w:val="auto"/>
              </w:rPr>
            </w:pPr>
            <w:r>
              <w:rPr>
                <w:rFonts w:ascii="Arial" w:cs="Arial" w:eastAsia="Arial" w:hAnsi="Arial"/>
                <w:sz w:val="15"/>
                <w:szCs w:val="15"/>
                <w:color w:val="auto"/>
                <w:w w:val="71"/>
              </w:rPr>
              <w:t>$</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1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tcBorders>
              <w:right w:val="single" w:sz="8" w:color="auto"/>
            </w:tcBorders>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41" w:right="199" w:bottom="5" w:gutter="0" w:footer="0" w:header="0"/>
        </w:sectPr>
      </w:pPr>
    </w:p>
    <w:bookmarkStart w:id="13" w:name="page14"/>
    <w:bookmarkEnd w:id="13"/>
    <w:p>
      <w:pPr>
        <w:ind w:left="660" w:right="480" w:hanging="616"/>
        <w:spacing w:after="0" w:line="267" w:lineRule="auto"/>
        <w:tabs>
          <w:tab w:leader="none" w:pos="64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During the three and six months ended June 30, 2016 we reclassified losses of approximately $2 million and $2 million to Supply and Logistics segment revenues and Interest expense, net, respectively, due to anticipated hedged transactions being probable of not occurring.</w:t>
      </w:r>
    </w:p>
    <w:p>
      <w:pPr>
        <w:spacing w:after="0" w:line="17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6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Asset Derivatives</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5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2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2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5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Total derivatives designated as hedging instruments</w:t>
            </w:r>
          </w:p>
        </w:tc>
        <w:tc>
          <w:tcPr>
            <w:tcW w:w="23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4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Other long-term liabilities and</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56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680" w:type="dxa"/>
            <w:vAlign w:val="bottom"/>
          </w:tcPr>
          <w:p>
            <w:pPr>
              <w:spacing w:after="0"/>
              <w:rPr>
                <w:sz w:val="20"/>
                <w:szCs w:val="20"/>
                <w:color w:val="auto"/>
              </w:rPr>
            </w:pPr>
          </w:p>
        </w:tc>
        <w:tc>
          <w:tcPr>
            <w:tcW w:w="4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w:t>
            </w: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5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Distribution Rate Reset Option</w:t>
            </w: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5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496"/>
              <w:spacing w:after="0"/>
              <w:rPr>
                <w:sz w:val="20"/>
                <w:szCs w:val="20"/>
                <w:color w:val="auto"/>
              </w:rPr>
            </w:pPr>
            <w:r>
              <w:rPr>
                <w:rFonts w:ascii="Arial" w:cs="Arial" w:eastAsia="Arial" w:hAnsi="Arial"/>
                <w:sz w:val="18"/>
                <w:szCs w:val="18"/>
                <w:color w:val="auto"/>
                <w:w w:val="79"/>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right w:val="single" w:sz="8" w:color="auto"/>
            </w:tcBorders>
            <w:vMerge w:val="restart"/>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200" w:type="dxa"/>
            <w:vAlign w:val="bottom"/>
            <w:tcBorders>
              <w:right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derivatives</w:t>
            </w: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vMerge w:val="restart"/>
          </w:tcPr>
          <w:p>
            <w:pPr>
              <w:ind w:left="14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rPr>
              <w:t>Asset Derivatives</w:t>
            </w: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80" w:type="dxa"/>
            <w:vAlign w:val="bottom"/>
          </w:tcPr>
          <w:p>
            <w:pPr>
              <w:spacing w:after="0"/>
              <w:rPr>
                <w:sz w:val="10"/>
                <w:szCs w:val="10"/>
                <w:color w:val="auto"/>
              </w:rPr>
            </w:pPr>
          </w:p>
        </w:tc>
        <w:tc>
          <w:tcPr>
            <w:tcW w:w="72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w:t>
            </w:r>
          </w:p>
        </w:tc>
        <w:tc>
          <w:tcPr>
            <w:tcW w:w="254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Other long-term assets, net</w:t>
            </w:r>
          </w:p>
        </w:tc>
        <w:tc>
          <w:tcPr>
            <w:tcW w:w="66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254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5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Total derivatives designated as hedging instruments</w:t>
            </w:r>
          </w:p>
        </w:tc>
        <w:tc>
          <w:tcPr>
            <w:tcW w:w="20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265</w:t>
            </w:r>
          </w:p>
        </w:tc>
        <w:tc>
          <w:tcPr>
            <w:tcW w:w="2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Other long-term assets, net</w:t>
            </w:r>
          </w:p>
        </w:tc>
        <w:tc>
          <w:tcPr>
            <w:tcW w:w="66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w:t>
            </w:r>
          </w:p>
        </w:tc>
        <w:tc>
          <w:tcPr>
            <w:tcW w:w="2540" w:type="dxa"/>
            <w:vAlign w:val="bottom"/>
            <w:gridSpan w:val="3"/>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5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Other long-term liabilities and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54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6"/>
              </w:rPr>
              <w:t>275</w:t>
            </w:r>
          </w:p>
        </w:tc>
        <w:tc>
          <w:tcPr>
            <w:tcW w:w="1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500" w:type="dxa"/>
            <w:vAlign w:val="bottom"/>
            <w:tcBorders>
              <w:right w:val="single" w:sz="8" w:color="auto"/>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280</w:t>
            </w:r>
          </w:p>
        </w:tc>
        <w:tc>
          <w:tcPr>
            <w:tcW w:w="1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2016, we had a net broker receivable of $274 million (consisting of initial margin of $84 million increased by $190 million of</w:t>
      </w:r>
    </w:p>
    <w:p>
      <w:pPr>
        <w:sectPr>
          <w:pgSz w:w="11900" w:h="16838" w:orient="portrait"/>
          <w:cols w:equalWidth="0" w:num="1">
            <w:col w:w="11460"/>
          </w:cols>
          <w:pgMar w:left="240" w:top="125" w:right="199" w:bottom="0" w:gutter="0" w:footer="0" w:header="0"/>
        </w:sectPr>
      </w:pPr>
    </w:p>
    <w:bookmarkStart w:id="14" w:name="page15"/>
    <w:bookmarkEnd w:id="14"/>
    <w:p>
      <w:pPr>
        <w:ind w:right="440"/>
        <w:spacing w:after="0" w:line="277" w:lineRule="auto"/>
        <w:rPr>
          <w:sz w:val="20"/>
          <w:szCs w:val="20"/>
          <w:color w:val="auto"/>
        </w:rPr>
      </w:pPr>
      <w:r>
        <w:rPr>
          <w:rFonts w:ascii="Arial" w:cs="Arial" w:eastAsia="Arial" w:hAnsi="Arial"/>
          <w:sz w:val="18"/>
          <w:szCs w:val="18"/>
          <w:color w:val="auto"/>
        </w:rPr>
        <w:t>variation margin that had been posted by us). As of December 31, 2015, we had a net broker payable of $156 million (consisting of initial margin of $91 million reduced by $247 million of variation margin that had been returned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7"/>
          </w:tcPr>
          <w:p>
            <w:pPr>
              <w:ind w:left="96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14"/>
                <w:szCs w:val="14"/>
                <w:color w:val="auto"/>
              </w:rPr>
            </w:pPr>
          </w:p>
        </w:tc>
        <w:tc>
          <w:tcPr>
            <w:tcW w:w="298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rPr>
              <w:t>Derivative</w:t>
            </w:r>
          </w:p>
        </w:tc>
        <w:tc>
          <w:tcPr>
            <w:tcW w:w="340" w:type="dxa"/>
            <w:vAlign w:val="bottom"/>
            <w:gridSpan w:val="2"/>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Derivative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Asset Positions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Liability Positions</w:t>
            </w:r>
          </w:p>
        </w:tc>
        <w:tc>
          <w:tcPr>
            <w:tcW w:w="1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Asset Positions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June 30, 2016, there was a net loss of $355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2016, we expect to reclassify a net loss of $5 million to earnings in the next twelve months. The remaining deferred loss of $350 million is expected to be reclassified to earnings through 2049. A portion of these amounts is based on market prices as of June 30,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50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At June 30,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2"/>
              </w:rPr>
              <w:t>Fair Value as of June 30, 2016</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Preferred Distribution Rate Reset Option</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net derivative asset/(liability)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bottom w:val="single" w:sz="8" w:color="CCEEFF"/>
              <w:right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560" w:hanging="5612"/>
        <w:spacing w:after="0" w:line="461" w:lineRule="auto"/>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ectPr>
          <w:pgSz w:w="11900" w:h="16838" w:orient="portrait"/>
          <w:cols w:equalWidth="0" w:num="1">
            <w:col w:w="11420"/>
          </w:cols>
          <w:pgMar w:left="240" w:top="125" w:right="239" w:bottom="0" w:gutter="0" w:footer="0" w:header="0"/>
        </w:sectPr>
      </w:pPr>
    </w:p>
    <w:bookmarkStart w:id="15" w:name="page16"/>
    <w:bookmarkEnd w:id="15"/>
    <w:p>
      <w:pPr>
        <w:spacing w:after="0" w:line="18" w:lineRule="exact"/>
        <w:rPr>
          <w:sz w:val="20"/>
          <w:szCs w:val="20"/>
          <w:color w:val="auto"/>
        </w:rPr>
      </w:pPr>
    </w:p>
    <w:p>
      <w:pPr>
        <w:ind w:left="660" w:right="50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our Series A preferred unit offering classified as an embedded derivative.</w:t>
      </w:r>
    </w:p>
    <w:p>
      <w:pPr>
        <w:spacing w:after="0" w:line="170" w:lineRule="exact"/>
        <w:rPr>
          <w:sz w:val="20"/>
          <w:szCs w:val="20"/>
          <w:color w:val="auto"/>
        </w:rPr>
      </w:pPr>
    </w:p>
    <w:p>
      <w:pPr>
        <w:ind w:left="660" w:right="24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The fair value of the embedded derivative feature contained in our Series A preferred units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Gains for the period included in earnings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unrealized gains included in earnings relating to</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 derivatives still held at the end of the period</w:t>
            </w:r>
          </w:p>
        </w:tc>
        <w:tc>
          <w:tcPr>
            <w:tcW w:w="122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2015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As of June 30, 2016, Oxy owned approximately 13% of the limited partner interests in our general partner and had a representative on the board of directors of GP LLC. During the three and six months ended June 30, 2016 and 2015,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00" w:hanging="652"/>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on our Condensed Consolidated Balance Sheets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ectPr>
          <w:pgSz w:w="11900" w:h="16857" w:orient="portrait"/>
          <w:cols w:equalWidth="0" w:num="1">
            <w:col w:w="11460"/>
          </w:cols>
          <w:pgMar w:left="240" w:top="125" w:right="199" w:bottom="0" w:gutter="0" w:footer="0" w:header="0"/>
        </w:sectPr>
      </w:pPr>
    </w:p>
    <w:bookmarkStart w:id="16" w:name="page17"/>
    <w:bookmarkEnd w:id="16"/>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June 30, 2016, our estimated undiscounted reserve for environmental liabilities (including liabilities related to the Line 901 incident, as discussed further below) totaled $160 million, of which $59 million was classified as short-term and $101 million was classified as long-term. At December 31, 2015, our estimated undiscounted reserve for environmental liabilities (including liabilities related to the Line 901 incident) totaled $185 million, of which $81 million was classified as short-term and $104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2016, we had recorded receivables totaling $68 million for amounts probable of recovery under insurance and from third parties under indemnification agreements, of which $46 million was reflected in “Trade accounts receivable and other receivables, net” and $22 million was reflected in “Other long-term assets, net” on our Condensed Consolidated Balance Sheets. At December 31, 2015, we had recorded $161 million of such receivables, of which $138 million was reflected in “Trade accounts receivable and other receivables, net” and $23 million was reflected in “Other long-term assets, net” on our Condensed Consolidated Balance Sheets.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w:t>
      </w:r>
    </w:p>
    <w:p>
      <w:pPr>
        <w:sectPr>
          <w:pgSz w:w="11900" w:h="16877" w:orient="portrait"/>
          <w:cols w:equalWidth="0" w:num="1">
            <w:col w:w="11400"/>
          </w:cols>
          <w:pgMar w:left="240" w:top="337" w:right="259" w:bottom="0" w:gutter="0" w:footer="0" w:header="0"/>
        </w:sectPr>
      </w:pPr>
    </w:p>
    <w:bookmarkStart w:id="17" w:name="page18"/>
    <w:bookmarkEnd w:id="17"/>
    <w:p>
      <w:pPr>
        <w:ind w:right="20"/>
        <w:spacing w:after="0" w:line="264" w:lineRule="auto"/>
        <w:rPr>
          <w:sz w:val="20"/>
          <w:szCs w:val="20"/>
          <w:color w:val="auto"/>
        </w:rPr>
      </w:pPr>
      <w:r>
        <w:rPr>
          <w:rFonts w:ascii="Arial" w:cs="Arial" w:eastAsia="Arial" w:hAnsi="Arial"/>
          <w:sz w:val="18"/>
          <w:szCs w:val="18"/>
          <w:color w:val="auto"/>
        </w:rPr>
        <w:t>remediation operations with respect to impacted shoreline and other areas has been determined by the Unified Command to be complete, subject to continued shoreline monitoring. Our current “worst case” estimate of the amount of oil spilled, representing the maximum volume of oil that we believed could have been spilled based on relevant facts, data and information, is approximately 2,935 barrels.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0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On November 13, 2015, the corrective action order was further amended to require the purge and shutdown of Line 903 between Gaviota and Pentland. On June 16, 2016, the corrective action order was further amended to require additional corrective actions and documentation with respect to both Line 901and Line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their investigation is still open and we may have fines or penalties imposed upon us, or civil or criminal charges brought against us, in the future.</w:t>
      </w:r>
    </w:p>
    <w:p>
      <w:pPr>
        <w:spacing w:after="0" w:line="3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1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46 counts, 36 of which were misdemeanor charges relating to wildlife allegedly taken as a result of the accidental release. The remaining 10 counts (four felony and six misdemeanor charges) relate to the release of crude oil or reporting of the release. PAA believes that the criminal charges are unwarranted and that neither PAA nor any of its employees engaged in any criminal behavior at any time in connection with this accident. PAA intends to vigorously defend itself against the charges. On July 28, 2016, at an arraignment hearing held in California Superior Court in Santa Barbara County, PAA pled not guilty to all counts.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0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seven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ectPr>
          <w:pgSz w:w="11900" w:h="16838" w:orient="portrait"/>
          <w:cols w:equalWidth="0" w:num="1">
            <w:col w:w="11380"/>
          </w:cols>
          <w:pgMar w:left="240" w:top="125" w:right="279" w:bottom="42" w:gutter="0" w:footer="0" w:header="0"/>
        </w:sectPr>
      </w:pP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42" w:gutter="0" w:footer="0" w:header="0"/>
          <w:type w:val="continuous"/>
        </w:sectPr>
      </w:pPr>
    </w:p>
    <w:bookmarkStart w:id="18" w:name="page19"/>
    <w:bookmarkEnd w:id="18"/>
    <w:p>
      <w:pPr>
        <w:spacing w:after="0" w:line="6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three unitholder derivative lawsuits have been filed by certain purported investors in the Partnership against the Partnership, certain of its affiliates and certain officers and directors. Two of these lawsuits which were filed in the United States District Court for the Southern District of Texas have been administratively consolidated into one action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claim that the Partnership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June 30, 2016,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of June 30, 2016, we had a remaining undiscounted gross liability of $91 million related to this event, of which approximately $51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2016, we had collected, subject to customary reservations, $124 million out of the approximate $186 million of release costs that we believe are probable of recovery from insurance carriers, net of deductibles. Therefore, as of June 30, 2016, we have recognized a receivable of approximately $62 million for the portion of the release costs that we believe is probable of recovery from insurance, net of deductibles and amounts already collected. Of this amount, approximately $42 million is recognized as a current asset in “Trade accounts receivable and other receivables, net” on our Condensed Consolidated Balance Sheet, with the remainder in “Other long-term assets, net”.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88" w:lineRule="exact"/>
        <w:rPr>
          <w:sz w:val="20"/>
          <w:szCs w:val="20"/>
          <w:color w:val="auto"/>
        </w:rPr>
      </w:pPr>
    </w:p>
    <w:p>
      <w:pPr>
        <w:ind w:right="40" w:firstLine="816"/>
        <w:spacing w:after="0" w:line="302"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w:t>
      </w:r>
      <w:r>
        <w:rPr>
          <w:rFonts w:ascii="Arial" w:cs="Arial" w:eastAsia="Arial" w:hAnsi="Arial"/>
          <w:sz w:val="16"/>
          <w:szCs w:val="16"/>
          <w:i w:val="1"/>
          <w:iCs w:val="1"/>
          <w:color w:val="auto"/>
        </w:rPr>
        <w:t xml:space="preserve"> </w:t>
      </w:r>
      <w:r>
        <w:rPr>
          <w:rFonts w:ascii="Arial" w:cs="Arial" w:eastAsia="Arial" w:hAnsi="Arial"/>
          <w:sz w:val="16"/>
          <w:szCs w:val="16"/>
          <w:color w:val="auto"/>
        </w:rPr>
        <w:t>of 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w:t>
      </w:r>
    </w:p>
    <w:p>
      <w:pPr>
        <w:sectPr>
          <w:pgSz w:w="11900" w:h="16904" w:orient="portrait"/>
          <w:cols w:equalWidth="0" w:num="1">
            <w:col w:w="11420"/>
          </w:cols>
          <w:pgMar w:left="240" w:top="368" w:right="239" w:bottom="0" w:gutter="0" w:footer="0" w:header="0"/>
        </w:sectPr>
      </w:pPr>
    </w:p>
    <w:bookmarkStart w:id="19" w:name="page20"/>
    <w:bookmarkEnd w:id="19"/>
    <w:p>
      <w:pPr>
        <w:spacing w:after="0" w:line="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On April 15, 2016, the Agency confirmed that all of the activities required by the Compliance Commitment Agreement had been completed and that the violations associated with the incident had been resolved. To date, no fines or penalties have been assessed in this matter; however, it remains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we have incurred or will incur with respect to this release will be less than $10 million.</w:t>
      </w:r>
    </w:p>
    <w:p>
      <w:pPr>
        <w:spacing w:after="0" w:line="180" w:lineRule="exact"/>
        <w:rPr>
          <w:sz w:val="20"/>
          <w:szCs w:val="20"/>
          <w:color w:val="auto"/>
        </w:rPr>
      </w:pPr>
    </w:p>
    <w:p>
      <w:pPr>
        <w:ind w:right="100" w:firstLine="816"/>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w:t>
      </w:r>
      <w:r>
        <w:rPr>
          <w:rFonts w:ascii="Arial" w:cs="Arial" w:eastAsia="Arial" w:hAnsi="Arial"/>
          <w:sz w:val="18"/>
          <w:szCs w:val="18"/>
          <w:i w:val="1"/>
          <w:iCs w:val="1"/>
          <w:color w:val="auto"/>
        </w:rPr>
        <w:t xml:space="preserve"> </w:t>
      </w:r>
      <w:r>
        <w:rPr>
          <w:rFonts w:ascii="Arial" w:cs="Arial" w:eastAsia="Arial" w:hAnsi="Arial"/>
          <w:sz w:val="18"/>
          <w:szCs w:val="18"/>
          <w:color w:val="auto"/>
        </w:rPr>
        <w:t>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20" w:firstLine="816"/>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Segments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14"/>
                <w:szCs w:val="1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6,346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6,351</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Revenues:</w:t>
      </w:r>
    </w:p>
    <w:p>
      <w:pPr>
        <w:sectPr>
          <w:pgSz w:w="11900" w:h="16863" w:orient="portrait"/>
          <w:cols w:equalWidth="0" w:num="1">
            <w:col w:w="11420"/>
          </w:cols>
          <w:pgMar w:left="240" w:top="125"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04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156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9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96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w:t>
            </w:r>
          </w:p>
        </w:tc>
        <w:tc>
          <w:tcPr>
            <w:tcW w:w="30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38"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 For further discussion, see “Analysis of Operating Segments” under Item 7 of our 2015 Annual Report on Form 10-K.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240" w:hanging="11"/>
        <w:spacing w:after="0" w:line="342" w:lineRule="auto"/>
        <w:rPr>
          <w:sz w:val="20"/>
          <w:szCs w:val="20"/>
          <w:color w:val="auto"/>
        </w:rPr>
      </w:pPr>
      <w:r>
        <w:rPr>
          <w:rFonts w:ascii="Arial" w:cs="Arial" w:eastAsia="Arial" w:hAnsi="Arial"/>
          <w:sz w:val="16"/>
          <w:szCs w:val="16"/>
          <w:color w:val="auto"/>
        </w:rPr>
        <w:t>Supply and Logistics segment profit includes interest expense (related to hedged inventory purchases) of $3 million and $2 million for the three months ended June 30, 2016 and 2015, respectively, and $6 million and $3 million for the six months ended June 30, 2016 and 2015,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profit to net income attributable to PAA (in millions):</w:t>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2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6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13—Acquisitions, Dispositions and Impairments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During the first six months of 2016, we completed one acquisition for cash consideration of $85 million. We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related to this acquisition. In addition, in August 2016, we completed the acquisition of an integrated system of NGL assets in Western Canada from Westcoast Energy Inc., a unit of Spectra Energy, for cash consideration of approximately $204 million, including $51 million for inventory and working capital.</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Dispositions and Divestitures</w:t>
      </w:r>
      <w:r>
        <w:rPr>
          <w:rFonts w:ascii="Arial" w:cs="Arial" w:eastAsia="Arial" w:hAnsi="Arial"/>
          <w:sz w:val="18"/>
          <w:szCs w:val="18"/>
          <w:color w:val="auto"/>
        </w:rPr>
        <w:t>. During the six months ended June 30, 2016, we sold several non-core assets, including certain of our Gulf of Mexico</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and East Coast refined products terminals. In addition, in June 2016 we sold 50% of our investment in Cheyenne Pipeline LLC. We recognized gains of approximately $71 million and losses of $55 million related to these sales, including $15 million of impairment of goodwill that was included in a disposal group classified as held for sale as of March 31, 2016. These gains and losses are included in “Depreciation and amortization” on our Condensed Consolidated Statement of Operations.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June 30, 2016, we classified approximately $152 million of assets as held for sale on our Condensed Consolidated Balance Sheet (in “Other current assets”) related to definitive agreements to sell additional non-core assets, a majority of which are included in our Transportation segment. A portion of these transactions closed in July 2016, and we expect the sale of the remaining assets to be consummated later in the third quarter of 2016, subject to customary closing conditions, as applicable.</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During the second quarter of 2016, we recognized approximately $80 million of non-cash impairment losses on certain of our long-lived rail and other terminal assets included in our Facilities segment. Such impairment losses are reflected in “Depreciation and amortization” on our Condensed Consolidated Statement of Operations.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this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during the second quarter of 2016, we recognized a charge of approximately $18 million to “Depreciation and amortization” related to the write-off of the remaining book value of assets taken out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14—Simplification Transactions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July 11, 2016, PAA, PAGP, AAP, PAA GP, GP LLC and GP Holdings entered into a Simplification Agreement pursuant to which, upon closing, in exchange for the issuance by PAA to AAP of approximately 245.5 million common units representing limited partner interests in PAA (“PAA Common Units”) and the assumption by PAA of AAP’s outstanding debt (as of June 30, 2016, approximately $593 million), AAP will contribute the IDRs to PAA and PAA GP’s 2% economic general partner interest in PAA will be converted into a non-economic general partner interest in PAA. Following the closing of the transactions contemplated by the Simplification Agreement (the “Simplification Transactions”), both PAA and PAGP will continue to be publicly traded.</w:t>
      </w:r>
    </w:p>
    <w:p>
      <w:pPr>
        <w:sectPr>
          <w:pgSz w:w="11900" w:h="16838" w:orient="portrait"/>
          <w:cols w:equalWidth="0" w:num="1">
            <w:col w:w="11420"/>
          </w:cols>
          <w:pgMar w:left="240" w:top="125" w:right="239" w:bottom="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GP Holdings on behalf of PAGP.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0"/>
          <w:szCs w:val="20"/>
          <w:color w:val="auto"/>
        </w:rPr>
      </w:pPr>
    </w:p>
    <w:p>
      <w:pPr>
        <w:ind w:left="1100" w:right="20" w:hanging="327"/>
        <w:spacing w:after="0" w:line="276" w:lineRule="auto"/>
        <w:tabs>
          <w:tab w:leader="none" w:pos="10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a unified governance structure, the Board of Directors of GP Holdings will have oversight responsibility over both PAA and PAGP. In addition, starting in 2018, PAGP Class A and Class B shareholders and PAA common and preferred unitholders will have the right to participate in the election of directors of GP Holdings whose terms expire. Under the current structure, PAA common unitholders are not eligible to participate in the election of directors of GP Holdings and PAGP Class A and Class B shareholders only participate in such elections following a reduction in ownership of the private general partner owner group to below 40%.</w:t>
      </w:r>
    </w:p>
    <w:p>
      <w:pPr>
        <w:spacing w:after="0" w:line="172" w:lineRule="exact"/>
        <w:rPr>
          <w:rFonts w:ascii="Arial" w:cs="Arial" w:eastAsia="Arial" w:hAnsi="Arial"/>
          <w:sz w:val="17"/>
          <w:szCs w:val="17"/>
          <w:color w:val="auto"/>
        </w:rPr>
      </w:pPr>
    </w:p>
    <w:p>
      <w:pPr>
        <w:ind w:left="1100" w:right="80" w:hanging="327"/>
        <w:spacing w:after="0" w:line="255" w:lineRule="auto"/>
        <w:tabs>
          <w:tab w:leader="none" w:pos="10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outstanding AAP units, such party will continue to be entitled to designate one director to the Board of Directors of GP Holdings. The calculation of such qualifying interest will include, in addition to any PAGP Class A shares owned by an Original Designating Party or its affiliates, any PAA common units received by such Original Designating Party of its affiliates in connection with their exercise of the Redemption Right (defined below).</w:t>
      </w:r>
    </w:p>
    <w:p>
      <w:pPr>
        <w:spacing w:after="0" w:line="189" w:lineRule="exact"/>
        <w:rPr>
          <w:rFonts w:ascii="Arial" w:cs="Arial" w:eastAsia="Arial" w:hAnsi="Arial"/>
          <w:sz w:val="18"/>
          <w:szCs w:val="18"/>
          <w:color w:val="auto"/>
        </w:rPr>
      </w:pPr>
    </w:p>
    <w:p>
      <w:pPr>
        <w:ind w:left="1100" w:right="300" w:hanging="327"/>
        <w:spacing w:after="0" w:line="255" w:lineRule="auto"/>
        <w:tabs>
          <w:tab w:leader="none" w:pos="10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AAP will execute a reverse split to adjust the number of AAP units such that the number of outstanding AAP Class A units (assuming the conversion of AAP Class B units into AAP Class A units) equals the number of PAA Common Units received by AAP at the closing of the Simplification Transactions. Simultaneously, PAGP will execute a reverse split to adjust the number of PAGP Class A and Class B shares outstanding to equal the number of AAP units it owns following AAP’s reverse unit split. As a result of these reverse splits, each PAGP Class A share will correspond, on a one-to-one basis, to an underlying PAA Common Unit held by AAP which is attributable to PAGP’s ownership in AAP.</w:t>
      </w:r>
    </w:p>
    <w:p>
      <w:pPr>
        <w:spacing w:after="0" w:line="193" w:lineRule="exact"/>
        <w:rPr>
          <w:rFonts w:ascii="Arial" w:cs="Arial" w:eastAsia="Arial" w:hAnsi="Arial"/>
          <w:sz w:val="18"/>
          <w:szCs w:val="18"/>
          <w:color w:val="auto"/>
        </w:rPr>
      </w:pPr>
    </w:p>
    <w:p>
      <w:pPr>
        <w:ind w:left="1100" w:right="20" w:hanging="327"/>
        <w:spacing w:after="0" w:line="257" w:lineRule="auto"/>
        <w:tabs>
          <w:tab w:leader="none" w:pos="10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Holders of AAP Class A units other than PAGP and GP LLC will continue to have the right to exchange their AAP Class A units (together with the corresponding PAGP Class B shares and, if applicable, GP Holdings company units) for PAGP Class A shares on a one-for-one basis or, alternatively, to redeem such ownership and related rights for their proportionate share of PAA Common Units held by AAP, subject to certain limitations (the “Redemption Right”). Upon any such redemption, the holders of AAP Class A units receiving PAA Common Units will have registration rights with respect to such PAA Common Units.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It is anticipated that the Simplification Transactions will be consummated during the fourth quarter of 2016. Pursuant to the terms of the Simplification Agreement, AAP has agreed that if such closing does not occur prior to the record date for PAA’s distribution of available cash in respect of the third quarter of 2016 and the amount of such distribution is below the current quarterly level of $0.70 per common unit, AAP will borrow funds under its existing credit agreement as necessary to make a special “true-up” distribution to AAP’s unitholders that, when added to the distributions to be paid to AAP in respect of its indirect 2% general partner interest and IDRs, equals the total distribution such unitholders would have received had the closing of the Simplification Transactions occurred prior to such third quarter record date. Based on the previously announced intent of PAA to reduce its quarterly distribution to $0.55 per common unit commencing with its third quarter distribution, it is estimated that the potential incremental borrowings that would be made by AAP if the closing of the Simplification Transactions does not take place by the record date for PAA’s third quarter distribution will be approximately $41 million.</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transactions are between and among consolidated subsidiaries of PAGP that are considered entities under common control. These equity transactions will not result in a change in the carrying value of the underlying assets and liabilities.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and may be terminated under certain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Selected PAA historical consolidated financial information has been adjusted below to give effect to pro forma events that are directly attributable to the proposed Simplification Transactions and are based upon currently available information and certain estimates and assumptions made by management. Therefore, the unaudited pro forma amounts presented below are not necessarily reflective of the results of operations or financial position of PAA that would have resulted had the Simplification Transactions been consummated as of the dates indicated, and are not necessarily indicative of the future results of operations or the future financial position of PAA following completion of the proposed Simplification Transactions.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Selected unaudited pro forma results of operations for the three and six months ended June 30, 2016 are presented below giving effect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Simplification Transactions as if they had occurred on January 1, 2016 (amounts 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Selected unaudited pro forma balance sheet amounts as of June 30, 2016 are presented below giving effect to the Simplification Transactions as if they had occurred on June 30, 2016 (amounts in millions):</w:t>
      </w:r>
    </w:p>
    <w:p>
      <w:pPr>
        <w:sectPr>
          <w:pgSz w:w="11900" w:h="16838" w:orient="portrait"/>
          <w:cols w:equalWidth="0" w:num="1">
            <w:col w:w="11420"/>
          </w:cols>
          <w:pgMar w:left="240" w:top="368" w:right="2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LIABILITIES</w:t>
            </w:r>
          </w:p>
        </w:tc>
        <w:tc>
          <w:tcPr>
            <w:tcW w:w="4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long-term debt, net of unamortized debt issuance costs</w:t>
            </w:r>
          </w:p>
        </w:tc>
        <w:tc>
          <w:tcPr>
            <w:tcW w:w="5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5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partner</w:t>
            </w:r>
          </w:p>
        </w:tc>
        <w:tc>
          <w:tcPr>
            <w:tcW w:w="5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partners’ capital</w:t>
            </w:r>
          </w:p>
        </w:tc>
        <w:tc>
          <w:tcPr>
            <w:tcW w:w="5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960" w:type="dxa"/>
            <w:vAlign w:val="bottom"/>
          </w:tcPr>
          <w:p>
            <w:pPr>
              <w:jc w:val="right"/>
              <w:ind w:right="407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80" w:firstLine="612"/>
        <w:spacing w:after="0" w:line="308" w:lineRule="auto"/>
        <w:rPr>
          <w:sz w:val="20"/>
          <w:szCs w:val="20"/>
          <w:color w:val="auto"/>
        </w:rPr>
      </w:pPr>
      <w:r>
        <w:rPr>
          <w:rFonts w:ascii="Arial" w:cs="Arial" w:eastAsia="Arial" w:hAnsi="Arial"/>
          <w:sz w:val="17"/>
          <w:szCs w:val="17"/>
          <w:color w:val="auto"/>
        </w:rPr>
        <w:t>During the first six months of 2016, we recognized net income attributable to PAA of $302 million as compared to net income attributable to PAA of $407 million recognized during the first six months of 2015. Our financial results for the comparative periods were impacted by:</w:t>
      </w:r>
    </w:p>
    <w:p>
      <w:pPr>
        <w:spacing w:after="0" w:line="147" w:lineRule="exact"/>
        <w:rPr>
          <w:sz w:val="20"/>
          <w:szCs w:val="20"/>
          <w:color w:val="auto"/>
        </w:rPr>
      </w:pPr>
    </w:p>
    <w:p>
      <w:pPr>
        <w:ind w:left="1300" w:right="26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operating results from our Supply and Logistics segment, primarily due to less favorable crude oil and NGL market conditions and impacts from the mark-to-market loss related to derivative instruments during the periods;</w:t>
      </w:r>
    </w:p>
    <w:p>
      <w:pPr>
        <w:spacing w:after="0" w:line="170" w:lineRule="exact"/>
        <w:rPr>
          <w:rFonts w:ascii="Arial" w:cs="Arial" w:eastAsia="Arial" w:hAnsi="Arial"/>
          <w:sz w:val="18"/>
          <w:szCs w:val="18"/>
          <w:color w:val="auto"/>
        </w:rPr>
      </w:pPr>
    </w:p>
    <w:p>
      <w:pPr>
        <w:ind w:left="1300" w:right="320" w:hanging="320"/>
        <w:spacing w:after="0" w:line="342" w:lineRule="auto"/>
        <w:tabs>
          <w:tab w:leader="none" w:pos="12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results from (i) our Transportation segment, as the comparative 2015 period was negatively impacted by costs associated with the Line 901 incident that occurred in May 2015, and (ii) our Facilities segment due to recently completed capital expansion projects;</w:t>
      </w:r>
    </w:p>
    <w:p>
      <w:pPr>
        <w:spacing w:after="0" w:line="123" w:lineRule="exact"/>
        <w:rPr>
          <w:rFonts w:ascii="Arial" w:cs="Arial" w:eastAsia="Arial" w:hAnsi="Arial"/>
          <w:sz w:val="16"/>
          <w:szCs w:val="16"/>
          <w:color w:val="auto"/>
        </w:rPr>
      </w:pPr>
    </w:p>
    <w:p>
      <w:pPr>
        <w:ind w:left="1300" w:right="60" w:hanging="320"/>
        <w:spacing w:after="0" w:line="264"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resulting from (i) our recently completed capital expansion projects, (ii) impairment losses related to certain of our rail and other terminal assets and (iii) assets taken out of service, all partially offset by net gains related to non-core assets sales completed during the period;</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expansion projects;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20" w:right="199" w:bottom="19" w:gutter="0" w:footer="0" w:header="0"/>
        </w:sectPr>
      </w:pPr>
    </w:p>
    <w:bookmarkStart w:id="23" w:name="page24"/>
    <w:bookmarkEnd w:id="2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36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Gains of approximately $25 million recognized during the six months ended June 30, 2016 relating to the mark-to-market impact of our Preferred Distribution Rate Reset Option; and</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income tax expense primarily due to lower taxable earnings from our Canadian operations and the impact from an Alberta, Canada provincial tax rate increase enacted during the comparative 2015 period.</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further discussion of our results in the “—Results of Operations—Analysis of Operating Segments” and “—Other Income and Expenses” sections below.</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invested $709 million in midstream infrastructure projects during the six months ended June 30, 2016, with a targeted expansion capital plan for the full year of 2016 of approximately $1.425 billion. To fund such capital activities, we have completed (i) the private placement of approximately 61.0 million Series A preferred units for net proceeds of approximately $1.6 billion, including our general partner’s proportionate capital contribution and (ii) the sale of various assets for net proceeds of approximately $305 million, primarily related to our planned non-core asset sales initiative. In addition, during July 2016 we completed the sale of additional non-core assets for net proceeds of approximately $170 million, and in August 2016, we completed the acquisition of an integrated system of NGL assets in Western Canada from Westcoast Energy Inc., a unit of Spectra Energy, for cash consideration of approximately $204 million, including $51 million for inventory and working capital.</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Additionally, we paid $866 million of cash distributions to our common unitholders and general partner during the six months ended June 30, 2016, and we declared a quarterly distribution of $0.70 per common unit to be paid on August 12, 2016.</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in July 2016, PAA, PAGP,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(as of June 30, 2016, approximately $593 million), AAP will contribute the IDRs to PAA and PAA GP’s 2% economic general partner interest in PAA will be converted into a non-economic general partner interest in PAA. Following the closing of the Simplification Transactions, both PAA and PAGP will continue to be publicly traded. The Simplification Transactions are expected to close in the fourth quarter of 2016, subject to customary closing conditions. See Note 14 to our Condensed Consolidated Financial Statements for additional discussion of the Simplification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200" w:lineRule="exact"/>
        <w:rPr>
          <w:sz w:val="20"/>
          <w:szCs w:val="20"/>
          <w:color w:val="auto"/>
        </w:rPr>
      </w:pPr>
    </w:p>
    <w:p>
      <w:pPr>
        <w:spacing w:after="0" w:line="233"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Six Months Ended</w:t>
      </w:r>
    </w:p>
    <w:p>
      <w:pPr>
        <w:jc w:val="center"/>
        <w:ind w:left="79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6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3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3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20" w:hanging="11"/>
        <w:spacing w:after="0" w:line="264" w:lineRule="auto"/>
        <w:rPr>
          <w:sz w:val="20"/>
          <w:szCs w:val="20"/>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181" w:lineRule="exact"/>
        <w:rPr>
          <w:sz w:val="20"/>
          <w:szCs w:val="20"/>
          <w:color w:val="auto"/>
        </w:rPr>
      </w:pPr>
    </w:p>
    <w:p>
      <w:pPr>
        <w:ind w:right="280" w:hanging="11"/>
        <w:spacing w:after="0" w:line="264"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900" w:orient="portrait"/>
          <w:cols w:equalWidth="0" w:num="2">
            <w:col w:w="140" w:space="520"/>
            <w:col w:w="10760"/>
          </w:cols>
          <w:pgMar w:left="240" w:top="368" w:right="239" w:bottom="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2016 and the forecasted expenditures for the year ending December 31,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210"/>
        </w:trPr>
        <w:tc>
          <w:tcPr>
            <w:tcW w:w="8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Fort Saskatchewan Facility Projects</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190</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Permian Basin Area Pipeline Projects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185</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165</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125</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Caddo Pipeline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270</w:t>
            </w:r>
          </w:p>
        </w:tc>
        <w:tc>
          <w:tcPr>
            <w:tcW w:w="100" w:type="dxa"/>
            <w:vAlign w:val="bottom"/>
            <w:shd w:val="clear" w:color="auto" w:fill="CCEEFF"/>
          </w:tcPr>
          <w:p>
            <w:pPr>
              <w:spacing w:after="0"/>
              <w:rPr>
                <w:sz w:val="18"/>
                <w:szCs w:val="18"/>
                <w:color w:val="auto"/>
              </w:rPr>
            </w:pPr>
          </w:p>
        </w:tc>
      </w:tr>
      <w:tr>
        <w:trPr>
          <w:trHeight w:val="210"/>
        </w:trPr>
        <w:tc>
          <w:tcPr>
            <w:tcW w:w="8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$1,425</w:t>
            </w:r>
          </w:p>
        </w:tc>
        <w:tc>
          <w:tcPr>
            <w:tcW w:w="100" w:type="dxa"/>
            <w:vAlign w:val="bottom"/>
          </w:tcPr>
          <w:p>
            <w:pPr>
              <w:spacing w:after="0"/>
              <w:rPr>
                <w:sz w:val="18"/>
                <w:szCs w:val="18"/>
                <w:color w:val="auto"/>
              </w:rPr>
            </w:pPr>
          </w:p>
        </w:tc>
      </w:tr>
      <w:tr>
        <w:trPr>
          <w:trHeight w:val="192"/>
        </w:trPr>
        <w:tc>
          <w:tcPr>
            <w:tcW w:w="8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68" w:right="239" w:bottom="0" w:gutter="0" w:footer="0" w:header="0"/>
          <w:type w:val="continuous"/>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2060" w:type="dxa"/>
            <w:vAlign w:val="bottom"/>
            <w:tcBorders>
              <w:bottom w:val="single" w:sz="8" w:color="auto"/>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-$75 +$75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$1,500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80" w:type="dxa"/>
            <w:vAlign w:val="bottom"/>
          </w:tcPr>
          <w:p>
            <w:pPr>
              <w:ind w:left="20"/>
              <w:spacing w:after="0"/>
              <w:rPr>
                <w:sz w:val="20"/>
                <w:szCs w:val="20"/>
                <w:color w:val="auto"/>
              </w:rPr>
            </w:pPr>
            <w:r>
              <w:rPr>
                <w:rFonts w:ascii="Arial" w:cs="Arial" w:eastAsia="Arial" w:hAnsi="Arial"/>
                <w:sz w:val="18"/>
                <w:szCs w:val="18"/>
                <w:color w:val="auto"/>
              </w:rPr>
              <w:t>- $200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27"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data). See Note 12 to our Condensed Consolidated Financial Statements for additional information regarding our operating segments and segment performance measures.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4"/>
              </w:rPr>
              <w:t>Favorable/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8"/>
              </w:rPr>
              <w:t>Six Months Ended</w:t>
            </w:r>
          </w:p>
        </w:tc>
        <w:tc>
          <w:tcPr>
            <w:tcW w:w="200" w:type="dxa"/>
            <w:vAlign w:val="bottom"/>
          </w:tcPr>
          <w:p>
            <w:pPr>
              <w:spacing w:after="0"/>
              <w:rPr>
                <w:sz w:val="14"/>
                <w:szCs w:val="14"/>
                <w:color w:val="auto"/>
              </w:rPr>
            </w:pPr>
          </w:p>
        </w:tc>
        <w:tc>
          <w:tcPr>
            <w:tcW w:w="94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4"/>
          </w:tcPr>
          <w:p>
            <w:pPr>
              <w:jc w:val="center"/>
              <w:ind w:left="7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2"/>
              </w:rPr>
              <w:t>Variance</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Supply and Logistics segment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profit/(loss)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2"/>
              </w:rPr>
              <w:t>(144)%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180"/>
              <w:spacing w:after="0"/>
              <w:rPr>
                <w:sz w:val="20"/>
                <w:szCs w:val="20"/>
                <w:color w:val="auto"/>
              </w:rPr>
            </w:pPr>
            <w:r>
              <w:rPr>
                <w:rFonts w:ascii="Arial" w:cs="Arial" w:eastAsia="Arial" w:hAnsi="Arial"/>
                <w:sz w:val="18"/>
                <w:szCs w:val="18"/>
                <w:color w:val="auto"/>
              </w:rPr>
              <w:t>Total segment profit</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884</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CCEEFF"/>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net income/(loss) per common unit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2"/>
              </w:rPr>
              <w:t>(233)%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Diluted net income/(loss) per common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unit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2"/>
              </w:rPr>
              <w:t>(233)%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weighted average common units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w w:val="96"/>
              </w:rPr>
              <w:t>Diluted weighted average common units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w:t>
      </w:r>
    </w:p>
    <w:p>
      <w:pPr>
        <w:spacing w:after="0" w:line="183"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These additional non-GAAP financial measures are reconciled to Net Income, the most directly comparable measure as reported in accordance with GAAP, and should be viewed in addition to, and not in lieu of, our Condensed Consolidated Financial Statements and footnotes.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ectPr>
          <w:pgSz w:w="11900" w:h="16838" w:orient="portrait"/>
          <w:cols w:equalWidth="0" w:num="1">
            <w:col w:w="11420"/>
          </w:cols>
          <w:pgMar w:left="240" w:top="91" w:right="239" w:bottom="0" w:gutter="0" w:footer="0" w:header="0"/>
        </w:sectPr>
      </w:pPr>
    </w:p>
    <w:bookmarkStart w:id="25" w:name="page26"/>
    <w:bookmarkEnd w:id="25"/>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4"/>
              </w:rPr>
              <w:t>Favorable/</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6"/>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2"/>
              </w:rPr>
              <w:t>Variance</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Income tax (benefit)/expense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of EBITDA: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Losses from derivative activities net of</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w w:val="98"/>
              </w:rPr>
              <w:t xml:space="preserve">inventory valuation adjustments </w:t>
            </w:r>
            <w:r>
              <w:rPr>
                <w:rFonts w:ascii="Arial" w:cs="Arial" w:eastAsia="Arial" w:hAnsi="Arial"/>
                <w:sz w:val="23"/>
                <w:szCs w:val="23"/>
                <w:color w:val="auto"/>
                <w:w w:val="98"/>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tcPr>
          <w:p>
            <w:pPr>
              <w:ind w:left="36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gridSpan w:val="2"/>
          </w:tcPr>
          <w:p>
            <w:pPr>
              <w:ind w:left="180"/>
              <w:spacing w:after="0" w:line="162" w:lineRule="exact"/>
              <w:rPr>
                <w:sz w:val="20"/>
                <w:szCs w:val="20"/>
                <w:color w:val="auto"/>
              </w:rPr>
            </w:pPr>
            <w:r>
              <w:rPr>
                <w:rFonts w:ascii="Arial" w:cs="Arial" w:eastAsia="Arial" w:hAnsi="Arial"/>
                <w:sz w:val="18"/>
                <w:szCs w:val="18"/>
                <w:color w:val="auto"/>
                <w:w w:val="93"/>
              </w:rPr>
              <w:t>Equity-indexed compensation expense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4"/>
                <w:szCs w:val="14"/>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4"/>
                <w:szCs w:val="14"/>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gridSpan w:val="2"/>
          </w:tcPr>
          <w:p>
            <w:pPr>
              <w:ind w:left="380"/>
              <w:spacing w:after="0"/>
              <w:rPr>
                <w:sz w:val="20"/>
                <w:szCs w:val="20"/>
                <w:color w:val="auto"/>
              </w:rPr>
            </w:pPr>
            <w:r>
              <w:rPr>
                <w:rFonts w:ascii="Arial" w:cs="Arial" w:eastAsia="Arial" w:hAnsi="Arial"/>
                <w:sz w:val="12"/>
                <w:szCs w:val="12"/>
                <w:color w:val="auto"/>
              </w:rPr>
              <w:t>(4)</w:t>
            </w: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gridSpan w:val="2"/>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EBITDA</w:t>
            </w:r>
          </w:p>
        </w:tc>
        <w:tc>
          <w:tcPr>
            <w:tcW w:w="1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center"/>
              <w:ind w:right="55"/>
              <w:spacing w:after="0"/>
              <w:rPr>
                <w:sz w:val="20"/>
                <w:szCs w:val="20"/>
                <w:color w:val="auto"/>
              </w:rPr>
            </w:pPr>
            <w:r>
              <w:rPr>
                <w:rFonts w:ascii="Arial" w:cs="Arial" w:eastAsia="Arial" w:hAnsi="Arial"/>
                <w:sz w:val="18"/>
                <w:szCs w:val="18"/>
                <w:color w:val="auto"/>
                <w:w w:val="89"/>
              </w:rPr>
              <w:t>34</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4"/>
              </w:rPr>
              <w:t>Favorable/</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6"/>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2"/>
              </w:rPr>
              <w:t>Variance</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Selected Items Impacting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rPr>
              <w:t>Comparability of EBITDA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entities, net of distributions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Distributions to noncontrolling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tcPr>
          <w:p>
            <w:pPr>
              <w:ind w:left="360"/>
              <w:spacing w:after="0" w:line="231" w:lineRule="exact"/>
              <w:rPr>
                <w:sz w:val="20"/>
                <w:szCs w:val="20"/>
                <w:color w:val="auto"/>
              </w:rPr>
            </w:pPr>
            <w:r>
              <w:rPr>
                <w:rFonts w:ascii="Arial" w:cs="Arial" w:eastAsia="Arial" w:hAnsi="Arial"/>
                <w:sz w:val="18"/>
                <w:szCs w:val="18"/>
                <w:color w:val="auto"/>
              </w:rPr>
              <w:t xml:space="preserve">interests </w:t>
            </w:r>
            <w:r>
              <w:rPr>
                <w:rFonts w:ascii="Arial" w:cs="Arial" w:eastAsia="Arial" w:hAnsi="Arial"/>
                <w:sz w:val="23"/>
                <w:szCs w:val="23"/>
                <w:color w:val="auto"/>
                <w:vertAlign w:val="superscript"/>
              </w:rPr>
              <w:t>(9)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2"/>
            <w:vMerge w:val="restart"/>
            <w:shd w:val="clear" w:color="auto" w:fill="CCEEFF"/>
          </w:tcPr>
          <w:p>
            <w:pPr>
              <w:spacing w:after="0" w:line="23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(10)</w:t>
            </w: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Less: Cash Distributions </w:t>
            </w:r>
            <w:r>
              <w:rPr>
                <w:rFonts w:ascii="Arial" w:cs="Arial" w:eastAsia="Arial" w:hAnsi="Arial"/>
                <w:sz w:val="23"/>
                <w:szCs w:val="23"/>
                <w:color w:val="auto"/>
                <w:vertAlign w:val="superscript"/>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 xml:space="preserve">DCF Excess/(Shortage) </w:t>
            </w:r>
            <w:r>
              <w:rPr>
                <w:rFonts w:ascii="Arial" w:cs="Arial" w:eastAsia="Arial" w:hAnsi="Arial"/>
                <w:sz w:val="16"/>
                <w:szCs w:val="16"/>
                <w:color w:val="auto"/>
                <w:vertAlign w:val="superscript"/>
              </w:rPr>
              <w:t>(11)</w:t>
            </w:r>
          </w:p>
        </w:tc>
        <w:tc>
          <w:tcPr>
            <w:tcW w:w="140" w:type="dxa"/>
            <w:vAlign w:val="bottom"/>
            <w:tcBorders>
              <w:top w:val="single" w:sz="8" w:color="CCEEFF"/>
            </w:tcBorders>
            <w:vMerge w:val="restart"/>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0"/>
              <w:spacing w:after="0" w:line="142"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right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0"/>
              <w:spacing w:after="0" w:line="142"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860" w:type="dxa"/>
            <w:vAlign w:val="bottom"/>
            <w:gridSpan w:val="2"/>
            <w:shd w:val="clear" w:color="auto" w:fill="CCEEFF"/>
          </w:tcPr>
          <w:p>
            <w:pPr>
              <w:jc w:val="right"/>
              <w:ind w:right="140"/>
              <w:spacing w:after="0" w:line="81" w:lineRule="exact"/>
              <w:rPr>
                <w:sz w:val="20"/>
                <w:szCs w:val="20"/>
                <w:color w:val="auto"/>
              </w:rPr>
            </w:pPr>
            <w:r>
              <w:rPr>
                <w:rFonts w:ascii="Arial" w:cs="Arial" w:eastAsia="Arial" w:hAnsi="Arial"/>
                <w:sz w:val="9"/>
                <w:szCs w:val="9"/>
                <w:color w:val="auto"/>
              </w:rPr>
              <w:t>(119</w:t>
            </w:r>
          </w:p>
        </w:tc>
        <w:tc>
          <w:tcPr>
            <w:tcW w:w="200" w:type="dxa"/>
            <w:vAlign w:val="bottom"/>
            <w:vMerge w:val="continue"/>
            <w:shd w:val="clear" w:color="auto" w:fill="CCEEFF"/>
          </w:tcPr>
          <w:p>
            <w:pPr>
              <w:spacing w:after="0"/>
              <w:rPr>
                <w:sz w:val="7"/>
                <w:szCs w:val="7"/>
                <w:color w:val="auto"/>
              </w:rPr>
            </w:pPr>
          </w:p>
        </w:tc>
        <w:tc>
          <w:tcPr>
            <w:tcW w:w="760" w:type="dxa"/>
            <w:vAlign w:val="bottom"/>
            <w:gridSpan w:val="2"/>
            <w:shd w:val="clear" w:color="auto" w:fill="CCEEFF"/>
          </w:tcPr>
          <w:p>
            <w:pPr>
              <w:jc w:val="right"/>
              <w:ind w:right="60"/>
              <w:spacing w:after="0" w:line="81" w:lineRule="exact"/>
              <w:rPr>
                <w:sz w:val="20"/>
                <w:szCs w:val="20"/>
                <w:color w:val="auto"/>
              </w:rPr>
            </w:pPr>
            <w:r>
              <w:rPr>
                <w:rFonts w:ascii="Arial" w:cs="Arial" w:eastAsia="Arial" w:hAnsi="Arial"/>
                <w:sz w:val="9"/>
                <w:szCs w:val="9"/>
                <w:color w:val="auto"/>
              </w:rPr>
              <w:t>(121</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60" w:type="dxa"/>
            <w:vAlign w:val="bottom"/>
            <w:tcBorders>
              <w:right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81" w:lineRule="exact"/>
              <w:rPr>
                <w:sz w:val="20"/>
                <w:szCs w:val="20"/>
                <w:color w:val="auto"/>
              </w:rPr>
            </w:pPr>
            <w:r>
              <w:rPr>
                <w:rFonts w:ascii="Arial" w:cs="Arial" w:eastAsia="Arial" w:hAnsi="Arial"/>
                <w:sz w:val="9"/>
                <w:szCs w:val="9"/>
                <w:color w:val="auto"/>
              </w:rPr>
              <w:t>(112</w:t>
            </w:r>
          </w:p>
        </w:tc>
        <w:tc>
          <w:tcPr>
            <w:tcW w:w="160" w:type="dxa"/>
            <w:vAlign w:val="bottom"/>
            <w:vMerge w:val="continue"/>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-2900045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-2900045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19" w:orient="portrait"/>
          <w:cols w:equalWidth="0" w:num="1">
            <w:col w:w="11460"/>
          </w:cols>
          <w:pgMar w:left="240" w:top="32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80" w:hanging="11"/>
        <w:spacing w:after="0" w:line="270"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9 to our Condensed Consolidated Financial Statements for a comprehensive discussion regarding our derivatives and risk management activities and our Preferred Distribution Rate Reset Option.</w:t>
      </w:r>
    </w:p>
    <w:p>
      <w:pPr>
        <w:spacing w:after="0" w:line="182" w:lineRule="exact"/>
        <w:rPr>
          <w:sz w:val="20"/>
          <w:szCs w:val="20"/>
          <w:color w:val="auto"/>
        </w:rPr>
      </w:pPr>
    </w:p>
    <w:p>
      <w:pPr>
        <w:ind w:right="200" w:hanging="11"/>
        <w:spacing w:after="0" w:line="272" w:lineRule="auto"/>
        <w:rPr>
          <w:sz w:val="20"/>
          <w:szCs w:val="20"/>
          <w:color w:val="auto"/>
        </w:rPr>
      </w:pPr>
      <w:r>
        <w:rPr>
          <w:rFonts w:ascii="Arial" w:cs="Arial" w:eastAsia="Arial" w:hAnsi="Arial"/>
          <w:sz w:val="17"/>
          <w:szCs w:val="17"/>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2015 Annual Report on Form 10-K for a complete discussion of our long-term inventory.</w:t>
      </w:r>
    </w:p>
    <w:p>
      <w:pPr>
        <w:spacing w:after="0" w:line="178" w:lineRule="exact"/>
        <w:rPr>
          <w:sz w:val="20"/>
          <w:szCs w:val="20"/>
          <w:color w:val="auto"/>
        </w:rPr>
      </w:pPr>
    </w:p>
    <w:p>
      <w:pPr>
        <w:ind w:right="100" w:hanging="11"/>
        <w:spacing w:after="0" w:line="291" w:lineRule="auto"/>
        <w:rPr>
          <w:sz w:val="20"/>
          <w:szCs w:val="20"/>
          <w:color w:val="auto"/>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w:t>
      </w:r>
    </w:p>
    <w:p>
      <w:pPr>
        <w:sectPr>
          <w:pgSz w:w="11900" w:h="16919" w:orient="portrait"/>
          <w:cols w:equalWidth="0" w:num="2">
            <w:col w:w="140" w:space="520"/>
            <w:col w:w="10800"/>
          </w:cols>
          <w:pgMar w:left="240" w:top="320" w:right="199" w:bottom="0" w:gutter="0" w:footer="0" w:header="0"/>
          <w:type w:val="continuous"/>
        </w:sectPr>
      </w:pPr>
    </w:p>
    <w:bookmarkStart w:id="26" w:name="page27"/>
    <w:bookmarkEnd w:id="26"/>
    <w:p>
      <w:pPr>
        <w:spacing w:after="0" w:line="62"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652"/>
        <w:spacing w:after="0" w:line="277" w:lineRule="auto"/>
        <w:tabs>
          <w:tab w:leader="none" w:pos="64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15 to our Consolidated Financial Statements included in Part IV of our 2015 Annual Report on Form 10-K for a comprehensive discussion regarding our equity-indexed compensation plans.</w:t>
      </w:r>
    </w:p>
    <w:p>
      <w:pPr>
        <w:sectPr>
          <w:pgSz w:w="11900" w:h="16900" w:orient="portrait"/>
          <w:cols w:equalWidth="0" w:num="1">
            <w:col w:w="11420"/>
          </w:cols>
          <w:pgMar w:left="240" w:top="125" w:right="23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400" w:hanging="11"/>
        <w:spacing w:after="0" w:line="277" w:lineRule="auto"/>
        <w:rPr>
          <w:sz w:val="20"/>
          <w:szCs w:val="20"/>
          <w:color w:val="auto"/>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70" w:lineRule="exact"/>
        <w:rPr>
          <w:sz w:val="20"/>
          <w:szCs w:val="20"/>
          <w:color w:val="auto"/>
        </w:rPr>
      </w:pPr>
    </w:p>
    <w:p>
      <w:pPr>
        <w:ind w:right="280" w:hanging="11"/>
        <w:spacing w:after="0" w:line="264"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11 to our Condensed Consolidated Financial Statements for additional information regarding the Line 901 incident.</w:t>
      </w:r>
    </w:p>
    <w:p>
      <w:pPr>
        <w:spacing w:after="0" w:line="181" w:lineRule="exact"/>
        <w:rPr>
          <w:sz w:val="20"/>
          <w:szCs w:val="20"/>
          <w:color w:val="auto"/>
        </w:rPr>
      </w:pPr>
    </w:p>
    <w:p>
      <w:pPr>
        <w:sectPr>
          <w:pgSz w:w="11900" w:h="16900" w:orient="portrait"/>
          <w:cols w:equalWidth="0" w:num="2">
            <w:col w:w="140" w:space="520"/>
            <w:col w:w="1076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37"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cash distributions that pertain to the current period’s net income and are paid in the subsequent period.</w:t>
      </w:r>
    </w:p>
    <w:p>
      <w:pPr>
        <w:spacing w:after="0" w:line="200" w:lineRule="exact"/>
        <w:rPr>
          <w:sz w:val="20"/>
          <w:szCs w:val="20"/>
          <w:color w:val="auto"/>
        </w:rPr>
      </w:pPr>
    </w:p>
    <w:p>
      <w:pPr>
        <w:sectPr>
          <w:pgSz w:w="11900" w:h="16900" w:orient="portrait"/>
          <w:cols w:equalWidth="0" w:num="2">
            <w:col w:w="140" w:space="500"/>
            <w:col w:w="10780"/>
          </w:cols>
          <w:pgMar w:left="240" w:top="125" w:right="239" w:bottom="0" w:gutter="0" w:footer="0" w:header="0"/>
          <w:type w:val="continuous"/>
        </w:sectPr>
      </w:pPr>
    </w:p>
    <w:p>
      <w:pPr>
        <w:spacing w:after="0" w:line="25" w:lineRule="exact"/>
        <w:rPr>
          <w:sz w:val="20"/>
          <w:szCs w:val="20"/>
          <w:color w:val="auto"/>
        </w:rPr>
      </w:pPr>
    </w:p>
    <w:p>
      <w:pPr>
        <w:ind w:left="640" w:right="100" w:hanging="632"/>
        <w:spacing w:after="0" w:line="234" w:lineRule="auto"/>
        <w:tabs>
          <w:tab w:leader="none" w:pos="61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Including costs of $65 million related to the Line 901 incident that were recognized during the three and six months ended June 30, 2015, Implied DCF would have been $242 million and $687 million for the three and six months ended June 30, 2015, respectively. See Note 11 to our Condensed Consolidated Financial Statements for additional information regarding the Line 901 incident.</w:t>
      </w:r>
    </w:p>
    <w:p>
      <w:pPr>
        <w:spacing w:after="0" w:line="202" w:lineRule="exact"/>
        <w:rPr>
          <w:rFonts w:ascii="Arial" w:cs="Arial" w:eastAsia="Arial" w:hAnsi="Arial"/>
          <w:sz w:val="23"/>
          <w:szCs w:val="23"/>
          <w:color w:val="auto"/>
          <w:vertAlign w:val="superscript"/>
        </w:rPr>
      </w:pPr>
    </w:p>
    <w:p>
      <w:pPr>
        <w:ind w:left="660" w:right="160" w:hanging="652"/>
        <w:spacing w:after="0" w:line="238" w:lineRule="auto"/>
        <w:tabs>
          <w:tab w:leader="none" w:pos="634"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included in Part IV of our 2015 Annual Report on Form 10-K for further discussion of how we evaluate segment profit. See Note 12 to our Condensed Consolidated Financial Statements for a reconciliation of segment profit to net income attributable to PAA.</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98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7"/>
              </w:rPr>
              <w:t>Favorable/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4"/>
              </w:rPr>
              <w:t>Favorable/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6"/>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18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 transportation revenues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Equity-indexed compensation expense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40" w:type="dxa"/>
            <w:vAlign w:val="bottom"/>
            <w:gridSpan w:val="2"/>
          </w:tcPr>
          <w:p>
            <w:pPr>
              <w:ind w:left="3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Equity-indexed compensation expense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2"/>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60" w:type="dxa"/>
            <w:vAlign w:val="bottom"/>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180" w:type="dxa"/>
            <w:vAlign w:val="bottom"/>
            <w:vMerge w:val="continue"/>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2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2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0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7"/>
              </w:rPr>
              <w:t>Favorable/</w:t>
            </w: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22"/>
                <w:szCs w:val="22"/>
                <w:color w:val="auto"/>
              </w:rPr>
            </w:pPr>
          </w:p>
        </w:tc>
        <w:tc>
          <w:tcPr>
            <w:tcW w:w="90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4"/>
              </w:rPr>
              <w:t>Favorable/</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33"/>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113"/>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6"/>
                <w:szCs w:val="16"/>
                <w:b w:val="1"/>
                <w:bCs w:val="1"/>
                <w:color w:val="auto"/>
                <w:vertAlign w:val="superscript"/>
              </w:rPr>
              <w:t>(4)</w:t>
            </w:r>
          </w:p>
        </w:tc>
        <w:tc>
          <w:tcPr>
            <w:tcW w:w="16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Volumes</w:t>
            </w:r>
          </w:p>
        </w:tc>
        <w:tc>
          <w:tcPr>
            <w:tcW w:w="4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1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Volumes</w:t>
            </w:r>
          </w:p>
        </w:tc>
        <w:tc>
          <w:tcPr>
            <w:tcW w:w="4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 volumes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Western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Gulf Coast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80"/>
              <w:spacing w:after="0"/>
              <w:rPr>
                <w:sz w:val="20"/>
                <w:szCs w:val="20"/>
                <w:color w:val="auto"/>
              </w:rPr>
            </w:pPr>
            <w:r>
              <w:rPr>
                <w:rFonts w:ascii="Arial" w:cs="Arial" w:eastAsia="Arial" w:hAnsi="Arial"/>
                <w:sz w:val="18"/>
                <w:szCs w:val="18"/>
                <w:color w:val="auto"/>
              </w:rPr>
              <w:t>Central</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00"/>
              <w:spacing w:after="0"/>
              <w:rPr>
                <w:sz w:val="20"/>
                <w:szCs w:val="20"/>
                <w:color w:val="auto"/>
              </w:rPr>
            </w:pPr>
            <w:r>
              <w:rPr>
                <w:rFonts w:ascii="Arial" w:cs="Arial" w:eastAsia="Arial" w:hAnsi="Arial"/>
                <w:sz w:val="18"/>
                <w:szCs w:val="18"/>
                <w:color w:val="auto"/>
              </w:rPr>
              <w:t>Crude oil pipelines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4,484</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4,226</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4,404</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4,080</w:t>
            </w: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Tariff activities total volumes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4,666</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4,420</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4,584</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4,272</w:t>
            </w: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Transportation segment total volumes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34"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34" w:right="23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ectPr>
          <w:pgSz w:w="11900" w:h="16838" w:orient="portrait"/>
          <w:cols w:equalWidth="0" w:num="2">
            <w:col w:w="140" w:space="500"/>
            <w:col w:w="10780"/>
          </w:cols>
          <w:pgMar w:left="240" w:top="134" w:right="239" w:bottom="0" w:gutter="0" w:footer="0" w:header="0"/>
          <w:type w:val="continuous"/>
        </w:sectPr>
      </w:pPr>
    </w:p>
    <w:p>
      <w:pPr>
        <w:spacing w:after="0" w:line="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Tariff Activities Revenues, Equity Earnings in Unconsolidated Entities and Volumes. </w:t>
      </w:r>
      <w:r>
        <w:rPr>
          <w:rFonts w:ascii="Arial" w:cs="Arial" w:eastAsia="Arial" w:hAnsi="Arial"/>
          <w:sz w:val="18"/>
          <w:szCs w:val="18"/>
          <w:color w:val="auto"/>
        </w:rPr>
        <w:t>As noted in the table above, revenues from tariff activities were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consistent for the three and six months ended June 30, 2016 compared to the same 2015 periods, while volumes increased for both comparative periods presented. Equity earnings in unconsolidated entities decreased for the three and six months ended June 30, 2016 compared to the three and six months ended June 30, 2015.</w:t>
      </w:r>
    </w:p>
    <w:p>
      <w:pPr>
        <w:spacing w:after="0" w:line="18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table presents significant tariff activities revenues and equity earnings in unconsolidated entities variances by region for the comparative periods presented: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4"/>
              </w:rPr>
              <w:t>Favorable/(Unfavorable) Variance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876"/>
              <w:spacing w:after="0"/>
              <w:rPr>
                <w:sz w:val="20"/>
                <w:szCs w:val="20"/>
                <w:color w:val="auto"/>
              </w:rPr>
            </w:pPr>
            <w:r>
              <w:rPr>
                <w:rFonts w:ascii="Arial" w:cs="Arial" w:eastAsia="Arial" w:hAnsi="Arial"/>
                <w:sz w:val="14"/>
                <w:szCs w:val="14"/>
                <w:b w:val="1"/>
                <w:bCs w:val="1"/>
                <w:color w:val="auto"/>
                <w:w w:val="92"/>
              </w:rPr>
              <w:t>2016-2015</w:t>
            </w:r>
          </w:p>
        </w:tc>
        <w:tc>
          <w:tcPr>
            <w:tcW w:w="1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876"/>
              <w:spacing w:after="0"/>
              <w:rPr>
                <w:sz w:val="20"/>
                <w:szCs w:val="20"/>
                <w:color w:val="auto"/>
              </w:rPr>
            </w:pPr>
            <w:r>
              <w:rPr>
                <w:rFonts w:ascii="Arial" w:cs="Arial" w:eastAsia="Arial" w:hAnsi="Arial"/>
                <w:sz w:val="14"/>
                <w:szCs w:val="14"/>
                <w:b w:val="1"/>
                <w:bCs w:val="1"/>
                <w:color w:val="auto"/>
                <w:w w:val="95"/>
              </w:rPr>
              <w:t>2016-2015</w:t>
            </w: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Equity Earnings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Equity Earnings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Permian Basin region</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Texas/Eagle Ford region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Western region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Gulf Coast region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Central region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 crude oil pipelines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tcPr>
          <w:p>
            <w:pPr>
              <w:ind w:left="180"/>
              <w:spacing w:after="0" w:line="201" w:lineRule="exact"/>
              <w:rPr>
                <w:sz w:val="20"/>
                <w:szCs w:val="20"/>
                <w:color w:val="auto"/>
              </w:rPr>
            </w:pPr>
            <w:r>
              <w:rPr>
                <w:rFonts w:ascii="Arial" w:cs="Arial" w:eastAsia="Arial" w:hAnsi="Arial"/>
                <w:sz w:val="18"/>
                <w:szCs w:val="18"/>
                <w:color w:val="auto"/>
              </w:rPr>
              <w:t>Other (including pipeline loss allowance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36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variance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bottom w:val="single" w:sz="8" w:color="CCEEFF"/>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4" w:right="239" w:bottom="0" w:gutter="0" w:footer="0" w:header="0"/>
          <w:type w:val="continuous"/>
        </w:sectPr>
      </w:pPr>
    </w:p>
    <w:bookmarkStart w:id="28" w:name="page29"/>
    <w:bookmarkEnd w:id="28"/>
    <w:p>
      <w:pPr>
        <w:ind w:left="980" w:right="460" w:hanging="324"/>
        <w:spacing w:after="0" w:line="259"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2016 periods presented was largely driven by (i) higher volumes associated with the expansion of our pipeline systems in the Delaware Basin and (ii) results from our Cactus pipeline, which was placed in service in April 2015 and was in a ramp-up phase for the following months, and which also favorably impacted volumes on our McCamey pipeline system.</w:t>
      </w:r>
    </w:p>
    <w:p>
      <w:pPr>
        <w:spacing w:after="0" w:line="187"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Equity earnings decreased for the three and six months ended June 30, 2016 compared to the three and six months ended June 30, 2015 due to lower earnings from our interest in BridgeTex resulting from lower volumes. The unfavorable variance for the six-month period was partially offset by higher earnings during the first quarter of 2016 compared to the same period in 2015, as BridgeTex was in a ramp-up phase during the 2015 period and was not in full service until mid-2015.</w:t>
      </w:r>
    </w:p>
    <w:p>
      <w:pPr>
        <w:spacing w:after="0" w:line="187" w:lineRule="exact"/>
        <w:rPr>
          <w:sz w:val="20"/>
          <w:szCs w:val="20"/>
          <w:color w:val="auto"/>
        </w:rPr>
      </w:pPr>
    </w:p>
    <w:p>
      <w:pPr>
        <w:ind w:left="980" w:right="20" w:hanging="324"/>
        <w:spacing w:after="0" w:line="288"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South Texas/Eagle Ford region — Revenues and equity earnings decreased for the three months ended June 30, 2016 compared to the same 2015 period primarily due to lower volumes attributable to production declines. For the six month comparative period, the unfavorable equity earnings variance was offset by higher volumes on the Eagle Ford joint venture pipeline from the connection to our Cactus pipeline in</w:t>
      </w:r>
    </w:p>
    <w:p>
      <w:pPr>
        <w:ind w:left="980"/>
        <w:spacing w:after="0"/>
        <w:rPr>
          <w:rFonts w:ascii="Arial" w:cs="Arial" w:eastAsia="Arial" w:hAnsi="Arial"/>
          <w:sz w:val="16"/>
          <w:szCs w:val="16"/>
          <w:color w:val="auto"/>
        </w:rPr>
      </w:pPr>
      <w:r>
        <w:rPr>
          <w:rFonts w:ascii="Arial" w:cs="Arial" w:eastAsia="Arial" w:hAnsi="Arial"/>
          <w:sz w:val="18"/>
          <w:szCs w:val="18"/>
          <w:color w:val="auto"/>
        </w:rPr>
        <w:t>April 2015.</w:t>
      </w:r>
    </w:p>
    <w:p>
      <w:pPr>
        <w:spacing w:after="0" w:line="210" w:lineRule="exact"/>
        <w:rPr>
          <w:rFonts w:ascii="Arial" w:cs="Arial" w:eastAsia="Arial" w:hAnsi="Arial"/>
          <w:sz w:val="16"/>
          <w:szCs w:val="16"/>
          <w:color w:val="auto"/>
        </w:rPr>
      </w:pPr>
    </w:p>
    <w:p>
      <w:pPr>
        <w:ind w:left="980" w:right="20" w:hanging="324"/>
        <w:spacing w:after="0" w:line="25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Western region — Revenues and volumes for the three and six months ended June 30, 2016 were unfavorably impacted by pipeline downtime on our All American Pipeline associated with the Line 901 incident that occurred in the second quarter of 2015. See Note 11 to our Condensed Consolidated Financial Statements for additional information regarding the Line 901 incident. Such unfavorable variances were partially offset by higher volumes on certain of our West Coast pipelines during the second quarter of 2016, which benefited from volume diversions resulting from a temporary third-party pipeline shutdown.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 w:hanging="324"/>
        <w:spacing w:after="0" w:line="279" w:lineRule="auto"/>
        <w:tabs>
          <w:tab w:leader="none" w:pos="944" w:val="left"/>
        </w:tabs>
        <w:numPr>
          <w:ilvl w:val="0"/>
          <w:numId w:val="22"/>
        </w:numPr>
        <w:rPr>
          <w:rFonts w:ascii="Arial" w:cs="Arial" w:eastAsia="Arial" w:hAnsi="Arial"/>
          <w:sz w:val="17"/>
          <w:szCs w:val="17"/>
          <w:color w:val="auto"/>
        </w:rPr>
      </w:pPr>
      <w:r>
        <w:rPr>
          <w:rFonts w:ascii="Arial" w:cs="Arial" w:eastAsia="Arial" w:hAnsi="Arial"/>
          <w:sz w:val="17"/>
          <w:szCs w:val="17"/>
          <w:color w:val="auto"/>
        </w:rPr>
        <w:t>Gulf Coast region — Revenues decreased for the three months ended June 30, 2016 compared to the same 2015 period primarily due to the sale of certain of our Gulf Coast pipelines in March 2016. This decrease was partially offset by (i) our purchase of the remaining interest in the CAM pipeline, which was subsequently sold in July 2016 and (ii) increased volumes on the Capline and Pascagoula pipelines, which were favorably impacted by higher refinery demand, but were at lower tariff rates than the pipelines that were sold.</w:t>
      </w:r>
    </w:p>
    <w:p>
      <w:pPr>
        <w:spacing w:after="0" w:line="171" w:lineRule="exact"/>
        <w:rPr>
          <w:rFonts w:ascii="Arial" w:cs="Arial" w:eastAsia="Arial" w:hAnsi="Arial"/>
          <w:sz w:val="17"/>
          <w:szCs w:val="17"/>
          <w:color w:val="auto"/>
        </w:rPr>
      </w:pPr>
    </w:p>
    <w:p>
      <w:pPr>
        <w:ind w:left="980" w:right="28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Central region — The decrease in revenues for the three and six months ended June 30, 2016 versus the comparable 2015 periods was largely driven by lower volumes due to production declines in the Mid-Continent area.</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Canada crude oil pipelines — Revenues decreased for the three and six months ended June 30, 2016 compared to the same 2015 periods primarily due to unfavorable foreign exchange impacts of $3 million and $10 million, respectively, and lower volumes from production declines, which offset revenue increases from higher tariff rates on certain of our pipelines and related system assets.</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 The decrease in other revenues for the three and six months ended June 30, 2016 was primarily related to lower pipeline loss allowance revenue of $11 million and $29 million, respectively, driven by a lower average realized price per barrel.</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Trucking Revenues. </w:t>
      </w:r>
      <w:r>
        <w:rPr>
          <w:rFonts w:ascii="Arial" w:cs="Arial" w:eastAsia="Arial" w:hAnsi="Arial"/>
          <w:sz w:val="18"/>
          <w:szCs w:val="18"/>
          <w:color w:val="auto"/>
        </w:rPr>
        <w:t>The decrease in trucking revenues for the three and six months ended June 30, 2016 compared to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was largely due to unfavorable foreign exchange impacts of $2 million and $6 million, respectively. The six-month 2016 period was further negatively impacted by lower volumes due to reduced drilling and declining volumes from existing producers.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Trucking Costs. </w:t>
      </w:r>
      <w:r>
        <w:rPr>
          <w:rFonts w:ascii="Arial" w:cs="Arial" w:eastAsia="Arial" w:hAnsi="Arial"/>
          <w:sz w:val="18"/>
          <w:szCs w:val="18"/>
          <w:color w:val="auto"/>
        </w:rPr>
        <w:t>Trucking costs decreased for the three and six months ended June 30, 2016 compared to the same 2015 periods due to lower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rates and decreased volumes, as well as favorable foreign exchange impacts of $1 million and $4 million for the three and six month comparative periods, respectively.</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2016 compared to the three and six months ended June 30, 2015 primarily due to net costs of approximately $65 million associated with the Line 901 incident that were recognized in the second quarter of 2015. See Note 11 to our Condensed Consolidated Financial Statements for additional information regarding the Line 901 incident. The decrease was further driven by lower utilities and maintenance costs as well as favorable foreign exchange impacts of $2 million and $5 million for the three and six months ended June 30, 2016 compared to the three and six months ended June 30, 2015, respectively. The decrease for the six month comparative periods was partially offset by an increase in integrity management costs.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equity-indexed compensation expense increased by $5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compared to the same period in 2015, primarily due to the impact of the increase in unit price during the three months ended June 30, 2016 compared to the impact of the decrease in unit price during the same period in 2015, partially offset by the impact of fewer units outstanding and lower values per unit during the 2016 period compared to the same period in 2015.</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 consolidated basis across all segments, equity-indexed compensation expense decreased by $10 million for the six months ended June 30, 2016 compared to the same period in 2015, primarily due to the impact of fewer units outstanding and lower values per unit during the six months ended June 30, 2016 compared to the same period in 2015, partially offset by the impact of the increase in unit price during the six months ended June 30, 2016 compared to the impact of the decrease in unit price during the same period in 2015.</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 See Note 15 to our Consolidated Financial Statements included in Part IV of our 2015 Annual Report on Form 10-K for additional information regarding our equity-indexed compensation plans.</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three and six months ended June 30, 2016 compared to the three and six months ended June 30, 2015 was primarily driven by lower third party service costs and timing of projects.</w:t>
      </w:r>
    </w:p>
    <w:p>
      <w:pPr>
        <w:sectPr>
          <w:pgSz w:w="11900" w:h="16838" w:orient="portrait"/>
          <w:cols w:equalWidth="0" w:num="1">
            <w:col w:w="11420"/>
          </w:cols>
          <w:pgMar w:left="240" w:top="341"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10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7"/>
              </w:rPr>
              <w:t>Favorable/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5"/>
              </w:rPr>
              <w:t>Variance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Natural gas related storage costs</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2"/>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260" w:type="dxa"/>
            <w:vAlign w:val="bottom"/>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color w:val="auto"/>
              </w:rPr>
              <w:t>47%</w:t>
            </w:r>
          </w:p>
        </w:tc>
        <w:tc>
          <w:tcPr>
            <w:tcW w:w="20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2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w:t>
            </w:r>
          </w:p>
        </w:tc>
        <w:tc>
          <w:tcPr>
            <w:tcW w:w="2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2"/>
                <w:szCs w:val="22"/>
                <w:color w:val="auto"/>
              </w:rPr>
            </w:pPr>
          </w:p>
        </w:tc>
        <w:tc>
          <w:tcPr>
            <w:tcW w:w="110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7"/>
              </w:rPr>
              <w:t>Favorable/</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7"/>
                <w:szCs w:val="17"/>
                <w:b w:val="1"/>
                <w:bCs w:val="1"/>
                <w:color w:val="auto"/>
                <w:vertAlign w:val="superscript"/>
              </w:rPr>
              <w:t>(4)</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5"/>
              </w:rPr>
              <w:t>Variance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Volumes</w:t>
            </w:r>
          </w:p>
        </w:tc>
        <w:tc>
          <w:tcPr>
            <w:tcW w:w="4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Volumes</w:t>
            </w:r>
          </w:p>
        </w:tc>
        <w:tc>
          <w:tcPr>
            <w:tcW w:w="4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terminalling and storage (average</w:t>
            </w: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 barrels)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Rail load / unload volumes (average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3"/>
                <w:szCs w:val="13"/>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6"/>
              </w:rPr>
              <w:t>volumes in thousands of barrels per day)</w:t>
            </w:r>
          </w:p>
        </w:tc>
        <w:tc>
          <w:tcPr>
            <w:tcW w:w="16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Natural gas storage (average monthly</w:t>
            </w: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right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working capacity in billions of cubic</w:t>
            </w: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feet)</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NGL fractionation (average volumes in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3"/>
                <w:szCs w:val="13"/>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3"/>
                <w:szCs w:val="13"/>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Facilities segment total (average monthly</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volumes in millions of barrels) </w:t>
            </w:r>
            <w:r>
              <w:rPr>
                <w:rFonts w:ascii="Arial" w:cs="Arial" w:eastAsia="Arial" w:hAnsi="Arial"/>
                <w:sz w:val="23"/>
                <w:szCs w:val="23"/>
                <w:b w:val="1"/>
                <w:bCs w:val="1"/>
                <w:color w:val="auto"/>
                <w:vertAlign w:val="superscript"/>
              </w:rPr>
              <w:t>(5)</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225"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Revenues and Volumes. </w:t>
      </w:r>
      <w:r>
        <w:rPr>
          <w:rFonts w:ascii="Arial" w:cs="Arial" w:eastAsia="Arial" w:hAnsi="Arial"/>
          <w:sz w:val="17"/>
          <w:szCs w:val="17"/>
          <w:color w:val="auto"/>
        </w:rPr>
        <w:t>As noted in the table above, our Facilities segment revenues were relatively consistent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compared to the three months ended June 30, 2015, and increased by $10 million for the comparable six month period. Total volumes increased slightly for both comparative periods presented. Our Facilities segment results for the comparative periods were impacted by:</w:t>
      </w:r>
    </w:p>
    <w:p>
      <w:pPr>
        <w:spacing w:after="0" w:line="166" w:lineRule="exact"/>
        <w:rPr>
          <w:sz w:val="20"/>
          <w:szCs w:val="20"/>
          <w:color w:val="auto"/>
        </w:rPr>
      </w:pPr>
    </w:p>
    <w:p>
      <w:pPr>
        <w:jc w:val="both"/>
        <w:ind w:left="660" w:right="120" w:hanging="328"/>
        <w:spacing w:after="0" w:line="342" w:lineRule="auto"/>
        <w:tabs>
          <w:tab w:leader="none" w:pos="6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Crude Oil Storage —Revenues increased by $4 million and $18 million for the three and six months ended June 30, 2016, respectively, as compared to the three and six months ended June 30, 2015 primarily due to increased utilization at certain of our West Coast terminals and aggregate capacity</w:t>
      </w:r>
    </w:p>
    <w:p>
      <w:pPr>
        <w:sectPr>
          <w:pgSz w:w="11900" w:h="16838" w:orient="portrait"/>
          <w:cols w:equalWidth="0" w:num="1">
            <w:col w:w="11420"/>
          </w:cols>
          <w:pgMar w:left="240" w:top="125" w:right="239" w:bottom="0" w:gutter="0" w:footer="0" w:header="0"/>
          <w:type w:val="continuous"/>
        </w:sectPr>
      </w:pPr>
    </w:p>
    <w:bookmarkStart w:id="30" w:name="page31"/>
    <w:bookmarkEnd w:id="30"/>
    <w:p>
      <w:pPr>
        <w:ind w:left="660"/>
        <w:spacing w:after="0" w:line="277" w:lineRule="auto"/>
        <w:rPr>
          <w:sz w:val="20"/>
          <w:szCs w:val="20"/>
          <w:color w:val="auto"/>
        </w:rPr>
      </w:pPr>
      <w:r>
        <w:rPr>
          <w:rFonts w:ascii="Arial" w:cs="Arial" w:eastAsia="Arial" w:hAnsi="Arial"/>
          <w:sz w:val="18"/>
          <w:szCs w:val="18"/>
          <w:color w:val="auto"/>
        </w:rPr>
        <w:t>expansions of approximately 4 million barrels at our St. James and Cushing terminals. Such increases were partially offset by lower results due to the sale of certain of our East Coast terminals in April 2016.</w:t>
      </w:r>
    </w:p>
    <w:p>
      <w:pPr>
        <w:spacing w:after="0" w:line="170" w:lineRule="exact"/>
        <w:rPr>
          <w:sz w:val="20"/>
          <w:szCs w:val="20"/>
          <w:color w:val="auto"/>
        </w:rPr>
      </w:pPr>
    </w:p>
    <w:p>
      <w:pPr>
        <w:jc w:val="both"/>
        <w:ind w:left="660" w:right="120" w:hanging="328"/>
        <w:spacing w:after="0" w:line="264"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Rail Terminals —Revenues decreased by $7 million and $15 million for the three and six month comparative periods, respectively, primarily due to lower volumes at our U.S. terminals as a result of less favorable market conditions, partially offset by revenues and volumes from our Canadian rail terminal that came online in April 2016.</w:t>
      </w:r>
    </w:p>
    <w:p>
      <w:pPr>
        <w:spacing w:after="0" w:line="181" w:lineRule="exact"/>
        <w:rPr>
          <w:rFonts w:ascii="Arial" w:cs="Arial" w:eastAsia="Arial" w:hAnsi="Arial"/>
          <w:sz w:val="18"/>
          <w:szCs w:val="18"/>
          <w:color w:val="auto"/>
        </w:rPr>
      </w:pPr>
    </w:p>
    <w:p>
      <w:pPr>
        <w:ind w:left="660" w:right="40" w:hanging="328"/>
        <w:spacing w:after="0" w:line="259"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NGL Storage, NGL Fractionation and Canadian Natural Gas Processing —Revenues increased by $7 million for both the three and six months ended June 30, 2016 compared to the same periods in 2015, primarily due to higher fees and increased capacity at certain of our NGL storage and fractionation facilities, which more than offset unfavorable foreign exchange impacts of approximately $3 million and $10 million for the comparative three and six month periods, respectively.</w:t>
      </w:r>
    </w:p>
    <w:p>
      <w:pPr>
        <w:spacing w:after="0" w:line="187" w:lineRule="exact"/>
        <w:rPr>
          <w:sz w:val="20"/>
          <w:szCs w:val="20"/>
          <w:color w:val="auto"/>
        </w:rPr>
      </w:pPr>
    </w:p>
    <w:p>
      <w:pPr>
        <w:jc w:val="both"/>
        <w:ind w:right="60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for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2016 compared to the three and six months ended June 30, 2015 primarily due to lower costs related to contract services, primarily at our rail terminals and, to a lesser extent, at our processing facilities. The decrease in field operating costs was also impacted by lower utilities costs as well as favorable foreign exchange impacts of $2 million and $5 million, respectively, for the three and six month comparative periods. These decreases were partially offset by employee severance costs associated with personnel reductions related to the restructuring of certain of our operations.</w:t>
      </w:r>
    </w:p>
    <w:p>
      <w:pPr>
        <w:spacing w:after="0" w:line="15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decrease in maintenance capital for the three and six months ended June 30, 2016 compared to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2015 was primarily due to lower spending on various tank and other maintenance capital projects, partially due to timing.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7"/>
              </w:rPr>
              <w:t>Favorable/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10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4"/>
              </w:rPr>
              <w:t>Favorable/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color w:val="auto"/>
                <w:w w:val="97"/>
              </w:rPr>
              <w:t>(Unfavorable)</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left="11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5"/>
              </w:rPr>
              <w:t>Variance</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2"/>
              </w:rPr>
              <w:t>Variance</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(8,243)</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(11,521)</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 (4)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2"/>
              </w:rPr>
              <w:t>(144)%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gridSpan w:val="2"/>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vMerge w:val="continue"/>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2"/>
              </w:rPr>
              <w:t>(145)%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0.79</w:t>
            </w: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7"/>
              </w:rPr>
              <w:t>Favorable/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2"/>
                <w:szCs w:val="22"/>
                <w:color w:val="auto"/>
              </w:rPr>
            </w:pPr>
          </w:p>
        </w:tc>
        <w:tc>
          <w:tcPr>
            <w:tcW w:w="10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4"/>
              </w:rPr>
              <w:t>Favorable/</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color w:val="auto"/>
                <w:w w:val="97"/>
              </w:rPr>
              <w:t>(Unfavorable)</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left="11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5"/>
              </w:rPr>
              <w:t>Variance</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2"/>
              </w:rPr>
              <w:t>Variance</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2"/>
              </w:rPr>
              <w:t>Volumes</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2"/>
              </w:rPr>
              <w:t>Volumes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0"/>
              <w:spacing w:after="0"/>
              <w:rPr>
                <w:sz w:val="20"/>
                <w:szCs w:val="20"/>
                <w:color w:val="auto"/>
              </w:rPr>
            </w:pPr>
            <w:r>
              <w:rPr>
                <w:rFonts w:ascii="Arial" w:cs="Arial" w:eastAsia="Arial" w:hAnsi="Arial"/>
                <w:sz w:val="18"/>
                <w:szCs w:val="18"/>
                <w:color w:val="auto"/>
              </w:rPr>
              <w:t>Supply and Logistics segment total</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81"/>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4"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80" w:hanging="11"/>
        <w:spacing w:after="0" w:line="342" w:lineRule="auto"/>
        <w:rPr>
          <w:sz w:val="20"/>
          <w:szCs w:val="20"/>
          <w:color w:val="auto"/>
        </w:rPr>
      </w:pPr>
      <w:r>
        <w:rPr>
          <w:rFonts w:ascii="Arial" w:cs="Arial" w:eastAsia="Arial" w:hAnsi="Arial"/>
          <w:sz w:val="16"/>
          <w:szCs w:val="16"/>
          <w:color w:val="auto"/>
        </w:rPr>
        <w:t>Purchases and related costs include interest expense (related to hedged inventory purchases) of $3 million and $2 million for the three months ended June 30, 2016 and 2015, respectively, and $6 million and $3 million for the six months ended June 30, 2016 and 2015, respectively.</w:t>
      </w:r>
    </w:p>
    <w:p>
      <w:pPr>
        <w:spacing w:after="0" w:line="124"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ectPr>
          <w:pgSz w:w="11900" w:h="16838" w:orient="portrait"/>
          <w:cols w:equalWidth="0" w:num="2">
            <w:col w:w="160" w:space="480"/>
            <w:col w:w="10780"/>
          </w:cols>
          <w:pgMar w:left="240" w:top="125" w:right="239" w:bottom="14" w:gutter="0" w:footer="0" w:header="0"/>
          <w:type w:val="continuous"/>
        </w:sectPr>
      </w:pPr>
    </w:p>
    <w:bookmarkStart w:id="31" w:name="page32"/>
    <w:bookmarkEnd w:id="31"/>
    <w:p>
      <w:pPr>
        <w:ind w:left="68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17"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NYMEX WTI</w:t>
      </w:r>
    </w:p>
    <w:p>
      <w:pPr>
        <w:ind w:left="932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2016</w:t>
            </w:r>
          </w:p>
        </w:tc>
        <w:tc>
          <w:tcPr>
            <w:tcW w:w="4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Three months ended June 30, 2015</w:t>
            </w:r>
          </w:p>
        </w:tc>
        <w:tc>
          <w:tcPr>
            <w:tcW w:w="52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Six months ended June 30, 2016</w:t>
            </w:r>
          </w:p>
        </w:tc>
        <w:tc>
          <w:tcPr>
            <w:tcW w:w="52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2015</w:t>
            </w:r>
          </w:p>
        </w:tc>
        <w:tc>
          <w:tcPr>
            <w:tcW w:w="52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20" w:type="dxa"/>
            <w:vAlign w:val="bottom"/>
          </w:tcPr>
          <w:p>
            <w:pPr>
              <w:jc w:val="right"/>
              <w:ind w:right="241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six months ended June 30, 2016 compared to the same periods in 2015 due to lower crude oil and NGL prices.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this extended period of lower crude oil prices, the ability to generate above base level earnings is challenging, and taking into account the over-capacity of midstream assets and increased competition that currently exists in most crude oil producing regions, generating even baseline level performance is challenging. Also,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Net Revenues and Volumes. </w:t>
      </w:r>
      <w:r>
        <w:rPr>
          <w:rFonts w:ascii="Arial" w:cs="Arial" w:eastAsia="Arial" w:hAnsi="Arial"/>
          <w:sz w:val="18"/>
          <w:szCs w:val="18"/>
          <w:color w:val="auto"/>
        </w:rPr>
        <w:t>Our Supply and Logistics segment revenues, net of purchases and related costs, decreased by $97 million and $233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and six months ended June 30, 2016 compared to the three and six months ended June 30, 2015. The following summarizes the more significant items impacting the comparative periods:</w:t>
      </w:r>
    </w:p>
    <w:p>
      <w:pPr>
        <w:spacing w:after="0" w:line="181" w:lineRule="exact"/>
        <w:rPr>
          <w:sz w:val="20"/>
          <w:szCs w:val="20"/>
          <w:color w:val="auto"/>
        </w:rPr>
      </w:pPr>
    </w:p>
    <w:p>
      <w:pPr>
        <w:ind w:left="980" w:right="140" w:hanging="324"/>
        <w:spacing w:after="0" w:line="264"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six months ended June 30, 2016 as compared to the same 2015 periods, primarily due to increased competition, largely due to overbuilt infrastructure and volume declines in certain areas, that have negatively impacted our lease gathering unit margins.</w:t>
      </w:r>
    </w:p>
    <w:p>
      <w:pPr>
        <w:spacing w:after="0" w:line="181" w:lineRule="exact"/>
        <w:rPr>
          <w:rFonts w:ascii="Arial" w:cs="Arial" w:eastAsia="Arial" w:hAnsi="Arial"/>
          <w:sz w:val="18"/>
          <w:szCs w:val="18"/>
          <w:color w:val="auto"/>
        </w:rPr>
      </w:pPr>
    </w:p>
    <w:p>
      <w:pPr>
        <w:jc w:val="both"/>
        <w:ind w:left="980" w:right="60" w:hanging="324"/>
        <w:spacing w:after="0" w:line="286" w:lineRule="auto"/>
        <w:tabs>
          <w:tab w:leader="none" w:pos="9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three and six months ended June 30, 2016 as compared to the three and six months ended June 30, 2015, primarily due to softer propane sales margins during the 2015-2016 winter heating season resulting from a shorter and milder winter, as well as higher storage and processing fees for the 2016 periods.</w:t>
      </w:r>
    </w:p>
    <w:p>
      <w:pPr>
        <w:spacing w:after="0" w:line="165" w:lineRule="exact"/>
        <w:rPr>
          <w:rFonts w:ascii="Arial" w:cs="Arial" w:eastAsia="Arial" w:hAnsi="Arial"/>
          <w:sz w:val="17"/>
          <w:szCs w:val="17"/>
          <w:color w:val="auto"/>
        </w:rPr>
      </w:pPr>
    </w:p>
    <w:p>
      <w:pPr>
        <w:ind w:left="980" w:right="120" w:hanging="324"/>
        <w:spacing w:after="0" w:line="279" w:lineRule="auto"/>
        <w:tabs>
          <w:tab w:leader="none" w:pos="9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Foreign Exchange Impacts — Our results are impacted by fluctuations in the value of CAD to USD, resulting in foreign exchange gains and losses on U.S. denominated net assets within our Canadian operations. The changes in exchange rates during each period resulted in a favorable variance of $2 million for the three months ended June 30, 2016 compared to the three months ended June 30, 2015, and an unfavorable variance of $31 million for the six months ended June 30, 2016 compared to the six months ended June 30, 2015.</w:t>
      </w:r>
    </w:p>
    <w:p>
      <w:pPr>
        <w:spacing w:after="0" w:line="171" w:lineRule="exact"/>
        <w:rPr>
          <w:sz w:val="20"/>
          <w:szCs w:val="20"/>
          <w:color w:val="auto"/>
        </w:rPr>
      </w:pPr>
    </w:p>
    <w:p>
      <w:pPr>
        <w:ind w:left="980" w:right="300"/>
        <w:spacing w:after="0" w:line="264" w:lineRule="auto"/>
        <w:rPr>
          <w:sz w:val="20"/>
          <w:szCs w:val="20"/>
          <w:color w:val="auto"/>
        </w:rPr>
      </w:pPr>
      <w:r>
        <w:rPr>
          <w:rFonts w:ascii="Arial" w:cs="Arial" w:eastAsia="Arial" w:hAnsi="Arial"/>
          <w:sz w:val="18"/>
          <w:szCs w:val="18"/>
          <w:color w:val="auto"/>
        </w:rPr>
        <w:t>Furthermore, the depreciation of CAD relative to USD resulted in lower USD costs of approximately $5 million and $15 million for the three and six months ended June 30, 2016 compared to the three and six months ended June 30, 2015, respectively. Such costs were primarily associated with intercompany facility fees and were largely offset in our Facilities segment results.</w:t>
      </w:r>
    </w:p>
    <w:p>
      <w:pPr>
        <w:spacing w:after="0" w:line="181" w:lineRule="exact"/>
        <w:rPr>
          <w:sz w:val="20"/>
          <w:szCs w:val="20"/>
          <w:color w:val="auto"/>
        </w:rPr>
      </w:pPr>
    </w:p>
    <w:p>
      <w:pPr>
        <w:ind w:left="980" w:right="12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Variance</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Losses from certain derivative activities net of</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3"/>
                <w:szCs w:val="23"/>
                <w:color w:val="auto"/>
                <w:vertAlign w:val="superscript"/>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205740</wp:posOffset>
            </wp:positionV>
            <wp:extent cx="1672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57" w:lineRule="exact"/>
        <w:rPr>
          <w:sz w:val="20"/>
          <w:szCs w:val="20"/>
          <w:color w:val="auto"/>
        </w:rPr>
      </w:pPr>
    </w:p>
    <w:p>
      <w:pPr>
        <w:ind w:left="1620" w:right="60" w:hanging="640"/>
        <w:spacing w:after="0" w:line="257" w:lineRule="auto"/>
        <w:tabs>
          <w:tab w:leader="none" w:pos="1608" w:val="left"/>
        </w:tabs>
        <w:numPr>
          <w:ilvl w:val="0"/>
          <w:numId w:val="27"/>
        </w:numPr>
        <w:rPr>
          <w:rFonts w:ascii="Arial" w:cs="Arial" w:eastAsia="Arial" w:hAnsi="Arial"/>
          <w:sz w:val="12"/>
          <w:szCs w:val="12"/>
          <w:color w:val="auto"/>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9 to our Condensed Consolidated Financial Statements for a comprehensive discussion regarding our derivatives and risk management activities.</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20" w:hanging="324"/>
        <w:spacing w:after="0" w:line="302" w:lineRule="auto"/>
        <w:tabs>
          <w:tab w:leader="none" w:pos="9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Long-Term Inventory Costing Adjustment — Our operating results are impacted by changes in the weighted average cost of our crude oil and NGL inventory pools that result from price movements during the periods. Such costing adjustments resulted in favorable impacts of $67 million and $23 million for the three months ended June 30, 2016 and 2015, respectively, and favorable impacts of $44 million and unfavorable impacts of $15 million for the six months ended June 30, 2016 and 2015, respectively, due to price changes during each period. These costing</w:t>
      </w:r>
    </w:p>
    <w:p>
      <w:pPr>
        <w:sectPr>
          <w:pgSz w:w="11900" w:h="16838" w:orient="portrait"/>
          <w:cols w:equalWidth="0" w:num="1">
            <w:col w:w="11460"/>
          </w:cols>
          <w:pgMar w:left="240" w:top="125" w:right="199" w:bottom="0" w:gutter="0" w:footer="0" w:header="0"/>
        </w:sectPr>
      </w:pPr>
    </w:p>
    <w:bookmarkStart w:id="32" w:name="page33"/>
    <w:bookmarkEnd w:id="32"/>
    <w:p>
      <w:pPr>
        <w:spacing w:after="0" w:line="1"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compared to the three and six months ended June 30, 2015 was primarily due to a combination of (i) lower lease gathering volumes, (ii) shorter truck hauls as pipeline expansion projects were placed into service and (iii) a decrease in fuel prices.</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decrease in general and administrative expenses (excluding equity-indexed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2016 compared to the three and six months ended June 30, 2015 was primarily due to lower salary and other personnel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Depreciation and amortization expense increased for the three and six months ended June 30, 2016 compared to the three and six months ended June 30, 2015 primarily due to (i) impairment losses of approximately $80 million associated with certain of our rail and other terminal assets, (ii) an approximately $18 million charge related to assets taken out of service, (iii) additional depreciation expense associated with various capital expansion projects completed since the 2015 periods and (iv) the write-off of costs associated with the discontinuation of certain projects during 2016. These increases were partially offset by net gains of approximately $10 million and $16 million recognized during the three and six months ended June 30, 2016, respectively, which were primarily associated with non-core asset sales during the periods.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increase in interest expense for the three and six months ended June 30, 2016 over the three and six months ended June 30, 2015 was primarily due to a higher weighted average debt balance largely driven by our August 2015 $1.0 billion senior note issuance, partially offset by the maturity of $150 million and $400 million of our senior notes in June 2015 and September 2015,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Other income/(expense), net for the three and six months ended June 30, 2016 was impacted by a gain of $25 million related to the mark-to-market adjustment of our Preferred Distribution Rate Reset Option. See Note 9 to our Condensed Consolidated Financial Statements for additional information. Excluding such gain, Other income/(expense), net in each of the periods presented was primarily comprised of foreign currency gains or losses related to revaluations of CAD-denominated interest receivables associated with our intercompany notes.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Income tax expense decreased for the three and six months ended June 30, 2016 compared to the three and six months ended June 30, 2015 primarily due to deferred tax expense recorded in the second quarter of 2015 related to the cumulative revaluation of Canadian net deferred tax liabilities resulting from a 2% Alberta, Canada provincial tax rate increase and lower year-over-year taxable earnings from our Canadian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and through the second quarter of 2016, the rate of growth of North American crude oil production slowed significantly and began to decrease in some areas as producers have taken rigs out of service and deferred completions at an increased rate. The pace and depth of the reduction in drilling and completion activities by producers has been greater than anticipated by many market participants and observers; since the beginning of 2015, onshore rig counts for the lower 48 States have decreased approximately 75%. As a result of the combined effect of such reduced activity levels and the high decline rates for many of the producing wells that contribute towards current lower 48 onshore production levels, crude oil production declines are expected to continue during 2016 and potentially beyond in a number of onshore plays. While we believe that the larger North American resource base remains intact and will ultimately be developed, such production will likely take place at a slower pace and previously anticipated peak production levels will likely be reduced. This slowdown and reduction in North American production coupled with past increases in infrastructure has led to a compression of basis differentials in a number of locations. This transitioning crude oil market presents challenges to our business model and asset base and will likely impact the rate of cash flow and distribution growth that we would have otherwise experienced over the next several years. In addition, increased competition and compressed differentials may drive lower volumes and lower unit margins in parts of our business, particularly our Supply and Logistics segment.</w:t>
      </w:r>
    </w:p>
    <w:p>
      <w:pPr>
        <w:sectPr>
          <w:pgSz w:w="11900" w:h="16839" w:orient="portrait"/>
          <w:cols w:equalWidth="0" w:num="1">
            <w:col w:w="11420"/>
          </w:cols>
          <w:pgMar w:left="240" w:top="125" w:right="239" w:bottom="0" w:gutter="0" w:footer="0" w:header="0"/>
        </w:sectPr>
      </w:pPr>
    </w:p>
    <w:bookmarkStart w:id="33" w:name="page34"/>
    <w:bookmarkEnd w:id="33"/>
    <w:p>
      <w:pPr>
        <w:ind w:right="60" w:firstLine="648"/>
        <w:spacing w:after="0" w:line="255" w:lineRule="auto"/>
        <w:rPr>
          <w:sz w:val="20"/>
          <w:szCs w:val="20"/>
          <w:color w:val="auto"/>
        </w:rPr>
      </w:pPr>
      <w:r>
        <w:rPr>
          <w:rFonts w:ascii="Arial" w:cs="Arial" w:eastAsia="Arial" w:hAnsi="Arial"/>
          <w:sz w:val="18"/>
          <w:szCs w:val="18"/>
          <w:color w:val="auto"/>
        </w:rPr>
        <w:t>While we believe that these recent market developments will continue to impede crude oil supply growth and contribute toward bringing the markets back to equilibrium, there can be no assurance that such equilibrium will be achieved or that we will not be negatively impacted by declining crude oil supply, low levels of volatility or challenging capital markets conditions. Additionally, construction of additional infrastructure by us and our competitors will likely lead to even greater levels of excess takeaway capacity in certain areas for the near to medium term, which could further reduce unit margins in our various segments, and which could be exacerbated by declining levels of crude oil production. Finally, we cannot be certain that our expansion efforts will generate targeted returns or that any future acquisition activities will be successful. See “Risk Factors—Risks Related to Our Business” discussed in Item 1A of our 2015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w:t>
      </w:r>
    </w:p>
    <w:p>
      <w:pPr>
        <w:spacing w:after="0" w:line="2" w:lineRule="exact"/>
        <w:rPr>
          <w:sz w:val="20"/>
          <w:szCs w:val="20"/>
          <w:color w:val="auto"/>
        </w:rPr>
      </w:pPr>
    </w:p>
    <w:p>
      <w:pPr>
        <w:ind w:right="160" w:firstLine="8"/>
        <w:spacing w:after="0" w:line="270"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June 30, 2016, we had a working capital deficit of $426 million and approximately $2.9 billion of liquidity available to meet our ongoing operating, investing and financing needs, subject to continued covenant compliance, as noted below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June 30,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4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9"/>
              </w:rPr>
              <w:t>Availability under senior unsecured 364-day revolving credit facility</w:t>
            </w: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Amounts outstanding under commercial paper program</w:t>
            </w: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4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680" w:type="dxa"/>
            <w:vAlign w:val="bottom"/>
            <w:vMerge w:val="restart"/>
          </w:tcPr>
          <w:p>
            <w:pPr>
              <w:jc w:val="right"/>
              <w:ind w:right="4070"/>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8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60" w:hanging="11"/>
        <w:spacing w:after="0" w:line="277" w:lineRule="auto"/>
        <w:rPr>
          <w:sz w:val="20"/>
          <w:szCs w:val="20"/>
          <w:color w:val="auto"/>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170" w:lineRule="exact"/>
        <w:rPr>
          <w:sz w:val="20"/>
          <w:szCs w:val="20"/>
          <w:color w:val="auto"/>
        </w:rPr>
      </w:pPr>
    </w:p>
    <w:p>
      <w:pPr>
        <w:ind w:right="200" w:hanging="11"/>
        <w:spacing w:after="0" w:line="277" w:lineRule="auto"/>
        <w:rPr>
          <w:sz w:val="20"/>
          <w:szCs w:val="20"/>
          <w:color w:val="auto"/>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$17 million and $31 million, respectively.</w:t>
      </w:r>
    </w:p>
    <w:p>
      <w:pPr>
        <w:spacing w:after="0" w:line="170" w:lineRule="exact"/>
        <w:rPr>
          <w:sz w:val="20"/>
          <w:szCs w:val="20"/>
          <w:color w:val="auto"/>
        </w:rPr>
      </w:pPr>
    </w:p>
    <w:p>
      <w:pPr>
        <w:sectPr>
          <w:pgSz w:w="11900" w:h="16838" w:orient="portrait"/>
          <w:cols w:equalWidth="0" w:num="2">
            <w:col w:w="140" w:space="520"/>
            <w:col w:w="10800"/>
          </w:cols>
          <w:pgMar w:left="240" w:top="341" w:right="199" w:bottom="0" w:gutter="0" w:footer="0" w:header="0"/>
          <w:type w:val="continuous"/>
        </w:sectPr>
      </w:pPr>
    </w:p>
    <w:p>
      <w:pPr>
        <w:ind w:right="6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2015 Annual Report on Form 10-K for further discussion regarding such risks that may impact our liquidity and capital resources. Usage of the credit facilities, which provide the backstop for the commercial paper program, is subject to ongoing compliance with covenants. As of June 30, 2016,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2015 Annual Report on Form 10-K.</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Net cash provided by operating activities for the first six months of 2016 and 2015 was $387 million and $660 million, respectively, and primarily resulted from earnings from our operations. Additionally, as discussed further below, changes in our inventory levels during these periods impacted our cash flow from operating activities.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six months ended June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During the six months ended June 30, 2015, we increased the volume of crude oil inventory that we held, primarily as a result of purchasing and storing such inventory due to contango market conditions. These increases were primarily funded with proceeds received from the seasonal sale of our NGL and natural gas inventory and thus did not significantly impact cash provided by operating activities during the period.</w:t>
      </w:r>
    </w:p>
    <w:p>
      <w:pPr>
        <w:spacing w:after="0" w:line="16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At June 30, 2016, counterparty deficiencies associated with agreements that include minimum volume commitments totaled $70 million.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w:t>
      </w:r>
    </w:p>
    <w:p>
      <w:pPr>
        <w:sectPr>
          <w:pgSz w:w="11900" w:h="16838" w:orient="portrait"/>
          <w:cols w:equalWidth="0" w:num="1">
            <w:col w:w="11460"/>
          </w:cols>
          <w:pgMar w:left="240" w:top="341" w:right="199" w:bottom="0" w:gutter="0" w:footer="0" w:header="0"/>
          <w:type w:val="continuous"/>
        </w:sectPr>
      </w:pPr>
    </w:p>
    <w:bookmarkStart w:id="34" w:name="page35"/>
    <w:bookmarkEnd w:id="34"/>
    <w:p>
      <w:pPr>
        <w:ind w:right="160"/>
        <w:spacing w:after="0" w:line="308" w:lineRule="auto"/>
        <w:rPr>
          <w:sz w:val="20"/>
          <w:szCs w:val="20"/>
          <w:color w:val="auto"/>
        </w:rPr>
      </w:pPr>
      <w:r>
        <w:rPr>
          <w:rFonts w:ascii="Arial" w:cs="Arial" w:eastAsia="Arial" w:hAnsi="Arial"/>
          <w:sz w:val="17"/>
          <w:szCs w:val="17"/>
          <w:color w:val="auto"/>
        </w:rPr>
        <w:t>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June 30, 2016, we had deferred revenue associated with minimum volume commitments of $45 million. In addition to the amounts recorded as deferred revenue, as of June 30, 2016, there was $25 million of accrued deficiencies for which the counterparties had not met their contractual minimum commitments, but we had not yet billed or collected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Divestitures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During the six months ended June 30, 2016 and 2015, we paid cash of $85 million and $64 million,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during the first half of 2016, we completed the sale of various non-core assets, as well as the sale of 50% of our investment in Cheyenne Pipeline LLC, for cash proceeds of $391 million. We also completed an additional divestiture of non-core assets in July 2016 for approximately $170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addition, in August 2016, we completed the acquisition of an integrated system of NGL assets in Western Canada for a cash purchase price of approximately $204 million, including $51 million for inventory and working capital.</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2016 Capital Projects. </w:t>
      </w:r>
      <w:r>
        <w:rPr>
          <w:rFonts w:ascii="Arial" w:cs="Arial" w:eastAsia="Arial" w:hAnsi="Arial"/>
          <w:sz w:val="17"/>
          <w:szCs w:val="17"/>
          <w:color w:val="auto"/>
        </w:rPr>
        <w:t>We invested approximately $709 million in midstream infrastructure during the six months ended June 30, 2016. See “—</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and Capital Projects” for detail of our projected capital expenditures for the year ending December 31, 2016. We expect the majority of funding for our remaining 2016 capital program will be provided by the proceeds from our January 2016 Series A preferred unit offering, the sale of various non-core assets throughout the year and through the potential issuance of equity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At June 30, 2016, we had approximately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under our WKSI Shelf during the six months ended June 30, 2016.</w:t>
      </w:r>
    </w:p>
    <w:p>
      <w:pPr>
        <w:spacing w:after="0" w:line="193" w:lineRule="exact"/>
        <w:rPr>
          <w:sz w:val="20"/>
          <w:szCs w:val="20"/>
          <w:color w:val="auto"/>
        </w:rPr>
      </w:pPr>
    </w:p>
    <w:p>
      <w:pPr>
        <w:jc w:val="both"/>
        <w:ind w:right="100" w:firstLine="684"/>
        <w:spacing w:after="0" w:line="259" w:lineRule="auto"/>
        <w:rPr>
          <w:sz w:val="20"/>
          <w:szCs w:val="20"/>
          <w:color w:val="auto"/>
        </w:rPr>
      </w:pPr>
      <w:r>
        <w:rPr>
          <w:rFonts w:ascii="Arial" w:cs="Arial" w:eastAsia="Arial" w:hAnsi="Arial"/>
          <w:sz w:val="18"/>
          <w:szCs w:val="18"/>
          <w:i w:val="1"/>
          <w:iCs w:val="1"/>
          <w:color w:val="auto"/>
        </w:rPr>
        <w:t xml:space="preserve">Series A Preferred Unit Issuance. </w:t>
      </w:r>
      <w:r>
        <w:rPr>
          <w:rFonts w:ascii="Arial" w:cs="Arial" w:eastAsia="Arial" w:hAnsi="Arial"/>
          <w:sz w:val="18"/>
          <w:szCs w:val="18"/>
          <w:color w:val="auto"/>
        </w:rPr>
        <w:t>In January 2016, we completed the private placement of approximately 61.0 million Series A preferred units at a</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$26.25 per unit resulting in total net proceeds to us, after deducting offering expenses and the 2% transaction fee due to the purchasers and including our 2% general partner’s proportionate contribution, of approximately $1.6 billion. We used the net proceeds for capital expenditures, repayment of debt and general partnership purposes.</w:t>
      </w:r>
    </w:p>
    <w:p>
      <w:pPr>
        <w:spacing w:after="0" w:line="187" w:lineRule="exact"/>
        <w:rPr>
          <w:sz w:val="20"/>
          <w:szCs w:val="20"/>
          <w:color w:val="auto"/>
        </w:rPr>
      </w:pPr>
    </w:p>
    <w:p>
      <w:pPr>
        <w:ind w:right="140" w:firstLine="684"/>
        <w:spacing w:after="0" w:line="279" w:lineRule="auto"/>
        <w:rPr>
          <w:sz w:val="20"/>
          <w:szCs w:val="20"/>
          <w:color w:val="auto"/>
        </w:rPr>
      </w:pPr>
      <w:r>
        <w:rPr>
          <w:rFonts w:ascii="Arial" w:cs="Arial" w:eastAsia="Arial" w:hAnsi="Arial"/>
          <w:sz w:val="17"/>
          <w:szCs w:val="17"/>
          <w:color w:val="auto"/>
        </w:rPr>
        <w:t>Our Series A preferred units rank senior to all classes or series of equity securities in us with respect to distribution rights. The holders of the Series A preferred units are entitled to receive quarterly distributions, subject to customary antidilution adjustments, of $0.525 per unit ($2.10 per unit annualized), commencing with the quarter ended March 31, 2016. With respect to any quarter ending on or prior to December 31, 2017, we may elect to pay distributions on the Series A preferred units in additional preferred units, in cash or a combination of both.</w:t>
      </w:r>
    </w:p>
    <w:p>
      <w:pPr>
        <w:spacing w:after="0" w:line="171" w:lineRule="exact"/>
        <w:rPr>
          <w:sz w:val="20"/>
          <w:szCs w:val="20"/>
          <w:color w:val="auto"/>
        </w:rPr>
      </w:pPr>
    </w:p>
    <w:p>
      <w:pPr>
        <w:jc w:val="both"/>
        <w:ind w:right="240" w:firstLine="684"/>
        <w:spacing w:after="0" w:line="264" w:lineRule="auto"/>
        <w:rPr>
          <w:sz w:val="20"/>
          <w:szCs w:val="20"/>
          <w:color w:val="auto"/>
        </w:rPr>
      </w:pPr>
      <w:r>
        <w:rPr>
          <w:rFonts w:ascii="Arial" w:cs="Arial" w:eastAsia="Arial" w:hAnsi="Arial"/>
          <w:sz w:val="18"/>
          <w:szCs w:val="18"/>
          <w:color w:val="auto"/>
        </w:rPr>
        <w:t>After two years, the Series A preferred units are convertible at the purchasers’ option into common units on a one-for-one basis, subject to certain conditions, and are convertible at our option in certain circumstances after three years. See Note 8 to our Condensed Consolidated Financial Statements for additional information regarding our Series A preferred units.</w:t>
      </w:r>
    </w:p>
    <w:p>
      <w:pPr>
        <w:spacing w:after="0" w:line="181" w:lineRule="exact"/>
        <w:rPr>
          <w:sz w:val="20"/>
          <w:szCs w:val="20"/>
          <w:color w:val="auto"/>
        </w:rPr>
      </w:pPr>
    </w:p>
    <w:p>
      <w:pPr>
        <w:ind w:firstLine="684"/>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June 30, 2016, we were in compliance with the covenants contained in our credit agreements and indentures.</w:t>
      </w:r>
    </w:p>
    <w:p>
      <w:pPr>
        <w:spacing w:after="0" w:line="18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During the six months ended June 30, 2016, we had net repayments on our credit agreements and commercial paper program of $592 million. The net repayments resulted primarily from cash flow from operating activities and cash received from our equity activities, which offset borrowings during the period related to inventory purchases and margin balances required as part of our hedging activities.</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During the six months ended June 30, 2015, we had net borrowings under our credit agreements and commercial paper program of $151 million. These net borrowings resulted primarily from funding needs for (i) internal capital projects, (ii) repayment of our $150 million, 5.25% senior notes that matured in June 2015 and (iii) other general partnership purposes.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$175 million, 5.88% senior notes will mature in August 2016, and our $400 million, 6.13% senior notes will mature in January 2017. We intend to use borrowings under our commercial paper program or our credit facilities to repay these senior notes when they mature.</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 and General Partner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August 12, 2016, we will issue 1,237,765 additional Series A preferred units in lieu of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 cash distribution of $33 million. See Note 8 to our Condensed Consolidated Financial Statements for details of distributions pertaining to the first six months of 2016.</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We distribute 100% of our available cash within 45 days following the end of each quarter to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of record and to our general partner.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August 12, 2016, we will pay a quarterly distribution of $0.70 per common unit. See Note 8 to our Condensed Consolidated Financial Statements for details of distributions paid during or pertaining to the first six months of 2016. Also, see Item 5. “Market for Registrant’s Common Units, Related Unitholder Matters and Issuer Purchases of Equity Securities—Cash Distribution Policy” included in our 2015 Annual Report on Form 10-K for additional discussion regarding distributions.</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July 11, 2016, PAA, PAGP, AAP, PAA GP, GP LLC and GP Holdings entered into a Simplification Agreement pursuant to which, upon closing, in exchange for the issuance by PAA to AAP of approximately 245.5 million common units representing limited partner interests in PAA (“PAA Common Units”) and the assumption by PAA of AAP’s outstanding debt (as of June 30, 2016, approximately $593 million), AAP will contribute the IDRs to PAA and PAA GP’s 2% economic general partner interest in PAA will be converted into a non-economic general partner interest in PAA. Following the closing of the transactions contemplated by the Simplification Agreement (the “Simplification Transactions”), both PAA and PAGP will continue to be publicly traded.</w:t>
      </w:r>
    </w:p>
    <w:p>
      <w:pPr>
        <w:spacing w:after="0" w:line="158" w:lineRule="exact"/>
        <w:rPr>
          <w:sz w:val="20"/>
          <w:szCs w:val="20"/>
          <w:color w:val="auto"/>
        </w:rPr>
      </w:pPr>
    </w:p>
    <w:p>
      <w:pPr>
        <w:jc w:val="both"/>
        <w:ind w:right="660" w:firstLine="648"/>
        <w:spacing w:after="0" w:line="259" w:lineRule="auto"/>
        <w:rPr>
          <w:sz w:val="20"/>
          <w:szCs w:val="20"/>
          <w:color w:val="auto"/>
        </w:rPr>
      </w:pPr>
      <w:r>
        <w:rPr>
          <w:rFonts w:ascii="Arial" w:cs="Arial" w:eastAsia="Arial" w:hAnsi="Arial"/>
          <w:sz w:val="18"/>
          <w:szCs w:val="18"/>
          <w:color w:val="auto"/>
        </w:rPr>
        <w:t>The Simplification Transactions are expected to close in the fourth quarter of 2016, subject to customary closing conditions. Additionally, in connection with the Simplification Transactions and effective with the third quarter distribution to be paid in November, we intend to pay a quarterly distribution of $0.55 per common unit ($2.20 per unit on an annualized basis). See Note 14 to our Condensed Consolidated Financial Statements for additional discussion of the Simplification Transactions.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These transactions are among consolidated subsidiaries of PAGP that are considered entities under common control. As such, in accordance with FASB guidance, these transactions will be recognized at carrying value. Additionally, the transactions will be accounted for as equity transactions in accordance with FASB guidance.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11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2016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Remainder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2021 and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 maturities</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2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other purchases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3,187</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2,263</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808080"/>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63" w:gutter="0" w:footer="0" w:header="0"/>
        </w:sectPr>
      </w:pPr>
    </w:p>
    <w:bookmarkStart w:id="36" w:name="page37"/>
    <w:bookmarkEnd w:id="36"/>
    <w:p>
      <w:pPr>
        <w:ind w:left="660" w:hanging="652"/>
        <w:spacing w:after="0" w:line="254" w:lineRule="auto"/>
        <w:tabs>
          <w:tab w:leader="none" w:pos="648"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Includes debt service payments, interest payments due on senior notes,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ectPr>
          <w:pgSz w:w="11900" w:h="16838" w:orient="portrait"/>
          <w:cols w:equalWidth="0" w:num="1">
            <w:col w:w="11400"/>
          </w:cols>
          <w:pgMar w:left="240" w:top="125" w:right="259" w:bottom="10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right="120" w:hanging="11"/>
        <w:spacing w:after="0" w:line="257" w:lineRule="auto"/>
        <w:rPr>
          <w:sz w:val="20"/>
          <w:szCs w:val="20"/>
          <w:color w:val="auto"/>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$890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188" w:lineRule="exact"/>
        <w:rPr>
          <w:sz w:val="20"/>
          <w:szCs w:val="20"/>
          <w:color w:val="auto"/>
        </w:rPr>
      </w:pPr>
    </w:p>
    <w:p>
      <w:pPr>
        <w:sectPr>
          <w:pgSz w:w="11900" w:h="16838" w:orient="portrait"/>
          <w:cols w:equalWidth="0" w:num="2">
            <w:col w:w="140" w:space="520"/>
            <w:col w:w="10740"/>
          </w:cols>
          <w:pgMar w:left="240" w:top="125" w:right="259" w:bottom="100" w:gutter="0" w:footer="0" w:header="0"/>
          <w:type w:val="continuous"/>
        </w:sectPr>
      </w:pPr>
    </w:p>
    <w:p>
      <w:pPr>
        <w:ind w:left="660" w:right="200" w:hanging="652"/>
        <w:spacing w:after="0" w:line="249" w:lineRule="auto"/>
        <w:tabs>
          <w:tab w:leader="none" w:pos="648"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June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June 30, 2016 and December 31, 2015, we had outstanding letters of credit of approximately $48 million and $46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2015 Annual Report on Form 10-K.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right="200" w:hanging="324"/>
        <w:spacing w:after="0" w:line="259"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300" w:hanging="324"/>
        <w:spacing w:after="0" w:line="342" w:lineRule="auto"/>
        <w:tabs>
          <w:tab w:leader="none" w:pos="9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ectPr>
          <w:pgSz w:w="11900" w:h="16838" w:orient="portrait"/>
          <w:cols w:equalWidth="0" w:num="1">
            <w:col w:w="11400"/>
          </w:cols>
          <w:pgMar w:left="240" w:top="125" w:right="259" w:bottom="100" w:gutter="0" w:footer="0" w:header="0"/>
          <w:type w:val="continuous"/>
        </w:sectPr>
      </w:pPr>
    </w:p>
    <w:bookmarkStart w:id="37" w:name="page38"/>
    <w:bookmarkEnd w:id="37"/>
    <w:p>
      <w:pPr>
        <w:ind w:left="980" w:right="14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2015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6"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ectPr>
          <w:pgSz w:w="11900" w:h="16838" w:orient="portrait"/>
          <w:cols w:equalWidth="0" w:num="1">
            <w:col w:w="11420"/>
          </w:cols>
          <w:pgMar w:left="240" w:top="125" w:right="239" w:bottom="0" w:gutter="0" w:footer="0" w:header="0"/>
        </w:sectPr>
      </w:pPr>
    </w:p>
    <w:bookmarkStart w:id="38" w:name="page39"/>
    <w:bookmarkEnd w:id="38"/>
    <w:p>
      <w:pPr>
        <w:spacing w:after="0" w:line="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See Note 9 to our Condensed Consolidated Financial Statements for further discussion regarding our hedging strategies and objectives.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2016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(123)</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2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8"/>
                <w:szCs w:val="18"/>
                <w:color w:val="auto"/>
              </w:rPr>
              <w:t>Total fair value</w:t>
            </w:r>
          </w:p>
        </w:tc>
        <w:tc>
          <w:tcPr>
            <w:tcW w:w="1020" w:type="dxa"/>
            <w:vAlign w:val="bottom"/>
            <w:tcBorders>
              <w:top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June 30, 2016, approximately $1.1 billion, was subject to interest rate re-sets of one week or less. The average interest rate on variable rate debt that was outstanding during the six months ended June 30, 2016 was 1.2%, based upon rates in effect during such period. The fair value of our interest rate derivatives was a liability of $155 million as of June 30, 2016. A 10% increase in the forward LIBOR curve as of June 30, 2016 would have resulted in an increase of $35 million to the fair value of our interest rate derivatives. A 10% decrease in the forward LIBOR curve as of June 30, 2016 would have resulted in a decrease of $35 million to the fair value of our interest rate derivatives. See Note 9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June 30, 2016.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9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and default probabilities to ultimately calculate the fair value of our Series A preferred units with and without the Preferred Distribution Rate Reset Option. The fair value of this embedded derivative was a liability of $35 million as of June 30, 2016. A 10% increase in the fair value would have an impact of $4 million. A 10% decrease in the fair value would also have an impact of $4 million. See Note 9 to our Condensed Consolidated Financial Statements for a discussion of embedded derivatives.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2016 that have materially affected, or are reasonably likely to materially affect, our internal control over financial reporting.</w:t>
      </w:r>
    </w:p>
    <w:p>
      <w:pPr>
        <w:sectPr>
          <w:pgSz w:w="11900" w:h="16864" w:orient="portrait"/>
          <w:cols w:equalWidth="0" w:num="1">
            <w:col w:w="11420"/>
          </w:cols>
          <w:pgMar w:left="240" w:top="125" w:right="239" w:bottom="0" w:gutter="0" w:footer="0" w:header="0"/>
        </w:sectPr>
      </w:pPr>
    </w:p>
    <w:bookmarkStart w:id="39" w:name="page40"/>
    <w:bookmarkEnd w:id="39"/>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“Legal Proceedings — General” in Note 11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six months ended June 30, 2016, we issued 858,439 additional Series A preferred units in lieu of a cash distribution of $23 million. Such distribution was issued to Series A preferred unitholders of record as of April 29, 2016 and was prorated for the period beginning on January 28, 2016, the issuance date of the Series A preferred units, through March 31, 2016. The issuance of the Series A preferred units, in connection with the quarterly distribution for the Series A preferred units, was exempt from the registration requirements of the Securities Act of 1933, as amended, pursuant to Section 4(a)(2)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PAA GP LLC,</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its sole member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L. Armstrong</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Greg L. Armstrong,</w:t>
            </w:r>
          </w:p>
        </w:tc>
      </w:tr>
      <w:tr>
        <w:trPr>
          <w:trHeight w:val="216"/>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5"/>
              </w:rPr>
              <w:t>Chairman of the Board, Chief Executive Officer and Director of</w:t>
            </w:r>
          </w:p>
        </w:tc>
      </w:tr>
      <w:tr>
        <w:trPr>
          <w:trHeight w:val="216"/>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Plains All American GP LLC</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ectPr>
          <w:pgSz w:w="11900" w:h="16911" w:orient="portrait"/>
          <w:cols w:equalWidth="0" w:num="1">
            <w:col w:w="11420"/>
          </w:cols>
          <w:pgMar w:left="240" w:top="341"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August 8, 2016</w:t>
            </w: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60" w:type="dxa"/>
            <w:vAlign w:val="bottom"/>
          </w:tcPr>
          <w:p>
            <w:pPr>
              <w:ind w:left="4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Al Swanson,</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2"/>
              </w:rPr>
              <w:t>Executive Vice President and Chief Financial Officer of Plains All</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American GP LLC</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August 8, 2016</w:t>
            </w:r>
          </w:p>
        </w:tc>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60" w:type="dxa"/>
            <w:vAlign w:val="bottom"/>
          </w:tcPr>
          <w:p>
            <w:pPr>
              <w:ind w:left="4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Chris Herbold,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88"/>
              </w:rPr>
              <w:t>Vice President —Accounting and Chief Accounting Officer of Plains</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All American GP LLC</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(Principal Accounting Officer)</w:t>
            </w:r>
          </w:p>
        </w:tc>
        <w:tc>
          <w:tcPr>
            <w:tcW w:w="40" w:type="dxa"/>
            <w:vAlign w:val="bottom"/>
          </w:tcPr>
          <w:p>
            <w:pPr>
              <w:spacing w:after="0"/>
              <w:rPr>
                <w:sz w:val="20"/>
                <w:szCs w:val="20"/>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August 8, 2016</w:t>
            </w:r>
          </w:p>
        </w:tc>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60" w:type="dxa"/>
            <w:vAlign w:val="bottom"/>
          </w:tcPr>
          <w:p>
            <w:pPr>
              <w:ind w:left="3900"/>
              <w:spacing w:after="0"/>
              <w:rPr>
                <w:sz w:val="20"/>
                <w:szCs w:val="20"/>
                <w:color w:val="auto"/>
              </w:rPr>
            </w:pPr>
            <w:r>
              <w:rPr>
                <w:rFonts w:ascii="Arial" w:cs="Arial" w:eastAsia="Arial" w:hAnsi="Arial"/>
                <w:sz w:val="18"/>
                <w:szCs w:val="18"/>
                <w:color w:val="auto"/>
              </w:rPr>
              <w:t>55</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00" w:type="dxa"/>
            <w:vAlign w:val="bottom"/>
            <w:gridSpan w:val="2"/>
          </w:tcPr>
          <w:p>
            <w:pPr>
              <w:ind w:left="33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4"/>
              </w:rPr>
              <w:t>Simplification Agreement, dated as of July 11, 2016, by and among PAA GP Holdings LLC, Plains GP Holdings, L.P., Plains All</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American GP LLC, Plains AAP, L.P., PAA GP LLC and Plains All American Pipeline, L.P. (incorporated by reference to</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Exhibit 2.1 to our Current Report on Form 8-K filed July 14, 2016).</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2"/>
              </w:rPr>
              <w:t>Fifth Amended and Restated Agreement of Limited Partnership of Plains All American Pipeline, L.P. dated as of January 28, 2016</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(incorporated by reference to Exhibit 3.2 to our Current Report on Form 8-K filed February 2, 2016).</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5"/>
              </w:rPr>
              <w:t>Amendment No. 1 to the Fifth Amended and Restated Agreement of Limited Partnership of Plains All American Pipeline, L.P.</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8"/>
              </w:rPr>
              <w:t>dated as of July 10, 2016 (incorporated by reference to Exhibit 3.1 to our Current Report on Form 8-K filed July 14, 2016).</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3"/>
              </w:rPr>
              <w:t>Third Amended and Restated Agreement of Limited Partnership of Plains Marketing, L.P. dated as of April 1, 2004 (incorporated</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by reference to Exhibit 3.2 to our Quarterly Report on Form 10-Q for the quarter ended March 31, 2004).</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5"/>
              </w:rPr>
              <w:t>Amendment No. 1 dated December 31, 2010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4"/>
              </w:rPr>
              <w:t>Marketing, L.P. (incorporated by reference to Exhibit 3.9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2010).</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8"/>
              </w:rPr>
              <w:t>Amendment No. 2 dated January 1, 2011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3"/>
              </w:rPr>
              <w:t>Marketing, L.P. (incorporated by reference to Exhibit 3.10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2010).</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9"/>
              </w:rPr>
              <w:t>Amendment No. 3 dated June 30, 2011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4"/>
              </w:rPr>
              <w:t>Marketing, L.P. (incorporated by reference to Exhibit 3.7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2013).</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8"/>
              </w:rPr>
              <w:t>Amendment No. 4 dated January 1, 2013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5"/>
              </w:rPr>
              <w:t>Marketing, L.P (incorporated by reference to Exhibit 3.8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2013).</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2"/>
              </w:rPr>
              <w:t>Third Amended and Restated Agreement of Limited Partnership of Plains Pipeline, L.P. dated as of April 1, 2004 (incorporated by</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1"/>
              </w:rPr>
              <w:t>Amendment No. 1 dated January 1, 2013 to the Third Amended and Restated Agreement of Limited Partnership of Plains Pipeline,</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7"/>
              </w:rPr>
              <w:t>L.P. (incorporated by reference to Exhibit 3.10 to our Annual Report on Form 10-K for the year ended December 31,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6"/>
              </w:rPr>
              <w:t>Sixth Amended and Restated Limited Liability Company Agreement of Plains All American GP LLC dated October 21, 2013</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2"/>
              </w:rPr>
              <w:t>Amendment No. 1 dated January 28, 2016 to the Sixth Amended and Restated Limited Liability Company Agreement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American GP LLC (incorporated by reference to Exhibit 3.1 to our Current Report on Form 8-K filed February 2, 2016).</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5"/>
              </w:rPr>
              <w:t>Seventh Amended and Restated Limited Partnership Agreement of Plains AAP, L.P. dated October 21, 2013 (incorporated by</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reference to Exhibit 3.1 to our Current Report on Form 8-K filed October 25,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0"/>
              </w:rPr>
              <w:t>Amendment No. 1 dated December 31, 2013 to the Seventh Amended and Restated Limited Partnership Agreement of Plains AAP,</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L.P. (incorporated by reference to Exhibit 3.2 to our Current Report on Form 8-K filed December 31,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2"/>
              </w:rPr>
              <w:t>Certificate of Incorporation of PAA Finance Corp (f/k/a Pacific Energy Finance Corporation, successor-by-merger to PAA Finance</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w w:val="95"/>
              </w:rPr>
              <w:t>Corp.) (incorporated by reference to Exhibit 3.10 to our Annual Report on Form 10-K for the year ended December 31, 2006).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-7522210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-7522210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3900"/>
              <w:spacing w:after="0"/>
              <w:rPr>
                <w:sz w:val="20"/>
                <w:szCs w:val="20"/>
                <w:color w:val="auto"/>
              </w:rPr>
            </w:pPr>
            <w:r>
              <w:rPr>
                <w:rFonts w:ascii="Arial" w:cs="Arial" w:eastAsia="Arial" w:hAnsi="Arial"/>
                <w:sz w:val="18"/>
                <w:szCs w:val="18"/>
                <w:color w:val="auto"/>
              </w:rPr>
              <w:t>56</w:t>
            </w:r>
          </w:p>
        </w:tc>
      </w:tr>
      <w:tr>
        <w:trPr>
          <w:trHeight w:val="132"/>
        </w:trPr>
        <w:tc>
          <w:tcPr>
            <w:tcW w:w="1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740" w:type="dxa"/>
            <w:vAlign w:val="bottom"/>
            <w:tcBorders>
              <w:bottom w:val="single" w:sz="8" w:color="808080"/>
            </w:tcBorders>
          </w:tcPr>
          <w:p>
            <w:pPr>
              <w:spacing w:after="0"/>
              <w:rPr>
                <w:sz w:val="11"/>
                <w:szCs w:val="11"/>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40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1"/>
              </w:rPr>
              <w:t>Bylaws of PAA Finance Corp (f/k/a Pacific Energy Finance Corporation, successor-by-merger to PAA Finance Corp.) (incorporated</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by reference to Exhibit 3.11 to our Annual Report on 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 our</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7"/>
              </w:rPr>
              <w:t>Association, as trustee (incorporated by reference to Exhibit 4.1 to our Quarterly Report on Form 10-Q for the quarter ended</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as trustee (incorporated by reference to Exhibit 4.5 to our Registration Statement on Form S-4, File No. 333-121168).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7"/>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as trustee (incorporated by reference to Exhibit 4.1 to our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our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4"/>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0"/>
              </w:rPr>
              <w:t>Seventeenth Supplemental Indenture (5.75% Senior Notes due 2020) dated September 4, 2009 among Plains All American Pipeline,</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reference to Exhibit 4.1 to our Current Report on Form 8-K filed September 4,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1"/>
              </w:rPr>
              <w:t>Twentieth Supplemental Indenture (3.65% Senior Notes due 2022) dated March 22, 2012 among Plains All American Pipeline, L.P.,</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PAA Finance Corp. and U.S. Bank National Association, as trustee (incorporated by reference to Exhibit 4.1 to our Current Report</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w w:val="93"/>
              </w:rPr>
              <w:t>Twenty-First Supplemental Indenture (5.15% Senior Notes due 2042) dated March 22, 2012 among Plains All American Pipeline,</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w w:val="94"/>
              </w:rPr>
              <w:t>L.P., PAA Finance Corp. and U.S. Bank National Association, as trustee (incorporated by reference to Exhibit 4.3 to our Current</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Report on Form 8-K filed March 26, 2012).</w:t>
            </w:r>
          </w:p>
        </w:tc>
      </w:tr>
      <w:tr>
        <w:trPr>
          <w:trHeight w:val="43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40" w:type="dxa"/>
            <w:vAlign w:val="bottom"/>
          </w:tcPr>
          <w:p>
            <w:pPr>
              <w:ind w:left="3900"/>
              <w:spacing w:after="0"/>
              <w:rPr>
                <w:sz w:val="20"/>
                <w:szCs w:val="20"/>
                <w:color w:val="auto"/>
              </w:rPr>
            </w:pPr>
            <w:r>
              <w:rPr>
                <w:rFonts w:ascii="Arial" w:cs="Arial" w:eastAsia="Arial" w:hAnsi="Arial"/>
                <w:sz w:val="18"/>
                <w:szCs w:val="18"/>
                <w:color w:val="auto"/>
              </w:rPr>
              <w:t>57</w:t>
            </w:r>
          </w:p>
        </w:tc>
      </w:tr>
      <w:tr>
        <w:trPr>
          <w:trHeight w:val="132"/>
        </w:trPr>
        <w:tc>
          <w:tcPr>
            <w:tcW w:w="1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740" w:type="dxa"/>
            <w:vAlign w:val="bottom"/>
            <w:tcBorders>
              <w:bottom w:val="single" w:sz="8" w:color="808080"/>
            </w:tcBorders>
          </w:tcPr>
          <w:p>
            <w:pPr>
              <w:spacing w:after="0"/>
              <w:rPr>
                <w:sz w:val="11"/>
                <w:szCs w:val="11"/>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40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5"/>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7"/>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Exhibit 4.3 to our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1"/>
              </w:rPr>
              <w:t>Twenty-Fourth Supplemental Indenture (3.85% Senior Notes due 2023) dated August 15, 2013, by and among Plains All American</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5"/>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Current Report on Form 8-K filed April 29,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-10172065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-10172065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8"/>
              </w:rPr>
              <w:t>Twenty-Sixth Supplemental Indenture (3.60% Senior Notes due 2024) dated September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4.17</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6"/>
              </w:rPr>
              <w:t>Twenty-Seventh Supplemental Indenture (2.60% Senior Notes due 2019) dated December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7"/>
              </w:rPr>
              <w:t>Twenty-Eighth Supplemental Indenture (4.90% Senior Notes due 2045) dated December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4.19</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2"/>
              </w:rPr>
              <w:t>Twenty-Ninth Supplemental Indenture (4.65% Senior Notes due 2025) dated August 24, 2015, by and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Current Report on Form 8-K filed August 26, 2015).</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4.20</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6"/>
              </w:rPr>
              <w:t>Registration Rights Agreement dated September 3, 2009 by and between Plains All American Pipeline, L.P. and Vulcan Gas</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9"/>
              </w:rPr>
              <w:t>Storage LLC (incorporated by reference to Exhibit 4.1 to our Registration Statement on Form S-3, File No. 333-162477).</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4.21</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2"/>
              </w:rPr>
              <w:t>Registration Rights Agreement dated as of January 28, 2016 among Plains All American Pipeline, L.P. and the Purchasers named</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w w:val="93"/>
              </w:rPr>
              <w:t>Voting Agreement, dated as of July 11, 2016, by and among Plains All American Pipeline, L.P., Plains GP Holdings, L.P. and the</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5"/>
              </w:rPr>
              <w:t>shareholders named therein (incorporated by reference to Exhibit 10.1 to our Current Report on Form 8-K filed July 14, 2016).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40" w:type="dxa"/>
            <w:vAlign w:val="bottom"/>
          </w:tcPr>
          <w:p>
            <w:pPr>
              <w:ind w:left="3900"/>
              <w:spacing w:after="0"/>
              <w:rPr>
                <w:sz w:val="20"/>
                <w:szCs w:val="20"/>
                <w:color w:val="auto"/>
              </w:rPr>
            </w:pPr>
            <w:r>
              <w:rPr>
                <w:rFonts w:ascii="Arial" w:cs="Arial" w:eastAsia="Arial" w:hAnsi="Arial"/>
                <w:sz w:val="18"/>
                <w:szCs w:val="18"/>
                <w:color w:val="auto"/>
              </w:rPr>
              <w:t>58</w:t>
            </w: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740" w:type="dxa"/>
            <w:vAlign w:val="bottom"/>
            <w:tcBorders>
              <w:bottom w:val="single" w:sz="8" w:color="808080"/>
            </w:tcBorders>
          </w:tcPr>
          <w:p>
            <w:pPr>
              <w:spacing w:after="0"/>
              <w:rPr>
                <w:sz w:val="11"/>
                <w:szCs w:val="11"/>
                <w:color w:val="auto"/>
              </w:rPr>
            </w:pPr>
          </w:p>
        </w:tc>
      </w:tr>
      <w:tr>
        <w:trPr>
          <w:trHeight w:val="523"/>
        </w:trPr>
        <w:tc>
          <w:tcPr>
            <w:tcW w:w="1320" w:type="dxa"/>
            <w:vAlign w:val="bottom"/>
            <w:gridSpan w:val="3"/>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40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600"/>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36"/>
                <w:szCs w:val="36"/>
                <w:color w:val="auto"/>
                <w:vertAlign w:val="superscript"/>
              </w:rPr>
              <w:t>†</w:t>
            </w:r>
          </w:p>
        </w:tc>
        <w:tc>
          <w:tcPr>
            <w:tcW w:w="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32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36"/>
                <w:szCs w:val="36"/>
                <w:color w:val="auto"/>
                <w:vertAlign w:val="superscript"/>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2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36"/>
                <w:szCs w:val="36"/>
                <w:color w:val="auto"/>
                <w:vertAlign w:val="superscript"/>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36"/>
                <w:szCs w:val="36"/>
                <w:color w:val="auto"/>
                <w:vertAlign w:val="superscript"/>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36"/>
                <w:szCs w:val="36"/>
                <w:color w:val="auto"/>
                <w:vertAlign w:val="superscript"/>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71"/>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36"/>
                <w:szCs w:val="36"/>
                <w:color w:val="auto"/>
                <w:vertAlign w:val="superscript"/>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-2152650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-2152650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660" w:hanging="652"/>
        <w:spacing w:after="0"/>
        <w:tabs>
          <w:tab w:leader="none" w:pos="660" w:val="left"/>
        </w:tabs>
        <w:numPr>
          <w:ilvl w:val="0"/>
          <w:numId w:val="38"/>
        </w:numPr>
        <w:rPr>
          <w:rFonts w:ascii="Arial" w:cs="Arial" w:eastAsia="Arial" w:hAnsi="Arial"/>
          <w:sz w:val="36"/>
          <w:szCs w:val="36"/>
          <w:color w:val="auto"/>
          <w:vertAlign w:val="superscript"/>
        </w:rPr>
      </w:pPr>
      <w:r>
        <w:rPr>
          <w:rFonts w:ascii="Arial" w:cs="Arial" w:eastAsia="Arial" w:hAnsi="Arial"/>
          <w:sz w:val="18"/>
          <w:szCs w:val="18"/>
          <w:color w:val="auto"/>
        </w:rPr>
        <w:t>Filed herewith.</w:t>
      </w:r>
    </w:p>
    <w:p>
      <w:pPr>
        <w:ind w:left="640" w:hanging="632"/>
        <w:spacing w:after="0" w:line="180" w:lineRule="auto"/>
        <w:tabs>
          <w:tab w:leader="none" w:pos="640" w:val="left"/>
        </w:tabs>
        <w:numPr>
          <w:ilvl w:val="0"/>
          <w:numId w:val="39"/>
        </w:numPr>
        <w:rPr>
          <w:rFonts w:ascii="Arial" w:cs="Arial" w:eastAsia="Arial" w:hAnsi="Arial"/>
          <w:sz w:val="31"/>
          <w:szCs w:val="31"/>
          <w:color w:val="auto"/>
          <w:vertAlign w:val="superscript"/>
        </w:rPr>
      </w:pPr>
      <w:r>
        <w:rPr>
          <w:rFonts w:ascii="Arial" w:cs="Arial" w:eastAsia="Arial" w:hAnsi="Arial"/>
          <w:sz w:val="16"/>
          <w:szCs w:val="16"/>
          <w:color w:val="auto"/>
        </w:rPr>
        <w:t>Furnished herewith.</w:t>
      </w:r>
    </w:p>
    <w:p>
      <w:pPr>
        <w:spacing w:after="0" w:line="3" w:lineRule="exact"/>
        <w:rPr>
          <w:sz w:val="20"/>
          <w:szCs w:val="20"/>
          <w:color w:val="auto"/>
        </w:rPr>
      </w:pPr>
    </w:p>
    <w:p>
      <w:pPr>
        <w:ind w:left="660" w:right="60" w:hanging="652"/>
        <w:spacing w:after="0" w:line="24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8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noncontrolling interests and income from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investees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1,143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b w:val="1"/>
                <w:bCs w:val="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Charges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vMerge w:val="continue"/>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2.07x</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2.80x</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4.30x</w:t>
            </w:r>
          </w:p>
        </w:tc>
        <w:tc>
          <w:tcPr>
            <w:tcW w:w="2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4.41x</w:t>
            </w: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4.03x</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360" w:hanging="11"/>
        <w:spacing w:after="0" w:line="342" w:lineRule="auto"/>
        <w:rPr>
          <w:sz w:val="20"/>
          <w:szCs w:val="20"/>
          <w:color w:val="auto"/>
        </w:rPr>
      </w:pPr>
      <w:r>
        <w:rPr>
          <w:rFonts w:ascii="Arial" w:cs="Arial" w:eastAsia="Arial" w:hAnsi="Arial"/>
          <w:sz w:val="16"/>
          <w:szCs w:val="16"/>
          <w:color w:val="auto"/>
        </w:rPr>
        <w:t>Includes interest costs attributable to borrowings for hedged inventory purchases of $6 million for the six months ended June 30, 2016 and $6 million, $12 million, $30 million, $12 million and $20 million for the years ended December 31, 2015, 2014, 2013, 2012 and 2011,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emdash "/>
      <w:numFmt w:val="bullet"/>
      <w:start w:val="1"/>
    </w:lvl>
  </w:abstractNum>
  <w:abstractNum w:abstractNumId="5">
    <w:nsid w:val="2CA88611"/>
    <w:multiLevelType w:val="hybridMultilevel"/>
    <w:lvl w:ilvl="0">
      <w:lvlJc w:val="left"/>
      <w:lvlText w:val="\emdash "/>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4"/>
    </w:lvl>
  </w:abstractNum>
  <w:abstractNum w:abstractNumId="18">
    <w:nsid w:val="419AC241"/>
    <w:multiLevelType w:val="hybridMultilevel"/>
    <w:lvl w:ilvl="0">
      <w:lvlJc w:val="left"/>
      <w:lvlText w:val="(%1)"/>
      <w:numFmt w:val="decimal"/>
      <w:start w:val="10"/>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Roman"/>
      <w:start w:val="5"/>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4"/>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2020-01-20T23:32:20Z</dcterms:created>
  <dcterms:modified xsi:type="dcterms:W3CDTF">2020-01-20T23:32:20Z</dcterms:modified>
</cp:coreProperties>
</file>