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25,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2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DELAWARE</w:t>
            </w:r>
          </w:p>
        </w:tc>
        <w:tc>
          <w:tcPr>
            <w:tcW w:w="5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1-14569</w:t>
            </w:r>
          </w:p>
        </w:tc>
        <w:tc>
          <w:tcPr>
            <w:tcW w:w="182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76-0582150</w:t>
            </w:r>
          </w:p>
        </w:tc>
      </w:t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color w:val="auto"/>
                <w:w w:val="92"/>
              </w:rPr>
              <w:t>(State or other jurisdiction of</w:t>
            </w:r>
          </w:p>
        </w:tc>
        <w:tc>
          <w:tcPr>
            <w:tcW w:w="552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1820" w:type="dxa"/>
            <w:vAlign w:val="bottom"/>
          </w:tcPr>
          <w:p>
            <w:pPr>
              <w:jc w:val="center"/>
              <w:ind w:left="39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70"/>
              <w:spacing w:after="0"/>
              <w:rPr>
                <w:sz w:val="20"/>
                <w:szCs w:val="20"/>
                <w:color w:val="auto"/>
              </w:rPr>
            </w:pPr>
            <w:r>
              <w:rPr>
                <w:rFonts w:ascii="Arial" w:cs="Arial" w:eastAsia="Arial" w:hAnsi="Arial"/>
                <w:sz w:val="18"/>
                <w:szCs w:val="18"/>
                <w:color w:val="auto"/>
                <w:w w:val="94"/>
              </w:rPr>
              <w:t>incorporation)</w:t>
            </w:r>
          </w:p>
        </w:tc>
        <w:tc>
          <w:tcPr>
            <w:tcW w:w="5520" w:type="dxa"/>
            <w:vAlign w:val="bottom"/>
          </w:tcPr>
          <w:p>
            <w:pPr>
              <w:spacing w:after="0"/>
              <w:rPr>
                <w:sz w:val="20"/>
                <w:szCs w:val="20"/>
                <w:color w:val="auto"/>
              </w:rPr>
            </w:pPr>
          </w:p>
        </w:tc>
        <w:tc>
          <w:tcPr>
            <w:tcW w:w="1820" w:type="dxa"/>
            <w:vAlign w:val="bottom"/>
          </w:tcPr>
          <w:p>
            <w:pPr>
              <w:jc w:val="center"/>
              <w:ind w:left="39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2380" w:type="dxa"/>
            <w:vAlign w:val="bottom"/>
          </w:tcPr>
          <w:p>
            <w:pPr>
              <w:spacing w:after="0"/>
              <w:rPr>
                <w:sz w:val="24"/>
                <w:szCs w:val="24"/>
                <w:color w:val="auto"/>
              </w:rPr>
            </w:pP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333 Clay Street, Suite 1600, Houston, Texas 77002</w:t>
            </w:r>
          </w:p>
        </w:tc>
        <w:tc>
          <w:tcPr>
            <w:tcW w:w="182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52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 (Zip Code)</w:t>
            </w:r>
          </w:p>
        </w:tc>
        <w:tc>
          <w:tcPr>
            <w:tcW w:w="1820" w:type="dxa"/>
            <w:vAlign w:val="bottom"/>
          </w:tcPr>
          <w:p>
            <w:pPr>
              <w:spacing w:after="0"/>
              <w:rPr>
                <w:sz w:val="20"/>
                <w:szCs w:val="20"/>
                <w:color w:val="auto"/>
              </w:rPr>
            </w:pPr>
          </w:p>
        </w:tc>
      </w:tr>
      <w:tr>
        <w:trPr>
          <w:trHeight w:val="540"/>
        </w:trPr>
        <w:tc>
          <w:tcPr>
            <w:tcW w:w="2380" w:type="dxa"/>
            <w:vAlign w:val="bottom"/>
          </w:tcPr>
          <w:p>
            <w:pPr>
              <w:spacing w:after="0"/>
              <w:rPr>
                <w:sz w:val="24"/>
                <w:szCs w:val="24"/>
                <w:color w:val="auto"/>
              </w:rPr>
            </w:pPr>
          </w:p>
        </w:tc>
        <w:tc>
          <w:tcPr>
            <w:tcW w:w="5520" w:type="dxa"/>
            <w:vAlign w:val="bottom"/>
          </w:tcPr>
          <w:p>
            <w:pPr>
              <w:jc w:val="center"/>
              <w:ind w:right="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713-646-4100</w:t>
            </w:r>
          </w:p>
        </w:tc>
        <w:tc>
          <w:tcPr>
            <w:tcW w:w="1820" w:type="dxa"/>
            <w:vAlign w:val="bottom"/>
          </w:tcPr>
          <w:p>
            <w:pPr>
              <w:spacing w:after="0"/>
              <w:rPr>
                <w:sz w:val="24"/>
                <w:szCs w:val="24"/>
                <w:color w:val="auto"/>
              </w:rPr>
            </w:pPr>
          </w:p>
        </w:tc>
      </w:tr>
    </w:tbl>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Eighth Supplemental Indenture. </w:t>
      </w:r>
      <w:r>
        <w:rPr>
          <w:rFonts w:ascii="Arial" w:cs="Arial" w:eastAsia="Arial" w:hAnsi="Arial"/>
          <w:sz w:val="18"/>
          <w:szCs w:val="18"/>
          <w:color w:val="auto"/>
        </w:rPr>
        <w:t>On August 25, 2006, Plains All American Pipeline, L.P. (the “Partnership”), PAA Finance Corp. (“PAA Finance”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with the Partnership, the “Issuers”) and Plains Marketing International GP LLC, Plains Marketing International, L.P. and Plains LPG Marketing, L.P. (collectively, the “Additional Subsidiary Guarantors”) entered into an Eighth Supplemental Indenture, dated as of August 25, 2006, to the Original Indenture with Wachovia Bank, National Association, as Trustee, pursuant to which the Additional Subsidiary Guarantors agreed to unconditionally guarantee all of the Issuers’ obligations under their 7</w:t>
      </w:r>
      <w:r>
        <w:rPr>
          <w:rFonts w:ascii="Arial" w:cs="Arial" w:eastAsia="Arial" w:hAnsi="Arial"/>
          <w:sz w:val="10"/>
          <w:szCs w:val="10"/>
          <w:color w:val="auto"/>
        </w:rPr>
        <w:t>3</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Senior Notes due 2012, 5</w:t>
      </w:r>
      <w:r>
        <w:rPr>
          <w:rFonts w:ascii="Arial" w:cs="Arial" w:eastAsia="Arial" w:hAnsi="Arial"/>
          <w:sz w:val="10"/>
          <w:szCs w:val="10"/>
          <w:color w:val="auto"/>
        </w:rPr>
        <w:t>5</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Senior Notes due 2013, 4.750% Senior Notes due 2009, 5.875% Senior Notes due 2016, 5.25% Senior Notes due 2015 and 6.70% Senior Notes due 2036.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41" w:lineRule="exact"/>
        <w:rPr>
          <w:sz w:val="20"/>
          <w:szCs w:val="20"/>
          <w:color w:val="auto"/>
        </w:rPr>
      </w:pPr>
    </w:p>
    <w:p>
      <w:pPr>
        <w:ind w:left="1380" w:right="220" w:hanging="1363"/>
        <w:spacing w:after="0" w:line="264" w:lineRule="auto"/>
        <w:tabs>
          <w:tab w:leader="none" w:pos="1360" w:val="left"/>
        </w:tabs>
        <w:rPr>
          <w:sz w:val="20"/>
          <w:szCs w:val="20"/>
          <w:color w:val="auto"/>
        </w:rPr>
      </w:pPr>
      <w:r>
        <w:rPr>
          <w:rFonts w:ascii="Arial" w:cs="Arial" w:eastAsia="Arial" w:hAnsi="Arial"/>
          <w:sz w:val="18"/>
          <w:szCs w:val="18"/>
          <w:color w:val="auto"/>
        </w:rPr>
        <w:t>Exhibit 4.1</w:t>
      </w:r>
      <w:r>
        <w:rPr>
          <w:sz w:val="20"/>
          <w:szCs w:val="20"/>
          <w:color w:val="auto"/>
        </w:rPr>
        <w:tab/>
      </w:r>
      <w:r>
        <w:rPr>
          <w:rFonts w:ascii="Arial" w:cs="Arial" w:eastAsia="Arial" w:hAnsi="Arial"/>
          <w:sz w:val="18"/>
          <w:szCs w:val="18"/>
          <w:color w:val="auto"/>
        </w:rPr>
        <w:t>Eighth Supplemental Indenture, dated as of August 25, 2006, to Indenture, dated as of September 25, 2002, among Plains All American Pipeline, L.P., PAA Finance Corp., Plains Marketing International GP LLC, Plains Marketing International, L.P. and Plains LPG Marketing, L.P. and Wachovia Bank, National Association,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Plains AAP, L.P., its general partner</w:t>
      </w:r>
    </w:p>
    <w:p>
      <w:pPr>
        <w:spacing w:after="0" w:line="225" w:lineRule="exact"/>
        <w:rPr>
          <w:sz w:val="20"/>
          <w:szCs w:val="20"/>
          <w:color w:val="auto"/>
        </w:rPr>
      </w:pPr>
    </w:p>
    <w:p>
      <w:pPr>
        <w:ind w:left="6220"/>
        <w:spacing w:after="0"/>
        <w:tabs>
          <w:tab w:leader="none" w:pos="668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25" w:lineRule="exact"/>
        <w:rPr>
          <w:sz w:val="20"/>
          <w:szCs w:val="20"/>
          <w:color w:val="auto"/>
        </w:rPr>
      </w:pPr>
    </w:p>
    <w:p>
      <w:pPr>
        <w:ind w:left="670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700"/>
        <w:spacing w:after="0"/>
        <w:tabs>
          <w:tab w:leader="none" w:pos="7380" w:val="left"/>
        </w:tabs>
        <w:rPr>
          <w:sz w:val="20"/>
          <w:szCs w:val="20"/>
          <w:color w:val="auto"/>
        </w:rPr>
      </w:pPr>
      <w:r>
        <w:rPr>
          <w:rFonts w:ascii="Arial" w:cs="Arial" w:eastAsia="Arial" w:hAnsi="Arial"/>
          <w:sz w:val="18"/>
          <w:szCs w:val="18"/>
          <w:color w:val="auto"/>
        </w:rPr>
        <w:t>Name:</w:t>
        <w:tab/>
        <w:t>Tim Moore</w:t>
      </w:r>
    </w:p>
    <w:p>
      <w:pPr>
        <w:spacing w:after="0" w:line="23" w:lineRule="exact"/>
        <w:rPr>
          <w:sz w:val="20"/>
          <w:szCs w:val="20"/>
          <w:color w:val="auto"/>
        </w:rPr>
      </w:pPr>
    </w:p>
    <w:p>
      <w:pPr>
        <w:ind w:left="670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25,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958" w:right="11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41" w:lineRule="exact"/>
        <w:rPr>
          <w:sz w:val="20"/>
          <w:szCs w:val="20"/>
          <w:color w:val="auto"/>
        </w:rPr>
      </w:pPr>
    </w:p>
    <w:p>
      <w:pPr>
        <w:ind w:left="1100" w:hanging="1363"/>
        <w:spacing w:after="0" w:line="264" w:lineRule="auto"/>
        <w:tabs>
          <w:tab w:leader="none" w:pos="1080" w:val="left"/>
        </w:tabs>
        <w:rPr>
          <w:sz w:val="20"/>
          <w:szCs w:val="20"/>
          <w:color w:val="auto"/>
        </w:rPr>
      </w:pPr>
      <w:r>
        <w:rPr>
          <w:rFonts w:ascii="Arial" w:cs="Arial" w:eastAsia="Arial" w:hAnsi="Arial"/>
          <w:sz w:val="18"/>
          <w:szCs w:val="18"/>
          <w:color w:val="auto"/>
        </w:rPr>
        <w:t>Exhibit 4.1</w:t>
      </w:r>
      <w:r>
        <w:rPr>
          <w:sz w:val="20"/>
          <w:szCs w:val="20"/>
          <w:color w:val="auto"/>
        </w:rPr>
        <w:tab/>
      </w:r>
      <w:r>
        <w:rPr>
          <w:rFonts w:ascii="Arial" w:cs="Arial" w:eastAsia="Arial" w:hAnsi="Arial"/>
          <w:sz w:val="18"/>
          <w:szCs w:val="18"/>
          <w:color w:val="auto"/>
        </w:rPr>
        <w:t>Eighth Supplemental Indenture, dated as of August 25, 2006, to Indenture, dated as of September 25, 2002, among Plains All American Pipeline, L.P., PAA Finance Corp., Plains Marketing International GP LLC, Plains Marketing International, L.P. and Plains LPG Marketing, L.P. and Wachovia Bank, National Association, as trustee.</w:t>
      </w:r>
    </w:p>
    <w:p>
      <w:pPr>
        <w:sectPr>
          <w:pgSz w:w="11900" w:h="16838" w:orient="portrait"/>
          <w:cols w:equalWidth="0" w:num="1">
            <w:col w:w="10880"/>
          </w:cols>
          <w:pgMar w:left="520" w:top="962" w:right="4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SUPPLEMENTAL INDENTURE</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THIS EIGHTH SUPPLEMENTAL INDENTURE (this “Supplemental Indenture”), dated as of August 25, 2006, is among Plains All American Pipeline, L.P., a Delaware limited partnership (the “Partnership”), PAA Finance Corp., a Delaware corporation (“PAA Finance” and, together with the Partnership, the “Issuers”), Plains Marketing International GP LLC, a Delaware limited liability company (“PMI GP LLC”), Plains Marketing International, L.P., a Texas limited partnership (“PMI LP”) and Plains LPG Marketing, L.P., a Texas limited partnership (“LPG Marketing LP” and, together with PMI GP LLC and PMI LP, the “Subsidiary Guarantors”), direct or indirect subsidiaries of the Partnership, and Wachovia Bank, National Association, as trustee under the indenture referred to below (the “Trustee”).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17"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WHEREAS, the Issuers have heretofore executed and delivered to the Trustee an indenture (the “Original Indenture”), dated as of September 25, 2002, as supplemented by the First, Second, Third, Fourth, Fifth and Sixth Supplemental Indentures (the Original Indenture as so supplemented and as further supplemented by the Seventh Supplemental Indenture, dated as of May 12, 2006, being hereinafter called the “Indenture”), dated as of September 25, 2002, December 10, 2003, August 12, 2004, August 12, 2004, May 27, 2005 and May 12, 2006, respectively, among the Issuers, the Subsidiary Guarantors named therein and the Trustee, providing for the issuance of the Issuers’ 7</w:t>
      </w:r>
      <w:r>
        <w:rPr>
          <w:rFonts w:ascii="Arial" w:cs="Arial" w:eastAsia="Arial" w:hAnsi="Arial"/>
          <w:sz w:val="10"/>
          <w:szCs w:val="10"/>
          <w:color w:val="auto"/>
        </w:rPr>
        <w:t>3</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Senior Notes due 2012, 5</w:t>
      </w:r>
      <w:r>
        <w:rPr>
          <w:rFonts w:ascii="Arial" w:cs="Arial" w:eastAsia="Arial" w:hAnsi="Arial"/>
          <w:sz w:val="10"/>
          <w:szCs w:val="10"/>
          <w:color w:val="auto"/>
        </w:rPr>
        <w:t>5</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Senior Notes due 2013, 4</w:t>
      </w:r>
      <w:r>
        <w:rPr>
          <w:rFonts w:ascii="Arial" w:cs="Arial" w:eastAsia="Arial" w:hAnsi="Arial"/>
          <w:sz w:val="10"/>
          <w:szCs w:val="10"/>
          <w:color w:val="auto"/>
        </w:rPr>
        <w:t>3</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Senior Notes due 2009, 5</w:t>
      </w:r>
      <w:r>
        <w:rPr>
          <w:rFonts w:ascii="Arial" w:cs="Arial" w:eastAsia="Arial" w:hAnsi="Arial"/>
          <w:sz w:val="10"/>
          <w:szCs w:val="10"/>
          <w:color w:val="auto"/>
        </w:rPr>
        <w:t>7</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Senior Notes due 2016, 5</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Senior Notes due 2015 and 6</w:t>
      </w:r>
      <w:r>
        <w:rPr>
          <w:rFonts w:ascii="Arial" w:cs="Arial" w:eastAsia="Arial" w:hAnsi="Arial"/>
          <w:sz w:val="10"/>
          <w:szCs w:val="10"/>
          <w:color w:val="auto"/>
        </w:rPr>
        <w:t>7</w:t>
      </w:r>
      <w:r>
        <w:rPr>
          <w:rFonts w:ascii="Arial" w:cs="Arial" w:eastAsia="Arial" w:hAnsi="Arial"/>
          <w:sz w:val="18"/>
          <w:szCs w:val="18"/>
          <w:color w:val="auto"/>
        </w:rPr>
        <w:t>/</w:t>
      </w:r>
      <w:r>
        <w:rPr>
          <w:rFonts w:ascii="Arial" w:cs="Arial" w:eastAsia="Arial" w:hAnsi="Arial"/>
          <w:sz w:val="10"/>
          <w:szCs w:val="10"/>
          <w:color w:val="auto"/>
        </w:rPr>
        <w:t>10</w:t>
      </w:r>
      <w:r>
        <w:rPr>
          <w:rFonts w:ascii="Arial" w:cs="Arial" w:eastAsia="Arial" w:hAnsi="Arial"/>
          <w:sz w:val="18"/>
          <w:szCs w:val="18"/>
          <w:color w:val="auto"/>
        </w:rPr>
        <w:t>% Senior Notes due 2036, respectively (such Senior Notes being hereinafter referred to collectively as the “Notes”);</w:t>
      </w:r>
    </w:p>
    <w:p>
      <w:pPr>
        <w:spacing w:after="0" w:line="8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WHEREAS, Section 5.10 of the First Supplemental Indenture and Section 5.05 of the Second, Third, Fourth, Fifth and Sixth Supplemental Indentures provide that under certain circumstances the Partnership is required to cause the Subsidiary Guarantors to execute and deliver to the Trustee a supplemental indenture pursuant to which the Subsidiary Guarantors shall unconditionally guarantee all of the Issuers’ obligations under the Notes pursuant to a Guarantee on the terms and conditions set forth herein; and</w:t>
      </w:r>
    </w:p>
    <w:p>
      <w:pPr>
        <w:spacing w:after="0" w:line="79"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WHEREAS, pursuant to Section 9.01 of the Original Indenture, the Issuers and the Trustee are authorized to execute and deliver this Supplemental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Issuers, the Subsidiary Guarantors and the Trustee mutually covenant and agree for the equal and ratable benefit of the holders of the Notes as follows: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(a) Capitalized terms used herein without definition shall have the meanings assigned to them in the Indenture.</w:t>
      </w:r>
    </w:p>
    <w:p>
      <w:pPr>
        <w:spacing w:after="0" w:line="117" w:lineRule="exact"/>
        <w:rPr>
          <w:sz w:val="20"/>
          <w:szCs w:val="20"/>
          <w:color w:val="auto"/>
        </w:rPr>
      </w:pPr>
    </w:p>
    <w:p>
      <w:pPr>
        <w:ind w:right="220" w:firstLine="233"/>
        <w:spacing w:after="0" w:line="277"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all purposes of this Supplemental Indenture, except as otherwise herein expressly provided or unless the context otherwise requires: (i) the terms and expressions used herein shall have the same meanings as corresponding terms and expressions used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right="960"/>
        <w:spacing w:after="0" w:line="277" w:lineRule="auto"/>
        <w:rPr>
          <w:sz w:val="20"/>
          <w:szCs w:val="20"/>
          <w:color w:val="auto"/>
        </w:rPr>
      </w:pPr>
      <w:r>
        <w:rPr>
          <w:rFonts w:ascii="Arial" w:cs="Arial" w:eastAsia="Arial" w:hAnsi="Arial"/>
          <w:sz w:val="18"/>
          <w:szCs w:val="18"/>
          <w:color w:val="auto"/>
        </w:rPr>
        <w:t>Indenture; and (ii) the words “herein,” “hereof” and “hereby” and other words of similar import used in this Supplemental Indenture refer to this Supplemental Indenture as a whole and not to any particular section hereof.</w:t>
      </w:r>
    </w:p>
    <w:p>
      <w:pPr>
        <w:spacing w:after="0" w:line="62" w:lineRule="exact"/>
        <w:rPr>
          <w:sz w:val="20"/>
          <w:szCs w:val="20"/>
          <w:color w:val="auto"/>
        </w:rPr>
      </w:pPr>
    </w:p>
    <w:p>
      <w:pPr>
        <w:ind w:firstLine="233"/>
        <w:spacing w:after="0" w:line="255"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The Subsidiary Guarantors hereby agree, jointly and severally with all other Subsidiary Guarantors under the Indenture, to guarantee the Issuers’ obligations under the Notes on the terms and subject to the conditions set forth in Article IX of the First, Second, Third, Fourth, Fifth and Sixth Supplemental Indentures, as applicable,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81" w:lineRule="exact"/>
        <w:rPr>
          <w:rFonts w:ascii="Arial" w:cs="Arial" w:eastAsia="Arial" w:hAnsi="Arial"/>
          <w:sz w:val="18"/>
          <w:szCs w:val="18"/>
          <w:color w:val="auto"/>
        </w:rPr>
      </w:pPr>
    </w:p>
    <w:p>
      <w:pPr>
        <w:ind w:right="220" w:firstLine="233"/>
        <w:spacing w:after="0" w:line="282" w:lineRule="auto"/>
        <w:tabs>
          <w:tab w:leader="none" w:pos="40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SUPPLEMENTAL INDENTURE SHALL BE DEEMED TO BE A NEW YORK CONTRACT, AND FOR ALL PURPOSES SHALL BE CONSTRUED IN ACCORDANCE WITH, THE LAWS OF THE STATE OF NEW YORK.</w:t>
      </w:r>
    </w:p>
    <w:p>
      <w:pPr>
        <w:spacing w:after="0" w:line="57" w:lineRule="exact"/>
        <w:rPr>
          <w:rFonts w:ascii="Arial" w:cs="Arial" w:eastAsia="Arial" w:hAnsi="Arial"/>
          <w:sz w:val="18"/>
          <w:szCs w:val="18"/>
          <w:b w:val="1"/>
          <w:bCs w:val="1"/>
          <w:color w:val="auto"/>
        </w:rPr>
      </w:pPr>
    </w:p>
    <w:p>
      <w:pPr>
        <w:ind w:left="420" w:hanging="187"/>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Trustee Makes No Representation</w:t>
      </w:r>
      <w:r>
        <w:rPr>
          <w:rFonts w:ascii="Arial" w:cs="Arial" w:eastAsia="Arial" w:hAnsi="Arial"/>
          <w:sz w:val="18"/>
          <w:szCs w:val="18"/>
          <w:color w:val="auto"/>
        </w:rPr>
        <w:t>. The Trustee makes no representation as to the validity or sufficiency of this Supplemental Indenture.</w:t>
      </w:r>
    </w:p>
    <w:p>
      <w:pPr>
        <w:spacing w:after="0" w:line="117" w:lineRule="exact"/>
        <w:rPr>
          <w:rFonts w:ascii="Arial" w:cs="Arial" w:eastAsia="Arial" w:hAnsi="Arial"/>
          <w:sz w:val="18"/>
          <w:szCs w:val="18"/>
          <w:color w:val="auto"/>
        </w:rPr>
      </w:pPr>
    </w:p>
    <w:p>
      <w:pPr>
        <w:ind w:firstLine="233"/>
        <w:spacing w:after="0" w:line="277"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effect the construction thereof.</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 written.</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660"/>
        <w:spacing w:after="0"/>
        <w:tabs>
          <w:tab w:leader="none" w:pos="6120" w:val="left"/>
        </w:tabs>
        <w:rPr>
          <w:sz w:val="20"/>
          <w:szCs w:val="20"/>
          <w:color w:val="auto"/>
        </w:rPr>
      </w:pPr>
      <w:r>
        <w:rPr>
          <w:rFonts w:ascii="Arial" w:cs="Arial" w:eastAsia="Arial" w:hAnsi="Arial"/>
          <w:sz w:val="18"/>
          <w:szCs w:val="18"/>
          <w:color w:val="auto"/>
        </w:rPr>
        <w:t>By:</w:t>
        <w:tab/>
        <w:t>Plains AAP, L.P., its General Partner</w:t>
      </w:r>
    </w:p>
    <w:p>
      <w:pPr>
        <w:spacing w:after="0" w:line="225" w:lineRule="exact"/>
        <w:rPr>
          <w:sz w:val="20"/>
          <w:szCs w:val="20"/>
          <w:color w:val="auto"/>
        </w:rPr>
      </w:pPr>
    </w:p>
    <w:p>
      <w:pPr>
        <w:ind w:left="5660"/>
        <w:spacing w:after="0"/>
        <w:tabs>
          <w:tab w:leader="none" w:pos="612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25" w:lineRule="exact"/>
        <w:rPr>
          <w:sz w:val="20"/>
          <w:szCs w:val="20"/>
          <w:color w:val="auto"/>
        </w:rPr>
      </w:pPr>
    </w:p>
    <w:p>
      <w:pPr>
        <w:ind w:left="6140"/>
        <w:spacing w:after="0"/>
        <w:tabs>
          <w:tab w:leader="none" w:pos="6600" w:val="left"/>
        </w:tabs>
        <w:rPr>
          <w:sz w:val="20"/>
          <w:szCs w:val="20"/>
          <w:color w:val="auto"/>
        </w:rPr>
      </w:pPr>
      <w:r>
        <w:rPr>
          <w:rFonts w:ascii="Arial" w:cs="Arial" w:eastAsia="Arial" w:hAnsi="Arial"/>
          <w:sz w:val="18"/>
          <w:szCs w:val="18"/>
          <w:color w:val="auto"/>
        </w:rPr>
        <w:t>By:</w:t>
        <w:tab/>
        <w:t>/s/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14605</wp:posOffset>
            </wp:positionV>
            <wp:extent cx="2889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Phil Kramer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Executive Vice President and Chief Financial Officer</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ind w:left="5660"/>
        <w:spacing w:after="0"/>
        <w:tabs>
          <w:tab w:leader="none" w:pos="6120" w:val="left"/>
        </w:tabs>
        <w:rPr>
          <w:sz w:val="20"/>
          <w:szCs w:val="20"/>
          <w:color w:val="auto"/>
        </w:rPr>
      </w:pPr>
      <w:r>
        <w:rPr>
          <w:rFonts w:ascii="Arial" w:cs="Arial" w:eastAsia="Arial" w:hAnsi="Arial"/>
          <w:sz w:val="18"/>
          <w:szCs w:val="18"/>
          <w:color w:val="auto"/>
        </w:rPr>
        <w:t>By:</w:t>
        <w:tab/>
        <w:t>/s/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14605</wp:posOffset>
            </wp:positionV>
            <wp:extent cx="31984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Phil Kramer</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and Chief Financial Officer</w:t>
      </w: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Signature Page to Supplemental Indenture</w:t>
      </w:r>
    </w:p>
    <w:p>
      <w:pPr>
        <w:spacing w:after="0" w:line="19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480" w:top="935" w:right="959" w:bottom="1440" w:gutter="0" w:footer="0" w:header="0"/>
        </w:sectPr>
      </w:pPr>
    </w:p>
    <w:bookmarkStart w:id="8" w:name="page9"/>
    <w:bookmarkEnd w:id="8"/>
    <w:p>
      <w:pPr>
        <w:ind w:left="4700"/>
        <w:spacing w:after="0"/>
        <w:rPr>
          <w:sz w:val="20"/>
          <w:szCs w:val="20"/>
          <w:color w:val="auto"/>
        </w:rPr>
      </w:pPr>
      <w:r>
        <w:rPr>
          <w:rFonts w:ascii="Arial" w:cs="Arial" w:eastAsia="Arial" w:hAnsi="Arial"/>
          <w:sz w:val="18"/>
          <w:szCs w:val="18"/>
          <w:color w:val="auto"/>
        </w:rPr>
        <w:t>PLAINS MARKETING INTERNATIONAL GP LLC</w:t>
      </w:r>
    </w:p>
    <w:p>
      <w:pPr>
        <w:spacing w:after="0" w:line="225" w:lineRule="exact"/>
        <w:rPr>
          <w:sz w:val="20"/>
          <w:szCs w:val="20"/>
          <w:color w:val="auto"/>
        </w:rPr>
      </w:pPr>
    </w:p>
    <w:p>
      <w:pPr>
        <w:ind w:left="4700"/>
        <w:spacing w:after="0"/>
        <w:tabs>
          <w:tab w:leader="none" w:pos="5160" w:val="left"/>
        </w:tabs>
        <w:rPr>
          <w:sz w:val="20"/>
          <w:szCs w:val="20"/>
          <w:color w:val="auto"/>
        </w:rPr>
      </w:pPr>
      <w:r>
        <w:rPr>
          <w:rFonts w:ascii="Arial" w:cs="Arial" w:eastAsia="Arial" w:hAnsi="Arial"/>
          <w:sz w:val="18"/>
          <w:szCs w:val="18"/>
          <w:color w:val="auto"/>
        </w:rPr>
        <w:t>By:</w:t>
        <w:tab/>
        <w:t>Plains Marketing, L.P., its Sole Member</w:t>
      </w:r>
    </w:p>
    <w:p>
      <w:pPr>
        <w:spacing w:after="0" w:line="225" w:lineRule="exact"/>
        <w:rPr>
          <w:sz w:val="20"/>
          <w:szCs w:val="20"/>
          <w:color w:val="auto"/>
        </w:rPr>
      </w:pPr>
    </w:p>
    <w:p>
      <w:pPr>
        <w:ind w:left="4700"/>
        <w:spacing w:after="0"/>
        <w:tabs>
          <w:tab w:leader="none" w:pos="5160" w:val="left"/>
        </w:tabs>
        <w:rPr>
          <w:sz w:val="20"/>
          <w:szCs w:val="20"/>
          <w:color w:val="auto"/>
        </w:rPr>
      </w:pPr>
      <w:r>
        <w:rPr>
          <w:rFonts w:ascii="Arial" w:cs="Arial" w:eastAsia="Arial" w:hAnsi="Arial"/>
          <w:sz w:val="18"/>
          <w:szCs w:val="18"/>
          <w:color w:val="auto"/>
        </w:rPr>
        <w:t>By:</w:t>
        <w:tab/>
        <w:t>Plains Marketing GP Inc., its General Partner</w:t>
      </w:r>
    </w:p>
    <w:p>
      <w:pPr>
        <w:spacing w:after="0" w:line="225" w:lineRule="exact"/>
        <w:rPr>
          <w:sz w:val="20"/>
          <w:szCs w:val="20"/>
          <w:color w:val="auto"/>
        </w:rPr>
      </w:pPr>
    </w:p>
    <w:p>
      <w:pPr>
        <w:ind w:left="5180"/>
        <w:spacing w:after="0"/>
        <w:tabs>
          <w:tab w:leader="none" w:pos="5640" w:val="left"/>
        </w:tabs>
        <w:rPr>
          <w:sz w:val="20"/>
          <w:szCs w:val="20"/>
          <w:color w:val="auto"/>
        </w:rPr>
      </w:pPr>
      <w:r>
        <w:rPr>
          <w:rFonts w:ascii="Arial" w:cs="Arial" w:eastAsia="Arial" w:hAnsi="Arial"/>
          <w:sz w:val="18"/>
          <w:szCs w:val="18"/>
          <w:color w:val="auto"/>
        </w:rPr>
        <w:t>By:</w:t>
        <w:tab/>
        <w:t>/s/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14605</wp:posOffset>
            </wp:positionV>
            <wp:extent cx="2889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Phil Kramer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Executive Vice President and Chief Financial Officer</w:t>
      </w:r>
    </w:p>
    <w:p>
      <w:pPr>
        <w:spacing w:after="0" w:line="23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PLAINS MARKETING INTERNATIONAL, L.P.</w:t>
      </w:r>
    </w:p>
    <w:p>
      <w:pPr>
        <w:spacing w:after="0" w:line="225" w:lineRule="exact"/>
        <w:rPr>
          <w:sz w:val="20"/>
          <w:szCs w:val="20"/>
          <w:color w:val="auto"/>
        </w:rPr>
      </w:pPr>
    </w:p>
    <w:p>
      <w:pPr>
        <w:ind w:left="4700"/>
        <w:spacing w:after="0"/>
        <w:tabs>
          <w:tab w:leader="none" w:pos="5160" w:val="left"/>
        </w:tabs>
        <w:rPr>
          <w:sz w:val="20"/>
          <w:szCs w:val="20"/>
          <w:color w:val="auto"/>
        </w:rPr>
      </w:pPr>
      <w:r>
        <w:rPr>
          <w:rFonts w:ascii="Arial" w:cs="Arial" w:eastAsia="Arial" w:hAnsi="Arial"/>
          <w:sz w:val="16"/>
          <w:szCs w:val="16"/>
          <w:color w:val="auto"/>
        </w:rPr>
        <w:t>By:</w:t>
        <w:tab/>
        <w:t>Plains Marketing International GP LLC, its General Partner</w:t>
      </w:r>
    </w:p>
    <w:p>
      <w:pPr>
        <w:spacing w:after="0" w:line="248" w:lineRule="exact"/>
        <w:rPr>
          <w:sz w:val="20"/>
          <w:szCs w:val="20"/>
          <w:color w:val="auto"/>
        </w:rPr>
      </w:pPr>
    </w:p>
    <w:p>
      <w:pPr>
        <w:ind w:left="4700"/>
        <w:spacing w:after="0"/>
        <w:tabs>
          <w:tab w:leader="none" w:pos="5160" w:val="left"/>
        </w:tabs>
        <w:rPr>
          <w:sz w:val="20"/>
          <w:szCs w:val="20"/>
          <w:color w:val="auto"/>
        </w:rPr>
      </w:pPr>
      <w:r>
        <w:rPr>
          <w:rFonts w:ascii="Arial" w:cs="Arial" w:eastAsia="Arial" w:hAnsi="Arial"/>
          <w:sz w:val="18"/>
          <w:szCs w:val="18"/>
          <w:color w:val="auto"/>
        </w:rPr>
        <w:t>By:</w:t>
        <w:tab/>
        <w:t>Plains Marketing, L.P., its Sole Member</w:t>
      </w:r>
    </w:p>
    <w:p>
      <w:pPr>
        <w:spacing w:after="0" w:line="225" w:lineRule="exact"/>
        <w:rPr>
          <w:sz w:val="20"/>
          <w:szCs w:val="20"/>
          <w:color w:val="auto"/>
        </w:rPr>
      </w:pPr>
    </w:p>
    <w:p>
      <w:pPr>
        <w:ind w:left="4700"/>
        <w:spacing w:after="0"/>
        <w:tabs>
          <w:tab w:leader="none" w:pos="5160" w:val="left"/>
        </w:tabs>
        <w:rPr>
          <w:sz w:val="20"/>
          <w:szCs w:val="20"/>
          <w:color w:val="auto"/>
        </w:rPr>
      </w:pPr>
      <w:r>
        <w:rPr>
          <w:rFonts w:ascii="Arial" w:cs="Arial" w:eastAsia="Arial" w:hAnsi="Arial"/>
          <w:sz w:val="18"/>
          <w:szCs w:val="18"/>
          <w:color w:val="auto"/>
        </w:rPr>
        <w:t>By:</w:t>
        <w:tab/>
        <w:t>Plains Marketing GP Inc., its General Partner</w:t>
      </w:r>
    </w:p>
    <w:p>
      <w:pPr>
        <w:spacing w:after="0" w:line="225" w:lineRule="exact"/>
        <w:rPr>
          <w:sz w:val="20"/>
          <w:szCs w:val="20"/>
          <w:color w:val="auto"/>
        </w:rPr>
      </w:pPr>
    </w:p>
    <w:p>
      <w:pPr>
        <w:ind w:left="5180"/>
        <w:spacing w:after="0"/>
        <w:tabs>
          <w:tab w:leader="none" w:pos="5640" w:val="left"/>
        </w:tabs>
        <w:rPr>
          <w:sz w:val="20"/>
          <w:szCs w:val="20"/>
          <w:color w:val="auto"/>
        </w:rPr>
      </w:pPr>
      <w:r>
        <w:rPr>
          <w:rFonts w:ascii="Arial" w:cs="Arial" w:eastAsia="Arial" w:hAnsi="Arial"/>
          <w:sz w:val="18"/>
          <w:szCs w:val="18"/>
          <w:color w:val="auto"/>
        </w:rPr>
        <w:t>By:</w:t>
        <w:tab/>
        <w:t>/s/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14605</wp:posOffset>
            </wp:positionV>
            <wp:extent cx="2889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Phil Kramer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Executive Vice President and Chief Financial Officer</w:t>
      </w:r>
    </w:p>
    <w:p>
      <w:pPr>
        <w:spacing w:after="0" w:line="23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PLAINS LPG MARKETING, L.P.</w:t>
      </w:r>
    </w:p>
    <w:p>
      <w:pPr>
        <w:spacing w:after="0" w:line="225" w:lineRule="exact"/>
        <w:rPr>
          <w:sz w:val="20"/>
          <w:szCs w:val="20"/>
          <w:color w:val="auto"/>
        </w:rPr>
      </w:pPr>
    </w:p>
    <w:p>
      <w:pPr>
        <w:ind w:left="4700"/>
        <w:spacing w:after="0"/>
        <w:tabs>
          <w:tab w:leader="none" w:pos="5160" w:val="left"/>
        </w:tabs>
        <w:rPr>
          <w:sz w:val="20"/>
          <w:szCs w:val="20"/>
          <w:color w:val="auto"/>
        </w:rPr>
      </w:pPr>
      <w:r>
        <w:rPr>
          <w:rFonts w:ascii="Arial" w:cs="Arial" w:eastAsia="Arial" w:hAnsi="Arial"/>
          <w:sz w:val="18"/>
          <w:szCs w:val="18"/>
          <w:color w:val="auto"/>
        </w:rPr>
        <w:t>By:</w:t>
        <w:tab/>
        <w:t>Plains LPG Services GP LLC, its General Partner</w:t>
      </w:r>
    </w:p>
    <w:p>
      <w:pPr>
        <w:spacing w:after="0" w:line="225" w:lineRule="exact"/>
        <w:rPr>
          <w:sz w:val="20"/>
          <w:szCs w:val="20"/>
          <w:color w:val="auto"/>
        </w:rPr>
      </w:pPr>
    </w:p>
    <w:p>
      <w:pPr>
        <w:ind w:left="4700"/>
        <w:spacing w:after="0"/>
        <w:tabs>
          <w:tab w:leader="none" w:pos="5160" w:val="left"/>
        </w:tabs>
        <w:rPr>
          <w:sz w:val="20"/>
          <w:szCs w:val="20"/>
          <w:color w:val="auto"/>
        </w:rPr>
      </w:pPr>
      <w:r>
        <w:rPr>
          <w:rFonts w:ascii="Arial" w:cs="Arial" w:eastAsia="Arial" w:hAnsi="Arial"/>
          <w:sz w:val="18"/>
          <w:szCs w:val="18"/>
          <w:color w:val="auto"/>
        </w:rPr>
        <w:t>By:</w:t>
        <w:tab/>
        <w:t>Plains Marketing, L.P., its Sole Member</w:t>
      </w:r>
    </w:p>
    <w:p>
      <w:pPr>
        <w:spacing w:after="0" w:line="225" w:lineRule="exact"/>
        <w:rPr>
          <w:sz w:val="20"/>
          <w:szCs w:val="20"/>
          <w:color w:val="auto"/>
        </w:rPr>
      </w:pPr>
    </w:p>
    <w:p>
      <w:pPr>
        <w:ind w:left="4700"/>
        <w:spacing w:after="0"/>
        <w:tabs>
          <w:tab w:leader="none" w:pos="5160" w:val="left"/>
        </w:tabs>
        <w:rPr>
          <w:sz w:val="20"/>
          <w:szCs w:val="20"/>
          <w:color w:val="auto"/>
        </w:rPr>
      </w:pPr>
      <w:r>
        <w:rPr>
          <w:rFonts w:ascii="Arial" w:cs="Arial" w:eastAsia="Arial" w:hAnsi="Arial"/>
          <w:sz w:val="18"/>
          <w:szCs w:val="18"/>
          <w:color w:val="auto"/>
        </w:rPr>
        <w:t>By:</w:t>
        <w:tab/>
        <w:t>Plains Marketing GP Inc., its General Partner</w:t>
      </w:r>
    </w:p>
    <w:p>
      <w:pPr>
        <w:spacing w:after="0" w:line="225" w:lineRule="exact"/>
        <w:rPr>
          <w:sz w:val="20"/>
          <w:szCs w:val="20"/>
          <w:color w:val="auto"/>
        </w:rPr>
      </w:pPr>
    </w:p>
    <w:p>
      <w:pPr>
        <w:ind w:left="5180"/>
        <w:spacing w:after="0"/>
        <w:tabs>
          <w:tab w:leader="none" w:pos="5640" w:val="left"/>
        </w:tabs>
        <w:rPr>
          <w:sz w:val="20"/>
          <w:szCs w:val="20"/>
          <w:color w:val="auto"/>
        </w:rPr>
      </w:pPr>
      <w:r>
        <w:rPr>
          <w:rFonts w:ascii="Arial" w:cs="Arial" w:eastAsia="Arial" w:hAnsi="Arial"/>
          <w:sz w:val="18"/>
          <w:szCs w:val="18"/>
          <w:color w:val="auto"/>
        </w:rPr>
        <w:t>By:</w:t>
        <w:tab/>
        <w:t>/s/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14605</wp:posOffset>
            </wp:positionV>
            <wp:extent cx="2889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Phil Kramer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 and Chief Financial Officer</w:t>
      </w:r>
    </w:p>
    <w:p>
      <w:pPr>
        <w:spacing w:after="0" w:line="319"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Signature Page to Supplemental Indenture</w:t>
      </w:r>
    </w:p>
    <w:p>
      <w:pPr>
        <w:spacing w:after="0" w:line="2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00"/>
          </w:cols>
          <w:pgMar w:left="1440" w:top="1152" w:right="959" w:bottom="1440" w:gutter="0" w:footer="0" w:header="0"/>
        </w:sectPr>
      </w:pPr>
    </w:p>
    <w:bookmarkStart w:id="9" w:name="page10"/>
    <w:bookmarkEnd w:id="9"/>
    <w:p>
      <w:pPr>
        <w:ind w:left="3920"/>
        <w:spacing w:after="0"/>
        <w:rPr>
          <w:sz w:val="20"/>
          <w:szCs w:val="20"/>
          <w:color w:val="auto"/>
        </w:rPr>
      </w:pPr>
      <w:r>
        <w:rPr>
          <w:rFonts w:ascii="Arial" w:cs="Arial" w:eastAsia="Arial" w:hAnsi="Arial"/>
          <w:sz w:val="17"/>
          <w:szCs w:val="17"/>
          <w:color w:val="auto"/>
        </w:rPr>
        <w:t>WACHOVIA BANK, NATIONAL</w:t>
      </w:r>
    </w:p>
    <w:p>
      <w:pPr>
        <w:spacing w:after="0" w:line="23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ASSOCIATION, as Trustee</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Ronda L. Parman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Ronda L. Parman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sectPr>
      <w:pgSz w:w="11900" w:h="16838" w:orient="portrait"/>
      <w:cols w:equalWidth="0" w:num="1">
        <w:col w:w="9019"/>
      </w:cols>
      <w:pgMar w:left="1440" w:top="1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2020-02-12T08:46:36Z</dcterms:created>
  <dcterms:modified xsi:type="dcterms:W3CDTF">2020-02-12T08:46:36Z</dcterms:modified>
</cp:coreProperties>
</file>