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21, 2013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2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Delaware</w:t>
            </w:r>
          </w:p>
        </w:tc>
        <w:tc>
          <w:tcPr>
            <w:tcW w:w="48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001-36132</w:t>
            </w:r>
          </w:p>
        </w:tc>
        <w:tc>
          <w:tcPr>
            <w:tcW w:w="198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90-1005472</w:t>
            </w:r>
          </w:p>
        </w:tc>
      </w:tr>
      <w:tr>
        <w:trPr>
          <w:trHeight w:val="216"/>
        </w:trPr>
        <w:tc>
          <w:tcPr>
            <w:tcW w:w="2760" w:type="dxa"/>
            <w:vAlign w:val="bottom"/>
          </w:tcPr>
          <w:p>
            <w:pPr>
              <w:jc w:val="center"/>
              <w:ind w:right="310"/>
              <w:spacing w:after="0"/>
              <w:rPr>
                <w:sz w:val="20"/>
                <w:szCs w:val="20"/>
                <w:color w:val="auto"/>
              </w:rPr>
            </w:pPr>
            <w:r>
              <w:rPr>
                <w:rFonts w:ascii="Arial" w:cs="Arial" w:eastAsia="Arial" w:hAnsi="Arial"/>
                <w:sz w:val="18"/>
                <w:szCs w:val="18"/>
                <w:color w:val="auto"/>
                <w:w w:val="91"/>
              </w:rPr>
              <w:t>(State or other jurisdiction</w:t>
            </w:r>
          </w:p>
        </w:tc>
        <w:tc>
          <w:tcPr>
            <w:tcW w:w="4860" w:type="dxa"/>
            <w:vAlign w:val="bottom"/>
          </w:tcPr>
          <w:p>
            <w:pPr>
              <w:jc w:val="center"/>
              <w:ind w:right="150"/>
              <w:spacing w:after="0"/>
              <w:rPr>
                <w:sz w:val="20"/>
                <w:szCs w:val="20"/>
                <w:color w:val="auto"/>
              </w:rPr>
            </w:pPr>
            <w:r>
              <w:rPr>
                <w:rFonts w:ascii="Arial" w:cs="Arial" w:eastAsia="Arial" w:hAnsi="Arial"/>
                <w:sz w:val="18"/>
                <w:szCs w:val="18"/>
                <w:color w:val="auto"/>
                <w:w w:val="93"/>
              </w:rPr>
              <w:t>(Commission</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3"/>
              </w:rPr>
              <w:t>(IRS Employer</w:t>
            </w:r>
          </w:p>
        </w:tc>
      </w:tr>
      <w:tr>
        <w:trPr>
          <w:trHeight w:val="230"/>
        </w:trPr>
        <w:tc>
          <w:tcPr>
            <w:tcW w:w="2760" w:type="dxa"/>
            <w:vAlign w:val="bottom"/>
          </w:tcPr>
          <w:p>
            <w:pPr>
              <w:jc w:val="center"/>
              <w:ind w:right="310"/>
              <w:spacing w:after="0"/>
              <w:rPr>
                <w:sz w:val="20"/>
                <w:szCs w:val="20"/>
                <w:color w:val="auto"/>
              </w:rPr>
            </w:pPr>
            <w:r>
              <w:rPr>
                <w:rFonts w:ascii="Arial" w:cs="Arial" w:eastAsia="Arial" w:hAnsi="Arial"/>
                <w:sz w:val="18"/>
                <w:szCs w:val="18"/>
                <w:color w:val="auto"/>
                <w:w w:val="92"/>
              </w:rPr>
              <w:t>of incorporation or organization)</w:t>
            </w:r>
          </w:p>
        </w:tc>
        <w:tc>
          <w:tcPr>
            <w:tcW w:w="486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760" w:type="dxa"/>
            <w:vAlign w:val="bottom"/>
          </w:tcPr>
          <w:p>
            <w:pPr>
              <w:spacing w:after="0"/>
              <w:rPr>
                <w:sz w:val="24"/>
                <w:szCs w:val="24"/>
                <w:color w:val="auto"/>
              </w:rPr>
            </w:pPr>
          </w:p>
        </w:tc>
        <w:tc>
          <w:tcPr>
            <w:tcW w:w="48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333 Clay Street, Suite 1600</w:t>
            </w:r>
          </w:p>
        </w:tc>
        <w:tc>
          <w:tcPr>
            <w:tcW w:w="1980" w:type="dxa"/>
            <w:vAlign w:val="bottom"/>
          </w:tcPr>
          <w:p>
            <w:pPr>
              <w:spacing w:after="0"/>
              <w:rPr>
                <w:sz w:val="24"/>
                <w:szCs w:val="24"/>
                <w:color w:val="auto"/>
              </w:rPr>
            </w:pPr>
          </w:p>
        </w:tc>
      </w:tr>
      <w:tr>
        <w:trPr>
          <w:trHeight w:val="220"/>
        </w:trPr>
        <w:tc>
          <w:tcPr>
            <w:tcW w:w="2760" w:type="dxa"/>
            <w:vAlign w:val="bottom"/>
          </w:tcPr>
          <w:p>
            <w:pPr>
              <w:spacing w:after="0"/>
              <w:rPr>
                <w:sz w:val="19"/>
                <w:szCs w:val="19"/>
                <w:color w:val="auto"/>
              </w:rPr>
            </w:pPr>
          </w:p>
        </w:tc>
        <w:tc>
          <w:tcPr>
            <w:tcW w:w="4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Houston, TX 77002</w:t>
            </w:r>
          </w:p>
        </w:tc>
        <w:tc>
          <w:tcPr>
            <w:tcW w:w="1980" w:type="dxa"/>
            <w:vAlign w:val="bottom"/>
          </w:tcPr>
          <w:p>
            <w:pPr>
              <w:spacing w:after="0"/>
              <w:rPr>
                <w:sz w:val="19"/>
                <w:szCs w:val="19"/>
                <w:color w:val="auto"/>
              </w:rPr>
            </w:pPr>
          </w:p>
        </w:tc>
      </w:tr>
      <w:tr>
        <w:trPr>
          <w:trHeight w:val="230"/>
        </w:trPr>
        <w:tc>
          <w:tcPr>
            <w:tcW w:w="2760" w:type="dxa"/>
            <w:vAlign w:val="bottom"/>
          </w:tcPr>
          <w:p>
            <w:pPr>
              <w:spacing w:after="0"/>
              <w:rPr>
                <w:sz w:val="20"/>
                <w:szCs w:val="20"/>
                <w:color w:val="auto"/>
              </w:rPr>
            </w:pPr>
          </w:p>
        </w:tc>
        <w:tc>
          <w:tcPr>
            <w:tcW w:w="4860" w:type="dxa"/>
            <w:vAlign w:val="bottom"/>
          </w:tcPr>
          <w:p>
            <w:pPr>
              <w:jc w:val="center"/>
              <w:ind w:right="190"/>
              <w:spacing w:after="0"/>
              <w:rPr>
                <w:sz w:val="20"/>
                <w:szCs w:val="20"/>
                <w:color w:val="auto"/>
              </w:rPr>
            </w:pPr>
            <w:r>
              <w:rPr>
                <w:rFonts w:ascii="Arial" w:cs="Arial" w:eastAsia="Arial" w:hAnsi="Arial"/>
                <w:sz w:val="18"/>
                <w:szCs w:val="18"/>
                <w:color w:val="auto"/>
                <w:w w:val="93"/>
              </w:rPr>
              <w:t>(Address of principal executive office) (Zip Code)</w:t>
            </w:r>
          </w:p>
        </w:tc>
        <w:tc>
          <w:tcPr>
            <w:tcW w:w="1980" w:type="dxa"/>
            <w:vAlign w:val="bottom"/>
          </w:tcPr>
          <w:p>
            <w:pPr>
              <w:spacing w:after="0"/>
              <w:rPr>
                <w:sz w:val="20"/>
                <w:szCs w:val="20"/>
                <w:color w:val="auto"/>
              </w:rPr>
            </w:pPr>
          </w:p>
        </w:tc>
      </w:tr>
      <w:tr>
        <w:trPr>
          <w:trHeight w:val="418"/>
        </w:trPr>
        <w:tc>
          <w:tcPr>
            <w:tcW w:w="2760" w:type="dxa"/>
            <w:vAlign w:val="bottom"/>
          </w:tcPr>
          <w:p>
            <w:pPr>
              <w:spacing w:after="0"/>
              <w:rPr>
                <w:sz w:val="24"/>
                <w:szCs w:val="24"/>
                <w:color w:val="auto"/>
              </w:rPr>
            </w:pPr>
          </w:p>
        </w:tc>
        <w:tc>
          <w:tcPr>
            <w:tcW w:w="4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(713) 646-4100</w:t>
            </w:r>
          </w:p>
        </w:tc>
        <w:tc>
          <w:tcPr>
            <w:tcW w:w="1980" w:type="dxa"/>
            <w:vAlign w:val="bottom"/>
          </w:tcPr>
          <w:p>
            <w:pPr>
              <w:spacing w:after="0"/>
              <w:rPr>
                <w:sz w:val="24"/>
                <w:szCs w:val="24"/>
                <w:color w:val="auto"/>
              </w:rPr>
            </w:pPr>
          </w:p>
        </w:tc>
      </w:tr>
      <w:tr>
        <w:trPr>
          <w:trHeight w:val="230"/>
        </w:trPr>
        <w:tc>
          <w:tcPr>
            <w:tcW w:w="2760" w:type="dxa"/>
            <w:vAlign w:val="bottom"/>
          </w:tcPr>
          <w:p>
            <w:pPr>
              <w:spacing w:after="0"/>
              <w:rPr>
                <w:sz w:val="20"/>
                <w:szCs w:val="20"/>
                <w:color w:val="auto"/>
              </w:rPr>
            </w:pPr>
          </w:p>
        </w:tc>
        <w:tc>
          <w:tcPr>
            <w:tcW w:w="4860" w:type="dxa"/>
            <w:vAlign w:val="bottom"/>
          </w:tcPr>
          <w:p>
            <w:pPr>
              <w:jc w:val="center"/>
              <w:ind w:right="190"/>
              <w:spacing w:after="0"/>
              <w:rPr>
                <w:sz w:val="20"/>
                <w:szCs w:val="20"/>
                <w:color w:val="auto"/>
              </w:rPr>
            </w:pPr>
            <w:r>
              <w:rPr>
                <w:rFonts w:ascii="Arial" w:cs="Arial" w:eastAsia="Arial" w:hAnsi="Arial"/>
                <w:sz w:val="18"/>
                <w:szCs w:val="18"/>
                <w:color w:val="auto"/>
                <w:w w:val="90"/>
              </w:rPr>
              <w:t>(Registrants’ telephone number, including area code)</w:t>
            </w:r>
          </w:p>
        </w:tc>
        <w:tc>
          <w:tcPr>
            <w:tcW w:w="1980" w:type="dxa"/>
            <w:vAlign w:val="bottom"/>
          </w:tcPr>
          <w:p>
            <w:pPr>
              <w:spacing w:after="0"/>
              <w:rPr>
                <w:sz w:val="20"/>
                <w:szCs w:val="20"/>
                <w:color w:val="auto"/>
              </w:rPr>
            </w:pPr>
          </w:p>
        </w:tc>
      </w:tr>
    </w:tbl>
    <w:p>
      <w:pPr>
        <w:spacing w:after="0" w:line="20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On October 21, 2013, Plains GP Holdings,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completed its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128,000,000 Class A shares representing limited partner interests in the Partnership (the “</w:t>
      </w:r>
      <w:r>
        <w:rPr>
          <w:rFonts w:ascii="Arial" w:cs="Arial" w:eastAsia="Arial" w:hAnsi="Arial"/>
          <w:sz w:val="18"/>
          <w:szCs w:val="18"/>
          <w:b w:val="1"/>
          <w:bCs w:val="1"/>
          <w:i w:val="1"/>
          <w:iCs w:val="1"/>
          <w:color w:val="auto"/>
        </w:rPr>
        <w:t>Class A shares</w:t>
      </w:r>
      <w:r>
        <w:rPr>
          <w:rFonts w:ascii="Arial" w:cs="Arial" w:eastAsia="Arial" w:hAnsi="Arial"/>
          <w:sz w:val="18"/>
          <w:szCs w:val="18"/>
          <w:color w:val="auto"/>
        </w:rPr>
        <w:t>”), at a price to the public of $22.00 per Class A share. The material terms of the Offering are described in the prospectus, dated October 15, 2013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filed by the Partnership with the Securities and Exchange Commission on October 16, 2013.</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Seventh Amended and Restated Limited Partnership Agreement of Plains AAP, L.P.</w:t>
      </w:r>
    </w:p>
    <w:p>
      <w:pPr>
        <w:spacing w:after="0" w:line="225"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On October 21, 2013, in connection with the closing of the Offering, the Sixth Amended and Restated Limited Partnership Agreement of Plains AAP, L.P. (“</w:t>
      </w:r>
      <w:r>
        <w:rPr>
          <w:rFonts w:ascii="Arial" w:cs="Arial" w:eastAsia="Arial" w:hAnsi="Arial"/>
          <w:sz w:val="16"/>
          <w:szCs w:val="16"/>
          <w:b w:val="1"/>
          <w:bCs w:val="1"/>
          <w:i w:val="1"/>
          <w:iCs w:val="1"/>
          <w:color w:val="auto"/>
        </w:rPr>
        <w:t>AAP</w:t>
      </w:r>
      <w:r>
        <w:rPr>
          <w:rFonts w:ascii="Arial" w:cs="Arial" w:eastAsia="Arial" w:hAnsi="Arial"/>
          <w:sz w:val="16"/>
          <w:szCs w:val="16"/>
          <w:color w:val="auto"/>
        </w:rPr>
        <w:t>”) was amended and restated (as amended and restated, the “</w:t>
      </w:r>
      <w:r>
        <w:rPr>
          <w:rFonts w:ascii="Arial" w:cs="Arial" w:eastAsia="Arial" w:hAnsi="Arial"/>
          <w:sz w:val="16"/>
          <w:szCs w:val="16"/>
          <w:b w:val="1"/>
          <w:bCs w:val="1"/>
          <w:i w:val="1"/>
          <w:iCs w:val="1"/>
          <w:color w:val="auto"/>
        </w:rPr>
        <w:t>Seventh A&amp;R AAP Agreement</w:t>
      </w:r>
      <w:r>
        <w:rPr>
          <w:rFonts w:ascii="Arial" w:cs="Arial" w:eastAsia="Arial" w:hAnsi="Arial"/>
          <w:sz w:val="16"/>
          <w:szCs w:val="16"/>
          <w:color w:val="auto"/>
        </w:rPr>
        <w:t>”) to (i) convert the existing 1% general partner interest in AAP currently held by Plains All American GP LLC (“</w:t>
      </w:r>
      <w:r>
        <w:rPr>
          <w:rFonts w:ascii="Arial" w:cs="Arial" w:eastAsia="Arial" w:hAnsi="Arial"/>
          <w:sz w:val="16"/>
          <w:szCs w:val="16"/>
          <w:b w:val="1"/>
          <w:bCs w:val="1"/>
          <w:i w:val="1"/>
          <w:iCs w:val="1"/>
          <w:color w:val="auto"/>
        </w:rPr>
        <w:t>GP LLC</w:t>
      </w:r>
      <w:r>
        <w:rPr>
          <w:rFonts w:ascii="Arial" w:cs="Arial" w:eastAsia="Arial" w:hAnsi="Arial"/>
          <w:sz w:val="16"/>
          <w:szCs w:val="16"/>
          <w:color w:val="auto"/>
        </w:rPr>
        <w:t>”) into a non-economic general partner interest and a limited partner interest in AAP represented by 6,500,000 units representing limited partner interests in AAP (the “</w:t>
      </w:r>
      <w:r>
        <w:rPr>
          <w:rFonts w:ascii="Arial" w:cs="Arial" w:eastAsia="Arial" w:hAnsi="Arial"/>
          <w:sz w:val="16"/>
          <w:szCs w:val="16"/>
          <w:b w:val="1"/>
          <w:bCs w:val="1"/>
          <w:i w:val="1"/>
          <w:iCs w:val="1"/>
          <w:color w:val="auto"/>
        </w:rPr>
        <w:t>AAP units</w:t>
      </w:r>
      <w:r>
        <w:rPr>
          <w:rFonts w:ascii="Arial" w:cs="Arial" w:eastAsia="Arial" w:hAnsi="Arial"/>
          <w:sz w:val="16"/>
          <w:szCs w:val="16"/>
          <w:color w:val="auto"/>
        </w:rPr>
        <w:t>”), (ii) adjust the number of AAP units held by the Partnership and the entities and individuals that owned capital interests in AAP and GP LLC as of the date of the Offering (the “</w:t>
      </w:r>
      <w:r>
        <w:rPr>
          <w:rFonts w:ascii="Arial" w:cs="Arial" w:eastAsia="Arial" w:hAnsi="Arial"/>
          <w:sz w:val="16"/>
          <w:szCs w:val="16"/>
          <w:b w:val="1"/>
          <w:bCs w:val="1"/>
          <w:i w:val="1"/>
          <w:iCs w:val="1"/>
          <w:color w:val="auto"/>
        </w:rPr>
        <w:t>Existing Owners</w:t>
      </w:r>
      <w:r>
        <w:rPr>
          <w:rFonts w:ascii="Arial" w:cs="Arial" w:eastAsia="Arial" w:hAnsi="Arial"/>
          <w:sz w:val="16"/>
          <w:szCs w:val="16"/>
          <w:color w:val="auto"/>
        </w:rPr>
        <w:t>”) so that the relative limited partner interest in AAP held by the Partnership and the Existing Owners remained consistent after increasing the number of AAP units owned by the Partnership to equal the number of Class A shares issued to the public, (iii) grant each Existing Owner the right to exchange its AAP units and a like number of Class B shares representing limited partner interests in the Partnership (“</w:t>
      </w:r>
      <w:r>
        <w:rPr>
          <w:rFonts w:ascii="Arial" w:cs="Arial" w:eastAsia="Arial" w:hAnsi="Arial"/>
          <w:sz w:val="16"/>
          <w:szCs w:val="16"/>
          <w:b w:val="1"/>
          <w:bCs w:val="1"/>
          <w:i w:val="1"/>
          <w:iCs w:val="1"/>
          <w:color w:val="auto"/>
        </w:rPr>
        <w:t>Class B shares</w:t>
      </w:r>
      <w:r>
        <w:rPr>
          <w:rFonts w:ascii="Arial" w:cs="Arial" w:eastAsia="Arial" w:hAnsi="Arial"/>
          <w:sz w:val="16"/>
          <w:szCs w:val="16"/>
          <w:color w:val="auto"/>
        </w:rPr>
        <w:t>”) and units representing membership interests in the General Partner (the “</w:t>
      </w:r>
      <w:r>
        <w:rPr>
          <w:rFonts w:ascii="Arial" w:cs="Arial" w:eastAsia="Arial" w:hAnsi="Arial"/>
          <w:sz w:val="16"/>
          <w:szCs w:val="16"/>
          <w:b w:val="1"/>
          <w:bCs w:val="1"/>
          <w:i w:val="1"/>
          <w:iCs w:val="1"/>
          <w:color w:val="auto"/>
        </w:rPr>
        <w:t>general partner units</w:t>
      </w:r>
      <w:r>
        <w:rPr>
          <w:rFonts w:ascii="Arial" w:cs="Arial" w:eastAsia="Arial" w:hAnsi="Arial"/>
          <w:sz w:val="16"/>
          <w:szCs w:val="16"/>
          <w:color w:val="auto"/>
        </w:rPr>
        <w:t>”) for Class A shares on a one-for-one basis (the “</w:t>
      </w:r>
      <w:r>
        <w:rPr>
          <w:rFonts w:ascii="Arial" w:cs="Arial" w:eastAsia="Arial" w:hAnsi="Arial"/>
          <w:sz w:val="16"/>
          <w:szCs w:val="16"/>
          <w:b w:val="1"/>
          <w:bCs w:val="1"/>
          <w:i w:val="1"/>
          <w:iCs w:val="1"/>
          <w:color w:val="auto"/>
        </w:rPr>
        <w:t>Exchange Right</w:t>
      </w:r>
      <w:r>
        <w:rPr>
          <w:rFonts w:ascii="Arial" w:cs="Arial" w:eastAsia="Arial" w:hAnsi="Arial"/>
          <w:sz w:val="16"/>
          <w:szCs w:val="16"/>
          <w:color w:val="auto"/>
        </w:rPr>
        <w:t>”) and (iv) provide that each holder of AAP management units (defined below) will receive, upon the exchange of any such AAP management units into AAP units and a like number of Class B shares, an associated right to exchange such AAP units and Class B shares for Class A shares on a one-for-one basis.</w:t>
      </w:r>
    </w:p>
    <w:p>
      <w:pPr>
        <w:spacing w:after="0" w:line="173" w:lineRule="exact"/>
        <w:rPr>
          <w:sz w:val="24"/>
          <w:szCs w:val="24"/>
          <w:color w:val="auto"/>
        </w:rPr>
      </w:pPr>
    </w:p>
    <w:p>
      <w:pPr>
        <w:ind w:right="120" w:firstLine="324"/>
        <w:spacing w:after="0" w:line="270" w:lineRule="auto"/>
        <w:rPr>
          <w:sz w:val="20"/>
          <w:szCs w:val="20"/>
          <w:color w:val="auto"/>
        </w:rPr>
      </w:pPr>
      <w:r>
        <w:rPr>
          <w:rFonts w:ascii="Arial" w:cs="Arial" w:eastAsia="Arial" w:hAnsi="Arial"/>
          <w:sz w:val="17"/>
          <w:szCs w:val="17"/>
          <w:color w:val="auto"/>
        </w:rPr>
        <w:t>Additionally, if the Class A shares are publicly traded at any time after December 31, 2015, the Seventh A&amp;R AAP Agreement provides that a holder of vested AAP management units will be entitled to exchange his or her AAP management units for AAP units and a like number of Class B shares based on a conversion ratio calculated in accordance with the Seventh A&amp;R AAP Agreement (which conversion ratio will not be more than one-to-one and is expected to be approximately 0.90 AAP units for each AAP management unit as of the date of the distribution that will be paid to holders of PAA common units with respect to the third quarter of 2013). Following any such exchange, the holder will have the Exchange Right for the Partnership’s Class A shares. Holders of AAP management units who exchange for AAP units and Class B shares will not receive general partner units and thus will not need to include any general partner units in a transfer or the exercise of their Exchange Right. A description of the Seventh A&amp;R AAP Agreement is contained in the section of the Prospectus entitled “Certain Relationships and Related Party Transactions—Limited Partnership Agreement of Plains AAP, L.P.” and is incorporated herein by reference.</w:t>
      </w:r>
    </w:p>
    <w:p>
      <w:pPr>
        <w:sectPr>
          <w:pgSz w:w="11900" w:h="16838" w:orient="portrait"/>
          <w:cols w:equalWidth="0" w:num="1">
            <w:col w:w="11400"/>
          </w:cols>
          <w:pgMar w:left="240" w:top="544" w:right="259" w:bottom="70" w:gutter="0" w:footer="0" w:header="0"/>
        </w:sectPr>
      </w:pPr>
    </w:p>
    <w:bookmarkStart w:id="1" w:name="page2"/>
    <w:bookmarkEnd w:id="1"/>
    <w:p>
      <w:pPr>
        <w:ind w:right="120" w:firstLine="324"/>
        <w:spacing w:after="0" w:line="308" w:lineRule="auto"/>
        <w:rPr>
          <w:sz w:val="20"/>
          <w:szCs w:val="20"/>
          <w:color w:val="auto"/>
        </w:rPr>
      </w:pPr>
      <w:r>
        <w:rPr>
          <w:rFonts w:ascii="Arial" w:cs="Arial" w:eastAsia="Arial" w:hAnsi="Arial"/>
          <w:sz w:val="17"/>
          <w:szCs w:val="17"/>
          <w:color w:val="auto"/>
        </w:rPr>
        <w:t>The foregoing description and the description contained in the Prospectus are qualified in their entirety by reference to the full text of the Seventh A&amp;R AAP Agreement, which is filed as Exhibit 3.3 to this Current Report on Form 8-K and is incorporated in this Item 1.01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Amended and Restated Limited Liability Company Agreement of Plains All American GP LLC</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October 21, 2013, in connection with the closing of the Offering, the Fifth Amended and Restated Limited Liability Company Agreement was amended and restated (as amended and restated, the “</w:t>
      </w:r>
      <w:r>
        <w:rPr>
          <w:rFonts w:ascii="Arial" w:cs="Arial" w:eastAsia="Arial" w:hAnsi="Arial"/>
          <w:sz w:val="17"/>
          <w:szCs w:val="17"/>
          <w:b w:val="1"/>
          <w:bCs w:val="1"/>
          <w:i w:val="1"/>
          <w:iCs w:val="1"/>
          <w:color w:val="auto"/>
        </w:rPr>
        <w:t>Sixth A&amp;R GP LLC Agreement</w:t>
      </w:r>
      <w:r>
        <w:rPr>
          <w:rFonts w:ascii="Arial" w:cs="Arial" w:eastAsia="Arial" w:hAnsi="Arial"/>
          <w:sz w:val="17"/>
          <w:szCs w:val="17"/>
          <w:color w:val="auto"/>
        </w:rPr>
        <w:t>”). The Sixth A&amp;R GP LLC Agreement provides, among other things, that (i) GP LLC’s Chief Executive Officer will continue to be a member of GP LLC’s board and will serve as its chairman, (ii) the designated directors on the board of directors of the General Partner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will be automatic appointees to GP LLC’s board of directors, and (iii) the remaining four members of GP LLC’s board of directors will initially consist of the four independent directors currently serving on GP LLC’s board of directors and thereafter will be appointed by majority vote of the Board, acting on the Partnership’s behalf as the managing member of GP LLC. A description of the changes incorporated into the Sixth A&amp;R GP LLC Agreement is contained in the section of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Prospectus entitled “Management—Election of Directors—Directors of GP LLC” and is incorporated herein by reference.</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foregoing description and the description contained in the Prospectus are qualified in their entirety by reference to the full text of the Sixth A&amp;R GP LLC Agreement, which is filed as Exhibit 3.4 to this Current Report on Form 8-K and is incorporated in this Item 1.01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and Registration Rights Agreement</w:t>
      </w:r>
    </w:p>
    <w:p>
      <w:pPr>
        <w:spacing w:after="0" w:line="225" w:lineRule="exact"/>
        <w:rPr>
          <w:sz w:val="20"/>
          <w:szCs w:val="20"/>
          <w:color w:val="auto"/>
        </w:rPr>
      </w:pPr>
    </w:p>
    <w:p>
      <w:pPr>
        <w:ind w:right="320" w:firstLine="324"/>
        <w:spacing w:after="0" w:line="291" w:lineRule="auto"/>
        <w:rPr>
          <w:sz w:val="20"/>
          <w:szCs w:val="20"/>
          <w:color w:val="auto"/>
        </w:rPr>
      </w:pPr>
      <w:r>
        <w:rPr>
          <w:rFonts w:ascii="Arial" w:cs="Arial" w:eastAsia="Arial" w:hAnsi="Arial"/>
          <w:sz w:val="16"/>
          <w:szCs w:val="16"/>
          <w:color w:val="auto"/>
        </w:rPr>
        <w:t>On October 21, 2013, in connection with the closing of the Offering, the Partnership entered into a shareholder and registration rights agreement (the “</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 with the Existing Owners party thereto. Pursuant to the Registration Rights Agreement, the Partnership has agreed to register the resale of all Class A shares issuable upon exercise of the Exchange Right (the “</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held by the parties to the Registration Rights Agreement under certain circumstances. Additionally, upon the vesting of the Class B units in AAP representing profits interests in AAP held by certain members of management (the “</w:t>
      </w:r>
      <w:r>
        <w:rPr>
          <w:rFonts w:ascii="Arial" w:cs="Arial" w:eastAsia="Arial" w:hAnsi="Arial"/>
          <w:sz w:val="16"/>
          <w:szCs w:val="16"/>
          <w:b w:val="1"/>
          <w:bCs w:val="1"/>
          <w:i w:val="1"/>
          <w:iCs w:val="1"/>
          <w:color w:val="auto"/>
        </w:rPr>
        <w:t>AAP management units</w:t>
      </w:r>
      <w:r>
        <w:rPr>
          <w:rFonts w:ascii="Arial" w:cs="Arial" w:eastAsia="Arial" w:hAnsi="Arial"/>
          <w:sz w:val="16"/>
          <w:szCs w:val="16"/>
          <w:color w:val="auto"/>
        </w:rPr>
        <w:t>”), the Partnership has agreed to amend the Registration Rights Agreement to include any Class A shares issuable upon exercise of the Exchange Right with respect to such vested AAP management units as Registrable Securities, so long as the holder of such units agrees to be bound by the terms and conditions of the Registration Rights Agreement.</w:t>
      </w:r>
    </w:p>
    <w:p>
      <w:pPr>
        <w:spacing w:after="0" w:line="167" w:lineRule="exact"/>
        <w:rPr>
          <w:sz w:val="20"/>
          <w:szCs w:val="20"/>
          <w:color w:val="auto"/>
        </w:rPr>
      </w:pPr>
    </w:p>
    <w:p>
      <w:pPr>
        <w:ind w:right="560" w:firstLine="441"/>
        <w:spacing w:after="0" w:line="308" w:lineRule="auto"/>
        <w:rPr>
          <w:sz w:val="20"/>
          <w:szCs w:val="20"/>
          <w:color w:val="auto"/>
        </w:rPr>
      </w:pPr>
      <w:r>
        <w:rPr>
          <w:rFonts w:ascii="Arial" w:cs="Arial" w:eastAsia="Arial" w:hAnsi="Arial"/>
          <w:sz w:val="17"/>
          <w:szCs w:val="17"/>
          <w:color w:val="auto"/>
        </w:rPr>
        <w:t>The foregoing description of the Registration Rights Agreement is not complete and is qualified in its entirety by reference to the full text of the Registration Rights Agreement, which is filed as Exhibit 4.1 to this Form 8-K and is incorporated into this Item 1.01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description of the Plains GP Holdings, L.P. Long Term Incentive Plan (the “</w:t>
      </w:r>
      <w:r>
        <w:rPr>
          <w:rFonts w:ascii="Arial" w:cs="Arial" w:eastAsia="Arial" w:hAnsi="Arial"/>
          <w:sz w:val="17"/>
          <w:szCs w:val="17"/>
          <w:b w:val="1"/>
          <w:bCs w:val="1"/>
          <w:i w:val="1"/>
          <w:iCs w:val="1"/>
          <w:color w:val="auto"/>
        </w:rPr>
        <w:t>LTIP</w:t>
      </w:r>
      <w:r>
        <w:rPr>
          <w:rFonts w:ascii="Arial" w:cs="Arial" w:eastAsia="Arial" w:hAnsi="Arial"/>
          <w:sz w:val="17"/>
          <w:szCs w:val="17"/>
          <w:color w:val="auto"/>
        </w:rPr>
        <w:t>”) provided below under Item 5.02 is incorporated in this Item 1.01 by reference. A copy of the LTIP is filed as Exhibit 10.3 to this Current Report on Form 8-K and is incorporated in this Item 1.01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description of the Contribution Agreement by and among PAA GP Holdings LLC (the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the Partnership and the other parties signatory thereto (the “</w:t>
      </w:r>
      <w:r>
        <w:rPr>
          <w:rFonts w:ascii="Arial" w:cs="Arial" w:eastAsia="Arial" w:hAnsi="Arial"/>
          <w:sz w:val="17"/>
          <w:szCs w:val="17"/>
          <w:b w:val="1"/>
          <w:bCs w:val="1"/>
          <w:i w:val="1"/>
          <w:iCs w:val="1"/>
          <w:color w:val="auto"/>
        </w:rPr>
        <w:t>Contribution Agreement</w:t>
      </w:r>
      <w:r>
        <w:rPr>
          <w:rFonts w:ascii="Arial" w:cs="Arial" w:eastAsia="Arial" w:hAnsi="Arial"/>
          <w:sz w:val="17"/>
          <w:szCs w:val="17"/>
          <w:color w:val="auto"/>
        </w:rPr>
        <w:t>”) provided below under Item 2.01 is incorporated in this Item 1.01 by reference. A copy of the Contribution Agreement is filed as Exhibit 10.2 to this Current Report on Form 8-K and is incorporated in this Item 1.01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Agreement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October 21, 2013, in connection with the closing of the Offering, the Partnership, the General Partner, AAP, Plains All American Pipeline, L.P.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PAA GP LLC (“</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and GP LLC entered into an administrative agreement (the “</w:t>
      </w:r>
      <w:r>
        <w:rPr>
          <w:rFonts w:ascii="Arial" w:cs="Arial" w:eastAsia="Arial" w:hAnsi="Arial"/>
          <w:sz w:val="17"/>
          <w:szCs w:val="17"/>
          <w:b w:val="1"/>
          <w:bCs w:val="1"/>
          <w:i w:val="1"/>
          <w:iCs w:val="1"/>
          <w:color w:val="auto"/>
        </w:rPr>
        <w:t>Administrative Agreement</w:t>
      </w:r>
      <w:r>
        <w:rPr>
          <w:rFonts w:ascii="Arial" w:cs="Arial" w:eastAsia="Arial" w:hAnsi="Arial"/>
          <w:sz w:val="17"/>
          <w:szCs w:val="17"/>
          <w:color w:val="auto"/>
        </w:rPr>
        <w:t>”) to address, among other things, potential conflicts with respect to business opportunities that may arise among the Partnership, the General Partner, AAP, PAA, PAA GP and GP LLC. The agreement provides that if any business opportunity is presented to the Partnership, the General Partner, AAP, PAA, PAA GP or GP LLC, then PAA will have the first right to pursue such business opportunity. The Partnership will have the right to pursue and/or participate in such business opportunity if invited to do so by PAA, or if PAA abandons the business opportunity and GP LLC so notifies the General Partner.</w:t>
      </w:r>
    </w:p>
    <w:p>
      <w:pPr>
        <w:spacing w:after="0" w:line="178"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Pursuant to the Administrative Agreement, all of the Partnership’s officers and other personnel necessary for its business to function (to the extent not out-sourced) will be employed by GP LLC, and AAP will pay GP LLC an annual fee for general and administrative services performed on behalf of the Partnership. This fee will initially be $1.5 million per year and will be subject to adjustment on an annual basis, beginning on January 1, 2015, based on the Consumer Price Index. The fee will also be subject to adjustment if a material event occurs that impacts the general and administrative services provided to the Partnership, such as acquisitions, entering into new lines of business or changes in laws, regulations, listing requirements or accounting rules.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80" w:firstLine="324"/>
        <w:spacing w:after="0" w:line="312" w:lineRule="auto"/>
        <w:rPr>
          <w:sz w:val="20"/>
          <w:szCs w:val="20"/>
          <w:color w:val="auto"/>
        </w:rPr>
      </w:pPr>
      <w:r>
        <w:rPr>
          <w:rFonts w:ascii="Arial" w:cs="Arial" w:eastAsia="Arial" w:hAnsi="Arial"/>
          <w:sz w:val="16"/>
          <w:szCs w:val="16"/>
          <w:color w:val="auto"/>
        </w:rPr>
        <w:t>In addition, the Administrative Agreement provides that any direct expenses incurred by the Partnership, the General Partner and AAP (other than income taxes payable by the Partnership) will be borne by AAP. These direct expenses will include costs related to (i) compensation for new directors, (ii) incremental director and officer liability insurance, (iii) listing on the NYSE, (iv) investor relations, (v) legal, (vi) tax and (vii) accounting.</w:t>
      </w:r>
    </w:p>
    <w:p>
      <w:pPr>
        <w:spacing w:after="0" w:line="14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addition to the fee and expenses described above, the Administrative Agreement requires AAP to reimburse GP LLC for any additional expenses incurred by GP LLC and certain of its affiliates (i) on the Partnership’s behalf, (ii) on behalf of the General Partner, or (iii) for any other purpose related to the Partnership’s business and activities or those of the General Partner. AAP is also required to reimburse the General Partner for any additional expenses incurred by it on the Partnership’s behalf or to maintain the Partnership’s legal existence and good standing. There is no limit on the amount of fees and expenses AAP may be required to pay to affiliates of the General Partner on the Partnership’s behalf pursuant to the Administrative Agreement.</w:t>
      </w:r>
    </w:p>
    <w:p>
      <w:pPr>
        <w:sectPr>
          <w:pgSz w:w="11900" w:h="16838" w:orient="portrait"/>
          <w:cols w:equalWidth="0" w:num="1">
            <w:col w:w="11380"/>
          </w:cols>
          <w:pgMar w:left="240" w:top="125" w:right="279" w:bottom="0" w:gutter="0" w:footer="0" w:header="0"/>
        </w:sectPr>
      </w:pPr>
    </w:p>
    <w:bookmarkStart w:id="2" w:name="page3"/>
    <w:bookmarkEnd w:id="2"/>
    <w:p>
      <w:pPr>
        <w:spacing w:after="0" w:line="6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Pursuant to the Administrative Agreement, PAA has also granted the Partnership a license to use the names “PAA” and “Plains” and any associated or related marks.</w:t>
      </w:r>
    </w:p>
    <w:p>
      <w:pPr>
        <w:spacing w:after="0" w:line="170" w:lineRule="exact"/>
        <w:rPr>
          <w:sz w:val="20"/>
          <w:szCs w:val="20"/>
          <w:color w:val="auto"/>
        </w:rPr>
      </w:pPr>
    </w:p>
    <w:p>
      <w:pPr>
        <w:ind w:right="1040" w:firstLine="324"/>
        <w:spacing w:after="0" w:line="308" w:lineRule="auto"/>
        <w:rPr>
          <w:sz w:val="20"/>
          <w:szCs w:val="20"/>
          <w:color w:val="auto"/>
        </w:rPr>
      </w:pPr>
      <w:r>
        <w:rPr>
          <w:rFonts w:ascii="Arial" w:cs="Arial" w:eastAsia="Arial" w:hAnsi="Arial"/>
          <w:sz w:val="17"/>
          <w:szCs w:val="17"/>
          <w:color w:val="auto"/>
        </w:rPr>
        <w:t>The foregoing description of the Administrative Agreement is not complete and is qualified in its entirety by reference to the full text of the Administrative Agreement, which is filed as Exhibit 10.1 to this Form 8-K and is incorporated into this Item 1.01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Certain officers and directors of GP LLC also serve as officers and/or directors of the General Partner. AAP is required to pay GP LLC an annual fee and reimburse certain expenses for the above services and other general and administrative services that GP LLC provides to the General Partner.</w:t>
      </w:r>
    </w:p>
    <w:p>
      <w:pPr>
        <w:spacing w:after="0" w:line="14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Following the completion of the Offering, the Partnership owns 21.1% of the membership interests in the General Partner. The Existing Owners own 78.9% of the membership interests in the General Partner, and certain of the Existing Owners have the ability to designate members of the Board. Additionally, the General Partner owns a non-economic general partner interest in the Partnership.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On October 21, 2013, in connection with the closing of the Offering, the Contribution Agreement was executed and the following transactions, among others, occurred pursuant to the Contribution Agreement:</w:t>
      </w:r>
    </w:p>
    <w:p>
      <w:pPr>
        <w:spacing w:after="0" w:line="170" w:lineRule="exact"/>
        <w:rPr>
          <w:sz w:val="20"/>
          <w:szCs w:val="20"/>
          <w:color w:val="auto"/>
        </w:rPr>
      </w:pPr>
    </w:p>
    <w:p>
      <w:pPr>
        <w:ind w:left="660" w:right="20" w:hanging="328"/>
        <w:spacing w:after="0" w:line="259" w:lineRule="auto"/>
        <w:tabs>
          <w:tab w:leader="none" w:pos="61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Existing Owners contributed their respective membership interests in GP LLC to the General Partner in exchange for membership interests in the General Partner, and the General Partner contributed such interests in GP LLC to the Partnership in exchange for the continuation of its non-economic general partner interest in the Partnership. In exchange for these contributions, the Partnership issued (through the General Partner) a total of 478,029,773 Class B shares to the Existing Owners;</w:t>
      </w:r>
    </w:p>
    <w:p>
      <w:pPr>
        <w:spacing w:after="0" w:line="186"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of the Existing Owners (or in the case of The Energy &amp; Minerals Group (“</w:t>
      </w:r>
      <w:r>
        <w:rPr>
          <w:rFonts w:ascii="Arial" w:cs="Arial" w:eastAsia="Arial" w:hAnsi="Arial"/>
          <w:sz w:val="17"/>
          <w:szCs w:val="17"/>
          <w:b w:val="1"/>
          <w:bCs w:val="1"/>
          <w:i w:val="1"/>
          <w:iCs w:val="1"/>
          <w:color w:val="auto"/>
        </w:rPr>
        <w:t>EMG</w:t>
      </w:r>
      <w:r>
        <w:rPr>
          <w:rFonts w:ascii="Arial" w:cs="Arial" w:eastAsia="Arial" w:hAnsi="Arial"/>
          <w:sz w:val="17"/>
          <w:szCs w:val="17"/>
          <w:color w:val="auto"/>
        </w:rPr>
        <w:t>”), certain members of EMG) sold to the Partnership</w:t>
      </w:r>
    </w:p>
    <w:p>
      <w:pPr>
        <w:spacing w:after="0" w:line="34" w:lineRule="exact"/>
        <w:rPr>
          <w:rFonts w:ascii="Arial" w:cs="Arial" w:eastAsia="Arial" w:hAnsi="Arial"/>
          <w:sz w:val="17"/>
          <w:szCs w:val="17"/>
          <w:color w:val="auto"/>
        </w:rPr>
      </w:pPr>
    </w:p>
    <w:p>
      <w:pPr>
        <w:jc w:val="both"/>
        <w:ind w:left="660" w:right="80" w:hanging="4"/>
        <w:spacing w:after="0" w:line="277" w:lineRule="auto"/>
        <w:tabs>
          <w:tab w:leader="none" w:pos="875" w:val="left"/>
        </w:tabs>
        <w:numPr>
          <w:ilvl w:val="1"/>
          <w:numId w:val="1"/>
        </w:numPr>
        <w:rPr>
          <w:rFonts w:ascii="Arial" w:cs="Arial" w:eastAsia="Arial" w:hAnsi="Arial"/>
          <w:sz w:val="17"/>
          <w:szCs w:val="17"/>
          <w:color w:val="auto"/>
        </w:rPr>
      </w:pPr>
      <w:r>
        <w:rPr>
          <w:rFonts w:ascii="Arial" w:cs="Arial" w:eastAsia="Arial" w:hAnsi="Arial"/>
          <w:sz w:val="17"/>
          <w:szCs w:val="17"/>
          <w:color w:val="auto"/>
        </w:rPr>
        <w:t>128,000,000 AAP units (representing a 21.1% limited partner interest, and an approximate 19.7% economic interest (including the dilutive effect of the AAP management units), in AAP) and (ii) an aggregate 21.1% of the membership interests in the General Partner, in exchange for the right to receive an amount equal to the net proceeds of the Offering, subject to adjustment for certain expenses; and</w:t>
      </w:r>
    </w:p>
    <w:p>
      <w:pPr>
        <w:spacing w:after="0" w:line="173" w:lineRule="exact"/>
        <w:rPr>
          <w:rFonts w:ascii="Arial" w:cs="Arial" w:eastAsia="Arial" w:hAnsi="Arial"/>
          <w:sz w:val="17"/>
          <w:szCs w:val="17"/>
          <w:color w:val="auto"/>
        </w:rPr>
      </w:pPr>
    </w:p>
    <w:p>
      <w:pPr>
        <w:ind w:left="600" w:hanging="268"/>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Partnership distributed the net proceeds to the Existing Owners (or in the case of EMG, certain members of EMG) as described above.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Upon completion of the recapitalization transactions contemplated by the Contribution Agreement, the Partnership’s assets consist of (i) a 100% member interest in GP LLC, which holds a non-economic general partner interest in AAP, (ii) 128,000,000 AAP units (representing 21.1% of the limited partner interests, and an approximate 19.7% economic interest (including the dilutive effect of the AAP management units), in AAP) and (iii) 128,000,000 general partner units representing 21.1% of the membership interests in the General Partner.</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foregoing description of the Contribution Agreement is not complete and is qualified in its entirety by reference to the full text of the Contribution Agreement, which is filed as Exhibit 10.2 to this Form 8-K and is incorporated into this Item 2.01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description of the relationships among the Partnership, the General Partner, PAA and the Existing Owners is provided above under Item 1.01 and is incorporated in this Item 2.01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In connection with the closing of the Offering, the Partnership issued its Class B shares to the Existing Owners of AAP (through the General Partner) as partial consideration for their contribution of membership interests in GP LLC to the Partnership (through the General Partner). The issuance of these Class B shares was not be required to be registered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because the shares were offered and sold in a transaction exempt from registration requirements of the Securities Act pursuant to Section 4(2) thereof. The Partnership believes that exemptions other than the foregoing exemption may exist for these transactions.</w:t>
      </w:r>
    </w:p>
    <w:p>
      <w:pPr>
        <w:spacing w:after="0" w:line="169" w:lineRule="exact"/>
        <w:rPr>
          <w:sz w:val="20"/>
          <w:szCs w:val="20"/>
          <w:color w:val="auto"/>
        </w:rPr>
      </w:pPr>
    </w:p>
    <w:p>
      <w:pPr>
        <w:ind w:left="960" w:right="300" w:hanging="971"/>
        <w:spacing w:after="0" w:line="282"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Vicky Sutil was appointed to the Board on October 21, 2013 following the closing of the Offering.</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Ms. Sutil was designated as a director by Occidental Petroleum Corporation. Please see “Management—Election of Directors—Directors of Our General Partner.”</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are no family relationships with Ms. Sutil that would require disclosure pursuant to Item 401(d) of Regulation S-K, and there are no relationships with Ms. Sutil that would require disclosure pursuant to Item 404(a)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225"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The Board adopted the LTIP effective October 21, 2013 for (i) the employees of the General Partner and its affiliates who perform services for the Partnership and (ii) the non-employee directors of the General Partner. The LTIP provides for awards of (1) restricted shares, (2) phantom shares, (3) options,</w:t>
      </w:r>
    </w:p>
    <w:p>
      <w:pPr>
        <w:sectPr>
          <w:pgSz w:w="11900" w:h="16908" w:orient="portrait"/>
          <w:cols w:equalWidth="0" w:num="1">
            <w:col w:w="11420"/>
          </w:cols>
          <w:pgMar w:left="240" w:top="125" w:right="239" w:bottom="0" w:gutter="0" w:footer="0" w:header="0"/>
        </w:sectPr>
      </w:pPr>
    </w:p>
    <w:bookmarkStart w:id="3" w:name="page4"/>
    <w:bookmarkEnd w:id="3"/>
    <w:p>
      <w:pPr>
        <w:ind w:right="20"/>
        <w:spacing w:after="0" w:line="259" w:lineRule="auto"/>
        <w:rPr>
          <w:sz w:val="20"/>
          <w:szCs w:val="20"/>
          <w:color w:val="auto"/>
        </w:rPr>
      </w:pPr>
      <w:r>
        <w:rPr>
          <w:rFonts w:ascii="Arial" w:cs="Arial" w:eastAsia="Arial" w:hAnsi="Arial"/>
          <w:sz w:val="18"/>
          <w:szCs w:val="18"/>
          <w:color w:val="auto"/>
        </w:rPr>
        <w:t>and (4) share appreciation rights (collectively, “Awards”). The maximum aggregate number of Class A shares that may be issued pursuant to any and all Awards under the LTIP shall not exceed 10,000,000 Class A shares, subject to adjustment due to recapitalization, reorganization or a similar event as provided under the LTIP. Class A shares forfeited or withheld to satisfy exercise prices or tax withholding obligations are available for delivery pursuant to other awards.</w:t>
      </w:r>
    </w:p>
    <w:p>
      <w:pPr>
        <w:spacing w:after="0" w:line="187" w:lineRule="exact"/>
        <w:rPr>
          <w:sz w:val="20"/>
          <w:szCs w:val="20"/>
          <w:color w:val="auto"/>
        </w:rPr>
      </w:pPr>
    </w:p>
    <w:p>
      <w:pPr>
        <w:jc w:val="both"/>
        <w:ind w:right="420" w:firstLine="441"/>
        <w:spacing w:after="0" w:line="312" w:lineRule="auto"/>
        <w:rPr>
          <w:sz w:val="20"/>
          <w:szCs w:val="20"/>
          <w:color w:val="auto"/>
        </w:rPr>
      </w:pPr>
      <w:r>
        <w:rPr>
          <w:rFonts w:ascii="Arial" w:cs="Arial" w:eastAsia="Arial" w:hAnsi="Arial"/>
          <w:sz w:val="16"/>
          <w:szCs w:val="16"/>
          <w:color w:val="auto"/>
        </w:rPr>
        <w:t>The LTIP will be administered by the compensation committee of the Board, unless the Board determines to take action or appoints an alternative committee. The Board and the committee have the right to terminate or amend the LTIP or any part of the LTIP from time to time, subject to shareholder approval as may be required by the exchange upon which the Class A shares are listed at that time, if any. The LTIP will expire upon the earlier of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the LTIP by the Board or the compensation committee or the date that no shares remain available under the LTIP for Awards.</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compensation committee shall have the authority to determine the terms and conditions of the individual Awards to be granted under the LTIP, including vesting schedules and the treatment of Awards upon a termination of employment or a change in control.</w:t>
      </w:r>
    </w:p>
    <w:p>
      <w:pPr>
        <w:spacing w:after="0" w:line="170"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The foregoing description of the LTIP is not complete and is qualified in its entirety by reference to the full text of the LTIP, which is filed as Exhibit 10.3 to this Form 8-K and is incorporated into this Item 5.02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Waivers to the Amended and Restated Employment Agreements of Greg L. Armstrong and Harry N. Pefanis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connection with the closing of the Offering on October 21, 2013, Greg L. Armstrong and Harry N. Pefanis each entered into a waiver (the “</w:t>
      </w:r>
      <w:r>
        <w:rPr>
          <w:rFonts w:ascii="Arial" w:cs="Arial" w:eastAsia="Arial" w:hAnsi="Arial"/>
          <w:sz w:val="17"/>
          <w:szCs w:val="17"/>
          <w:b w:val="1"/>
          <w:bCs w:val="1"/>
          <w:i w:val="1"/>
          <w:iCs w:val="1"/>
          <w:color w:val="auto"/>
        </w:rPr>
        <w:t>Waivers</w:t>
      </w:r>
      <w:r>
        <w:rPr>
          <w:rFonts w:ascii="Arial" w:cs="Arial" w:eastAsia="Arial" w:hAnsi="Arial"/>
          <w:sz w:val="17"/>
          <w:szCs w:val="17"/>
          <w:color w:val="auto"/>
        </w:rPr>
        <w:t>”) of certain provisions of their respective Amended and Restated Employment Agreements, each dated June 30, 2001 (the “</w:t>
      </w:r>
      <w:r>
        <w:rPr>
          <w:rFonts w:ascii="Arial" w:cs="Arial" w:eastAsia="Arial" w:hAnsi="Arial"/>
          <w:sz w:val="17"/>
          <w:szCs w:val="17"/>
          <w:b w:val="1"/>
          <w:bCs w:val="1"/>
          <w:i w:val="1"/>
          <w:iCs w:val="1"/>
          <w:color w:val="auto"/>
        </w:rPr>
        <w:t>Employment Agreements</w:t>
      </w:r>
      <w:r>
        <w:rPr>
          <w:rFonts w:ascii="Arial" w:cs="Arial" w:eastAsia="Arial" w:hAnsi="Arial"/>
          <w:sz w:val="17"/>
          <w:szCs w:val="17"/>
          <w:color w:val="auto"/>
        </w:rPr>
        <w:t>”). Pursuant to the Waivers, Messrs. Armstrong and Pefanis each separately agreed to waive the change of control provision of their Employment Agreements to the extent it applied to the Offering or the related transactions contemplated by the Contribution Agreement.</w:t>
      </w:r>
    </w:p>
    <w:p>
      <w:pPr>
        <w:spacing w:after="0" w:line="17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foregoing description of the Waivers is not complete and is qualified in its entirety by reference to the full text of each of the Waivers, which are filed as Exhibits 10.4 and 10.5 to this Form 8-K and are incorporated into this Item 5.02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Class B Restricted Units Agreement</w:t>
      </w:r>
    </w:p>
    <w:p>
      <w:pPr>
        <w:spacing w:after="0" w:line="225" w:lineRule="exact"/>
        <w:rPr>
          <w:sz w:val="20"/>
          <w:szCs w:val="20"/>
          <w:color w:val="auto"/>
        </w:rPr>
      </w:pPr>
    </w:p>
    <w:p>
      <w:pPr>
        <w:ind w:right="280" w:firstLine="441"/>
        <w:spacing w:after="0" w:line="271" w:lineRule="auto"/>
        <w:rPr>
          <w:sz w:val="20"/>
          <w:szCs w:val="20"/>
          <w:color w:val="auto"/>
        </w:rPr>
      </w:pPr>
      <w:r>
        <w:rPr>
          <w:rFonts w:ascii="Arial" w:cs="Arial" w:eastAsia="Arial" w:hAnsi="Arial"/>
          <w:sz w:val="17"/>
          <w:szCs w:val="17"/>
          <w:color w:val="auto"/>
        </w:rPr>
        <w:t>In connection with the closing of the Offering, the form of Plains AAP, L.P. Class B Restricted Units Agreement (the “</w:t>
      </w:r>
      <w:r>
        <w:rPr>
          <w:rFonts w:ascii="Arial" w:cs="Arial" w:eastAsia="Arial" w:hAnsi="Arial"/>
          <w:sz w:val="17"/>
          <w:szCs w:val="17"/>
          <w:b w:val="1"/>
          <w:bCs w:val="1"/>
          <w:i w:val="1"/>
          <w:iCs w:val="1"/>
          <w:color w:val="auto"/>
        </w:rPr>
        <w:t>Class B Agreement</w:t>
      </w:r>
      <w:r>
        <w:rPr>
          <w:rFonts w:ascii="Arial" w:cs="Arial" w:eastAsia="Arial" w:hAnsi="Arial"/>
          <w:sz w:val="17"/>
          <w:szCs w:val="17"/>
          <w:color w:val="auto"/>
        </w:rPr>
        <w:t>”) was amended (the “</w:t>
      </w:r>
      <w:r>
        <w:rPr>
          <w:rFonts w:ascii="Arial" w:cs="Arial" w:eastAsia="Arial" w:hAnsi="Arial"/>
          <w:sz w:val="17"/>
          <w:szCs w:val="17"/>
          <w:b w:val="1"/>
          <w:bCs w:val="1"/>
          <w:i w:val="1"/>
          <w:iCs w:val="1"/>
          <w:color w:val="auto"/>
        </w:rPr>
        <w:t>Class B Amendment</w:t>
      </w:r>
      <w:r>
        <w:rPr>
          <w:rFonts w:ascii="Arial" w:cs="Arial" w:eastAsia="Arial" w:hAnsi="Arial"/>
          <w:sz w:val="17"/>
          <w:szCs w:val="17"/>
          <w:color w:val="auto"/>
        </w:rPr>
        <w:t>”) to be effective on October 21, 2013 upon the consummation of the Offering. The Class B Amendment adjusted the number of AAP management units awarded so that the holders of AAP management units owned the same proportionate interest of AAP after the recapitalization of AAP as before the recapitalization. The Class B Amendment also deleted the provision of the Class B Agreement that governed the conversion rights attributable to the AAP management units, and the Seventh A&amp;R AAP Agreement now governs the conversion rights. Pursuant to the Class B Amendment, each party to the Class B Amendment also agreed that the Offering would not constitute a change in control under the Class B Agreement, and the change of control definition under each Class B Agreement was revised to adapt such definition to the changed ownership structure of AAP, GP LLC, the Partnership and the General Partner following the closing of the Offering.</w:t>
      </w:r>
    </w:p>
    <w:p>
      <w:pPr>
        <w:spacing w:after="0" w:line="17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foregoing description of the Class B Amendment is not complete and is qualified in its entirety by reference to the full text of the Form of Class B Amendment, which is filed as Exhibit 10.6 to this Form 8-K and is incorporated into this Item 5.02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Changes in 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Limited Partnership Agreement of Plains GP Holdings, L.P.</w:t>
      </w:r>
    </w:p>
    <w:p>
      <w:pPr>
        <w:spacing w:after="0" w:line="225"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On October 21, 2013, in connection with the closing of the Offering, the Partnership amended and restated its Limited Partnership Agreement (as amended and restated, the “</w:t>
      </w:r>
      <w:r>
        <w:rPr>
          <w:rFonts w:ascii="Arial" w:cs="Arial" w:eastAsia="Arial" w:hAnsi="Arial"/>
          <w:sz w:val="18"/>
          <w:szCs w:val="18"/>
          <w:b w:val="1"/>
          <w:bCs w:val="1"/>
          <w:i w:val="1"/>
          <w:iCs w:val="1"/>
          <w:color w:val="auto"/>
        </w:rPr>
        <w:t>Partnership Agreement</w:t>
      </w:r>
      <w:r>
        <w:rPr>
          <w:rFonts w:ascii="Arial" w:cs="Arial" w:eastAsia="Arial" w:hAnsi="Arial"/>
          <w:sz w:val="18"/>
          <w:szCs w:val="18"/>
          <w:color w:val="auto"/>
        </w:rPr>
        <w:t>”). A description of the Partnership Agreement is contained in the section of the Prospectus entitled “Description of Our Partnership Agreement” and is incorporated herein by reference.</w:t>
      </w:r>
    </w:p>
    <w:p>
      <w:pPr>
        <w:spacing w:after="0" w:line="181"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foregoing description and the description contained in the Prospectus are qualified in their entirety by reference to the full text of the Partnership Agreement, which is filed as Exhibit 3.1 to this Current Report on Form 8-K and is incorporated in this Item 5.03 by reference.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 of PAA GP Holdings LLC</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October 21, 2013, in connection with the closing of the Offering, the General Partner amended and restated its Limited Liability Company Agreement (as amended and restated, the “</w:t>
      </w:r>
      <w:r>
        <w:rPr>
          <w:rFonts w:ascii="Arial" w:cs="Arial" w:eastAsia="Arial" w:hAnsi="Arial"/>
          <w:sz w:val="18"/>
          <w:szCs w:val="18"/>
          <w:b w:val="1"/>
          <w:bCs w:val="1"/>
          <w:i w:val="1"/>
          <w:iCs w:val="1"/>
          <w:color w:val="auto"/>
        </w:rPr>
        <w:t>A&amp;R LLC Agreement</w:t>
      </w:r>
      <w:r>
        <w:rPr>
          <w:rFonts w:ascii="Arial" w:cs="Arial" w:eastAsia="Arial" w:hAnsi="Arial"/>
          <w:sz w:val="18"/>
          <w:szCs w:val="18"/>
          <w:color w:val="auto"/>
        </w:rPr>
        <w:t>”). A description of the A&amp;R LLC Agreement is contained in the sections of the Prospectus entitled “Organizational Structure—Ownership of Our General Partner; Election of Directors” and “Management—Directors of Our General Partner” and is incorporated herein by reference.</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foregoing description and the descriptions contained in the Prospectus are qualified in their entirety by reference to the full text of the A&amp;R LLC Agreement, which is filed as Exhibit 3.2 to this Current Report on Form 8-K and is incorporated in this Item 5.03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p>
      <w:pPr>
        <w:spacing w:after="0"/>
        <w:tabs>
          <w:tab w:leader="none" w:pos="61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Agreement of Limited Partnership of Plains GP Holdings, L.P., dated as of October 21, 2013.</w:t>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540" w:type="dxa"/>
            <w:vAlign w:val="bottom"/>
          </w:tcPr>
          <w:p>
            <w:pPr>
              <w:ind w:left="600"/>
              <w:spacing w:after="0"/>
              <w:rPr>
                <w:sz w:val="20"/>
                <w:szCs w:val="20"/>
                <w:color w:val="auto"/>
              </w:rPr>
            </w:pPr>
            <w:r>
              <w:rPr>
                <w:rFonts w:ascii="Arial" w:cs="Arial" w:eastAsia="Arial" w:hAnsi="Arial"/>
                <w:sz w:val="18"/>
                <w:szCs w:val="18"/>
                <w:color w:val="auto"/>
              </w:rPr>
              <w:t>Amended and Restated Limited Liability Company Agreement of PAA GP Holdings LLC, dated as of October 21, 2013.</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0540" w:type="dxa"/>
            <w:vAlign w:val="bottom"/>
          </w:tcPr>
          <w:p>
            <w:pPr>
              <w:ind w:left="600"/>
              <w:spacing w:after="0"/>
              <w:rPr>
                <w:sz w:val="20"/>
                <w:szCs w:val="20"/>
                <w:color w:val="auto"/>
              </w:rPr>
            </w:pPr>
            <w:r>
              <w:rPr>
                <w:rFonts w:ascii="Arial" w:cs="Arial" w:eastAsia="Arial" w:hAnsi="Arial"/>
                <w:sz w:val="18"/>
                <w:szCs w:val="18"/>
                <w:color w:val="auto"/>
              </w:rPr>
              <w:t>Seventh Amended and Restated Limited Partnership Agreement of Plains AAP, L.P., dated as of October 21, 2013.</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10540" w:type="dxa"/>
            <w:vAlign w:val="bottom"/>
          </w:tcPr>
          <w:p>
            <w:pPr>
              <w:ind w:left="600"/>
              <w:spacing w:after="0"/>
              <w:rPr>
                <w:sz w:val="20"/>
                <w:szCs w:val="20"/>
                <w:color w:val="auto"/>
              </w:rPr>
            </w:pPr>
            <w:r>
              <w:rPr>
                <w:rFonts w:ascii="Arial" w:cs="Arial" w:eastAsia="Arial" w:hAnsi="Arial"/>
                <w:sz w:val="18"/>
                <w:szCs w:val="18"/>
                <w:color w:val="auto"/>
                <w:w w:val="95"/>
              </w:rPr>
              <w:t>Sixth Amended and Restated Limited Liability Company Agreement of Plains All American GP LLC, dated as of October 21,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540" w:type="dxa"/>
            <w:vAlign w:val="bottom"/>
          </w:tcPr>
          <w:p>
            <w:pPr>
              <w:ind w:left="600"/>
              <w:spacing w:after="0"/>
              <w:rPr>
                <w:sz w:val="20"/>
                <w:szCs w:val="20"/>
                <w:color w:val="auto"/>
              </w:rPr>
            </w:pPr>
            <w:r>
              <w:rPr>
                <w:rFonts w:ascii="Arial" w:cs="Arial" w:eastAsia="Arial" w:hAnsi="Arial"/>
                <w:sz w:val="18"/>
                <w:szCs w:val="18"/>
                <w:color w:val="auto"/>
                <w:w w:val="92"/>
              </w:rPr>
              <w:t>Shareholder and Registration Rights Agreement dated October 21, 2013, by and among Plains GP Holdings, L.P. and the other parties</w:t>
            </w:r>
          </w:p>
        </w:tc>
      </w:tr>
      <w:tr>
        <w:trPr>
          <w:trHeight w:val="230"/>
        </w:trPr>
        <w:tc>
          <w:tcPr>
            <w:tcW w:w="920" w:type="dxa"/>
            <w:vAlign w:val="bottom"/>
          </w:tcPr>
          <w:p>
            <w:pPr>
              <w:spacing w:after="0"/>
              <w:rPr>
                <w:sz w:val="20"/>
                <w:szCs w:val="20"/>
                <w:color w:val="auto"/>
              </w:rPr>
            </w:pPr>
          </w:p>
        </w:tc>
        <w:tc>
          <w:tcPr>
            <w:tcW w:w="10540" w:type="dxa"/>
            <w:vAlign w:val="bottom"/>
          </w:tcPr>
          <w:p>
            <w:pPr>
              <w:ind w:left="600"/>
              <w:spacing w:after="0"/>
              <w:rPr>
                <w:sz w:val="20"/>
                <w:szCs w:val="20"/>
                <w:color w:val="auto"/>
              </w:rPr>
            </w:pPr>
            <w:r>
              <w:rPr>
                <w:rFonts w:ascii="Arial" w:cs="Arial" w:eastAsia="Arial" w:hAnsi="Arial"/>
                <w:sz w:val="18"/>
                <w:szCs w:val="18"/>
                <w:color w:val="auto"/>
              </w:rPr>
              <w:t>signatory thereto.</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600"/>
              <w:spacing w:after="0"/>
              <w:rPr>
                <w:sz w:val="20"/>
                <w:szCs w:val="20"/>
                <w:color w:val="auto"/>
              </w:rPr>
            </w:pPr>
            <w:r>
              <w:rPr>
                <w:rFonts w:ascii="Arial" w:cs="Arial" w:eastAsia="Arial" w:hAnsi="Arial"/>
                <w:sz w:val="18"/>
                <w:szCs w:val="18"/>
                <w:color w:val="auto"/>
                <w:w w:val="93"/>
              </w:rPr>
              <w:t>Administrative Agreement dated October 21, 2013, by and among Plains GP Holdings, L.P., PAA GP Holdings LLC, Plains AAP, L.P.,</w:t>
            </w:r>
          </w:p>
        </w:tc>
      </w:tr>
      <w:tr>
        <w:trPr>
          <w:trHeight w:val="230"/>
        </w:trPr>
        <w:tc>
          <w:tcPr>
            <w:tcW w:w="920" w:type="dxa"/>
            <w:vAlign w:val="bottom"/>
          </w:tcPr>
          <w:p>
            <w:pPr>
              <w:spacing w:after="0"/>
              <w:rPr>
                <w:sz w:val="20"/>
                <w:szCs w:val="20"/>
                <w:color w:val="auto"/>
              </w:rPr>
            </w:pPr>
          </w:p>
        </w:tc>
        <w:tc>
          <w:tcPr>
            <w:tcW w:w="10540" w:type="dxa"/>
            <w:vAlign w:val="bottom"/>
          </w:tcPr>
          <w:p>
            <w:pPr>
              <w:ind w:left="600"/>
              <w:spacing w:after="0"/>
              <w:rPr>
                <w:sz w:val="20"/>
                <w:szCs w:val="20"/>
                <w:color w:val="auto"/>
              </w:rPr>
            </w:pPr>
            <w:r>
              <w:rPr>
                <w:rFonts w:ascii="Arial" w:cs="Arial" w:eastAsia="Arial" w:hAnsi="Arial"/>
                <w:sz w:val="18"/>
                <w:szCs w:val="18"/>
                <w:color w:val="auto"/>
              </w:rPr>
              <w:t>Plains All American Pipeline, L.P., PAA GP LLC and Plains All American GP LLC.</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600"/>
              <w:spacing w:after="0"/>
              <w:rPr>
                <w:sz w:val="20"/>
                <w:szCs w:val="20"/>
                <w:color w:val="auto"/>
              </w:rPr>
            </w:pPr>
            <w:r>
              <w:rPr>
                <w:rFonts w:ascii="Arial" w:cs="Arial" w:eastAsia="Arial" w:hAnsi="Arial"/>
                <w:sz w:val="18"/>
                <w:szCs w:val="18"/>
                <w:color w:val="auto"/>
                <w:w w:val="92"/>
              </w:rPr>
              <w:t>Contribution Agreement dated October 21, 2013, by and among Plains GP Holdings, L.P., PAA GP Holdings LLC and the other parties</w:t>
            </w:r>
          </w:p>
        </w:tc>
      </w:tr>
      <w:tr>
        <w:trPr>
          <w:trHeight w:val="230"/>
        </w:trPr>
        <w:tc>
          <w:tcPr>
            <w:tcW w:w="920" w:type="dxa"/>
            <w:vAlign w:val="bottom"/>
          </w:tcPr>
          <w:p>
            <w:pPr>
              <w:spacing w:after="0"/>
              <w:rPr>
                <w:sz w:val="20"/>
                <w:szCs w:val="20"/>
                <w:color w:val="auto"/>
              </w:rPr>
            </w:pPr>
          </w:p>
        </w:tc>
        <w:tc>
          <w:tcPr>
            <w:tcW w:w="10540" w:type="dxa"/>
            <w:vAlign w:val="bottom"/>
          </w:tcPr>
          <w:p>
            <w:pPr>
              <w:ind w:left="600"/>
              <w:spacing w:after="0"/>
              <w:rPr>
                <w:sz w:val="20"/>
                <w:szCs w:val="20"/>
                <w:color w:val="auto"/>
              </w:rPr>
            </w:pPr>
            <w:r>
              <w:rPr>
                <w:rFonts w:ascii="Arial" w:cs="Arial" w:eastAsia="Arial" w:hAnsi="Arial"/>
                <w:sz w:val="18"/>
                <w:szCs w:val="18"/>
                <w:color w:val="auto"/>
              </w:rPr>
              <w:t>signatory thereto.</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600"/>
              <w:spacing w:after="0"/>
              <w:rPr>
                <w:sz w:val="20"/>
                <w:szCs w:val="20"/>
                <w:color w:val="auto"/>
              </w:rPr>
            </w:pPr>
            <w:r>
              <w:rPr>
                <w:rFonts w:ascii="Arial" w:cs="Arial" w:eastAsia="Arial" w:hAnsi="Arial"/>
                <w:sz w:val="18"/>
                <w:szCs w:val="18"/>
                <w:color w:val="auto"/>
              </w:rPr>
              <w:t>Plains GP Holdings, L.P. Long Term Incentive Plan, dated as of October 21,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600"/>
              <w:spacing w:after="0"/>
              <w:rPr>
                <w:sz w:val="20"/>
                <w:szCs w:val="20"/>
                <w:color w:val="auto"/>
              </w:rPr>
            </w:pPr>
            <w:r>
              <w:rPr>
                <w:rFonts w:ascii="Arial" w:cs="Arial" w:eastAsia="Arial" w:hAnsi="Arial"/>
                <w:sz w:val="18"/>
                <w:szCs w:val="18"/>
                <w:color w:val="auto"/>
                <w:w w:val="95"/>
              </w:rPr>
              <w:t>Waiver Agreement dated October 21, 2013 to the Amended and Restated Employment Agreement dated June 30, 2001 of Greg L.</w:t>
            </w:r>
          </w:p>
        </w:tc>
      </w:tr>
      <w:tr>
        <w:trPr>
          <w:trHeight w:val="230"/>
        </w:trPr>
        <w:tc>
          <w:tcPr>
            <w:tcW w:w="920" w:type="dxa"/>
            <w:vAlign w:val="bottom"/>
          </w:tcPr>
          <w:p>
            <w:pPr>
              <w:spacing w:after="0"/>
              <w:rPr>
                <w:sz w:val="20"/>
                <w:szCs w:val="20"/>
                <w:color w:val="auto"/>
              </w:rPr>
            </w:pPr>
          </w:p>
        </w:tc>
        <w:tc>
          <w:tcPr>
            <w:tcW w:w="10540" w:type="dxa"/>
            <w:vAlign w:val="bottom"/>
          </w:tcPr>
          <w:p>
            <w:pPr>
              <w:ind w:left="600"/>
              <w:spacing w:after="0"/>
              <w:rPr>
                <w:sz w:val="20"/>
                <w:szCs w:val="20"/>
                <w:color w:val="auto"/>
              </w:rPr>
            </w:pPr>
            <w:r>
              <w:rPr>
                <w:rFonts w:ascii="Arial" w:cs="Arial" w:eastAsia="Arial" w:hAnsi="Arial"/>
                <w:sz w:val="18"/>
                <w:szCs w:val="18"/>
                <w:color w:val="auto"/>
              </w:rPr>
              <w:t>Armstrong.</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600"/>
              <w:spacing w:after="0"/>
              <w:rPr>
                <w:sz w:val="20"/>
                <w:szCs w:val="20"/>
                <w:color w:val="auto"/>
              </w:rPr>
            </w:pPr>
            <w:r>
              <w:rPr>
                <w:rFonts w:ascii="Arial" w:cs="Arial" w:eastAsia="Arial" w:hAnsi="Arial"/>
                <w:sz w:val="18"/>
                <w:szCs w:val="18"/>
                <w:color w:val="auto"/>
                <w:w w:val="94"/>
              </w:rPr>
              <w:t>Waiver Agreement dated October 21, 2013 to the Amended and Restated Employment Agreement dated June 30, 2001 of Harry N.</w:t>
            </w:r>
          </w:p>
        </w:tc>
      </w:tr>
      <w:tr>
        <w:trPr>
          <w:trHeight w:val="230"/>
        </w:trPr>
        <w:tc>
          <w:tcPr>
            <w:tcW w:w="920" w:type="dxa"/>
            <w:vAlign w:val="bottom"/>
          </w:tcPr>
          <w:p>
            <w:pPr>
              <w:spacing w:after="0"/>
              <w:rPr>
                <w:sz w:val="20"/>
                <w:szCs w:val="20"/>
                <w:color w:val="auto"/>
              </w:rPr>
            </w:pPr>
          </w:p>
        </w:tc>
        <w:tc>
          <w:tcPr>
            <w:tcW w:w="10540" w:type="dxa"/>
            <w:vAlign w:val="bottom"/>
          </w:tcPr>
          <w:p>
            <w:pPr>
              <w:ind w:left="600"/>
              <w:spacing w:after="0"/>
              <w:rPr>
                <w:sz w:val="20"/>
                <w:szCs w:val="20"/>
                <w:color w:val="auto"/>
              </w:rPr>
            </w:pPr>
            <w:r>
              <w:rPr>
                <w:rFonts w:ascii="Arial" w:cs="Arial" w:eastAsia="Arial" w:hAnsi="Arial"/>
                <w:sz w:val="18"/>
                <w:szCs w:val="18"/>
                <w:color w:val="auto"/>
              </w:rPr>
              <w:t>Pefanis.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600"/>
              <w:spacing w:after="0"/>
              <w:rPr>
                <w:sz w:val="20"/>
                <w:szCs w:val="20"/>
                <w:color w:val="auto"/>
              </w:rPr>
            </w:pPr>
            <w:r>
              <w:rPr>
                <w:rFonts w:ascii="Arial" w:cs="Arial" w:eastAsia="Arial" w:hAnsi="Arial"/>
                <w:sz w:val="18"/>
                <w:szCs w:val="18"/>
                <w:color w:val="auto"/>
              </w:rPr>
              <w:t>Form of Amendment to the Plains AAP, L.P. Class B Restricted Units Agreement, dated October 18, 2013.</w:t>
            </w:r>
          </w:p>
        </w:tc>
      </w:tr>
      <w:tr>
        <w:trPr>
          <w:trHeight w:val="432"/>
        </w:trPr>
        <w:tc>
          <w:tcPr>
            <w:tcW w:w="92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w:t>
            </w:r>
          </w:p>
        </w:tc>
      </w:tr>
      <w:tr>
        <w:trPr>
          <w:trHeight w:val="132"/>
        </w:trPr>
        <w:tc>
          <w:tcPr>
            <w:tcW w:w="920" w:type="dxa"/>
            <w:vAlign w:val="bottom"/>
            <w:tcBorders>
              <w:bottom w:val="single" w:sz="8" w:color="010101"/>
            </w:tcBorders>
          </w:tcPr>
          <w:p>
            <w:pPr>
              <w:spacing w:after="0"/>
              <w:rPr>
                <w:sz w:val="11"/>
                <w:szCs w:val="11"/>
                <w:color w:val="auto"/>
              </w:rPr>
            </w:pPr>
          </w:p>
        </w:tc>
        <w:tc>
          <w:tcPr>
            <w:tcW w:w="105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984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9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Agreement of Limited Partnership of Plains GP Holdings, L.P., dated as of October 21, 2013.</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3.2</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Amended and Restated Limited Liability Company Agreement of PAA GP Holdings LLC, dated as of October 21, 2013.</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3.3</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Seventh Amended and Restated Limited Partnership Agreement of Plains AAP, L.P., dated as of October 21, 2013.</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3.4</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4"/>
              </w:rPr>
              <w:t>Sixth Amended and Restated Limited Liability Company Agreement of Plains All American GP LLC, dated as of October 21, 2013.</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4.1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1"/>
              </w:rPr>
              <w:t>Shareholder and Registration Rights Agreement dated October 21, 2013, by and among Plains GP Holdings, L.P. and the other parties</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signatory thereto.</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10.1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2"/>
              </w:rPr>
              <w:t>Administrative Agreement dated October 21, 2013, by and among Plains GP Holdings, L.P., PAA GP Holdings LLC, Plains AAP, L.P.,</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Plains All American Pipeline, L.P., PAA GP LLC and Plains All American GP LLC.</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10.2</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1"/>
              </w:rPr>
              <w:t>Contribution Agreement dated October 21, 2013, by and among Plains GP Holdings, L.P., PAA GP Holdings LLC and the other parties</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signatory thereto.</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10.3</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Plains GP Holdings, L.P. Long Term Incentive Plan, dated as of October 21, 2013.</w:t>
            </w: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10.4</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4"/>
              </w:rPr>
              <w:t>Waiver Agreement dated October 21, 2013 to the Amended and Restated Employment Agreement dated June 30, 2001 of Greg L.</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Armstrong.</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10.5</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Waiver Agreement dated October 21, 2013 to the Amended and Restated Employment Agreement dated June 30, 2001 of Harry N.</w:t>
            </w:r>
          </w:p>
        </w:tc>
      </w:tr>
    </w:tbl>
    <w:p>
      <w:pPr>
        <w:sectPr>
          <w:pgSz w:w="11900" w:h="16857" w:orient="portrait"/>
          <w:cols w:equalWidth="0" w:num="1">
            <w:col w:w="11460"/>
          </w:cols>
          <w:pgMar w:left="240" w:top="341" w:right="199" w:bottom="0" w:gutter="0" w:footer="0" w:header="0"/>
        </w:sectPr>
      </w:pPr>
    </w:p>
    <w:bookmarkStart w:id="5" w:name="page6"/>
    <w:bookmarkEnd w:id="5"/>
    <w:p>
      <w:pPr>
        <w:ind w:left="1580"/>
        <w:spacing w:after="0"/>
        <w:rPr>
          <w:sz w:val="20"/>
          <w:szCs w:val="20"/>
          <w:color w:val="auto"/>
        </w:rPr>
      </w:pPr>
      <w:r>
        <w:rPr>
          <w:rFonts w:ascii="Arial" w:cs="Arial" w:eastAsia="Arial" w:hAnsi="Arial"/>
          <w:sz w:val="18"/>
          <w:szCs w:val="18"/>
          <w:color w:val="auto"/>
        </w:rPr>
        <w:t>Pefanis.</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Amendment to the Plains AAP, L.P. Class B Restricted Units Agreement, dated October 18, 2013.</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 w:name="page7"/>
    <w:bookmarkEnd w:id="6"/>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9840" w:type="dxa"/>
            <w:vAlign w:val="bottom"/>
          </w:tcPr>
          <w:p>
            <w:pPr>
              <w:jc w:val="center"/>
              <w:ind w:right="730"/>
              <w:spacing w:after="0"/>
              <w:rPr>
                <w:sz w:val="20"/>
                <w:szCs w:val="20"/>
                <w:color w:val="auto"/>
              </w:rPr>
            </w:pPr>
            <w:r>
              <w:rPr>
                <w:rFonts w:ascii="Arial" w:cs="Arial" w:eastAsia="Arial" w:hAnsi="Arial"/>
                <w:sz w:val="18"/>
                <w:szCs w:val="18"/>
                <w:b w:val="1"/>
                <w:bCs w:val="1"/>
                <w:color w:val="auto"/>
                <w:w w:val="98"/>
              </w:rPr>
              <w:t>AMENDED AND RESTATED</w:t>
            </w:r>
          </w:p>
        </w:tc>
        <w:tc>
          <w:tcPr>
            <w:tcW w:w="44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9840" w:type="dxa"/>
            <w:vAlign w:val="bottom"/>
          </w:tcPr>
          <w:p>
            <w:pPr>
              <w:jc w:val="center"/>
              <w:ind w:right="670"/>
              <w:spacing w:after="0"/>
              <w:rPr>
                <w:sz w:val="20"/>
                <w:szCs w:val="20"/>
                <w:color w:val="auto"/>
              </w:rPr>
            </w:pPr>
            <w:r>
              <w:rPr>
                <w:rFonts w:ascii="Arial" w:cs="Arial" w:eastAsia="Arial" w:hAnsi="Arial"/>
                <w:sz w:val="18"/>
                <w:szCs w:val="18"/>
                <w:b w:val="1"/>
                <w:bCs w:val="1"/>
                <w:color w:val="auto"/>
              </w:rPr>
              <w:t>AGREEMENT OF LIMITED PARTNERSHIP</w:t>
            </w:r>
          </w:p>
        </w:tc>
        <w:tc>
          <w:tcPr>
            <w:tcW w:w="44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9840" w:type="dxa"/>
            <w:vAlign w:val="bottom"/>
          </w:tcPr>
          <w:p>
            <w:pPr>
              <w:jc w:val="center"/>
              <w:ind w:right="690"/>
              <w:spacing w:after="0"/>
              <w:rPr>
                <w:sz w:val="20"/>
                <w:szCs w:val="20"/>
                <w:color w:val="auto"/>
              </w:rPr>
            </w:pPr>
            <w:r>
              <w:rPr>
                <w:rFonts w:ascii="Arial" w:cs="Arial" w:eastAsia="Arial" w:hAnsi="Arial"/>
                <w:sz w:val="18"/>
                <w:szCs w:val="18"/>
                <w:b w:val="1"/>
                <w:bCs w:val="1"/>
                <w:color w:val="auto"/>
              </w:rPr>
              <w:t>OF</w:t>
            </w:r>
          </w:p>
        </w:tc>
        <w:tc>
          <w:tcPr>
            <w:tcW w:w="44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9840" w:type="dxa"/>
            <w:vAlign w:val="bottom"/>
          </w:tcPr>
          <w:p>
            <w:pPr>
              <w:jc w:val="center"/>
              <w:ind w:right="670"/>
              <w:spacing w:after="0"/>
              <w:rPr>
                <w:sz w:val="20"/>
                <w:szCs w:val="20"/>
                <w:color w:val="auto"/>
              </w:rPr>
            </w:pPr>
            <w:r>
              <w:rPr>
                <w:rFonts w:ascii="Arial" w:cs="Arial" w:eastAsia="Arial" w:hAnsi="Arial"/>
                <w:sz w:val="18"/>
                <w:szCs w:val="18"/>
                <w:b w:val="1"/>
                <w:bCs w:val="1"/>
                <w:color w:val="auto"/>
                <w:w w:val="98"/>
              </w:rPr>
              <w:t>PLAINS GP HOLDINGS, L.P.</w:t>
            </w:r>
          </w:p>
        </w:tc>
        <w:tc>
          <w:tcPr>
            <w:tcW w:w="440" w:type="dxa"/>
            <w:vAlign w:val="bottom"/>
          </w:tcPr>
          <w:p>
            <w:pPr>
              <w:spacing w:after="0"/>
              <w:rPr>
                <w:sz w:val="24"/>
                <w:szCs w:val="24"/>
                <w:color w:val="auto"/>
              </w:rPr>
            </w:pPr>
          </w:p>
        </w:tc>
      </w:tr>
      <w:tr>
        <w:trPr>
          <w:trHeight w:val="348"/>
        </w:trPr>
        <w:tc>
          <w:tcPr>
            <w:tcW w:w="118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r>
      <w:tr>
        <w:trPr>
          <w:trHeight w:val="780"/>
        </w:trPr>
        <w:tc>
          <w:tcPr>
            <w:tcW w:w="1180" w:type="dxa"/>
            <w:vAlign w:val="bottom"/>
          </w:tcPr>
          <w:p>
            <w:pPr>
              <w:spacing w:after="0"/>
              <w:rPr>
                <w:sz w:val="24"/>
                <w:szCs w:val="24"/>
                <w:color w:val="auto"/>
              </w:rPr>
            </w:pPr>
          </w:p>
        </w:tc>
        <w:tc>
          <w:tcPr>
            <w:tcW w:w="9840" w:type="dxa"/>
            <w:vAlign w:val="bottom"/>
          </w:tcPr>
          <w:p>
            <w:pPr>
              <w:jc w:val="center"/>
              <w:ind w:right="67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r>
      <w:tr>
        <w:trPr>
          <w:trHeight w:val="418"/>
        </w:trPr>
        <w:tc>
          <w:tcPr>
            <w:tcW w:w="1180" w:type="dxa"/>
            <w:vAlign w:val="bottom"/>
          </w:tcPr>
          <w:p>
            <w:pPr>
              <w:spacing w:after="0"/>
              <w:rPr>
                <w:sz w:val="24"/>
                <w:szCs w:val="24"/>
                <w:color w:val="auto"/>
              </w:rPr>
            </w:pPr>
          </w:p>
        </w:tc>
        <w:tc>
          <w:tcPr>
            <w:tcW w:w="9840" w:type="dxa"/>
            <w:vAlign w:val="bottom"/>
          </w:tcPr>
          <w:p>
            <w:pPr>
              <w:jc w:val="center"/>
              <w:ind w:right="690"/>
              <w:spacing w:after="0"/>
              <w:rPr>
                <w:sz w:val="20"/>
                <w:szCs w:val="20"/>
                <w:color w:val="auto"/>
              </w:rPr>
            </w:pPr>
            <w:r>
              <w:rPr>
                <w:rFonts w:ascii="Arial" w:cs="Arial" w:eastAsia="Arial" w:hAnsi="Arial"/>
                <w:sz w:val="18"/>
                <w:szCs w:val="18"/>
                <w:color w:val="auto"/>
                <w:w w:val="99"/>
              </w:rPr>
              <w:t>ARTICLE I</w:t>
            </w:r>
          </w:p>
        </w:tc>
        <w:tc>
          <w:tcPr>
            <w:tcW w:w="44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9840" w:type="dxa"/>
            <w:vAlign w:val="bottom"/>
          </w:tcPr>
          <w:p>
            <w:pPr>
              <w:jc w:val="center"/>
              <w:ind w:right="670"/>
              <w:spacing w:after="0"/>
              <w:rPr>
                <w:sz w:val="20"/>
                <w:szCs w:val="20"/>
                <w:color w:val="auto"/>
              </w:rPr>
            </w:pPr>
            <w:r>
              <w:rPr>
                <w:rFonts w:ascii="Arial" w:cs="Arial" w:eastAsia="Arial" w:hAnsi="Arial"/>
                <w:sz w:val="18"/>
                <w:szCs w:val="18"/>
                <w:color w:val="auto"/>
                <w:w w:val="98"/>
              </w:rPr>
              <w:t>DEFINITIONS</w:t>
            </w:r>
          </w:p>
        </w:tc>
        <w:tc>
          <w:tcPr>
            <w:tcW w:w="44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1.1</w:t>
            </w:r>
          </w:p>
        </w:tc>
        <w:tc>
          <w:tcPr>
            <w:tcW w:w="9840" w:type="dxa"/>
            <w:vAlign w:val="bottom"/>
          </w:tcPr>
          <w:p>
            <w:pPr>
              <w:ind w:left="360"/>
              <w:spacing w:after="0"/>
              <w:rPr>
                <w:sz w:val="20"/>
                <w:szCs w:val="20"/>
                <w:color w:val="auto"/>
              </w:rPr>
            </w:pPr>
            <w:r>
              <w:rPr>
                <w:rFonts w:ascii="Arial" w:cs="Arial" w:eastAsia="Arial" w:hAnsi="Arial"/>
                <w:sz w:val="18"/>
                <w:szCs w:val="18"/>
                <w:color w:val="auto"/>
              </w:rPr>
              <w:t>Definitions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1.2</w:t>
            </w:r>
          </w:p>
        </w:tc>
        <w:tc>
          <w:tcPr>
            <w:tcW w:w="984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180" w:type="dxa"/>
            <w:vAlign w:val="bottom"/>
          </w:tcPr>
          <w:p>
            <w:pPr>
              <w:spacing w:after="0"/>
              <w:rPr>
                <w:sz w:val="24"/>
                <w:szCs w:val="24"/>
                <w:color w:val="auto"/>
              </w:rPr>
            </w:pPr>
          </w:p>
        </w:tc>
        <w:tc>
          <w:tcPr>
            <w:tcW w:w="9840" w:type="dxa"/>
            <w:vAlign w:val="bottom"/>
          </w:tcPr>
          <w:p>
            <w:pPr>
              <w:jc w:val="center"/>
              <w:ind w:right="670"/>
              <w:spacing w:after="0"/>
              <w:rPr>
                <w:sz w:val="20"/>
                <w:szCs w:val="20"/>
                <w:color w:val="auto"/>
              </w:rPr>
            </w:pPr>
            <w:r>
              <w:rPr>
                <w:rFonts w:ascii="Arial" w:cs="Arial" w:eastAsia="Arial" w:hAnsi="Arial"/>
                <w:sz w:val="18"/>
                <w:szCs w:val="18"/>
                <w:color w:val="auto"/>
              </w:rPr>
              <w:t>ARTICLE II</w:t>
            </w:r>
          </w:p>
        </w:tc>
        <w:tc>
          <w:tcPr>
            <w:tcW w:w="44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9840" w:type="dxa"/>
            <w:vAlign w:val="bottom"/>
          </w:tcPr>
          <w:p>
            <w:pPr>
              <w:jc w:val="center"/>
              <w:ind w:right="690"/>
              <w:spacing w:after="0"/>
              <w:rPr>
                <w:sz w:val="20"/>
                <w:szCs w:val="20"/>
                <w:color w:val="auto"/>
              </w:rPr>
            </w:pPr>
            <w:r>
              <w:rPr>
                <w:rFonts w:ascii="Arial" w:cs="Arial" w:eastAsia="Arial" w:hAnsi="Arial"/>
                <w:sz w:val="18"/>
                <w:szCs w:val="18"/>
                <w:color w:val="auto"/>
                <w:w w:val="97"/>
              </w:rPr>
              <w:t>ORGANIZATION</w:t>
            </w:r>
          </w:p>
        </w:tc>
        <w:tc>
          <w:tcPr>
            <w:tcW w:w="44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2.1</w:t>
            </w:r>
          </w:p>
        </w:tc>
        <w:tc>
          <w:tcPr>
            <w:tcW w:w="9840" w:type="dxa"/>
            <w:vAlign w:val="bottom"/>
          </w:tcPr>
          <w:p>
            <w:pPr>
              <w:ind w:left="360"/>
              <w:spacing w:after="0"/>
              <w:rPr>
                <w:sz w:val="20"/>
                <w:szCs w:val="20"/>
                <w:color w:val="auto"/>
              </w:rPr>
            </w:pPr>
            <w:r>
              <w:rPr>
                <w:rFonts w:ascii="Arial" w:cs="Arial" w:eastAsia="Arial" w:hAnsi="Arial"/>
                <w:sz w:val="18"/>
                <w:szCs w:val="18"/>
                <w:color w:val="auto"/>
              </w:rPr>
              <w:t>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2.2</w:t>
            </w:r>
          </w:p>
        </w:tc>
        <w:tc>
          <w:tcPr>
            <w:tcW w:w="9840" w:type="dxa"/>
            <w:vAlign w:val="bottom"/>
          </w:tcPr>
          <w:p>
            <w:pPr>
              <w:ind w:left="360"/>
              <w:spacing w:after="0"/>
              <w:rPr>
                <w:sz w:val="20"/>
                <w:szCs w:val="20"/>
                <w:color w:val="auto"/>
              </w:rPr>
            </w:pPr>
            <w:r>
              <w:rPr>
                <w:rFonts w:ascii="Arial" w:cs="Arial" w:eastAsia="Arial" w:hAnsi="Arial"/>
                <w:sz w:val="18"/>
                <w:szCs w:val="18"/>
                <w:color w:val="auto"/>
              </w:rPr>
              <w:t>Name</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2.3</w:t>
            </w:r>
          </w:p>
        </w:tc>
        <w:tc>
          <w:tcPr>
            <w:tcW w:w="9840" w:type="dxa"/>
            <w:vAlign w:val="bottom"/>
          </w:tcPr>
          <w:p>
            <w:pPr>
              <w:ind w:left="360"/>
              <w:spacing w:after="0"/>
              <w:rPr>
                <w:sz w:val="20"/>
                <w:szCs w:val="20"/>
                <w:color w:val="auto"/>
              </w:rPr>
            </w:pPr>
            <w:r>
              <w:rPr>
                <w:rFonts w:ascii="Arial" w:cs="Arial" w:eastAsia="Arial" w:hAnsi="Arial"/>
                <w:sz w:val="18"/>
                <w:szCs w:val="18"/>
                <w:color w:val="auto"/>
              </w:rPr>
              <w:t>Registered Office; Registered Agent; Principal Office; Other Offices</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2.4</w:t>
            </w:r>
          </w:p>
        </w:tc>
        <w:tc>
          <w:tcPr>
            <w:tcW w:w="9840" w:type="dxa"/>
            <w:vAlign w:val="bottom"/>
          </w:tcPr>
          <w:p>
            <w:pPr>
              <w:ind w:left="360"/>
              <w:spacing w:after="0"/>
              <w:rPr>
                <w:sz w:val="20"/>
                <w:szCs w:val="20"/>
                <w:color w:val="auto"/>
              </w:rPr>
            </w:pPr>
            <w:r>
              <w:rPr>
                <w:rFonts w:ascii="Arial" w:cs="Arial" w:eastAsia="Arial" w:hAnsi="Arial"/>
                <w:sz w:val="18"/>
                <w:szCs w:val="18"/>
                <w:color w:val="auto"/>
              </w:rPr>
              <w:t>Purpose and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2.5</w:t>
            </w:r>
          </w:p>
        </w:tc>
        <w:tc>
          <w:tcPr>
            <w:tcW w:w="9840" w:type="dxa"/>
            <w:vAlign w:val="bottom"/>
          </w:tcPr>
          <w:p>
            <w:pPr>
              <w:ind w:left="360"/>
              <w:spacing w:after="0"/>
              <w:rPr>
                <w:sz w:val="20"/>
                <w:szCs w:val="20"/>
                <w:color w:val="auto"/>
              </w:rPr>
            </w:pPr>
            <w:r>
              <w:rPr>
                <w:rFonts w:ascii="Arial" w:cs="Arial" w:eastAsia="Arial" w:hAnsi="Arial"/>
                <w:sz w:val="18"/>
                <w:szCs w:val="18"/>
                <w:color w:val="auto"/>
              </w:rPr>
              <w:t>Powers</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2.6</w:t>
            </w:r>
          </w:p>
        </w:tc>
        <w:tc>
          <w:tcPr>
            <w:tcW w:w="9840" w:type="dxa"/>
            <w:vAlign w:val="bottom"/>
          </w:tcPr>
          <w:p>
            <w:pPr>
              <w:ind w:left="360"/>
              <w:spacing w:after="0"/>
              <w:rPr>
                <w:sz w:val="20"/>
                <w:szCs w:val="20"/>
                <w:color w:val="auto"/>
              </w:rPr>
            </w:pPr>
            <w:r>
              <w:rPr>
                <w:rFonts w:ascii="Arial" w:cs="Arial" w:eastAsia="Arial" w:hAnsi="Arial"/>
                <w:sz w:val="18"/>
                <w:szCs w:val="18"/>
                <w:color w:val="auto"/>
              </w:rPr>
              <w:t>Term</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2.7</w:t>
            </w:r>
          </w:p>
        </w:tc>
        <w:tc>
          <w:tcPr>
            <w:tcW w:w="9840" w:type="dxa"/>
            <w:vAlign w:val="bottom"/>
          </w:tcPr>
          <w:p>
            <w:pPr>
              <w:ind w:left="360"/>
              <w:spacing w:after="0"/>
              <w:rPr>
                <w:sz w:val="20"/>
                <w:szCs w:val="20"/>
                <w:color w:val="auto"/>
              </w:rPr>
            </w:pPr>
            <w:r>
              <w:rPr>
                <w:rFonts w:ascii="Arial" w:cs="Arial" w:eastAsia="Arial" w:hAnsi="Arial"/>
                <w:sz w:val="18"/>
                <w:szCs w:val="18"/>
                <w:color w:val="auto"/>
              </w:rPr>
              <w:t>Title to Partnership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1180" w:type="dxa"/>
            <w:vAlign w:val="bottom"/>
          </w:tcPr>
          <w:p>
            <w:pPr>
              <w:spacing w:after="0"/>
              <w:rPr>
                <w:sz w:val="24"/>
                <w:szCs w:val="24"/>
                <w:color w:val="auto"/>
              </w:rPr>
            </w:pPr>
          </w:p>
        </w:tc>
        <w:tc>
          <w:tcPr>
            <w:tcW w:w="9840" w:type="dxa"/>
            <w:vAlign w:val="bottom"/>
          </w:tcPr>
          <w:p>
            <w:pPr>
              <w:jc w:val="center"/>
              <w:ind w:right="690"/>
              <w:spacing w:after="0"/>
              <w:rPr>
                <w:sz w:val="20"/>
                <w:szCs w:val="20"/>
                <w:color w:val="auto"/>
              </w:rPr>
            </w:pPr>
            <w:r>
              <w:rPr>
                <w:rFonts w:ascii="Arial" w:cs="Arial" w:eastAsia="Arial" w:hAnsi="Arial"/>
                <w:sz w:val="18"/>
                <w:szCs w:val="18"/>
                <w:color w:val="auto"/>
              </w:rPr>
              <w:t>ARTICLE III</w:t>
            </w:r>
          </w:p>
        </w:tc>
        <w:tc>
          <w:tcPr>
            <w:tcW w:w="44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9840" w:type="dxa"/>
            <w:vAlign w:val="bottom"/>
          </w:tcPr>
          <w:p>
            <w:pPr>
              <w:jc w:val="center"/>
              <w:ind w:right="670"/>
              <w:spacing w:after="0"/>
              <w:rPr>
                <w:sz w:val="20"/>
                <w:szCs w:val="20"/>
                <w:color w:val="auto"/>
              </w:rPr>
            </w:pPr>
            <w:r>
              <w:rPr>
                <w:rFonts w:ascii="Arial" w:cs="Arial" w:eastAsia="Arial" w:hAnsi="Arial"/>
                <w:sz w:val="18"/>
                <w:szCs w:val="18"/>
                <w:color w:val="auto"/>
                <w:w w:val="95"/>
              </w:rPr>
              <w:t>RIGHTS OF LIMITED PARTNERS</w:t>
            </w:r>
          </w:p>
        </w:tc>
        <w:tc>
          <w:tcPr>
            <w:tcW w:w="44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3.1</w:t>
            </w:r>
          </w:p>
        </w:tc>
        <w:tc>
          <w:tcPr>
            <w:tcW w:w="9840" w:type="dxa"/>
            <w:vAlign w:val="bottom"/>
          </w:tcPr>
          <w:p>
            <w:pPr>
              <w:ind w:left="360"/>
              <w:spacing w:after="0"/>
              <w:rPr>
                <w:sz w:val="20"/>
                <w:szCs w:val="20"/>
                <w:color w:val="auto"/>
              </w:rPr>
            </w:pPr>
            <w:r>
              <w:rPr>
                <w:rFonts w:ascii="Arial" w:cs="Arial" w:eastAsia="Arial" w:hAnsi="Arial"/>
                <w:sz w:val="18"/>
                <w:szCs w:val="18"/>
                <w:color w:val="auto"/>
              </w:rPr>
              <w:t>Limitation of Liability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3.2</w:t>
            </w:r>
          </w:p>
        </w:tc>
        <w:tc>
          <w:tcPr>
            <w:tcW w:w="9840" w:type="dxa"/>
            <w:vAlign w:val="bottom"/>
          </w:tcPr>
          <w:p>
            <w:pPr>
              <w:ind w:left="360"/>
              <w:spacing w:after="0"/>
              <w:rPr>
                <w:sz w:val="20"/>
                <w:szCs w:val="20"/>
                <w:color w:val="auto"/>
              </w:rPr>
            </w:pPr>
            <w:r>
              <w:rPr>
                <w:rFonts w:ascii="Arial" w:cs="Arial" w:eastAsia="Arial" w:hAnsi="Arial"/>
                <w:sz w:val="18"/>
                <w:szCs w:val="18"/>
                <w:color w:val="auto"/>
              </w:rPr>
              <w:t>Management of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3.3</w:t>
            </w:r>
          </w:p>
        </w:tc>
        <w:tc>
          <w:tcPr>
            <w:tcW w:w="9840" w:type="dxa"/>
            <w:vAlign w:val="bottom"/>
          </w:tcPr>
          <w:p>
            <w:pPr>
              <w:ind w:left="360"/>
              <w:spacing w:after="0"/>
              <w:rPr>
                <w:sz w:val="20"/>
                <w:szCs w:val="20"/>
                <w:color w:val="auto"/>
              </w:rPr>
            </w:pPr>
            <w:r>
              <w:rPr>
                <w:rFonts w:ascii="Arial" w:cs="Arial" w:eastAsia="Arial" w:hAnsi="Arial"/>
                <w:sz w:val="18"/>
                <w:szCs w:val="18"/>
                <w:color w:val="auto"/>
              </w:rPr>
              <w:t>Outside Activities of the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3.4</w:t>
            </w:r>
          </w:p>
        </w:tc>
        <w:tc>
          <w:tcPr>
            <w:tcW w:w="9840" w:type="dxa"/>
            <w:vAlign w:val="bottom"/>
          </w:tcPr>
          <w:p>
            <w:pPr>
              <w:ind w:left="360"/>
              <w:spacing w:after="0"/>
              <w:rPr>
                <w:sz w:val="20"/>
                <w:szCs w:val="20"/>
                <w:color w:val="auto"/>
              </w:rPr>
            </w:pPr>
            <w:r>
              <w:rPr>
                <w:rFonts w:ascii="Arial" w:cs="Arial" w:eastAsia="Arial" w:hAnsi="Arial"/>
                <w:sz w:val="18"/>
                <w:szCs w:val="18"/>
                <w:color w:val="auto"/>
              </w:rPr>
              <w:t>Rights of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180" w:type="dxa"/>
            <w:vAlign w:val="bottom"/>
          </w:tcPr>
          <w:p>
            <w:pPr>
              <w:spacing w:after="0"/>
              <w:rPr>
                <w:sz w:val="24"/>
                <w:szCs w:val="24"/>
                <w:color w:val="auto"/>
              </w:rPr>
            </w:pPr>
          </w:p>
        </w:tc>
        <w:tc>
          <w:tcPr>
            <w:tcW w:w="9840" w:type="dxa"/>
            <w:vAlign w:val="bottom"/>
          </w:tcPr>
          <w:p>
            <w:pPr>
              <w:jc w:val="center"/>
              <w:ind w:right="690"/>
              <w:spacing w:after="0"/>
              <w:rPr>
                <w:sz w:val="20"/>
                <w:szCs w:val="20"/>
                <w:color w:val="auto"/>
              </w:rPr>
            </w:pPr>
            <w:r>
              <w:rPr>
                <w:rFonts w:ascii="Arial" w:cs="Arial" w:eastAsia="Arial" w:hAnsi="Arial"/>
                <w:sz w:val="18"/>
                <w:szCs w:val="18"/>
                <w:color w:val="auto"/>
                <w:w w:val="99"/>
              </w:rPr>
              <w:t>ARTICLE IV</w:t>
            </w:r>
          </w:p>
        </w:tc>
        <w:tc>
          <w:tcPr>
            <w:tcW w:w="440" w:type="dxa"/>
            <w:vAlign w:val="bottom"/>
          </w:tcPr>
          <w:p>
            <w:pPr>
              <w:spacing w:after="0"/>
              <w:rPr>
                <w:sz w:val="24"/>
                <w:szCs w:val="24"/>
                <w:color w:val="auto"/>
              </w:rPr>
            </w:pPr>
          </w:p>
        </w:tc>
      </w:tr>
      <w:tr>
        <w:trPr>
          <w:trHeight w:val="230"/>
        </w:trPr>
        <w:tc>
          <w:tcPr>
            <w:tcW w:w="1102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CERTIFICATES; RECORD HOLDERS; TRANSFER OF PARTNERSHIP INTERESTS; REDEMPTION OF PARTNERSHIP INTERESTS</w:t>
            </w:r>
          </w:p>
        </w:tc>
        <w:tc>
          <w:tcPr>
            <w:tcW w:w="44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4.1</w:t>
            </w:r>
          </w:p>
        </w:tc>
        <w:tc>
          <w:tcPr>
            <w:tcW w:w="9840" w:type="dxa"/>
            <w:vAlign w:val="bottom"/>
          </w:tcPr>
          <w:p>
            <w:pPr>
              <w:ind w:left="360"/>
              <w:spacing w:after="0"/>
              <w:rPr>
                <w:sz w:val="20"/>
                <w:szCs w:val="20"/>
                <w:color w:val="auto"/>
              </w:rPr>
            </w:pPr>
            <w:r>
              <w:rPr>
                <w:rFonts w:ascii="Arial" w:cs="Arial" w:eastAsia="Arial" w:hAnsi="Arial"/>
                <w:sz w:val="18"/>
                <w:szCs w:val="18"/>
                <w:color w:val="auto"/>
              </w:rPr>
              <w:t>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4.2</w:t>
            </w:r>
          </w:p>
        </w:tc>
        <w:tc>
          <w:tcPr>
            <w:tcW w:w="9840" w:type="dxa"/>
            <w:vAlign w:val="bottom"/>
          </w:tcPr>
          <w:p>
            <w:pPr>
              <w:ind w:left="360"/>
              <w:spacing w:after="0"/>
              <w:rPr>
                <w:sz w:val="20"/>
                <w:szCs w:val="20"/>
                <w:color w:val="auto"/>
              </w:rPr>
            </w:pPr>
            <w:r>
              <w:rPr>
                <w:rFonts w:ascii="Arial" w:cs="Arial" w:eastAsia="Arial" w:hAnsi="Arial"/>
                <w:sz w:val="18"/>
                <w:szCs w:val="18"/>
                <w:color w:val="auto"/>
              </w:rPr>
              <w:t>Mutilated, Destroyed, Lost or Stolen Certificates</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4.3</w:t>
            </w:r>
          </w:p>
        </w:tc>
        <w:tc>
          <w:tcPr>
            <w:tcW w:w="9840" w:type="dxa"/>
            <w:vAlign w:val="bottom"/>
          </w:tcPr>
          <w:p>
            <w:pPr>
              <w:ind w:left="360"/>
              <w:spacing w:after="0"/>
              <w:rPr>
                <w:sz w:val="20"/>
                <w:szCs w:val="20"/>
                <w:color w:val="auto"/>
              </w:rPr>
            </w:pPr>
            <w:r>
              <w:rPr>
                <w:rFonts w:ascii="Arial" w:cs="Arial" w:eastAsia="Arial" w:hAnsi="Arial"/>
                <w:sz w:val="18"/>
                <w:szCs w:val="18"/>
                <w:color w:val="auto"/>
              </w:rPr>
              <w:t>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4.4</w:t>
            </w:r>
          </w:p>
        </w:tc>
        <w:tc>
          <w:tcPr>
            <w:tcW w:w="9840" w:type="dxa"/>
            <w:vAlign w:val="bottom"/>
          </w:tcPr>
          <w:p>
            <w:pPr>
              <w:ind w:left="360"/>
              <w:spacing w:after="0"/>
              <w:rPr>
                <w:sz w:val="20"/>
                <w:szCs w:val="20"/>
                <w:color w:val="auto"/>
              </w:rPr>
            </w:pPr>
            <w:r>
              <w:rPr>
                <w:rFonts w:ascii="Arial" w:cs="Arial" w:eastAsia="Arial" w:hAnsi="Arial"/>
                <w:sz w:val="18"/>
                <w:szCs w:val="18"/>
                <w:color w:val="auto"/>
              </w:rPr>
              <w:t>Transfer Generally</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4.5</w:t>
            </w:r>
          </w:p>
        </w:tc>
        <w:tc>
          <w:tcPr>
            <w:tcW w:w="9840" w:type="dxa"/>
            <w:vAlign w:val="bottom"/>
          </w:tcPr>
          <w:p>
            <w:pPr>
              <w:ind w:left="360"/>
              <w:spacing w:after="0"/>
              <w:rPr>
                <w:sz w:val="20"/>
                <w:szCs w:val="20"/>
                <w:color w:val="auto"/>
              </w:rPr>
            </w:pPr>
            <w:r>
              <w:rPr>
                <w:rFonts w:ascii="Arial" w:cs="Arial" w:eastAsia="Arial" w:hAnsi="Arial"/>
                <w:sz w:val="18"/>
                <w:szCs w:val="18"/>
                <w:color w:val="auto"/>
              </w:rPr>
              <w:t>Registration and Transfer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4.6</w:t>
            </w:r>
          </w:p>
        </w:tc>
        <w:tc>
          <w:tcPr>
            <w:tcW w:w="9840" w:type="dxa"/>
            <w:vAlign w:val="bottom"/>
          </w:tcPr>
          <w:p>
            <w:pPr>
              <w:ind w:left="360"/>
              <w:spacing w:after="0"/>
              <w:rPr>
                <w:sz w:val="20"/>
                <w:szCs w:val="20"/>
                <w:color w:val="auto"/>
              </w:rPr>
            </w:pPr>
            <w:r>
              <w:rPr>
                <w:rFonts w:ascii="Arial" w:cs="Arial" w:eastAsia="Arial" w:hAnsi="Arial"/>
                <w:sz w:val="18"/>
                <w:szCs w:val="18"/>
                <w:color w:val="auto"/>
              </w:rPr>
              <w:t>Transfer of the General Partner Interest</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4.7</w:t>
            </w:r>
          </w:p>
        </w:tc>
        <w:tc>
          <w:tcPr>
            <w:tcW w:w="9840" w:type="dxa"/>
            <w:vAlign w:val="bottom"/>
          </w:tcPr>
          <w:p>
            <w:pPr>
              <w:ind w:left="360"/>
              <w:spacing w:after="0"/>
              <w:rPr>
                <w:sz w:val="20"/>
                <w:szCs w:val="20"/>
                <w:color w:val="auto"/>
              </w:rPr>
            </w:pPr>
            <w:r>
              <w:rPr>
                <w:rFonts w:ascii="Arial" w:cs="Arial" w:eastAsia="Arial" w:hAnsi="Arial"/>
                <w:sz w:val="18"/>
                <w:szCs w:val="18"/>
                <w:color w:val="auto"/>
              </w:rPr>
              <w:t>Restrictions on Transfers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4.8</w:t>
            </w:r>
          </w:p>
        </w:tc>
        <w:tc>
          <w:tcPr>
            <w:tcW w:w="9840" w:type="dxa"/>
            <w:vAlign w:val="bottom"/>
          </w:tcPr>
          <w:p>
            <w:pPr>
              <w:ind w:left="360"/>
              <w:spacing w:after="0"/>
              <w:rPr>
                <w:sz w:val="20"/>
                <w:szCs w:val="20"/>
                <w:color w:val="auto"/>
              </w:rPr>
            </w:pPr>
            <w:r>
              <w:rPr>
                <w:rFonts w:ascii="Arial" w:cs="Arial" w:eastAsia="Arial" w:hAnsi="Arial"/>
                <w:sz w:val="18"/>
                <w:szCs w:val="18"/>
                <w:color w:val="auto"/>
              </w:rPr>
              <w:t>Eligibility Certificates; Ineligible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4.9</w:t>
            </w:r>
          </w:p>
        </w:tc>
        <w:tc>
          <w:tcPr>
            <w:tcW w:w="9840" w:type="dxa"/>
            <w:vAlign w:val="bottom"/>
          </w:tcPr>
          <w:p>
            <w:pPr>
              <w:ind w:left="360"/>
              <w:spacing w:after="0"/>
              <w:rPr>
                <w:sz w:val="20"/>
                <w:szCs w:val="20"/>
                <w:color w:val="auto"/>
              </w:rPr>
            </w:pPr>
            <w:r>
              <w:rPr>
                <w:rFonts w:ascii="Arial" w:cs="Arial" w:eastAsia="Arial" w:hAnsi="Arial"/>
                <w:sz w:val="18"/>
                <w:szCs w:val="18"/>
                <w:color w:val="auto"/>
              </w:rPr>
              <w:t>Redemption of Partnership Interests of Ineligible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180" w:type="dxa"/>
            <w:vAlign w:val="bottom"/>
          </w:tcPr>
          <w:p>
            <w:pPr>
              <w:spacing w:after="0"/>
              <w:rPr>
                <w:sz w:val="24"/>
                <w:szCs w:val="24"/>
                <w:color w:val="auto"/>
              </w:rPr>
            </w:pPr>
          </w:p>
        </w:tc>
        <w:tc>
          <w:tcPr>
            <w:tcW w:w="9840" w:type="dxa"/>
            <w:vAlign w:val="bottom"/>
          </w:tcPr>
          <w:p>
            <w:pPr>
              <w:jc w:val="center"/>
              <w:ind w:right="670"/>
              <w:spacing w:after="0"/>
              <w:rPr>
                <w:sz w:val="20"/>
                <w:szCs w:val="20"/>
                <w:color w:val="auto"/>
              </w:rPr>
            </w:pPr>
            <w:r>
              <w:rPr>
                <w:rFonts w:ascii="Arial" w:cs="Arial" w:eastAsia="Arial" w:hAnsi="Arial"/>
                <w:sz w:val="18"/>
                <w:szCs w:val="18"/>
                <w:color w:val="auto"/>
                <w:w w:val="98"/>
              </w:rPr>
              <w:t>ARTICLE V</w:t>
            </w:r>
          </w:p>
        </w:tc>
        <w:tc>
          <w:tcPr>
            <w:tcW w:w="44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9840" w:type="dxa"/>
            <w:vAlign w:val="bottom"/>
          </w:tcPr>
          <w:p>
            <w:pPr>
              <w:jc w:val="center"/>
              <w:ind w:right="690"/>
              <w:spacing w:after="0"/>
              <w:rPr>
                <w:sz w:val="20"/>
                <w:szCs w:val="20"/>
                <w:color w:val="auto"/>
              </w:rPr>
            </w:pPr>
            <w:r>
              <w:rPr>
                <w:rFonts w:ascii="Arial" w:cs="Arial" w:eastAsia="Arial" w:hAnsi="Arial"/>
                <w:sz w:val="18"/>
                <w:szCs w:val="18"/>
                <w:color w:val="auto"/>
                <w:w w:val="95"/>
              </w:rPr>
              <w:t>CAPITAL CONTRIBUTIONS AND ISSUANCE OF PARTNERSHIP INTERESTS</w:t>
            </w:r>
          </w:p>
        </w:tc>
        <w:tc>
          <w:tcPr>
            <w:tcW w:w="44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5.1</w:t>
            </w:r>
          </w:p>
        </w:tc>
        <w:tc>
          <w:tcPr>
            <w:tcW w:w="9840" w:type="dxa"/>
            <w:vAlign w:val="bottom"/>
          </w:tcPr>
          <w:p>
            <w:pPr>
              <w:ind w:left="360"/>
              <w:spacing w:after="0"/>
              <w:rPr>
                <w:sz w:val="20"/>
                <w:szCs w:val="20"/>
                <w:color w:val="auto"/>
              </w:rPr>
            </w:pPr>
            <w:r>
              <w:rPr>
                <w:rFonts w:ascii="Arial" w:cs="Arial" w:eastAsia="Arial" w:hAnsi="Arial"/>
                <w:sz w:val="18"/>
                <w:szCs w:val="18"/>
                <w:color w:val="auto"/>
              </w:rPr>
              <w:t>Organizational Issuances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5.2</w:t>
            </w:r>
          </w:p>
        </w:tc>
        <w:tc>
          <w:tcPr>
            <w:tcW w:w="9840" w:type="dxa"/>
            <w:vAlign w:val="bottom"/>
          </w:tcPr>
          <w:p>
            <w:pPr>
              <w:ind w:left="360"/>
              <w:spacing w:after="0"/>
              <w:rPr>
                <w:sz w:val="20"/>
                <w:szCs w:val="20"/>
                <w:color w:val="auto"/>
              </w:rPr>
            </w:pPr>
            <w:r>
              <w:rPr>
                <w:rFonts w:ascii="Arial" w:cs="Arial" w:eastAsia="Arial" w:hAnsi="Arial"/>
                <w:sz w:val="18"/>
                <w:szCs w:val="18"/>
                <w:color w:val="auto"/>
              </w:rPr>
              <w:t>Contributions by Initial Limited Partners</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5.3</w:t>
            </w:r>
          </w:p>
        </w:tc>
        <w:tc>
          <w:tcPr>
            <w:tcW w:w="9840" w:type="dxa"/>
            <w:vAlign w:val="bottom"/>
          </w:tcPr>
          <w:p>
            <w:pPr>
              <w:ind w:left="360"/>
              <w:spacing w:after="0"/>
              <w:rPr>
                <w:sz w:val="20"/>
                <w:szCs w:val="20"/>
                <w:color w:val="auto"/>
              </w:rPr>
            </w:pPr>
            <w:r>
              <w:rPr>
                <w:rFonts w:ascii="Arial" w:cs="Arial" w:eastAsia="Arial" w:hAnsi="Arial"/>
                <w:sz w:val="18"/>
                <w:szCs w:val="18"/>
                <w:color w:val="auto"/>
              </w:rPr>
              <w:t>Contributions by the Underwriters</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5.4</w:t>
            </w:r>
          </w:p>
        </w:tc>
        <w:tc>
          <w:tcPr>
            <w:tcW w:w="9840" w:type="dxa"/>
            <w:vAlign w:val="bottom"/>
          </w:tcPr>
          <w:p>
            <w:pPr>
              <w:ind w:left="360"/>
              <w:spacing w:after="0"/>
              <w:rPr>
                <w:sz w:val="20"/>
                <w:szCs w:val="20"/>
                <w:color w:val="auto"/>
              </w:rPr>
            </w:pPr>
            <w:r>
              <w:rPr>
                <w:rFonts w:ascii="Arial" w:cs="Arial" w:eastAsia="Arial" w:hAnsi="Arial"/>
                <w:sz w:val="18"/>
                <w:szCs w:val="18"/>
                <w:color w:val="auto"/>
              </w:rPr>
              <w:t>Interest and Withdrawal</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5.5</w:t>
            </w:r>
          </w:p>
        </w:tc>
        <w:tc>
          <w:tcPr>
            <w:tcW w:w="9840" w:type="dxa"/>
            <w:vAlign w:val="bottom"/>
          </w:tcPr>
          <w:p>
            <w:pPr>
              <w:ind w:left="360"/>
              <w:spacing w:after="0"/>
              <w:rPr>
                <w:sz w:val="20"/>
                <w:szCs w:val="20"/>
                <w:color w:val="auto"/>
              </w:rPr>
            </w:pPr>
            <w:r>
              <w:rPr>
                <w:rFonts w:ascii="Arial" w:cs="Arial" w:eastAsia="Arial" w:hAnsi="Arial"/>
                <w:sz w:val="18"/>
                <w:szCs w:val="18"/>
                <w:color w:val="auto"/>
              </w:rPr>
              <w:t>Issuances of Additional Partnership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5.6</w:t>
            </w:r>
          </w:p>
        </w:tc>
        <w:tc>
          <w:tcPr>
            <w:tcW w:w="9840" w:type="dxa"/>
            <w:vAlign w:val="bottom"/>
          </w:tcPr>
          <w:p>
            <w:pPr>
              <w:ind w:left="360"/>
              <w:spacing w:after="0"/>
              <w:rPr>
                <w:sz w:val="20"/>
                <w:szCs w:val="20"/>
                <w:color w:val="auto"/>
              </w:rPr>
            </w:pPr>
            <w:r>
              <w:rPr>
                <w:rFonts w:ascii="Arial" w:cs="Arial" w:eastAsia="Arial" w:hAnsi="Arial"/>
                <w:sz w:val="18"/>
                <w:szCs w:val="18"/>
                <w:color w:val="auto"/>
              </w:rPr>
              <w:t>AAP Exchanges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180" w:type="dxa"/>
            <w:vAlign w:val="bottom"/>
          </w:tcPr>
          <w:p>
            <w:pPr>
              <w:spacing w:after="0"/>
              <w:rPr>
                <w:sz w:val="24"/>
                <w:szCs w:val="24"/>
                <w:color w:val="auto"/>
              </w:rPr>
            </w:pPr>
          </w:p>
        </w:tc>
        <w:tc>
          <w:tcPr>
            <w:tcW w:w="9840" w:type="dxa"/>
            <w:vAlign w:val="bottom"/>
          </w:tcPr>
          <w:p>
            <w:pPr>
              <w:jc w:val="center"/>
              <w:ind w:right="690"/>
              <w:spacing w:after="0"/>
              <w:rPr>
                <w:sz w:val="20"/>
                <w:szCs w:val="20"/>
                <w:color w:val="auto"/>
              </w:rPr>
            </w:pPr>
            <w:r>
              <w:rPr>
                <w:rFonts w:ascii="Arial" w:cs="Arial" w:eastAsia="Arial" w:hAnsi="Arial"/>
                <w:sz w:val="18"/>
                <w:szCs w:val="18"/>
                <w:color w:val="auto"/>
              </w:rPr>
              <w:t>i</w:t>
            </w:r>
          </w:p>
        </w:tc>
        <w:tc>
          <w:tcPr>
            <w:tcW w:w="440" w:type="dxa"/>
            <w:vAlign w:val="bottom"/>
          </w:tcPr>
          <w:p>
            <w:pPr>
              <w:spacing w:after="0"/>
              <w:rPr>
                <w:sz w:val="24"/>
                <w:szCs w:val="24"/>
                <w:color w:val="auto"/>
              </w:rPr>
            </w:pPr>
          </w:p>
        </w:tc>
      </w:tr>
      <w:tr>
        <w:trPr>
          <w:trHeight w:val="132"/>
        </w:trPr>
        <w:tc>
          <w:tcPr>
            <w:tcW w:w="118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r>
        <w:trPr>
          <w:trHeight w:val="766"/>
        </w:trPr>
        <w:tc>
          <w:tcPr>
            <w:tcW w:w="1180" w:type="dxa"/>
            <w:vAlign w:val="bottom"/>
          </w:tcPr>
          <w:p>
            <w:pPr>
              <w:spacing w:after="0"/>
              <w:rPr>
                <w:sz w:val="20"/>
                <w:szCs w:val="20"/>
                <w:color w:val="auto"/>
              </w:rPr>
            </w:pPr>
            <w:r>
              <w:rPr>
                <w:rFonts w:ascii="Arial" w:cs="Arial" w:eastAsia="Arial" w:hAnsi="Arial"/>
                <w:sz w:val="18"/>
                <w:szCs w:val="18"/>
                <w:color w:val="auto"/>
              </w:rPr>
              <w:t>Section 5.7</w:t>
            </w:r>
          </w:p>
        </w:tc>
        <w:tc>
          <w:tcPr>
            <w:tcW w:w="9840" w:type="dxa"/>
            <w:vAlign w:val="bottom"/>
          </w:tcPr>
          <w:p>
            <w:pPr>
              <w:ind w:left="360"/>
              <w:spacing w:after="0"/>
              <w:rPr>
                <w:sz w:val="20"/>
                <w:szCs w:val="20"/>
                <w:color w:val="auto"/>
              </w:rPr>
            </w:pPr>
            <w:r>
              <w:rPr>
                <w:rFonts w:ascii="Arial" w:cs="Arial" w:eastAsia="Arial" w:hAnsi="Arial"/>
                <w:sz w:val="18"/>
                <w:szCs w:val="18"/>
                <w:color w:val="auto"/>
              </w:rPr>
              <w:t>No Preemptive Right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5.8</w:t>
            </w:r>
          </w:p>
        </w:tc>
        <w:tc>
          <w:tcPr>
            <w:tcW w:w="9840" w:type="dxa"/>
            <w:vAlign w:val="bottom"/>
          </w:tcPr>
          <w:p>
            <w:pPr>
              <w:ind w:left="360"/>
              <w:spacing w:after="0"/>
              <w:rPr>
                <w:sz w:val="20"/>
                <w:szCs w:val="20"/>
                <w:color w:val="auto"/>
              </w:rPr>
            </w:pPr>
            <w:r>
              <w:rPr>
                <w:rFonts w:ascii="Arial" w:cs="Arial" w:eastAsia="Arial" w:hAnsi="Arial"/>
                <w:sz w:val="18"/>
                <w:szCs w:val="18"/>
                <w:color w:val="auto"/>
              </w:rPr>
              <w:t>Splits and Combinations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5.9</w:t>
            </w:r>
          </w:p>
        </w:tc>
        <w:tc>
          <w:tcPr>
            <w:tcW w:w="9840" w:type="dxa"/>
            <w:vAlign w:val="bottom"/>
          </w:tcPr>
          <w:p>
            <w:pPr>
              <w:ind w:left="360"/>
              <w:spacing w:after="0"/>
              <w:rPr>
                <w:sz w:val="20"/>
                <w:szCs w:val="20"/>
                <w:color w:val="auto"/>
              </w:rPr>
            </w:pPr>
            <w:r>
              <w:rPr>
                <w:rFonts w:ascii="Arial" w:cs="Arial" w:eastAsia="Arial" w:hAnsi="Arial"/>
                <w:sz w:val="18"/>
                <w:szCs w:val="18"/>
                <w:color w:val="auto"/>
              </w:rPr>
              <w:t>Fully Paid and Non-Assessable Nature of Limited Partner Interests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180" w:type="dxa"/>
            <w:vAlign w:val="bottom"/>
          </w:tcPr>
          <w:p>
            <w:pPr>
              <w:spacing w:after="0"/>
              <w:rPr>
                <w:sz w:val="24"/>
                <w:szCs w:val="24"/>
                <w:color w:val="auto"/>
              </w:rPr>
            </w:pPr>
          </w:p>
        </w:tc>
        <w:tc>
          <w:tcPr>
            <w:tcW w:w="9840" w:type="dxa"/>
            <w:vAlign w:val="bottom"/>
          </w:tcPr>
          <w:p>
            <w:pPr>
              <w:jc w:val="center"/>
              <w:ind w:right="690"/>
              <w:spacing w:after="0"/>
              <w:rPr>
                <w:sz w:val="20"/>
                <w:szCs w:val="20"/>
                <w:color w:val="auto"/>
              </w:rPr>
            </w:pPr>
            <w:r>
              <w:rPr>
                <w:rFonts w:ascii="Arial" w:cs="Arial" w:eastAsia="Arial" w:hAnsi="Arial"/>
                <w:sz w:val="18"/>
                <w:szCs w:val="18"/>
                <w:color w:val="auto"/>
                <w:w w:val="99"/>
              </w:rPr>
              <w:t>ARTICLE VI</w:t>
            </w:r>
          </w:p>
        </w:tc>
        <w:tc>
          <w:tcPr>
            <w:tcW w:w="44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9840" w:type="dxa"/>
            <w:vAlign w:val="bottom"/>
          </w:tcPr>
          <w:p>
            <w:pPr>
              <w:jc w:val="center"/>
              <w:ind w:right="670"/>
              <w:spacing w:after="0"/>
              <w:rPr>
                <w:sz w:val="20"/>
                <w:szCs w:val="20"/>
                <w:color w:val="auto"/>
              </w:rPr>
            </w:pPr>
            <w:r>
              <w:rPr>
                <w:rFonts w:ascii="Arial" w:cs="Arial" w:eastAsia="Arial" w:hAnsi="Arial"/>
                <w:sz w:val="18"/>
                <w:szCs w:val="18"/>
                <w:color w:val="auto"/>
                <w:w w:val="97"/>
              </w:rPr>
              <w:t>DISTRIBUTIONS</w:t>
            </w:r>
          </w:p>
        </w:tc>
        <w:tc>
          <w:tcPr>
            <w:tcW w:w="440" w:type="dxa"/>
            <w:vAlign w:val="bottom"/>
          </w:tcPr>
          <w:p>
            <w:pPr>
              <w:spacing w:after="0"/>
              <w:rPr>
                <w:sz w:val="20"/>
                <w:szCs w:val="20"/>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6.1</w:t>
            </w:r>
          </w:p>
        </w:tc>
        <w:tc>
          <w:tcPr>
            <w:tcW w:w="9840" w:type="dxa"/>
            <w:vAlign w:val="bottom"/>
          </w:tcPr>
          <w:p>
            <w:pPr>
              <w:ind w:left="360"/>
              <w:spacing w:after="0"/>
              <w:rPr>
                <w:sz w:val="20"/>
                <w:szCs w:val="20"/>
                <w:color w:val="auto"/>
              </w:rPr>
            </w:pPr>
            <w:r>
              <w:rPr>
                <w:rFonts w:ascii="Arial" w:cs="Arial" w:eastAsia="Arial" w:hAnsi="Arial"/>
                <w:sz w:val="18"/>
                <w:szCs w:val="18"/>
                <w:color w:val="auto"/>
              </w:rPr>
              <w:t>Requirement and Characterization of Distributions; Distributions to Record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-8937625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-8937625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1"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6.2</w:t>
            </w:r>
          </w:p>
        </w:tc>
        <w:tc>
          <w:tcPr>
            <w:tcW w:w="8760" w:type="dxa"/>
            <w:vAlign w:val="bottom"/>
          </w:tcPr>
          <w:p>
            <w:pPr>
              <w:ind w:left="280"/>
              <w:spacing w:after="0"/>
              <w:rPr>
                <w:sz w:val="20"/>
                <w:szCs w:val="20"/>
                <w:color w:val="auto"/>
              </w:rPr>
            </w:pPr>
            <w:r>
              <w:rPr>
                <w:rFonts w:ascii="Arial" w:cs="Arial" w:eastAsia="Arial" w:hAnsi="Arial"/>
                <w:sz w:val="18"/>
                <w:szCs w:val="18"/>
                <w:color w:val="auto"/>
              </w:rPr>
              <w:t>Distributions of Available Cash</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260" w:type="dxa"/>
            <w:vAlign w:val="bottom"/>
          </w:tcPr>
          <w:p>
            <w:pPr>
              <w:spacing w:after="0"/>
              <w:rPr>
                <w:sz w:val="24"/>
                <w:szCs w:val="24"/>
                <w:color w:val="auto"/>
              </w:rPr>
            </w:pPr>
          </w:p>
        </w:tc>
        <w:tc>
          <w:tcPr>
            <w:tcW w:w="8760" w:type="dxa"/>
            <w:vAlign w:val="bottom"/>
          </w:tcPr>
          <w:p>
            <w:pPr>
              <w:jc w:val="center"/>
              <w:ind w:left="70"/>
              <w:spacing w:after="0"/>
              <w:rPr>
                <w:sz w:val="20"/>
                <w:szCs w:val="20"/>
                <w:color w:val="auto"/>
              </w:rPr>
            </w:pPr>
            <w:r>
              <w:rPr>
                <w:rFonts w:ascii="Arial" w:cs="Arial" w:eastAsia="Arial" w:hAnsi="Arial"/>
                <w:sz w:val="18"/>
                <w:szCs w:val="18"/>
                <w:color w:val="auto"/>
              </w:rPr>
              <w:t>ARTICLE VII</w:t>
            </w:r>
          </w:p>
        </w:tc>
        <w:tc>
          <w:tcPr>
            <w:tcW w:w="14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w w:val="96"/>
              </w:rPr>
              <w:t>MANAGEMENT AND OPERATION OF BUSINESS</w:t>
            </w:r>
          </w:p>
        </w:tc>
        <w:tc>
          <w:tcPr>
            <w:tcW w:w="144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7.1</w:t>
            </w:r>
          </w:p>
        </w:tc>
        <w:tc>
          <w:tcPr>
            <w:tcW w:w="8760" w:type="dxa"/>
            <w:vAlign w:val="bottom"/>
          </w:tcPr>
          <w:p>
            <w:pPr>
              <w:ind w:left="280"/>
              <w:spacing w:after="0"/>
              <w:rPr>
                <w:sz w:val="20"/>
                <w:szCs w:val="20"/>
                <w:color w:val="auto"/>
              </w:rPr>
            </w:pPr>
            <w:r>
              <w:rPr>
                <w:rFonts w:ascii="Arial" w:cs="Arial" w:eastAsia="Arial" w:hAnsi="Arial"/>
                <w:sz w:val="18"/>
                <w:szCs w:val="18"/>
                <w:color w:val="auto"/>
              </w:rPr>
              <w:t>Management</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7.2</w:t>
            </w:r>
          </w:p>
        </w:tc>
        <w:tc>
          <w:tcPr>
            <w:tcW w:w="8760" w:type="dxa"/>
            <w:vAlign w:val="bottom"/>
          </w:tcPr>
          <w:p>
            <w:pPr>
              <w:ind w:left="280"/>
              <w:spacing w:after="0"/>
              <w:rPr>
                <w:sz w:val="20"/>
                <w:szCs w:val="20"/>
                <w:color w:val="auto"/>
              </w:rPr>
            </w:pPr>
            <w:r>
              <w:rPr>
                <w:rFonts w:ascii="Arial" w:cs="Arial" w:eastAsia="Arial" w:hAnsi="Arial"/>
                <w:sz w:val="18"/>
                <w:szCs w:val="18"/>
                <w:color w:val="auto"/>
              </w:rPr>
              <w:t>Certificate of Limited Partnership</w:t>
            </w: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7.3</w:t>
            </w:r>
          </w:p>
        </w:tc>
        <w:tc>
          <w:tcPr>
            <w:tcW w:w="8760" w:type="dxa"/>
            <w:vAlign w:val="bottom"/>
          </w:tcPr>
          <w:p>
            <w:pPr>
              <w:ind w:left="280"/>
              <w:spacing w:after="0"/>
              <w:rPr>
                <w:sz w:val="20"/>
                <w:szCs w:val="20"/>
                <w:color w:val="auto"/>
              </w:rPr>
            </w:pPr>
            <w:r>
              <w:rPr>
                <w:rFonts w:ascii="Arial" w:cs="Arial" w:eastAsia="Arial" w:hAnsi="Arial"/>
                <w:sz w:val="18"/>
                <w:szCs w:val="18"/>
                <w:color w:val="auto"/>
              </w:rPr>
              <w:t>Restrictions on General Partner’s Authority</w:t>
            </w: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7.4</w:t>
            </w:r>
          </w:p>
        </w:tc>
        <w:tc>
          <w:tcPr>
            <w:tcW w:w="8760" w:type="dxa"/>
            <w:vAlign w:val="bottom"/>
          </w:tcPr>
          <w:p>
            <w:pPr>
              <w:ind w:left="280"/>
              <w:spacing w:after="0"/>
              <w:rPr>
                <w:sz w:val="20"/>
                <w:szCs w:val="20"/>
                <w:color w:val="auto"/>
              </w:rPr>
            </w:pPr>
            <w:r>
              <w:rPr>
                <w:rFonts w:ascii="Arial" w:cs="Arial" w:eastAsia="Arial" w:hAnsi="Arial"/>
                <w:sz w:val="18"/>
                <w:szCs w:val="18"/>
                <w:color w:val="auto"/>
              </w:rPr>
              <w:t>Reimbursement of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7.5</w:t>
            </w:r>
          </w:p>
        </w:tc>
        <w:tc>
          <w:tcPr>
            <w:tcW w:w="8760" w:type="dxa"/>
            <w:vAlign w:val="bottom"/>
          </w:tcPr>
          <w:p>
            <w:pPr>
              <w:ind w:left="280"/>
              <w:spacing w:after="0"/>
              <w:rPr>
                <w:sz w:val="20"/>
                <w:szCs w:val="20"/>
                <w:color w:val="auto"/>
              </w:rPr>
            </w:pPr>
            <w:r>
              <w:rPr>
                <w:rFonts w:ascii="Arial" w:cs="Arial" w:eastAsia="Arial" w:hAnsi="Arial"/>
                <w:sz w:val="18"/>
                <w:szCs w:val="18"/>
                <w:color w:val="auto"/>
              </w:rPr>
              <w:t>Outside Activities</w:t>
            </w: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7.6</w:t>
            </w:r>
          </w:p>
        </w:tc>
        <w:tc>
          <w:tcPr>
            <w:tcW w:w="8760" w:type="dxa"/>
            <w:vAlign w:val="bottom"/>
          </w:tcPr>
          <w:p>
            <w:pPr>
              <w:ind w:left="280"/>
              <w:spacing w:after="0"/>
              <w:rPr>
                <w:sz w:val="20"/>
                <w:szCs w:val="20"/>
                <w:color w:val="auto"/>
              </w:rPr>
            </w:pPr>
            <w:r>
              <w:rPr>
                <w:rFonts w:ascii="Arial" w:cs="Arial" w:eastAsia="Arial" w:hAnsi="Arial"/>
                <w:sz w:val="18"/>
                <w:szCs w:val="18"/>
                <w:color w:val="auto"/>
              </w:rPr>
              <w:t>Loans from the General Partner; Loans or Contributions from the Partnership</w:t>
            </w: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7.7</w:t>
            </w:r>
          </w:p>
        </w:tc>
        <w:tc>
          <w:tcPr>
            <w:tcW w:w="8760" w:type="dxa"/>
            <w:vAlign w:val="bottom"/>
          </w:tcPr>
          <w:p>
            <w:pPr>
              <w:ind w:left="280"/>
              <w:spacing w:after="0"/>
              <w:rPr>
                <w:sz w:val="20"/>
                <w:szCs w:val="20"/>
                <w:color w:val="auto"/>
              </w:rPr>
            </w:pPr>
            <w:r>
              <w:rPr>
                <w:rFonts w:ascii="Arial" w:cs="Arial" w:eastAsia="Arial" w:hAnsi="Arial"/>
                <w:sz w:val="18"/>
                <w:szCs w:val="18"/>
                <w:color w:val="auto"/>
              </w:rPr>
              <w:t>Indemnification</w:t>
            </w: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7.8</w:t>
            </w:r>
          </w:p>
        </w:tc>
        <w:tc>
          <w:tcPr>
            <w:tcW w:w="8760" w:type="dxa"/>
            <w:vAlign w:val="bottom"/>
          </w:tcPr>
          <w:p>
            <w:pPr>
              <w:ind w:left="280"/>
              <w:spacing w:after="0"/>
              <w:rPr>
                <w:sz w:val="20"/>
                <w:szCs w:val="20"/>
                <w:color w:val="auto"/>
              </w:rPr>
            </w:pPr>
            <w:r>
              <w:rPr>
                <w:rFonts w:ascii="Arial" w:cs="Arial" w:eastAsia="Arial" w:hAnsi="Arial"/>
                <w:sz w:val="18"/>
                <w:szCs w:val="18"/>
                <w:color w:val="auto"/>
              </w:rPr>
              <w:t>Liability of Indemnitees</w:t>
            </w: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7.9</w:t>
            </w:r>
          </w:p>
        </w:tc>
        <w:tc>
          <w:tcPr>
            <w:tcW w:w="8760" w:type="dxa"/>
            <w:vAlign w:val="bottom"/>
          </w:tcPr>
          <w:p>
            <w:pPr>
              <w:ind w:left="280"/>
              <w:spacing w:after="0"/>
              <w:rPr>
                <w:sz w:val="20"/>
                <w:szCs w:val="20"/>
                <w:color w:val="auto"/>
              </w:rPr>
            </w:pPr>
            <w:r>
              <w:rPr>
                <w:rFonts w:ascii="Arial" w:cs="Arial" w:eastAsia="Arial" w:hAnsi="Arial"/>
                <w:sz w:val="18"/>
                <w:szCs w:val="18"/>
                <w:color w:val="auto"/>
              </w:rPr>
              <w:t>Resolution of Conflicts of Interest; Standards of Conduct and Modification of Duties</w:t>
            </w: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7.10</w:t>
            </w:r>
          </w:p>
        </w:tc>
        <w:tc>
          <w:tcPr>
            <w:tcW w:w="8760" w:type="dxa"/>
            <w:vAlign w:val="bottom"/>
          </w:tcPr>
          <w:p>
            <w:pPr>
              <w:ind w:left="280"/>
              <w:spacing w:after="0"/>
              <w:rPr>
                <w:sz w:val="20"/>
                <w:szCs w:val="20"/>
                <w:color w:val="auto"/>
              </w:rPr>
            </w:pPr>
            <w:r>
              <w:rPr>
                <w:rFonts w:ascii="Arial" w:cs="Arial" w:eastAsia="Arial" w:hAnsi="Arial"/>
                <w:sz w:val="18"/>
                <w:szCs w:val="18"/>
                <w:color w:val="auto"/>
              </w:rPr>
              <w:t>Other Matters Concerning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7.11</w:t>
            </w:r>
          </w:p>
        </w:tc>
        <w:tc>
          <w:tcPr>
            <w:tcW w:w="8760" w:type="dxa"/>
            <w:vAlign w:val="bottom"/>
          </w:tcPr>
          <w:p>
            <w:pPr>
              <w:ind w:left="280"/>
              <w:spacing w:after="0"/>
              <w:rPr>
                <w:sz w:val="20"/>
                <w:szCs w:val="20"/>
                <w:color w:val="auto"/>
              </w:rPr>
            </w:pPr>
            <w:r>
              <w:rPr>
                <w:rFonts w:ascii="Arial" w:cs="Arial" w:eastAsia="Arial" w:hAnsi="Arial"/>
                <w:sz w:val="18"/>
                <w:szCs w:val="18"/>
                <w:color w:val="auto"/>
              </w:rPr>
              <w:t>Purchase or Sale of Partnership Interests</w:t>
            </w: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7.12</w:t>
            </w:r>
          </w:p>
        </w:tc>
        <w:tc>
          <w:tcPr>
            <w:tcW w:w="8760" w:type="dxa"/>
            <w:vAlign w:val="bottom"/>
          </w:tcPr>
          <w:p>
            <w:pPr>
              <w:ind w:left="280"/>
              <w:spacing w:after="0"/>
              <w:rPr>
                <w:sz w:val="20"/>
                <w:szCs w:val="20"/>
                <w:color w:val="auto"/>
              </w:rPr>
            </w:pPr>
            <w:r>
              <w:rPr>
                <w:rFonts w:ascii="Arial" w:cs="Arial" w:eastAsia="Arial" w:hAnsi="Arial"/>
                <w:sz w:val="18"/>
                <w:szCs w:val="18"/>
                <w:color w:val="auto"/>
              </w:rPr>
              <w:t>Reliance by Third Parties</w:t>
            </w: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1260" w:type="dxa"/>
            <w:vAlign w:val="bottom"/>
          </w:tcPr>
          <w:p>
            <w:pPr>
              <w:spacing w:after="0"/>
              <w:rPr>
                <w:sz w:val="24"/>
                <w:szCs w:val="24"/>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rPr>
              <w:t>ARTICLE VIII</w:t>
            </w:r>
          </w:p>
        </w:tc>
        <w:tc>
          <w:tcPr>
            <w:tcW w:w="14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w w:val="94"/>
              </w:rPr>
              <w:t>BOOKS, RECORDS, ACCOUNTING AND REPORTS</w:t>
            </w:r>
          </w:p>
        </w:tc>
        <w:tc>
          <w:tcPr>
            <w:tcW w:w="144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8.1</w:t>
            </w:r>
          </w:p>
        </w:tc>
        <w:tc>
          <w:tcPr>
            <w:tcW w:w="8760" w:type="dxa"/>
            <w:vAlign w:val="bottom"/>
          </w:tcPr>
          <w:p>
            <w:pPr>
              <w:ind w:left="280"/>
              <w:spacing w:after="0"/>
              <w:rPr>
                <w:sz w:val="20"/>
                <w:szCs w:val="20"/>
                <w:color w:val="auto"/>
              </w:rPr>
            </w:pPr>
            <w:r>
              <w:rPr>
                <w:rFonts w:ascii="Arial" w:cs="Arial" w:eastAsia="Arial" w:hAnsi="Arial"/>
                <w:sz w:val="18"/>
                <w:szCs w:val="18"/>
                <w:color w:val="auto"/>
              </w:rPr>
              <w:t>Records and Accounting</w:t>
            </w: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8.2</w:t>
            </w:r>
          </w:p>
        </w:tc>
        <w:tc>
          <w:tcPr>
            <w:tcW w:w="8760" w:type="dxa"/>
            <w:vAlign w:val="bottom"/>
          </w:tcPr>
          <w:p>
            <w:pPr>
              <w:ind w:left="280"/>
              <w:spacing w:after="0"/>
              <w:rPr>
                <w:sz w:val="20"/>
                <w:szCs w:val="20"/>
                <w:color w:val="auto"/>
              </w:rPr>
            </w:pPr>
            <w:r>
              <w:rPr>
                <w:rFonts w:ascii="Arial" w:cs="Arial" w:eastAsia="Arial" w:hAnsi="Arial"/>
                <w:sz w:val="18"/>
                <w:szCs w:val="18"/>
                <w:color w:val="auto"/>
              </w:rPr>
              <w:t>Fiscal Year</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8.3</w:t>
            </w:r>
          </w:p>
        </w:tc>
        <w:tc>
          <w:tcPr>
            <w:tcW w:w="8760" w:type="dxa"/>
            <w:vAlign w:val="bottom"/>
          </w:tcPr>
          <w:p>
            <w:pPr>
              <w:ind w:left="280"/>
              <w:spacing w:after="0"/>
              <w:rPr>
                <w:sz w:val="20"/>
                <w:szCs w:val="20"/>
                <w:color w:val="auto"/>
              </w:rPr>
            </w:pPr>
            <w:r>
              <w:rPr>
                <w:rFonts w:ascii="Arial" w:cs="Arial" w:eastAsia="Arial" w:hAnsi="Arial"/>
                <w:sz w:val="18"/>
                <w:szCs w:val="18"/>
                <w:color w:val="auto"/>
              </w:rPr>
              <w:t>Reports</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260" w:type="dxa"/>
            <w:vAlign w:val="bottom"/>
          </w:tcPr>
          <w:p>
            <w:pPr>
              <w:spacing w:after="0"/>
              <w:rPr>
                <w:sz w:val="24"/>
                <w:szCs w:val="24"/>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w w:val="99"/>
              </w:rPr>
              <w:t>ARTICLE IX</w:t>
            </w:r>
          </w:p>
        </w:tc>
        <w:tc>
          <w:tcPr>
            <w:tcW w:w="14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w w:val="96"/>
              </w:rPr>
              <w:t>TAX MATTERS</w:t>
            </w:r>
          </w:p>
        </w:tc>
        <w:tc>
          <w:tcPr>
            <w:tcW w:w="144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9.1</w:t>
            </w:r>
          </w:p>
        </w:tc>
        <w:tc>
          <w:tcPr>
            <w:tcW w:w="8760" w:type="dxa"/>
            <w:vAlign w:val="bottom"/>
          </w:tcPr>
          <w:p>
            <w:pPr>
              <w:ind w:left="280"/>
              <w:spacing w:after="0"/>
              <w:rPr>
                <w:sz w:val="20"/>
                <w:szCs w:val="20"/>
                <w:color w:val="auto"/>
              </w:rPr>
            </w:pPr>
            <w:r>
              <w:rPr>
                <w:rFonts w:ascii="Arial" w:cs="Arial" w:eastAsia="Arial" w:hAnsi="Arial"/>
                <w:sz w:val="18"/>
                <w:szCs w:val="18"/>
                <w:color w:val="auto"/>
              </w:rPr>
              <w:t>Tax Elections and Information</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9.2</w:t>
            </w:r>
          </w:p>
        </w:tc>
        <w:tc>
          <w:tcPr>
            <w:tcW w:w="8760" w:type="dxa"/>
            <w:vAlign w:val="bottom"/>
          </w:tcPr>
          <w:p>
            <w:pPr>
              <w:ind w:left="280"/>
              <w:spacing w:after="0"/>
              <w:rPr>
                <w:sz w:val="20"/>
                <w:szCs w:val="20"/>
                <w:color w:val="auto"/>
              </w:rPr>
            </w:pPr>
            <w:r>
              <w:rPr>
                <w:rFonts w:ascii="Arial" w:cs="Arial" w:eastAsia="Arial" w:hAnsi="Arial"/>
                <w:sz w:val="18"/>
                <w:szCs w:val="18"/>
                <w:color w:val="auto"/>
              </w:rPr>
              <w:t>Withholding</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260" w:type="dxa"/>
            <w:vAlign w:val="bottom"/>
          </w:tcPr>
          <w:p>
            <w:pPr>
              <w:spacing w:after="0"/>
              <w:rPr>
                <w:sz w:val="24"/>
                <w:szCs w:val="24"/>
                <w:color w:val="auto"/>
              </w:rPr>
            </w:pPr>
          </w:p>
        </w:tc>
        <w:tc>
          <w:tcPr>
            <w:tcW w:w="8760" w:type="dxa"/>
            <w:vAlign w:val="bottom"/>
          </w:tcPr>
          <w:p>
            <w:pPr>
              <w:jc w:val="center"/>
              <w:ind w:left="70"/>
              <w:spacing w:after="0"/>
              <w:rPr>
                <w:sz w:val="20"/>
                <w:szCs w:val="20"/>
                <w:color w:val="auto"/>
              </w:rPr>
            </w:pPr>
            <w:r>
              <w:rPr>
                <w:rFonts w:ascii="Arial" w:cs="Arial" w:eastAsia="Arial" w:hAnsi="Arial"/>
                <w:sz w:val="18"/>
                <w:szCs w:val="18"/>
                <w:color w:val="auto"/>
                <w:w w:val="98"/>
              </w:rPr>
              <w:t>ARTICLE X</w:t>
            </w:r>
          </w:p>
        </w:tc>
        <w:tc>
          <w:tcPr>
            <w:tcW w:w="14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w w:val="94"/>
              </w:rPr>
              <w:t>ADMISSION OF PARTNERS</w:t>
            </w:r>
          </w:p>
        </w:tc>
        <w:tc>
          <w:tcPr>
            <w:tcW w:w="144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8760" w:type="dxa"/>
            <w:vAlign w:val="bottom"/>
          </w:tcPr>
          <w:p>
            <w:pPr>
              <w:ind w:left="280"/>
              <w:spacing w:after="0"/>
              <w:rPr>
                <w:sz w:val="20"/>
                <w:szCs w:val="20"/>
                <w:color w:val="auto"/>
              </w:rPr>
            </w:pPr>
            <w:r>
              <w:rPr>
                <w:rFonts w:ascii="Arial" w:cs="Arial" w:eastAsia="Arial" w:hAnsi="Arial"/>
                <w:sz w:val="18"/>
                <w:szCs w:val="18"/>
                <w:color w:val="auto"/>
              </w:rPr>
              <w:t>Admission of Limited Partners</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10.2</w:t>
            </w:r>
          </w:p>
        </w:tc>
        <w:tc>
          <w:tcPr>
            <w:tcW w:w="8760" w:type="dxa"/>
            <w:vAlign w:val="bottom"/>
          </w:tcPr>
          <w:p>
            <w:pPr>
              <w:ind w:left="280"/>
              <w:spacing w:after="0"/>
              <w:rPr>
                <w:sz w:val="20"/>
                <w:szCs w:val="20"/>
                <w:color w:val="auto"/>
              </w:rPr>
            </w:pPr>
            <w:r>
              <w:rPr>
                <w:rFonts w:ascii="Arial" w:cs="Arial" w:eastAsia="Arial" w:hAnsi="Arial"/>
                <w:sz w:val="18"/>
                <w:szCs w:val="18"/>
                <w:color w:val="auto"/>
              </w:rPr>
              <w:t>Admission of Successor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10.3</w:t>
            </w:r>
          </w:p>
        </w:tc>
        <w:tc>
          <w:tcPr>
            <w:tcW w:w="8760" w:type="dxa"/>
            <w:vAlign w:val="bottom"/>
          </w:tcPr>
          <w:p>
            <w:pPr>
              <w:ind w:left="280"/>
              <w:spacing w:after="0"/>
              <w:rPr>
                <w:sz w:val="20"/>
                <w:szCs w:val="20"/>
                <w:color w:val="auto"/>
              </w:rPr>
            </w:pPr>
            <w:r>
              <w:rPr>
                <w:rFonts w:ascii="Arial" w:cs="Arial" w:eastAsia="Arial" w:hAnsi="Arial"/>
                <w:sz w:val="18"/>
                <w:szCs w:val="18"/>
                <w:color w:val="auto"/>
              </w:rPr>
              <w:t>Amendment of Agreement and Certificate of Limited Partnership</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260" w:type="dxa"/>
            <w:vAlign w:val="bottom"/>
          </w:tcPr>
          <w:p>
            <w:pPr>
              <w:spacing w:after="0"/>
              <w:rPr>
                <w:sz w:val="24"/>
                <w:szCs w:val="24"/>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rPr>
              <w:t>ii</w:t>
            </w:r>
          </w:p>
        </w:tc>
        <w:tc>
          <w:tcPr>
            <w:tcW w:w="144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876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r>
      <w:tr>
        <w:trPr>
          <w:trHeight w:val="766"/>
        </w:trPr>
        <w:tc>
          <w:tcPr>
            <w:tcW w:w="1260" w:type="dxa"/>
            <w:vAlign w:val="bottom"/>
          </w:tcPr>
          <w:p>
            <w:pPr>
              <w:spacing w:after="0"/>
              <w:rPr>
                <w:sz w:val="24"/>
                <w:szCs w:val="24"/>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w w:val="99"/>
              </w:rPr>
              <w:t>ARTICLE XI</w:t>
            </w:r>
          </w:p>
        </w:tc>
        <w:tc>
          <w:tcPr>
            <w:tcW w:w="14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760" w:type="dxa"/>
            <w:vAlign w:val="bottom"/>
          </w:tcPr>
          <w:p>
            <w:pPr>
              <w:jc w:val="center"/>
              <w:ind w:left="70"/>
              <w:spacing w:after="0"/>
              <w:rPr>
                <w:sz w:val="20"/>
                <w:szCs w:val="20"/>
                <w:color w:val="auto"/>
              </w:rPr>
            </w:pPr>
            <w:r>
              <w:rPr>
                <w:rFonts w:ascii="Arial" w:cs="Arial" w:eastAsia="Arial" w:hAnsi="Arial"/>
                <w:sz w:val="18"/>
                <w:szCs w:val="18"/>
                <w:color w:val="auto"/>
                <w:w w:val="95"/>
              </w:rPr>
              <w:t>WITHDRAWAL OR REMOVAL OF PARTNERS</w:t>
            </w:r>
          </w:p>
        </w:tc>
        <w:tc>
          <w:tcPr>
            <w:tcW w:w="144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11.1</w:t>
            </w:r>
          </w:p>
        </w:tc>
        <w:tc>
          <w:tcPr>
            <w:tcW w:w="8760" w:type="dxa"/>
            <w:vAlign w:val="bottom"/>
          </w:tcPr>
          <w:p>
            <w:pPr>
              <w:ind w:left="280"/>
              <w:spacing w:after="0"/>
              <w:rPr>
                <w:sz w:val="20"/>
                <w:szCs w:val="20"/>
                <w:color w:val="auto"/>
              </w:rPr>
            </w:pPr>
            <w:r>
              <w:rPr>
                <w:rFonts w:ascii="Arial" w:cs="Arial" w:eastAsia="Arial" w:hAnsi="Arial"/>
                <w:sz w:val="18"/>
                <w:szCs w:val="18"/>
                <w:color w:val="auto"/>
              </w:rPr>
              <w:t>Withdrawal of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11.2</w:t>
            </w:r>
          </w:p>
        </w:tc>
        <w:tc>
          <w:tcPr>
            <w:tcW w:w="8760" w:type="dxa"/>
            <w:vAlign w:val="bottom"/>
          </w:tcPr>
          <w:p>
            <w:pPr>
              <w:ind w:left="280"/>
              <w:spacing w:after="0"/>
              <w:rPr>
                <w:sz w:val="20"/>
                <w:szCs w:val="20"/>
                <w:color w:val="auto"/>
              </w:rPr>
            </w:pPr>
            <w:r>
              <w:rPr>
                <w:rFonts w:ascii="Arial" w:cs="Arial" w:eastAsia="Arial" w:hAnsi="Arial"/>
                <w:sz w:val="18"/>
                <w:szCs w:val="18"/>
                <w:color w:val="auto"/>
              </w:rPr>
              <w:t>Removal of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11.3</w:t>
            </w:r>
          </w:p>
        </w:tc>
        <w:tc>
          <w:tcPr>
            <w:tcW w:w="8760" w:type="dxa"/>
            <w:vAlign w:val="bottom"/>
          </w:tcPr>
          <w:p>
            <w:pPr>
              <w:ind w:left="280"/>
              <w:spacing w:after="0"/>
              <w:rPr>
                <w:sz w:val="20"/>
                <w:szCs w:val="20"/>
                <w:color w:val="auto"/>
              </w:rPr>
            </w:pPr>
            <w:r>
              <w:rPr>
                <w:rFonts w:ascii="Arial" w:cs="Arial" w:eastAsia="Arial" w:hAnsi="Arial"/>
                <w:sz w:val="18"/>
                <w:szCs w:val="18"/>
                <w:color w:val="auto"/>
              </w:rPr>
              <w:t>Interest of Departing General Partner and Successor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11.4</w:t>
            </w:r>
          </w:p>
        </w:tc>
        <w:tc>
          <w:tcPr>
            <w:tcW w:w="8760" w:type="dxa"/>
            <w:vAlign w:val="bottom"/>
          </w:tcPr>
          <w:p>
            <w:pPr>
              <w:ind w:left="280"/>
              <w:spacing w:after="0"/>
              <w:rPr>
                <w:sz w:val="20"/>
                <w:szCs w:val="20"/>
                <w:color w:val="auto"/>
              </w:rPr>
            </w:pPr>
            <w:r>
              <w:rPr>
                <w:rFonts w:ascii="Arial" w:cs="Arial" w:eastAsia="Arial" w:hAnsi="Arial"/>
                <w:sz w:val="18"/>
                <w:szCs w:val="18"/>
                <w:color w:val="auto"/>
              </w:rPr>
              <w:t>Withdrawal of Limited Partners</w:t>
            </w: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1260" w:type="dxa"/>
            <w:vAlign w:val="bottom"/>
          </w:tcPr>
          <w:p>
            <w:pPr>
              <w:spacing w:after="0"/>
              <w:rPr>
                <w:sz w:val="24"/>
                <w:szCs w:val="24"/>
                <w:color w:val="auto"/>
              </w:rPr>
            </w:pPr>
          </w:p>
        </w:tc>
        <w:tc>
          <w:tcPr>
            <w:tcW w:w="8760" w:type="dxa"/>
            <w:vAlign w:val="bottom"/>
          </w:tcPr>
          <w:p>
            <w:pPr>
              <w:jc w:val="center"/>
              <w:ind w:left="70"/>
              <w:spacing w:after="0"/>
              <w:rPr>
                <w:sz w:val="20"/>
                <w:szCs w:val="20"/>
                <w:color w:val="auto"/>
              </w:rPr>
            </w:pPr>
            <w:r>
              <w:rPr>
                <w:rFonts w:ascii="Arial" w:cs="Arial" w:eastAsia="Arial" w:hAnsi="Arial"/>
                <w:sz w:val="18"/>
                <w:szCs w:val="18"/>
                <w:color w:val="auto"/>
              </w:rPr>
              <w:t>ARTICLE XII</w:t>
            </w:r>
          </w:p>
        </w:tc>
        <w:tc>
          <w:tcPr>
            <w:tcW w:w="14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w w:val="98"/>
              </w:rPr>
              <w:t>DISSOLUTION AND LIQUIDATION</w:t>
            </w:r>
          </w:p>
        </w:tc>
        <w:tc>
          <w:tcPr>
            <w:tcW w:w="144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12.1</w:t>
            </w:r>
          </w:p>
        </w:tc>
        <w:tc>
          <w:tcPr>
            <w:tcW w:w="8760" w:type="dxa"/>
            <w:vAlign w:val="bottom"/>
          </w:tcPr>
          <w:p>
            <w:pPr>
              <w:ind w:left="280"/>
              <w:spacing w:after="0"/>
              <w:rPr>
                <w:sz w:val="20"/>
                <w:szCs w:val="20"/>
                <w:color w:val="auto"/>
              </w:rPr>
            </w:pPr>
            <w:r>
              <w:rPr>
                <w:rFonts w:ascii="Arial" w:cs="Arial" w:eastAsia="Arial" w:hAnsi="Arial"/>
                <w:sz w:val="18"/>
                <w:szCs w:val="18"/>
                <w:color w:val="auto"/>
              </w:rPr>
              <w:t>Dissolution</w:t>
            </w: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12.2</w:t>
            </w:r>
          </w:p>
        </w:tc>
        <w:tc>
          <w:tcPr>
            <w:tcW w:w="8760" w:type="dxa"/>
            <w:vAlign w:val="bottom"/>
          </w:tcPr>
          <w:p>
            <w:pPr>
              <w:ind w:left="280"/>
              <w:spacing w:after="0"/>
              <w:rPr>
                <w:sz w:val="20"/>
                <w:szCs w:val="20"/>
                <w:color w:val="auto"/>
              </w:rPr>
            </w:pPr>
            <w:r>
              <w:rPr>
                <w:rFonts w:ascii="Arial" w:cs="Arial" w:eastAsia="Arial" w:hAnsi="Arial"/>
                <w:sz w:val="18"/>
                <w:szCs w:val="18"/>
                <w:color w:val="auto"/>
              </w:rPr>
              <w:t>Continuation of the Business of the Partnership After Dissolution</w:t>
            </w: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12.3</w:t>
            </w:r>
          </w:p>
        </w:tc>
        <w:tc>
          <w:tcPr>
            <w:tcW w:w="8760" w:type="dxa"/>
            <w:vAlign w:val="bottom"/>
          </w:tcPr>
          <w:p>
            <w:pPr>
              <w:ind w:left="280"/>
              <w:spacing w:after="0"/>
              <w:rPr>
                <w:sz w:val="20"/>
                <w:szCs w:val="20"/>
                <w:color w:val="auto"/>
              </w:rPr>
            </w:pPr>
            <w:r>
              <w:rPr>
                <w:rFonts w:ascii="Arial" w:cs="Arial" w:eastAsia="Arial" w:hAnsi="Arial"/>
                <w:sz w:val="18"/>
                <w:szCs w:val="18"/>
                <w:color w:val="auto"/>
              </w:rPr>
              <w:t>Liquidator</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12.4</w:t>
            </w:r>
          </w:p>
        </w:tc>
        <w:tc>
          <w:tcPr>
            <w:tcW w:w="8760" w:type="dxa"/>
            <w:vAlign w:val="bottom"/>
          </w:tcPr>
          <w:p>
            <w:pPr>
              <w:ind w:left="280"/>
              <w:spacing w:after="0"/>
              <w:rPr>
                <w:sz w:val="20"/>
                <w:szCs w:val="20"/>
                <w:color w:val="auto"/>
              </w:rPr>
            </w:pPr>
            <w:r>
              <w:rPr>
                <w:rFonts w:ascii="Arial" w:cs="Arial" w:eastAsia="Arial" w:hAnsi="Arial"/>
                <w:sz w:val="18"/>
                <w:szCs w:val="18"/>
                <w:color w:val="auto"/>
              </w:rPr>
              <w:t>Liquidation</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12.5</w:t>
            </w:r>
          </w:p>
        </w:tc>
        <w:tc>
          <w:tcPr>
            <w:tcW w:w="8760" w:type="dxa"/>
            <w:vAlign w:val="bottom"/>
          </w:tcPr>
          <w:p>
            <w:pPr>
              <w:ind w:left="280"/>
              <w:spacing w:after="0"/>
              <w:rPr>
                <w:sz w:val="20"/>
                <w:szCs w:val="20"/>
                <w:color w:val="auto"/>
              </w:rPr>
            </w:pPr>
            <w:r>
              <w:rPr>
                <w:rFonts w:ascii="Arial" w:cs="Arial" w:eastAsia="Arial" w:hAnsi="Arial"/>
                <w:sz w:val="18"/>
                <w:szCs w:val="18"/>
                <w:color w:val="auto"/>
              </w:rPr>
              <w:t>Cancellation of Certificate of Limited Partnership</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12.6</w:t>
            </w:r>
          </w:p>
        </w:tc>
        <w:tc>
          <w:tcPr>
            <w:tcW w:w="8760" w:type="dxa"/>
            <w:vAlign w:val="bottom"/>
          </w:tcPr>
          <w:p>
            <w:pPr>
              <w:ind w:left="280"/>
              <w:spacing w:after="0"/>
              <w:rPr>
                <w:sz w:val="20"/>
                <w:szCs w:val="20"/>
                <w:color w:val="auto"/>
              </w:rPr>
            </w:pPr>
            <w:r>
              <w:rPr>
                <w:rFonts w:ascii="Arial" w:cs="Arial" w:eastAsia="Arial" w:hAnsi="Arial"/>
                <w:sz w:val="18"/>
                <w:szCs w:val="18"/>
                <w:color w:val="auto"/>
              </w:rPr>
              <w:t>Return of Contributions</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12.7</w:t>
            </w:r>
          </w:p>
        </w:tc>
        <w:tc>
          <w:tcPr>
            <w:tcW w:w="8760" w:type="dxa"/>
            <w:vAlign w:val="bottom"/>
          </w:tcPr>
          <w:p>
            <w:pPr>
              <w:ind w:left="280"/>
              <w:spacing w:after="0"/>
              <w:rPr>
                <w:sz w:val="20"/>
                <w:szCs w:val="20"/>
                <w:color w:val="auto"/>
              </w:rPr>
            </w:pPr>
            <w:r>
              <w:rPr>
                <w:rFonts w:ascii="Arial" w:cs="Arial" w:eastAsia="Arial" w:hAnsi="Arial"/>
                <w:sz w:val="18"/>
                <w:szCs w:val="18"/>
                <w:color w:val="auto"/>
              </w:rPr>
              <w:t>Waiver of Partition</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260" w:type="dxa"/>
            <w:vAlign w:val="bottom"/>
          </w:tcPr>
          <w:p>
            <w:pPr>
              <w:spacing w:after="0"/>
              <w:rPr>
                <w:sz w:val="24"/>
                <w:szCs w:val="24"/>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rPr>
              <w:t>ARTICLE XIII</w:t>
            </w:r>
          </w:p>
        </w:tc>
        <w:tc>
          <w:tcPr>
            <w:tcW w:w="14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760" w:type="dxa"/>
            <w:vAlign w:val="bottom"/>
          </w:tcPr>
          <w:p>
            <w:pPr>
              <w:jc w:val="center"/>
              <w:ind w:left="70"/>
              <w:spacing w:after="0"/>
              <w:rPr>
                <w:sz w:val="20"/>
                <w:szCs w:val="20"/>
                <w:color w:val="auto"/>
              </w:rPr>
            </w:pPr>
            <w:r>
              <w:rPr>
                <w:rFonts w:ascii="Arial" w:cs="Arial" w:eastAsia="Arial" w:hAnsi="Arial"/>
                <w:sz w:val="18"/>
                <w:szCs w:val="18"/>
                <w:color w:val="auto"/>
                <w:w w:val="95"/>
              </w:rPr>
              <w:t>AMENDMENT OF PARTNERSHIP AGREEMENT; MEETINGS; RECORD DATE</w:t>
            </w:r>
          </w:p>
        </w:tc>
        <w:tc>
          <w:tcPr>
            <w:tcW w:w="144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13.1</w:t>
            </w:r>
          </w:p>
        </w:tc>
        <w:tc>
          <w:tcPr>
            <w:tcW w:w="8760" w:type="dxa"/>
            <w:vAlign w:val="bottom"/>
          </w:tcPr>
          <w:p>
            <w:pPr>
              <w:ind w:left="280"/>
              <w:spacing w:after="0"/>
              <w:rPr>
                <w:sz w:val="20"/>
                <w:szCs w:val="20"/>
                <w:color w:val="auto"/>
              </w:rPr>
            </w:pPr>
            <w:r>
              <w:rPr>
                <w:rFonts w:ascii="Arial" w:cs="Arial" w:eastAsia="Arial" w:hAnsi="Arial"/>
                <w:sz w:val="18"/>
                <w:szCs w:val="18"/>
                <w:color w:val="auto"/>
              </w:rPr>
              <w:t>Amendments to be Adopted Solely by the General Partner</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13.2</w:t>
            </w:r>
          </w:p>
        </w:tc>
        <w:tc>
          <w:tcPr>
            <w:tcW w:w="8760" w:type="dxa"/>
            <w:vAlign w:val="bottom"/>
          </w:tcPr>
          <w:p>
            <w:pPr>
              <w:ind w:left="280"/>
              <w:spacing w:after="0"/>
              <w:rPr>
                <w:sz w:val="20"/>
                <w:szCs w:val="20"/>
                <w:color w:val="auto"/>
              </w:rPr>
            </w:pPr>
            <w:r>
              <w:rPr>
                <w:rFonts w:ascii="Arial" w:cs="Arial" w:eastAsia="Arial" w:hAnsi="Arial"/>
                <w:sz w:val="18"/>
                <w:szCs w:val="18"/>
                <w:color w:val="auto"/>
              </w:rPr>
              <w:t>Amendment Procedures</w:t>
            </w: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13.3</w:t>
            </w:r>
          </w:p>
        </w:tc>
        <w:tc>
          <w:tcPr>
            <w:tcW w:w="8760" w:type="dxa"/>
            <w:vAlign w:val="bottom"/>
          </w:tcPr>
          <w:p>
            <w:pPr>
              <w:ind w:left="280"/>
              <w:spacing w:after="0"/>
              <w:rPr>
                <w:sz w:val="20"/>
                <w:szCs w:val="20"/>
                <w:color w:val="auto"/>
              </w:rPr>
            </w:pPr>
            <w:r>
              <w:rPr>
                <w:rFonts w:ascii="Arial" w:cs="Arial" w:eastAsia="Arial" w:hAnsi="Arial"/>
                <w:sz w:val="18"/>
                <w:szCs w:val="18"/>
                <w:color w:val="auto"/>
              </w:rPr>
              <w:t>Amendment Requirements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13.4</w:t>
            </w:r>
          </w:p>
        </w:tc>
        <w:tc>
          <w:tcPr>
            <w:tcW w:w="8760" w:type="dxa"/>
            <w:vAlign w:val="bottom"/>
          </w:tcPr>
          <w:p>
            <w:pPr>
              <w:ind w:left="280"/>
              <w:spacing w:after="0"/>
              <w:rPr>
                <w:sz w:val="20"/>
                <w:szCs w:val="20"/>
                <w:color w:val="auto"/>
              </w:rPr>
            </w:pPr>
            <w:r>
              <w:rPr>
                <w:rFonts w:ascii="Arial" w:cs="Arial" w:eastAsia="Arial" w:hAnsi="Arial"/>
                <w:sz w:val="18"/>
                <w:szCs w:val="18"/>
                <w:color w:val="auto"/>
              </w:rPr>
              <w:t>Meetings</w:t>
            </w: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13.5</w:t>
            </w:r>
          </w:p>
        </w:tc>
        <w:tc>
          <w:tcPr>
            <w:tcW w:w="8760" w:type="dxa"/>
            <w:vAlign w:val="bottom"/>
          </w:tcPr>
          <w:p>
            <w:pPr>
              <w:ind w:left="280"/>
              <w:spacing w:after="0"/>
              <w:rPr>
                <w:sz w:val="20"/>
                <w:szCs w:val="20"/>
                <w:color w:val="auto"/>
              </w:rPr>
            </w:pPr>
            <w:r>
              <w:rPr>
                <w:rFonts w:ascii="Arial" w:cs="Arial" w:eastAsia="Arial" w:hAnsi="Arial"/>
                <w:sz w:val="18"/>
                <w:szCs w:val="18"/>
                <w:color w:val="auto"/>
              </w:rPr>
              <w:t>Notice of a Meeting</w:t>
            </w: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13.6</w:t>
            </w:r>
          </w:p>
        </w:tc>
        <w:tc>
          <w:tcPr>
            <w:tcW w:w="8760" w:type="dxa"/>
            <w:vAlign w:val="bottom"/>
          </w:tcPr>
          <w:p>
            <w:pPr>
              <w:ind w:left="280"/>
              <w:spacing w:after="0"/>
              <w:rPr>
                <w:sz w:val="20"/>
                <w:szCs w:val="20"/>
                <w:color w:val="auto"/>
              </w:rPr>
            </w:pPr>
            <w:r>
              <w:rPr>
                <w:rFonts w:ascii="Arial" w:cs="Arial" w:eastAsia="Arial" w:hAnsi="Arial"/>
                <w:sz w:val="18"/>
                <w:szCs w:val="18"/>
                <w:color w:val="auto"/>
              </w:rPr>
              <w:t>Record Date</w:t>
            </w: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13.7</w:t>
            </w:r>
          </w:p>
        </w:tc>
        <w:tc>
          <w:tcPr>
            <w:tcW w:w="8760" w:type="dxa"/>
            <w:vAlign w:val="bottom"/>
          </w:tcPr>
          <w:p>
            <w:pPr>
              <w:ind w:left="280"/>
              <w:spacing w:after="0"/>
              <w:rPr>
                <w:sz w:val="20"/>
                <w:szCs w:val="20"/>
                <w:color w:val="auto"/>
              </w:rPr>
            </w:pPr>
            <w:r>
              <w:rPr>
                <w:rFonts w:ascii="Arial" w:cs="Arial" w:eastAsia="Arial" w:hAnsi="Arial"/>
                <w:sz w:val="18"/>
                <w:szCs w:val="18"/>
                <w:color w:val="auto"/>
              </w:rPr>
              <w:t>Adjournment</w:t>
            </w: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13.8</w:t>
            </w:r>
          </w:p>
        </w:tc>
        <w:tc>
          <w:tcPr>
            <w:tcW w:w="8760" w:type="dxa"/>
            <w:vAlign w:val="bottom"/>
          </w:tcPr>
          <w:p>
            <w:pPr>
              <w:ind w:left="280"/>
              <w:spacing w:after="0"/>
              <w:rPr>
                <w:sz w:val="20"/>
                <w:szCs w:val="20"/>
                <w:color w:val="auto"/>
              </w:rPr>
            </w:pPr>
            <w:r>
              <w:rPr>
                <w:rFonts w:ascii="Arial" w:cs="Arial" w:eastAsia="Arial" w:hAnsi="Arial"/>
                <w:sz w:val="18"/>
                <w:szCs w:val="18"/>
                <w:color w:val="auto"/>
              </w:rPr>
              <w:t>Waiver of Notice; Approval of Meeting; Approval of Minutes</w:t>
            </w: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13.9</w:t>
            </w:r>
          </w:p>
        </w:tc>
        <w:tc>
          <w:tcPr>
            <w:tcW w:w="8760" w:type="dxa"/>
            <w:vAlign w:val="bottom"/>
          </w:tcPr>
          <w:p>
            <w:pPr>
              <w:ind w:left="280"/>
              <w:spacing w:after="0"/>
              <w:rPr>
                <w:sz w:val="20"/>
                <w:szCs w:val="20"/>
                <w:color w:val="auto"/>
              </w:rPr>
            </w:pPr>
            <w:r>
              <w:rPr>
                <w:rFonts w:ascii="Arial" w:cs="Arial" w:eastAsia="Arial" w:hAnsi="Arial"/>
                <w:sz w:val="18"/>
                <w:szCs w:val="18"/>
                <w:color w:val="auto"/>
              </w:rPr>
              <w:t>Quorum</w:t>
            </w: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13.10</w:t>
            </w:r>
          </w:p>
        </w:tc>
        <w:tc>
          <w:tcPr>
            <w:tcW w:w="8760" w:type="dxa"/>
            <w:vAlign w:val="bottom"/>
          </w:tcPr>
          <w:p>
            <w:pPr>
              <w:ind w:left="280"/>
              <w:spacing w:after="0"/>
              <w:rPr>
                <w:sz w:val="20"/>
                <w:szCs w:val="20"/>
                <w:color w:val="auto"/>
              </w:rPr>
            </w:pPr>
            <w:r>
              <w:rPr>
                <w:rFonts w:ascii="Arial" w:cs="Arial" w:eastAsia="Arial" w:hAnsi="Arial"/>
                <w:sz w:val="18"/>
                <w:szCs w:val="18"/>
                <w:color w:val="auto"/>
              </w:rPr>
              <w:t>Conduct of a Meeting</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13.11</w:t>
            </w:r>
          </w:p>
        </w:tc>
        <w:tc>
          <w:tcPr>
            <w:tcW w:w="8760" w:type="dxa"/>
            <w:vAlign w:val="bottom"/>
          </w:tcPr>
          <w:p>
            <w:pPr>
              <w:ind w:left="280"/>
              <w:spacing w:after="0"/>
              <w:rPr>
                <w:sz w:val="20"/>
                <w:szCs w:val="20"/>
                <w:color w:val="auto"/>
              </w:rPr>
            </w:pPr>
            <w:r>
              <w:rPr>
                <w:rFonts w:ascii="Arial" w:cs="Arial" w:eastAsia="Arial" w:hAnsi="Arial"/>
                <w:sz w:val="18"/>
                <w:szCs w:val="18"/>
                <w:color w:val="auto"/>
              </w:rPr>
              <w:t>Action Without a Meeting</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13.12</w:t>
            </w:r>
          </w:p>
        </w:tc>
        <w:tc>
          <w:tcPr>
            <w:tcW w:w="8760" w:type="dxa"/>
            <w:vAlign w:val="bottom"/>
          </w:tcPr>
          <w:p>
            <w:pPr>
              <w:ind w:left="280"/>
              <w:spacing w:after="0"/>
              <w:rPr>
                <w:sz w:val="20"/>
                <w:szCs w:val="20"/>
                <w:color w:val="auto"/>
              </w:rPr>
            </w:pPr>
            <w:r>
              <w:rPr>
                <w:rFonts w:ascii="Arial" w:cs="Arial" w:eastAsia="Arial" w:hAnsi="Arial"/>
                <w:sz w:val="18"/>
                <w:szCs w:val="18"/>
                <w:color w:val="auto"/>
              </w:rPr>
              <w:t>Voting and Other Rights</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 w:name="page9"/>
    <w:bookmarkEnd w:id="8"/>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MERGER, CONSOLIDATION OR CONVERSION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14.1</w:t>
            </w:r>
          </w:p>
        </w:tc>
        <w:tc>
          <w:tcPr>
            <w:tcW w:w="8300" w:type="dxa"/>
            <w:vAlign w:val="bottom"/>
          </w:tcPr>
          <w:p>
            <w:pPr>
              <w:ind w:left="280"/>
              <w:spacing w:after="0"/>
              <w:rPr>
                <w:sz w:val="20"/>
                <w:szCs w:val="20"/>
                <w:color w:val="auto"/>
              </w:rPr>
            </w:pPr>
            <w:r>
              <w:rPr>
                <w:rFonts w:ascii="Arial" w:cs="Arial" w:eastAsia="Arial" w:hAnsi="Arial"/>
                <w:sz w:val="18"/>
                <w:szCs w:val="18"/>
                <w:color w:val="auto"/>
              </w:rPr>
              <w:t>Authority</w:t>
            </w: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14.2</w:t>
            </w:r>
          </w:p>
        </w:tc>
        <w:tc>
          <w:tcPr>
            <w:tcW w:w="8300" w:type="dxa"/>
            <w:vAlign w:val="bottom"/>
          </w:tcPr>
          <w:p>
            <w:pPr>
              <w:ind w:left="280"/>
              <w:spacing w:after="0"/>
              <w:rPr>
                <w:sz w:val="20"/>
                <w:szCs w:val="20"/>
                <w:color w:val="auto"/>
              </w:rPr>
            </w:pPr>
            <w:r>
              <w:rPr>
                <w:rFonts w:ascii="Arial" w:cs="Arial" w:eastAsia="Arial" w:hAnsi="Arial"/>
                <w:sz w:val="18"/>
                <w:szCs w:val="18"/>
                <w:color w:val="auto"/>
              </w:rPr>
              <w:t>Procedure for Merger, Consolidation or Conversion</w:t>
            </w: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14.3</w:t>
            </w:r>
          </w:p>
        </w:tc>
        <w:tc>
          <w:tcPr>
            <w:tcW w:w="8300" w:type="dxa"/>
            <w:vAlign w:val="bottom"/>
          </w:tcPr>
          <w:p>
            <w:pPr>
              <w:ind w:left="280"/>
              <w:spacing w:after="0"/>
              <w:rPr>
                <w:sz w:val="20"/>
                <w:szCs w:val="20"/>
                <w:color w:val="auto"/>
              </w:rPr>
            </w:pPr>
            <w:r>
              <w:rPr>
                <w:rFonts w:ascii="Arial" w:cs="Arial" w:eastAsia="Arial" w:hAnsi="Arial"/>
                <w:sz w:val="18"/>
                <w:szCs w:val="18"/>
                <w:color w:val="auto"/>
              </w:rPr>
              <w:t>Approval by Limited Partners</w:t>
            </w:r>
          </w:p>
        </w:tc>
        <w:tc>
          <w:tcPr>
            <w:tcW w:w="1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14.4</w:t>
            </w:r>
          </w:p>
        </w:tc>
        <w:tc>
          <w:tcPr>
            <w:tcW w:w="8300" w:type="dxa"/>
            <w:vAlign w:val="bottom"/>
          </w:tcPr>
          <w:p>
            <w:pPr>
              <w:ind w:left="280"/>
              <w:spacing w:after="0"/>
              <w:rPr>
                <w:sz w:val="20"/>
                <w:szCs w:val="20"/>
                <w:color w:val="auto"/>
              </w:rPr>
            </w:pPr>
            <w:r>
              <w:rPr>
                <w:rFonts w:ascii="Arial" w:cs="Arial" w:eastAsia="Arial" w:hAnsi="Arial"/>
                <w:sz w:val="18"/>
                <w:szCs w:val="18"/>
                <w:color w:val="auto"/>
              </w:rPr>
              <w:t>Certificate of Merger</w:t>
            </w: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14.5</w:t>
            </w:r>
          </w:p>
        </w:tc>
        <w:tc>
          <w:tcPr>
            <w:tcW w:w="8300" w:type="dxa"/>
            <w:vAlign w:val="bottom"/>
          </w:tcPr>
          <w:p>
            <w:pPr>
              <w:ind w:left="280"/>
              <w:spacing w:after="0"/>
              <w:rPr>
                <w:sz w:val="20"/>
                <w:szCs w:val="20"/>
                <w:color w:val="auto"/>
              </w:rPr>
            </w:pPr>
            <w:r>
              <w:rPr>
                <w:rFonts w:ascii="Arial" w:cs="Arial" w:eastAsia="Arial" w:hAnsi="Arial"/>
                <w:sz w:val="18"/>
                <w:szCs w:val="18"/>
                <w:color w:val="auto"/>
              </w:rPr>
              <w:t>Effect of Merger, Consolidation or Conversion</w:t>
            </w: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14.6</w:t>
            </w:r>
          </w:p>
        </w:tc>
        <w:tc>
          <w:tcPr>
            <w:tcW w:w="8300" w:type="dxa"/>
            <w:vAlign w:val="bottom"/>
          </w:tcPr>
          <w:p>
            <w:pPr>
              <w:ind w:left="280"/>
              <w:spacing w:after="0"/>
              <w:rPr>
                <w:sz w:val="20"/>
                <w:szCs w:val="20"/>
                <w:color w:val="auto"/>
              </w:rPr>
            </w:pPr>
            <w:r>
              <w:rPr>
                <w:rFonts w:ascii="Arial" w:cs="Arial" w:eastAsia="Arial" w:hAnsi="Arial"/>
                <w:sz w:val="18"/>
                <w:szCs w:val="18"/>
                <w:color w:val="auto"/>
              </w:rPr>
              <w:t>Amendment of Partnership Agreement</w:t>
            </w:r>
          </w:p>
        </w:tc>
        <w:tc>
          <w:tcPr>
            <w:tcW w:w="1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8"/>
        </w:trPr>
        <w:tc>
          <w:tcPr>
            <w:tcW w:w="1260" w:type="dxa"/>
            <w:vAlign w:val="bottom"/>
          </w:tcPr>
          <w:p>
            <w:pPr>
              <w:spacing w:after="0"/>
              <w:rPr>
                <w:sz w:val="24"/>
                <w:szCs w:val="24"/>
                <w:color w:val="auto"/>
              </w:rPr>
            </w:pPr>
          </w:p>
        </w:tc>
        <w:tc>
          <w:tcPr>
            <w:tcW w:w="8300" w:type="dxa"/>
            <w:vAlign w:val="bottom"/>
          </w:tcPr>
          <w:p>
            <w:pPr>
              <w:jc w:val="center"/>
              <w:ind w:left="510"/>
              <w:spacing w:after="0"/>
              <w:rPr>
                <w:sz w:val="20"/>
                <w:szCs w:val="20"/>
                <w:color w:val="auto"/>
              </w:rPr>
            </w:pPr>
            <w:r>
              <w:rPr>
                <w:rFonts w:ascii="Arial" w:cs="Arial" w:eastAsia="Arial" w:hAnsi="Arial"/>
                <w:sz w:val="18"/>
                <w:szCs w:val="18"/>
                <w:color w:val="auto"/>
              </w:rPr>
              <w:t>ARTICLE XV</w:t>
            </w:r>
          </w:p>
        </w:tc>
        <w:tc>
          <w:tcPr>
            <w:tcW w:w="190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300" w:type="dxa"/>
            <w:vAlign w:val="bottom"/>
          </w:tcPr>
          <w:p>
            <w:pPr>
              <w:jc w:val="center"/>
              <w:ind w:left="510"/>
              <w:spacing w:after="0"/>
              <w:rPr>
                <w:sz w:val="20"/>
                <w:szCs w:val="20"/>
                <w:color w:val="auto"/>
              </w:rPr>
            </w:pPr>
            <w:r>
              <w:rPr>
                <w:rFonts w:ascii="Arial" w:cs="Arial" w:eastAsia="Arial" w:hAnsi="Arial"/>
                <w:sz w:val="18"/>
                <w:szCs w:val="18"/>
                <w:color w:val="auto"/>
                <w:w w:val="96"/>
              </w:rPr>
              <w:t>RIGHT TO ACQUIRE LIMITED PARTNER INTERESTS</w:t>
            </w:r>
          </w:p>
        </w:tc>
        <w:tc>
          <w:tcPr>
            <w:tcW w:w="190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w:t>
            </w:r>
          </w:p>
        </w:tc>
        <w:tc>
          <w:tcPr>
            <w:tcW w:w="8300" w:type="dxa"/>
            <w:vAlign w:val="bottom"/>
          </w:tcPr>
          <w:p>
            <w:pPr>
              <w:ind w:left="280"/>
              <w:spacing w:after="0"/>
              <w:rPr>
                <w:sz w:val="20"/>
                <w:szCs w:val="20"/>
                <w:color w:val="auto"/>
              </w:rPr>
            </w:pPr>
            <w:r>
              <w:rPr>
                <w:rFonts w:ascii="Arial" w:cs="Arial" w:eastAsia="Arial" w:hAnsi="Arial"/>
                <w:sz w:val="18"/>
                <w:szCs w:val="18"/>
                <w:color w:val="auto"/>
              </w:rPr>
              <w:t>Right to Acquire Limited Partner Interests</w:t>
            </w:r>
          </w:p>
        </w:tc>
        <w:tc>
          <w:tcPr>
            <w:tcW w:w="1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260" w:type="dxa"/>
            <w:vAlign w:val="bottom"/>
          </w:tcPr>
          <w:p>
            <w:pPr>
              <w:spacing w:after="0"/>
              <w:rPr>
                <w:sz w:val="24"/>
                <w:szCs w:val="24"/>
                <w:color w:val="auto"/>
              </w:rPr>
            </w:pPr>
          </w:p>
        </w:tc>
        <w:tc>
          <w:tcPr>
            <w:tcW w:w="8300" w:type="dxa"/>
            <w:vAlign w:val="bottom"/>
          </w:tcPr>
          <w:p>
            <w:pPr>
              <w:jc w:val="center"/>
              <w:ind w:left="510"/>
              <w:spacing w:after="0"/>
              <w:rPr>
                <w:sz w:val="20"/>
                <w:szCs w:val="20"/>
                <w:color w:val="auto"/>
              </w:rPr>
            </w:pPr>
            <w:r>
              <w:rPr>
                <w:rFonts w:ascii="Arial" w:cs="Arial" w:eastAsia="Arial" w:hAnsi="Arial"/>
                <w:sz w:val="18"/>
                <w:szCs w:val="18"/>
                <w:color w:val="auto"/>
              </w:rPr>
              <w:t>iii</w:t>
            </w:r>
          </w:p>
        </w:tc>
        <w:tc>
          <w:tcPr>
            <w:tcW w:w="190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830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r>
      <w:tr>
        <w:trPr>
          <w:trHeight w:val="766"/>
        </w:trPr>
        <w:tc>
          <w:tcPr>
            <w:tcW w:w="1260" w:type="dxa"/>
            <w:vAlign w:val="bottom"/>
          </w:tcPr>
          <w:p>
            <w:pPr>
              <w:spacing w:after="0"/>
              <w:rPr>
                <w:sz w:val="24"/>
                <w:szCs w:val="24"/>
                <w:color w:val="auto"/>
              </w:rPr>
            </w:pPr>
          </w:p>
        </w:tc>
        <w:tc>
          <w:tcPr>
            <w:tcW w:w="8300" w:type="dxa"/>
            <w:vAlign w:val="bottom"/>
          </w:tcPr>
          <w:p>
            <w:pPr>
              <w:jc w:val="center"/>
              <w:ind w:left="530"/>
              <w:spacing w:after="0"/>
              <w:rPr>
                <w:sz w:val="20"/>
                <w:szCs w:val="20"/>
                <w:color w:val="auto"/>
              </w:rPr>
            </w:pPr>
            <w:r>
              <w:rPr>
                <w:rFonts w:ascii="Arial" w:cs="Arial" w:eastAsia="Arial" w:hAnsi="Arial"/>
                <w:sz w:val="18"/>
                <w:szCs w:val="18"/>
                <w:color w:val="auto"/>
              </w:rPr>
              <w:t>ARTICLE XVI</w:t>
            </w:r>
          </w:p>
        </w:tc>
        <w:tc>
          <w:tcPr>
            <w:tcW w:w="190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300" w:type="dxa"/>
            <w:vAlign w:val="bottom"/>
          </w:tcPr>
          <w:p>
            <w:pPr>
              <w:jc w:val="center"/>
              <w:ind w:left="510"/>
              <w:spacing w:after="0"/>
              <w:rPr>
                <w:sz w:val="20"/>
                <w:szCs w:val="20"/>
                <w:color w:val="auto"/>
              </w:rPr>
            </w:pPr>
            <w:r>
              <w:rPr>
                <w:rFonts w:ascii="Arial" w:cs="Arial" w:eastAsia="Arial" w:hAnsi="Arial"/>
                <w:sz w:val="18"/>
                <w:szCs w:val="18"/>
                <w:color w:val="auto"/>
                <w:w w:val="95"/>
              </w:rPr>
              <w:t>GENERAL PROVISIONS</w:t>
            </w:r>
          </w:p>
        </w:tc>
        <w:tc>
          <w:tcPr>
            <w:tcW w:w="190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Section 16.1</w:t>
            </w:r>
          </w:p>
        </w:tc>
        <w:tc>
          <w:tcPr>
            <w:tcW w:w="8300" w:type="dxa"/>
            <w:vAlign w:val="bottom"/>
          </w:tcPr>
          <w:p>
            <w:pPr>
              <w:ind w:left="280"/>
              <w:spacing w:after="0"/>
              <w:rPr>
                <w:sz w:val="20"/>
                <w:szCs w:val="20"/>
                <w:color w:val="auto"/>
              </w:rPr>
            </w:pPr>
            <w:r>
              <w:rPr>
                <w:rFonts w:ascii="Arial" w:cs="Arial" w:eastAsia="Arial" w:hAnsi="Arial"/>
                <w:sz w:val="18"/>
                <w:szCs w:val="18"/>
                <w:color w:val="auto"/>
              </w:rPr>
              <w:t>Addresses and Notices</w:t>
            </w: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16.2</w:t>
            </w:r>
          </w:p>
        </w:tc>
        <w:tc>
          <w:tcPr>
            <w:tcW w:w="8300" w:type="dxa"/>
            <w:vAlign w:val="bottom"/>
          </w:tcPr>
          <w:p>
            <w:pPr>
              <w:ind w:left="280"/>
              <w:spacing w:after="0"/>
              <w:rPr>
                <w:sz w:val="20"/>
                <w:szCs w:val="20"/>
                <w:color w:val="auto"/>
              </w:rPr>
            </w:pPr>
            <w:r>
              <w:rPr>
                <w:rFonts w:ascii="Arial" w:cs="Arial" w:eastAsia="Arial" w:hAnsi="Arial"/>
                <w:sz w:val="18"/>
                <w:szCs w:val="18"/>
                <w:color w:val="auto"/>
              </w:rPr>
              <w:t>Further Action</w:t>
            </w: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16.3</w:t>
            </w:r>
          </w:p>
        </w:tc>
        <w:tc>
          <w:tcPr>
            <w:tcW w:w="8300" w:type="dxa"/>
            <w:vAlign w:val="bottom"/>
          </w:tcPr>
          <w:p>
            <w:pPr>
              <w:ind w:left="280"/>
              <w:spacing w:after="0"/>
              <w:rPr>
                <w:sz w:val="20"/>
                <w:szCs w:val="20"/>
                <w:color w:val="auto"/>
              </w:rPr>
            </w:pPr>
            <w:r>
              <w:rPr>
                <w:rFonts w:ascii="Arial" w:cs="Arial" w:eastAsia="Arial" w:hAnsi="Arial"/>
                <w:sz w:val="18"/>
                <w:szCs w:val="18"/>
                <w:color w:val="auto"/>
              </w:rPr>
              <w:t>Binding Effect</w:t>
            </w: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16.4</w:t>
            </w:r>
          </w:p>
        </w:tc>
        <w:tc>
          <w:tcPr>
            <w:tcW w:w="8300" w:type="dxa"/>
            <w:vAlign w:val="bottom"/>
          </w:tcPr>
          <w:p>
            <w:pPr>
              <w:ind w:left="280"/>
              <w:spacing w:after="0"/>
              <w:rPr>
                <w:sz w:val="20"/>
                <w:szCs w:val="20"/>
                <w:color w:val="auto"/>
              </w:rPr>
            </w:pPr>
            <w:r>
              <w:rPr>
                <w:rFonts w:ascii="Arial" w:cs="Arial" w:eastAsia="Arial" w:hAnsi="Arial"/>
                <w:sz w:val="18"/>
                <w:szCs w:val="18"/>
                <w:color w:val="auto"/>
              </w:rPr>
              <w:t>Integration</w:t>
            </w: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16.5</w:t>
            </w:r>
          </w:p>
        </w:tc>
        <w:tc>
          <w:tcPr>
            <w:tcW w:w="8300" w:type="dxa"/>
            <w:vAlign w:val="bottom"/>
          </w:tcPr>
          <w:p>
            <w:pPr>
              <w:ind w:left="280"/>
              <w:spacing w:after="0"/>
              <w:rPr>
                <w:sz w:val="20"/>
                <w:szCs w:val="20"/>
                <w:color w:val="auto"/>
              </w:rPr>
            </w:pPr>
            <w:r>
              <w:rPr>
                <w:rFonts w:ascii="Arial" w:cs="Arial" w:eastAsia="Arial" w:hAnsi="Arial"/>
                <w:sz w:val="18"/>
                <w:szCs w:val="18"/>
                <w:color w:val="auto"/>
              </w:rPr>
              <w:t>Creditors</w:t>
            </w: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16.6</w:t>
            </w:r>
          </w:p>
        </w:tc>
        <w:tc>
          <w:tcPr>
            <w:tcW w:w="8300" w:type="dxa"/>
            <w:vAlign w:val="bottom"/>
          </w:tcPr>
          <w:p>
            <w:pPr>
              <w:ind w:left="280"/>
              <w:spacing w:after="0"/>
              <w:rPr>
                <w:sz w:val="20"/>
                <w:szCs w:val="20"/>
                <w:color w:val="auto"/>
              </w:rPr>
            </w:pPr>
            <w:r>
              <w:rPr>
                <w:rFonts w:ascii="Arial" w:cs="Arial" w:eastAsia="Arial" w:hAnsi="Arial"/>
                <w:sz w:val="18"/>
                <w:szCs w:val="18"/>
                <w:color w:val="auto"/>
              </w:rPr>
              <w:t>Waiver</w:t>
            </w: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16.7</w:t>
            </w:r>
          </w:p>
        </w:tc>
        <w:tc>
          <w:tcPr>
            <w:tcW w:w="8300" w:type="dxa"/>
            <w:vAlign w:val="bottom"/>
          </w:tcPr>
          <w:p>
            <w:pPr>
              <w:ind w:left="280"/>
              <w:spacing w:after="0"/>
              <w:rPr>
                <w:sz w:val="20"/>
                <w:szCs w:val="20"/>
                <w:color w:val="auto"/>
              </w:rPr>
            </w:pPr>
            <w:r>
              <w:rPr>
                <w:rFonts w:ascii="Arial" w:cs="Arial" w:eastAsia="Arial" w:hAnsi="Arial"/>
                <w:sz w:val="18"/>
                <w:szCs w:val="18"/>
                <w:color w:val="auto"/>
              </w:rPr>
              <w:t>Third-Party Beneficiaries</w:t>
            </w:r>
          </w:p>
        </w:tc>
        <w:tc>
          <w:tcPr>
            <w:tcW w:w="1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16.8</w:t>
            </w:r>
          </w:p>
        </w:tc>
        <w:tc>
          <w:tcPr>
            <w:tcW w:w="830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1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16.9</w:t>
            </w:r>
          </w:p>
        </w:tc>
        <w:tc>
          <w:tcPr>
            <w:tcW w:w="8300" w:type="dxa"/>
            <w:vAlign w:val="bottom"/>
          </w:tcPr>
          <w:p>
            <w:pPr>
              <w:ind w:left="280"/>
              <w:spacing w:after="0"/>
              <w:rPr>
                <w:sz w:val="20"/>
                <w:szCs w:val="20"/>
                <w:color w:val="auto"/>
              </w:rPr>
            </w:pPr>
            <w:r>
              <w:rPr>
                <w:rFonts w:ascii="Arial" w:cs="Arial" w:eastAsia="Arial" w:hAnsi="Arial"/>
                <w:sz w:val="18"/>
                <w:szCs w:val="18"/>
                <w:color w:val="auto"/>
              </w:rPr>
              <w:t>Applicable Law; Forum; Venue and Jurisdiction; Waiver of Trial by Jury</w:t>
            </w:r>
          </w:p>
        </w:tc>
        <w:tc>
          <w:tcPr>
            <w:tcW w:w="1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16.10</w:t>
            </w:r>
          </w:p>
        </w:tc>
        <w:tc>
          <w:tcPr>
            <w:tcW w:w="8300" w:type="dxa"/>
            <w:vAlign w:val="bottom"/>
          </w:tcPr>
          <w:p>
            <w:pPr>
              <w:ind w:left="280"/>
              <w:spacing w:after="0"/>
              <w:rPr>
                <w:sz w:val="20"/>
                <w:szCs w:val="20"/>
                <w:color w:val="auto"/>
              </w:rPr>
            </w:pPr>
            <w:r>
              <w:rPr>
                <w:rFonts w:ascii="Arial" w:cs="Arial" w:eastAsia="Arial" w:hAnsi="Arial"/>
                <w:sz w:val="18"/>
                <w:szCs w:val="18"/>
                <w:color w:val="auto"/>
              </w:rPr>
              <w:t>Invalidity of Provisions</w:t>
            </w:r>
          </w:p>
        </w:tc>
        <w:tc>
          <w:tcPr>
            <w:tcW w:w="1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16.11</w:t>
            </w:r>
          </w:p>
        </w:tc>
        <w:tc>
          <w:tcPr>
            <w:tcW w:w="8300" w:type="dxa"/>
            <w:vAlign w:val="bottom"/>
          </w:tcPr>
          <w:p>
            <w:pPr>
              <w:ind w:left="280"/>
              <w:spacing w:after="0"/>
              <w:rPr>
                <w:sz w:val="20"/>
                <w:szCs w:val="20"/>
                <w:color w:val="auto"/>
              </w:rPr>
            </w:pPr>
            <w:r>
              <w:rPr>
                <w:rFonts w:ascii="Arial" w:cs="Arial" w:eastAsia="Arial" w:hAnsi="Arial"/>
                <w:sz w:val="18"/>
                <w:szCs w:val="18"/>
                <w:color w:val="auto"/>
              </w:rPr>
              <w:t>Consent of Partners</w:t>
            </w:r>
          </w:p>
        </w:tc>
        <w:tc>
          <w:tcPr>
            <w:tcW w:w="1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16.12</w:t>
            </w:r>
          </w:p>
        </w:tc>
        <w:tc>
          <w:tcPr>
            <w:tcW w:w="8300" w:type="dxa"/>
            <w:vAlign w:val="bottom"/>
          </w:tcPr>
          <w:p>
            <w:pPr>
              <w:ind w:left="280"/>
              <w:spacing w:after="0"/>
              <w:rPr>
                <w:sz w:val="20"/>
                <w:szCs w:val="20"/>
                <w:color w:val="auto"/>
              </w:rPr>
            </w:pPr>
            <w:r>
              <w:rPr>
                <w:rFonts w:ascii="Arial" w:cs="Arial" w:eastAsia="Arial" w:hAnsi="Arial"/>
                <w:sz w:val="18"/>
                <w:szCs w:val="18"/>
                <w:color w:val="auto"/>
              </w:rPr>
              <w:t>Facsimile Signatures</w:t>
            </w:r>
          </w:p>
        </w:tc>
        <w:tc>
          <w:tcPr>
            <w:tcW w:w="19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AGREEMENT OF LIMITED PARTNERSHIP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This AMENDED AND RESTATED AGREEMENT OF LIMITED PARTNERSHIP OF PLAINS GP HOLDINGS, L.P. dated as of October 21, 2013, is entered into by and among PAA GP Holdings LLC, a Delaware limited liability company, as the General Partner, together with any other Persons who become Partners in the Partnership or parties hereto as provided herein. In consideration of the covenants, conditions and agreements contained herein, the parties hereto hereby agree as follows:</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shall be for all purposes, unless otherwise clearly indicated to the contrary, applied to the terms used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Agreement</w:t>
      </w:r>
      <w:r>
        <w:rPr>
          <w:rFonts w:ascii="Arial" w:cs="Arial" w:eastAsia="Arial" w:hAnsi="Arial"/>
          <w:sz w:val="18"/>
          <w:szCs w:val="18"/>
          <w:color w:val="auto"/>
        </w:rPr>
        <w:t>” means the Seventh Amended and Restated Limited Partnership Agreement of AAP, dated as of the date hereof, as such may be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means Class A Units representing limited partner interests in 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Class B Units representing limited partner interests in 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Exchange</w:t>
      </w:r>
      <w:r>
        <w:rPr>
          <w:rFonts w:ascii="Arial" w:cs="Arial" w:eastAsia="Arial" w:hAnsi="Arial"/>
          <w:sz w:val="18"/>
          <w:szCs w:val="18"/>
          <w:color w:val="auto"/>
        </w:rPr>
        <w:t>” has the meaning ascribed to the term “Exchange” in the AAP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Units</w:t>
      </w:r>
      <w:r>
        <w:rPr>
          <w:rFonts w:ascii="Arial" w:cs="Arial" w:eastAsia="Arial" w:hAnsi="Arial"/>
          <w:sz w:val="18"/>
          <w:szCs w:val="18"/>
          <w:color w:val="auto"/>
        </w:rPr>
        <w:t>” means limited partnership interests in AAP, including AAP Class A Units and AAP Class B Units.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Administrative Agreement</w:t>
      </w:r>
      <w:r>
        <w:rPr>
          <w:rFonts w:ascii="Arial" w:cs="Arial" w:eastAsia="Arial" w:hAnsi="Arial"/>
          <w:sz w:val="16"/>
          <w:szCs w:val="16"/>
          <w:color w:val="auto"/>
        </w:rPr>
        <w:t>” means that certain Administrative Agreement, dated as of the Closing Date, among the General Partner, the Partnership and certain other parties, as such may be amended, modified, supplemented or restated from time to time in accordance with the terms thereof.</w:t>
      </w:r>
    </w:p>
    <w:p>
      <w:pPr>
        <w:spacing w:after="0" w:line="12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w:t>
      </w:r>
    </w:p>
    <w:p>
      <w:pPr>
        <w:sectPr>
          <w:pgSz w:w="11900" w:h="16952" w:orient="portrait"/>
          <w:cols w:equalWidth="0" w:num="1">
            <w:col w:w="11460"/>
          </w:cols>
          <w:pgMar w:left="240" w:top="341" w:right="199" w:bottom="0" w:gutter="0" w:footer="0" w:header="0"/>
        </w:sectPr>
      </w:pPr>
    </w:p>
    <w:bookmarkStart w:id="9" w:name="page10"/>
    <w:bookmarkEnd w:id="9"/>
    <w:p>
      <w:pPr>
        <w:ind w:right="460"/>
        <w:spacing w:after="0" w:line="308" w:lineRule="auto"/>
        <w:rPr>
          <w:sz w:val="20"/>
          <w:szCs w:val="20"/>
          <w:color w:val="auto"/>
        </w:rPr>
      </w:pPr>
      <w:r>
        <w:rPr>
          <w:rFonts w:ascii="Arial" w:cs="Arial" w:eastAsia="Arial" w:hAnsi="Arial"/>
          <w:sz w:val="17"/>
          <w:szCs w:val="17"/>
          <w:color w:val="auto"/>
        </w:rPr>
        <w:t>determination as to whether a Person, directly or indirectly through one or more intermediaries, controls, is controlled by or under common control with another Person shall be made taking into account, at the time of such determination, the context and circumstances surrounding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determination, including any known agreements or understandings that may impact such Person’s possession, directly or indirectly, of the power to direct or cause the direction of the management or policies of such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ind w:right="340" w:firstLine="656"/>
        <w:spacing w:after="0" w:line="259" w:lineRule="auto"/>
        <w:tabs>
          <w:tab w:leader="none" w:pos="129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solely by virtue of such Person’s status as an officer or director and the possession of the powers that are within the scope of the designated or delegated authority of such officer or director;</w:t>
      </w:r>
    </w:p>
    <w:p>
      <w:pPr>
        <w:spacing w:after="0" w:line="186" w:lineRule="exact"/>
        <w:rPr>
          <w:rFonts w:ascii="Arial" w:cs="Arial" w:eastAsia="Arial" w:hAnsi="Arial"/>
          <w:sz w:val="18"/>
          <w:szCs w:val="18"/>
          <w:color w:val="auto"/>
        </w:rPr>
      </w:pPr>
    </w:p>
    <w:p>
      <w:pPr>
        <w:ind w:right="40" w:firstLine="656"/>
        <w:spacing w:after="0" w:line="257" w:lineRule="auto"/>
        <w:tabs>
          <w:tab w:leader="none" w:pos="1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solely by virtue of such Person’s status as an officer or director and the possession of the powers that are within the scope of the designated or delegated authority of such officer or director;</w:t>
      </w:r>
    </w:p>
    <w:p>
      <w:pPr>
        <w:spacing w:after="0" w:line="188" w:lineRule="exact"/>
        <w:rPr>
          <w:rFonts w:ascii="Arial" w:cs="Arial" w:eastAsia="Arial" w:hAnsi="Arial"/>
          <w:sz w:val="18"/>
          <w:szCs w:val="18"/>
          <w:color w:val="auto"/>
        </w:rPr>
      </w:pPr>
    </w:p>
    <w:p>
      <w:pPr>
        <w:ind w:right="60" w:firstLine="656"/>
        <w:spacing w:after="0" w:line="286" w:lineRule="auto"/>
        <w:tabs>
          <w:tab w:leader="none" w:pos="1307"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Person that, alone or together with any Affiliate Group of which such Person is a part, owns less than 50% of the total number of outstanding General Partner Units of the General Partner, shall not be considered to be an Affiliate of the General Partner, a Departing General Partner or any Group Member solely by virtue of the ownership by such Person (and Affiliate Group, if applicable) of such General Partner Units; and</w:t>
      </w:r>
    </w:p>
    <w:p>
      <w:pPr>
        <w:spacing w:after="0" w:line="165" w:lineRule="exact"/>
        <w:rPr>
          <w:rFonts w:ascii="Arial" w:cs="Arial" w:eastAsia="Arial" w:hAnsi="Arial"/>
          <w:sz w:val="17"/>
          <w:szCs w:val="17"/>
          <w:color w:val="auto"/>
        </w:rPr>
      </w:pPr>
    </w:p>
    <w:p>
      <w:pPr>
        <w:jc w:val="both"/>
        <w:ind w:right="380" w:firstLine="656"/>
        <w:spacing w:after="0" w:line="259" w:lineRule="auto"/>
        <w:tabs>
          <w:tab w:leader="none" w:pos="1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solely by virtue of the ownership by such Person (and Affiliate Group, if applicable) of such interests.</w:t>
      </w:r>
    </w:p>
    <w:p>
      <w:pPr>
        <w:spacing w:after="0" w:line="187"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 Group</w:t>
      </w:r>
      <w:r>
        <w:rPr>
          <w:rFonts w:ascii="Arial" w:cs="Arial" w:eastAsia="Arial" w:hAnsi="Arial"/>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Amended and Restated Agreement of Limited Partnership of Plains GP Holdings, L.P., as it may be amended, modified, supplemented or restated from time to time in accordance with the terms hereof.</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means, when used to indicate a relationship with any Person, (a) any corporation or organization of which such Person is a director, officer, manager, general partner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Cash</w:t>
      </w:r>
      <w:r>
        <w:rPr>
          <w:rFonts w:ascii="Arial" w:cs="Arial" w:eastAsia="Arial" w:hAnsi="Arial"/>
          <w:sz w:val="18"/>
          <w:szCs w:val="18"/>
          <w:color w:val="auto"/>
        </w:rPr>
        <w:t>” means, with respect to any Quarter ending prior to the Liquidation Date,</w:t>
      </w:r>
    </w:p>
    <w:p>
      <w:pPr>
        <w:spacing w:after="0" w:line="225" w:lineRule="exact"/>
        <w:rPr>
          <w:sz w:val="20"/>
          <w:szCs w:val="20"/>
          <w:color w:val="auto"/>
        </w:rPr>
      </w:pPr>
    </w:p>
    <w:p>
      <w:pPr>
        <w:ind w:left="660" w:firstLine="645"/>
        <w:spacing w:after="0" w:line="272" w:lineRule="auto"/>
        <w:tabs>
          <w:tab w:leader="none" w:pos="1954"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 (ii) 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pacing w:after="0" w:line="177" w:lineRule="exact"/>
        <w:rPr>
          <w:rFonts w:ascii="Arial" w:cs="Arial" w:eastAsia="Arial" w:hAnsi="Arial"/>
          <w:sz w:val="17"/>
          <w:szCs w:val="17"/>
          <w:color w:val="auto"/>
        </w:rPr>
      </w:pPr>
    </w:p>
    <w:p>
      <w:pPr>
        <w:ind w:left="660" w:right="140" w:firstLine="645"/>
        <w:spacing w:after="0" w:line="285" w:lineRule="auto"/>
        <w:tabs>
          <w:tab w:leader="none" w:pos="1964"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amount of any cash reserves established by the General Partner (or the Partnership Group’s proportionate share of cash reserves in the case of Subsidiaries of Group Members that are not wholly owned) to (i) comply with applicable law, (ii) comply with any loan agreement, security agreement, mortgage, debt instrument or other agreement or obligation to which any Group Member is a party or by which it is bound or its assets are subject, (iii) provide funds for future distributions to the Shareholders under Section 6.3, (iv) provide for future capital expenditures, debt service and other credit needs and any federal, state, provincial or other income tax that may affect the Partnership in the future,</w:t>
      </w:r>
    </w:p>
    <w:p>
      <w:pPr>
        <w:spacing w:after="0" w:line="2" w:lineRule="exact"/>
        <w:rPr>
          <w:rFonts w:ascii="Arial" w:cs="Arial" w:eastAsia="Arial" w:hAnsi="Arial"/>
          <w:sz w:val="16"/>
          <w:szCs w:val="16"/>
          <w:color w:val="auto"/>
        </w:rPr>
      </w:pPr>
    </w:p>
    <w:p>
      <w:pPr>
        <w:ind w:left="660" w:right="40" w:hanging="4"/>
        <w:spacing w:after="0" w:line="255" w:lineRule="auto"/>
        <w:tabs>
          <w:tab w:leader="none" w:pos="9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for the Partnership’s general, administrative and other expenses, (vi) permit the MLP General Partner to make capital contributions to the MLP to maintain its 2% general partner interest in the MLP upon the issuance of additional partnership securities by the MLP or (vii) otherwise provide for the proper conduct of the business of the Partnership Group subsequent to such Quarter;</w:t>
      </w:r>
    </w:p>
    <w:p>
      <w:pPr>
        <w:spacing w:after="0" w:line="190" w:lineRule="exact"/>
        <w:rPr>
          <w:sz w:val="20"/>
          <w:szCs w:val="20"/>
          <w:color w:val="auto"/>
        </w:rPr>
      </w:pPr>
    </w:p>
    <w:p>
      <w:pPr>
        <w:ind w:left="660" w:right="300"/>
        <w:spacing w:after="0" w:line="28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disbursements made by a Group Member or cash reserves established, increased or reduced after the end of such Quarter, but on or</w:t>
      </w:r>
      <w:r>
        <w:rPr>
          <w:rFonts w:ascii="Arial" w:cs="Arial" w:eastAsia="Arial" w:hAnsi="Arial"/>
          <w:sz w:val="17"/>
          <w:szCs w:val="17"/>
          <w:i w:val="1"/>
          <w:iCs w:val="1"/>
          <w:color w:val="auto"/>
        </w:rPr>
        <w:t xml:space="preserve"> </w:t>
      </w:r>
      <w:r>
        <w:rPr>
          <w:rFonts w:ascii="Arial" w:cs="Arial" w:eastAsia="Arial" w:hAnsi="Arial"/>
          <w:sz w:val="17"/>
          <w:szCs w:val="17"/>
          <w:color w:val="auto"/>
        </w:rPr>
        <w:t>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66" w:lineRule="exact"/>
        <w:rPr>
          <w:sz w:val="20"/>
          <w:szCs w:val="20"/>
          <w:color w:val="auto"/>
        </w:rPr>
      </w:pPr>
    </w:p>
    <w:p>
      <w:pPr>
        <w:ind w:left="660" w:right="420" w:firstLine="648"/>
        <w:spacing w:after="0" w:line="277" w:lineRule="auto"/>
        <w:rPr>
          <w:sz w:val="20"/>
          <w:szCs w:val="20"/>
          <w:color w:val="auto"/>
        </w:rPr>
      </w:pPr>
      <w:r>
        <w:rPr>
          <w:rFonts w:ascii="Arial" w:cs="Arial" w:eastAsia="Arial" w:hAnsi="Arial"/>
          <w:sz w:val="18"/>
          <w:szCs w:val="18"/>
          <w:color w:val="auto"/>
        </w:rPr>
        <w:t>Notwithstanding the foregoing, “Available Cash” with respect to the Quarter in which the Liquidation Date occurs and any subsequent Quarter shall equal zero.</w:t>
      </w:r>
    </w:p>
    <w:p>
      <w:pPr>
        <w:sectPr>
          <w:pgSz w:w="11900" w:h="16838" w:orient="portrait"/>
          <w:cols w:equalWidth="0" w:num="1">
            <w:col w:w="11420"/>
          </w:cols>
          <w:pgMar w:left="240" w:top="125" w:right="239" w:bottom="0" w:gutter="0" w:footer="0" w:header="0"/>
        </w:sectPr>
      </w:pPr>
    </w:p>
    <w:bookmarkStart w:id="10" w:name="page11"/>
    <w:bookmarkEnd w:id="10"/>
    <w:p>
      <w:pPr>
        <w:spacing w:after="0" w:line="3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Classification Date</w:t>
      </w:r>
      <w:r>
        <w:rPr>
          <w:rFonts w:ascii="Arial" w:cs="Arial" w:eastAsia="Arial" w:hAnsi="Arial"/>
          <w:sz w:val="18"/>
          <w:szCs w:val="18"/>
          <w:color w:val="auto"/>
        </w:rPr>
        <w:t>” means the date on which the Board of Directors is split into classes as contemplated by the Holdings GP LLC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Limited Partnership</w:t>
      </w:r>
      <w:r>
        <w:rPr>
          <w:rFonts w:ascii="Arial" w:cs="Arial" w:eastAsia="Arial" w:hAnsi="Arial"/>
          <w:sz w:val="16"/>
          <w:szCs w:val="16"/>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Citizenship Assignee</w:t>
      </w:r>
      <w:r>
        <w:rPr>
          <w:rFonts w:ascii="Arial" w:cs="Arial" w:eastAsia="Arial" w:hAnsi="Arial"/>
          <w:sz w:val="18"/>
          <w:szCs w:val="18"/>
          <w:color w:val="auto"/>
        </w:rPr>
        <w:t>” means a Non-citizen Assignee or a Person to whom one or more Limited Partner Interests have been transferred in a manner permitted under this Agreement who has not been admitted as a Substituted Limited Partner.</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Share</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A Shares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Shareholders</w:t>
      </w:r>
      <w:r>
        <w:rPr>
          <w:rFonts w:ascii="Arial" w:cs="Arial" w:eastAsia="Arial" w:hAnsi="Arial"/>
          <w:sz w:val="18"/>
          <w:szCs w:val="18"/>
          <w:color w:val="auto"/>
        </w:rPr>
        <w:t>” means the holders of Class A Shares.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Share</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B Shares in this Agreement. The Class B Shares do not include any rights to receive distributions from operations or upon the liquidation or winding-up of the Partnership.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Shareholders</w:t>
      </w:r>
      <w:r>
        <w:rPr>
          <w:rFonts w:ascii="Arial" w:cs="Arial" w:eastAsia="Arial" w:hAnsi="Arial"/>
          <w:sz w:val="18"/>
          <w:szCs w:val="18"/>
          <w:color w:val="auto"/>
        </w:rPr>
        <w:t>” means the holders of Class B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Transfer</w:t>
      </w:r>
      <w:r>
        <w:rPr>
          <w:rFonts w:ascii="Arial" w:cs="Arial" w:eastAsia="Arial" w:hAnsi="Arial"/>
          <w:sz w:val="18"/>
          <w:szCs w:val="18"/>
          <w:color w:val="auto"/>
        </w:rPr>
        <w:t>” has the meaning assigned to such term in Section 4.5(e).</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first date on which Class A Shares are sold by the Partnership to the Underwriters pursuant to the provisions of the Underwriting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Price</w:t>
      </w:r>
      <w:r>
        <w:rPr>
          <w:rFonts w:ascii="Arial" w:cs="Arial" w:eastAsia="Arial" w:hAnsi="Arial"/>
          <w:sz w:val="18"/>
          <w:szCs w:val="18"/>
          <w:color w:val="auto"/>
        </w:rPr>
        <w:t>” has the meaning assigned to such term in Section 15.1(a).</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Interest</w:t>
      </w:r>
      <w:r>
        <w:rPr>
          <w:rFonts w:ascii="Arial" w:cs="Arial" w:eastAsia="Arial" w:hAnsi="Arial"/>
          <w:sz w:val="18"/>
          <w:szCs w:val="18"/>
          <w:color w:val="auto"/>
        </w:rPr>
        <w:t>” 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Conflicts Committee</w:t>
      </w:r>
      <w:r>
        <w:rPr>
          <w:rFonts w:ascii="Arial" w:cs="Arial" w:eastAsia="Arial" w:hAnsi="Arial"/>
          <w:sz w:val="16"/>
          <w:szCs w:val="16"/>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w:t>
      </w:r>
    </w:p>
    <w:p>
      <w:pPr>
        <w:ind w:right="20" w:firstLine="8"/>
        <w:spacing w:after="0" w:line="287"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Class A Shares or (ii) other awards of Partnership Interests that are granted to such Director under a long-term incentive plan) or MLP Group (except that a Director shall not be precluded from serving on such committee due to the ownership of common units of the MLP or PAA Natural Gas Storage, 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has the meaning assigned to such term in Section 15.1(a).</w:t>
      </w:r>
    </w:p>
    <w:p>
      <w:pPr>
        <w:sectPr>
          <w:pgSz w:w="11900" w:h="16874" w:orient="portrait"/>
          <w:cols w:equalWidth="0" w:num="1">
            <w:col w:w="11420"/>
          </w:cols>
          <w:pgMar w:left="240" w:top="125" w:right="239" w:bottom="0" w:gutter="0" w:footer="0" w:header="0"/>
        </w:sectPr>
      </w:pPr>
    </w:p>
    <w:bookmarkStart w:id="11" w:name="page12"/>
    <w:bookmarkEnd w:id="11"/>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Act</w:t>
      </w:r>
      <w:r>
        <w:rPr>
          <w:rFonts w:ascii="Arial" w:cs="Arial" w:eastAsia="Arial" w:hAnsi="Arial"/>
          <w:sz w:val="18"/>
          <w:szCs w:val="18"/>
          <w:color w:val="auto"/>
        </w:rPr>
        <w:t>” means the Delaware Revised Uniform Limited Partnership Act, 6 Del C. Section 17-101, et seq., as amended, supplemented or restated from time to time, and any successor to such statute.</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Departing General Partner</w:t>
      </w:r>
      <w:r>
        <w:rPr>
          <w:rFonts w:ascii="Arial" w:cs="Arial" w:eastAsia="Arial" w:hAnsi="Arial"/>
          <w:sz w:val="18"/>
          <w:szCs w:val="18"/>
          <w:color w:val="auto"/>
        </w:rPr>
        <w:t>” means a former General Partner from and after the effective date of any withdrawal or removal of such former General Partner pursuant to Section 11.1 or 11.2.</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Directors</w:t>
      </w:r>
      <w:r>
        <w:rPr>
          <w:rFonts w:ascii="Arial" w:cs="Arial" w:eastAsia="Arial" w:hAnsi="Arial"/>
          <w:sz w:val="18"/>
          <w:szCs w:val="18"/>
          <w:color w:val="auto"/>
        </w:rPr>
        <w:t>” means the Directors appointed by the Existing Owners or their permitted transferees pursuant to Sections 6.1 and 6.2 of the Holdings GP LLC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shall mean the members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shall have the meaning given such term in the Holdings GP LLC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Eligibility Certificate</w:t>
      </w:r>
      <w:r>
        <w:rPr>
          <w:rFonts w:ascii="Arial" w:cs="Arial" w:eastAsia="Arial" w:hAnsi="Arial"/>
          <w:sz w:val="18"/>
          <w:szCs w:val="18"/>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Citizen</w:t>
      </w:r>
      <w:r>
        <w:rPr>
          <w:rFonts w:ascii="Arial" w:cs="Arial" w:eastAsia="Arial" w:hAnsi="Arial"/>
          <w:sz w:val="18"/>
          <w:szCs w:val="18"/>
          <w:color w:val="auto"/>
        </w:rPr>
        <w:t>” means a Person qualified to own interests in real property in jurisdictions in which any Group Member does business or proposes to do business from time to time, and whose status as a Limited Partner does not or would not subject such Group Member to a significant risk of cancellation or forfeiture of any of its real properties or interests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 has the meaning assigned to such term in Section 11.1(a).</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each of the owners of General Partner Units as of the date of this Agreement, in each case for so long as they continue to own General Partner Units.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70"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 Unit</w:t>
      </w:r>
      <w:r>
        <w:rPr>
          <w:rFonts w:ascii="Arial" w:cs="Arial" w:eastAsia="Arial" w:hAnsi="Arial"/>
          <w:sz w:val="18"/>
          <w:szCs w:val="18"/>
          <w:color w:val="auto"/>
        </w:rPr>
        <w:t>” means a fractional part of the membership interest of the General Partner.</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Partnership Group.</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 Agreement</w:t>
      </w:r>
      <w:r>
        <w:rPr>
          <w:rFonts w:ascii="Arial" w:cs="Arial" w:eastAsia="Arial" w:hAnsi="Arial"/>
          <w:sz w:val="18"/>
          <w:szCs w:val="18"/>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 LLC Agreement</w:t>
      </w:r>
      <w:r>
        <w:rPr>
          <w:rFonts w:ascii="Arial" w:cs="Arial" w:eastAsia="Arial" w:hAnsi="Arial"/>
          <w:sz w:val="18"/>
          <w:szCs w:val="18"/>
          <w:color w:val="auto"/>
        </w:rPr>
        <w:t>” means the Amended and Restated Limited Liability Company Agreement dated October 21 of the General Partner, as such may be amended, modified, supplemented or restated from time to time in accordance with the terms thereof.</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 Departing General Partner, any Existing Owner or any Qualifying Interest Holder or any Affiliate of any Group Member, the General Partner, any Departing General Partner, any 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 business of any Group Member; </w:t>
      </w:r>
      <w:r>
        <w:rPr>
          <w:rFonts w:ascii="Arial" w:cs="Arial" w:eastAsia="Arial" w:hAnsi="Arial"/>
          <w:sz w:val="16"/>
          <w:szCs w:val="16"/>
          <w:i w:val="1"/>
          <w:iCs w:val="1"/>
          <w:color w:val="auto"/>
        </w:rPr>
        <w:t>provided</w:t>
      </w:r>
      <w:r>
        <w:rPr>
          <w:rFonts w:ascii="Arial" w:cs="Arial" w:eastAsia="Arial" w:hAnsi="Arial"/>
          <w:sz w:val="16"/>
          <w:szCs w:val="16"/>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Ineligible Holder</w:t>
      </w:r>
      <w:r>
        <w:rPr>
          <w:rFonts w:ascii="Arial" w:cs="Arial" w:eastAsia="Arial" w:hAnsi="Arial"/>
          <w:sz w:val="18"/>
          <w:szCs w:val="18"/>
          <w:color w:val="auto"/>
        </w:rPr>
        <w:t>” has the meaning assigned to such term in Section 4.8(a).</w:t>
      </w:r>
    </w:p>
    <w:p>
      <w:pPr>
        <w:sectPr>
          <w:pgSz w:w="11900" w:h="16838" w:orient="portrait"/>
          <w:cols w:equalWidth="0" w:num="1">
            <w:col w:w="11400"/>
          </w:cols>
          <w:pgMar w:left="240" w:top="341" w:right="259" w:bottom="0" w:gutter="0" w:footer="0" w:header="0"/>
        </w:sectPr>
      </w:pPr>
    </w:p>
    <w:bookmarkStart w:id="12" w:name="page13"/>
    <w:bookmarkEnd w:id="12"/>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Class A Shares</w:t>
      </w:r>
      <w:r>
        <w:rPr>
          <w:rFonts w:ascii="Arial" w:cs="Arial" w:eastAsia="Arial" w:hAnsi="Arial"/>
          <w:sz w:val="18"/>
          <w:szCs w:val="18"/>
          <w:color w:val="auto"/>
        </w:rPr>
        <w:t>” means the Class A Shares sold in the Initial Offering.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Limited Partners</w:t>
      </w:r>
      <w:r>
        <w:rPr>
          <w:rFonts w:ascii="Arial" w:cs="Arial" w:eastAsia="Arial" w:hAnsi="Arial"/>
          <w:sz w:val="18"/>
          <w:szCs w:val="18"/>
          <w:color w:val="auto"/>
        </w:rPr>
        <w:t>” means the Existing Owners (with respect to the Class B Shares received by them as described in Section 5.2) upon being admitted to the Partnership in accordance with Section 10.1.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Offering</w:t>
      </w:r>
      <w:r>
        <w:rPr>
          <w:rFonts w:ascii="Arial" w:cs="Arial" w:eastAsia="Arial" w:hAnsi="Arial"/>
          <w:sz w:val="18"/>
          <w:szCs w:val="18"/>
          <w:color w:val="auto"/>
        </w:rPr>
        <w:t>” means the initial offering and sale of Class A Shares to the public, as described in the Registration Statement.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Price</w:t>
      </w:r>
      <w:r>
        <w:rPr>
          <w:rFonts w:ascii="Arial" w:cs="Arial" w:eastAsia="Arial" w:hAnsi="Arial"/>
          <w:sz w:val="18"/>
          <w:szCs w:val="18"/>
          <w:color w:val="auto"/>
        </w:rPr>
        <w:t>” means the price at which an Initial Class A Share is purchased from the Partnership net of any sales commission or underwriting discount charged to the Partnership.</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Limited Partner</w:t>
      </w:r>
      <w:r>
        <w:rPr>
          <w:rFonts w:ascii="Arial" w:cs="Arial" w:eastAsia="Arial" w:hAnsi="Arial"/>
          <w:sz w:val="16"/>
          <w:szCs w:val="16"/>
          <w:color w:val="auto"/>
        </w:rPr>
        <w:t>” means, unless the context otherwise requires, each Initial Limited Partner, each Class A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4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 Interest</w:t>
      </w:r>
      <w:r>
        <w:rPr>
          <w:rFonts w:ascii="Arial" w:cs="Arial" w:eastAsia="Arial" w:hAnsi="Arial"/>
          <w:sz w:val="18"/>
          <w:szCs w:val="18"/>
          <w:color w:val="auto"/>
        </w:rPr>
        <w:t>” means the ownership interest of a Limited Partner in the Partnership, which may be evidenced by Class A Shares, Class B Shares or other Partnership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Date</w:t>
      </w:r>
      <w:r>
        <w:rPr>
          <w:rFonts w:ascii="Arial" w:cs="Arial" w:eastAsia="Arial" w:hAnsi="Arial"/>
          <w:sz w:val="18"/>
          <w:szCs w:val="18"/>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Liquidator</w:t>
      </w:r>
      <w:r>
        <w:rPr>
          <w:rFonts w:ascii="Arial" w:cs="Arial" w:eastAsia="Arial" w:hAnsi="Arial"/>
          <w:sz w:val="18"/>
          <w:szCs w:val="18"/>
          <w:color w:val="auto"/>
        </w:rPr>
        <w:t>” means one or more Persons selected by the General Partner to perform the functions described in Section 12.3 as liquidating trustee of the Partnership within the meaning of the Delaware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has the meaning assigned to such term in Section 14.1.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 and any successors thereto.</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Agreement</w:t>
      </w:r>
      <w:r>
        <w:rPr>
          <w:rFonts w:ascii="Arial" w:cs="Arial" w:eastAsia="Arial" w:hAnsi="Arial"/>
          <w:sz w:val="18"/>
          <w:szCs w:val="18"/>
          <w:color w:val="auto"/>
        </w:rPr>
        <w:t>” means the Fourth Amended and Restated Agreement of Limited Partnership of Plains All American Pipeline, L.P. dated as of May 17, 2012, as it may be amended, modified, supplemented or restated from time to time in accordance with the terms thereof, including as amended by Amendment No. 1 thereto dated as of October 1,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General Partner</w:t>
      </w:r>
      <w:r>
        <w:rPr>
          <w:rFonts w:ascii="Arial" w:cs="Arial" w:eastAsia="Arial" w:hAnsi="Arial"/>
          <w:sz w:val="16"/>
          <w:szCs w:val="16"/>
          <w:color w:val="auto"/>
        </w:rPr>
        <w:t>” means PAA GP LLC, a Delaware limited liability company and the general partner of the MLP, and any successors thereto.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Group</w:t>
      </w:r>
      <w:r>
        <w:rPr>
          <w:rFonts w:ascii="Arial" w:cs="Arial" w:eastAsia="Arial" w:hAnsi="Arial"/>
          <w:sz w:val="18"/>
          <w:szCs w:val="18"/>
          <w:color w:val="auto"/>
        </w:rPr>
        <w:t>” means the MLP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Managing General Partner</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Securities Exchange Act or any successor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Non-citizen Assignee</w:t>
      </w:r>
      <w:r>
        <w:rPr>
          <w:rFonts w:ascii="Arial" w:cs="Arial" w:eastAsia="Arial" w:hAnsi="Arial"/>
          <w:sz w:val="17"/>
          <w:szCs w:val="17"/>
          <w:color w:val="auto"/>
        </w:rPr>
        <w:t xml:space="preserve">” means a Person whom the General Partner has determined in accordance with </w:t>
      </w:r>
      <w:r>
        <w:rPr>
          <w:rFonts w:ascii="Arial" w:cs="Arial" w:eastAsia="Arial" w:hAnsi="Arial"/>
          <w:sz w:val="17"/>
          <w:szCs w:val="17"/>
          <w:u w:val="single" w:color="auto"/>
          <w:color w:val="auto"/>
        </w:rPr>
        <w:t>Section 4.8(a)</w:t>
      </w:r>
      <w:r>
        <w:rPr>
          <w:rFonts w:ascii="Arial" w:cs="Arial" w:eastAsia="Arial" w:hAnsi="Arial"/>
          <w:sz w:val="17"/>
          <w:szCs w:val="17"/>
          <w:color w:val="auto"/>
        </w:rPr>
        <w:t xml:space="preserve"> does not constitute an Eligible Citizen and as to whose Partnership Interest the General Partner has become the Substituted Limited Partner, pursuant to </w:t>
      </w:r>
      <w:r>
        <w:rPr>
          <w:rFonts w:ascii="Arial" w:cs="Arial" w:eastAsia="Arial" w:hAnsi="Arial"/>
          <w:sz w:val="17"/>
          <w:szCs w:val="17"/>
          <w:u w:val="single" w:color="auto"/>
          <w:color w:val="auto"/>
        </w:rPr>
        <w:t>Section 4.9</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Election to Purchase</w:t>
      </w:r>
      <w:r>
        <w:rPr>
          <w:rFonts w:ascii="Arial" w:cs="Arial" w:eastAsia="Arial" w:hAnsi="Arial"/>
          <w:sz w:val="18"/>
          <w:szCs w:val="18"/>
          <w:color w:val="auto"/>
        </w:rPr>
        <w:t>” has the meaning assigned to such term in Section 15.1(b).</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 written opinion of counsel (who may be regular counsel to the Partnership or the General Partner or any of its Affiliates) in a form acceptable to the General Partner.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Closing Date</w:t>
      </w:r>
      <w:r>
        <w:rPr>
          <w:rFonts w:ascii="Arial" w:cs="Arial" w:eastAsia="Arial" w:hAnsi="Arial"/>
          <w:sz w:val="18"/>
          <w:szCs w:val="18"/>
          <w:color w:val="auto"/>
        </w:rPr>
        <w:t>” means the date or dates on which any Class A Shares are sold by the Partnership to the Underwriters upon exercise of the Over-Allotment Option.</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Limited Partner</w:t>
      </w:r>
      <w:r>
        <w:rPr>
          <w:rFonts w:ascii="Arial" w:cs="Arial" w:eastAsia="Arial" w:hAnsi="Arial"/>
          <w:sz w:val="18"/>
          <w:szCs w:val="18"/>
          <w:color w:val="auto"/>
        </w:rPr>
        <w:t>” means PAA Management, L.P., in its capacity as the organizational limited partner of the Partnership pursuant to this Agreement.</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w:t>
      </w:r>
    </w:p>
    <w:p>
      <w:pPr>
        <w:sectPr>
          <w:pgSz w:w="11900" w:h="16932" w:orient="portrait"/>
          <w:cols w:equalWidth="0" w:num="1">
            <w:col w:w="11420"/>
          </w:cols>
          <w:pgMar w:left="240" w:top="125" w:right="239" w:bottom="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acquired 20% or more of the Outstanding Partnership Interests of any class then Outstanding directly or indirectly from a Person or Group described in clause</w:t>
      </w:r>
    </w:p>
    <w:p>
      <w:pPr>
        <w:spacing w:after="0" w:line="46" w:lineRule="exact"/>
        <w:rPr>
          <w:sz w:val="20"/>
          <w:szCs w:val="20"/>
          <w:color w:val="auto"/>
        </w:rPr>
      </w:pPr>
    </w:p>
    <w:p>
      <w:pPr>
        <w:ind w:right="80" w:firstLine="8"/>
        <w:spacing w:after="0" w:line="261"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General Partner shall have notified such Person or Group in writing that such limitation shall not apply or (iii) any Person or Group who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20% or more of any Partnership Interests with the prior approval of the Board of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means the over-allotment option granted to the Underwriters by the Partnership pursuant to the Underwriting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w:t>
      </w:r>
      <w:r>
        <w:rPr>
          <w:rFonts w:ascii="Arial" w:cs="Arial" w:eastAsia="Arial" w:hAnsi="Arial"/>
          <w:sz w:val="18"/>
          <w:szCs w:val="18"/>
          <w:color w:val="auto"/>
        </w:rPr>
        <w:t>” means the General Partner and the Limited Partners.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Partnership Group</w:t>
      </w:r>
      <w:r>
        <w:rPr>
          <w:rFonts w:ascii="Arial" w:cs="Arial" w:eastAsia="Arial" w:hAnsi="Arial"/>
          <w:sz w:val="17"/>
          <w:szCs w:val="17"/>
          <w:color w:val="auto"/>
        </w:rPr>
        <w:t>” means the Partnership and its Subsidiaries treated as a single consolidated entity, but excluding the MLP Group.</w:t>
      </w:r>
    </w:p>
    <w:p>
      <w:pPr>
        <w:spacing w:after="0" w:line="237"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Partnership Interest</w:t>
      </w:r>
      <w:r>
        <w:rPr>
          <w:rFonts w:ascii="Arial" w:cs="Arial" w:eastAsia="Arial" w:hAnsi="Arial"/>
          <w:sz w:val="16"/>
          <w:szCs w:val="16"/>
          <w:color w:val="auto"/>
        </w:rPr>
        <w:t>” means any class or series of equity interest in the Partnership (but excluding any options to purchase, rights, warrants or appreciation rights or phantom or tracking interests relating to an equity interest in the Partnership), including Class A Shares and Class B Shares.</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Percentage Interest</w:t>
      </w:r>
      <w:r>
        <w:rPr>
          <w:rFonts w:ascii="Arial" w:cs="Arial" w:eastAsia="Arial" w:hAnsi="Arial"/>
          <w:sz w:val="18"/>
          <w:szCs w:val="18"/>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shall at all times be zero.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 corporation, firm, limited liability company, partnership, joint venture, trust, unincorporated organization, association, government agency or political subdivision thereof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of Conversion</w:t>
      </w:r>
      <w:r>
        <w:rPr>
          <w:rFonts w:ascii="Arial" w:cs="Arial" w:eastAsia="Arial" w:hAnsi="Arial"/>
          <w:sz w:val="18"/>
          <w:szCs w:val="18"/>
          <w:color w:val="auto"/>
        </w:rPr>
        <w:t>” has the meaning assigned to such term in Section 14.1.</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 (as such term is defined in the Holdings GP LLC Agreement).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Quarter</w:t>
      </w:r>
      <w:r>
        <w:rPr>
          <w:rFonts w:ascii="Arial" w:cs="Arial" w:eastAsia="Arial" w:hAnsi="Arial"/>
          <w:sz w:val="18"/>
          <w:szCs w:val="18"/>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7"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Record Holder</w:t>
      </w:r>
      <w:r>
        <w:rPr>
          <w:rFonts w:ascii="Arial" w:cs="Arial" w:eastAsia="Arial" w:hAnsi="Arial"/>
          <w:sz w:val="16"/>
          <w:szCs w:val="16"/>
          <w:color w:val="auto"/>
        </w:rPr>
        <w:t>” means (a) with respect to Partnership Interests of any class for which a Transfer Agent has been appointed, the Person in whose name a Partnership Interest of such class is registered on the books of the Transfer Agent as of the opening of business on a particular Business Day, or</w:t>
      </w:r>
    </w:p>
    <w:p>
      <w:pPr>
        <w:ind w:right="40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Redeemable Interests</w:t>
      </w:r>
      <w:r>
        <w:rPr>
          <w:rFonts w:ascii="Arial" w:cs="Arial" w:eastAsia="Arial" w:hAnsi="Arial"/>
          <w:sz w:val="18"/>
          <w:szCs w:val="18"/>
          <w:color w:val="auto"/>
        </w:rPr>
        <w:t>” means any Partnership Interests for which a redemption notice has been given, and has not been withdrawn, pursuant to Section 4.9.</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 by the Partnership with the Commission under the Securities Act to register the offering and sale of the Class A Shares in the Initial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Exchange Act</w:t>
      </w:r>
      <w:r>
        <w:rPr>
          <w:rFonts w:ascii="Arial" w:cs="Arial" w:eastAsia="Arial" w:hAnsi="Arial"/>
          <w:sz w:val="18"/>
          <w:szCs w:val="18"/>
          <w:color w:val="auto"/>
        </w:rPr>
        <w:t>” means the Securities Exchange Act of 1934, as amended, supplemented or restated from time to time and any successor to such statute.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 Partnership Interest that is designated as a “Share” and shall include Class A Shares and Class B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Majority</w:t>
      </w:r>
      <w:r>
        <w:rPr>
          <w:rFonts w:ascii="Arial" w:cs="Arial" w:eastAsia="Arial" w:hAnsi="Arial"/>
          <w:sz w:val="18"/>
          <w:szCs w:val="18"/>
          <w:color w:val="auto"/>
        </w:rPr>
        <w:t>” means at least a majority of the Outstanding Shares, voting together as a single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 means the holders of Shares.</w:t>
      </w:r>
    </w:p>
    <w:p>
      <w:pPr>
        <w:sectPr>
          <w:pgSz w:w="11900" w:h="16838" w:orient="portrait"/>
          <w:cols w:equalWidth="0" w:num="1">
            <w:col w:w="11380"/>
          </w:cols>
          <w:pgMar w:left="240" w:top="125" w:right="279" w:bottom="32" w:gutter="0" w:footer="0" w:header="0"/>
        </w:sectPr>
      </w:pPr>
    </w:p>
    <w:bookmarkStart w:id="14" w:name="page15"/>
    <w:bookmarkEnd w:id="14"/>
    <w:p>
      <w:pPr>
        <w:spacing w:after="0" w:line="13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Special Approval</w:t>
      </w:r>
      <w:r>
        <w:rPr>
          <w:rFonts w:ascii="Arial" w:cs="Arial" w:eastAsia="Arial" w:hAnsi="Arial"/>
          <w:sz w:val="16"/>
          <w:szCs w:val="16"/>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6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Limited Partner</w:t>
      </w:r>
      <w:r>
        <w:rPr>
          <w:rFonts w:ascii="Arial" w:cs="Arial" w:eastAsia="Arial" w:hAnsi="Arial"/>
          <w:sz w:val="18"/>
          <w:szCs w:val="18"/>
          <w:color w:val="auto"/>
        </w:rPr>
        <w:t xml:space="preserve">” means the General Partner, in its capacity as the holder of Limited Partner Interests on behalf of a Non-citizen Assignee, in accordance with the provisions of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Business Entity</w:t>
      </w:r>
      <w:r>
        <w:rPr>
          <w:rFonts w:ascii="Arial" w:cs="Arial" w:eastAsia="Arial" w:hAnsi="Arial"/>
          <w:sz w:val="18"/>
          <w:szCs w:val="18"/>
          <w:color w:val="auto"/>
        </w:rPr>
        <w:t>” has the meaning assigned to such term in Section 14.2(b)(ii).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has the meaning assigned to such term in Section 15.1(a)(iii).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has the meaning assigned to such term in Section 4.4(a).</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Trigger Date</w:t>
      </w:r>
      <w:r>
        <w:rPr>
          <w:rFonts w:ascii="Arial" w:cs="Arial" w:eastAsia="Arial" w:hAnsi="Arial"/>
          <w:sz w:val="18"/>
          <w:szCs w:val="18"/>
          <w:color w:val="auto"/>
        </w:rPr>
        <w:t>” shall have the meaning given such term in the Holdings GP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means each Person named as an underwriter in Schedule I to the Underwriting Agreement who purchases Class A Shares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means that certain Underwriting Agreement dated October 15, 2013 among the Underwriters, the Partnership and certain other parties, providing for the purchase of Class A Shares by the Underwriters.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Withdrawal Opinion of Counsel</w:t>
      </w:r>
      <w:r>
        <w:rPr>
          <w:rFonts w:ascii="Arial" w:cs="Arial" w:eastAsia="Arial" w:hAnsi="Arial"/>
          <w:sz w:val="16"/>
          <w:szCs w:val="16"/>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pacing w:after="0" w:line="12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Construction</w:t>
      </w:r>
      <w:r>
        <w:rPr>
          <w:rFonts w:ascii="Arial" w:cs="Arial" w:eastAsia="Arial" w:hAnsi="Arial"/>
          <w:sz w:val="17"/>
          <w:szCs w:val="17"/>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Formation</w:t>
      </w:r>
      <w:r>
        <w:rPr>
          <w:rFonts w:ascii="Arial" w:cs="Arial" w:eastAsia="Arial" w:hAnsi="Arial"/>
          <w:sz w:val="16"/>
          <w:szCs w:val="16"/>
          <w:color w:val="auto"/>
        </w:rPr>
        <w:t>. The Partnership was formed on July 17, 2013 pursuant to the Certificate of Limited Partnership as filed with the Secretary of State of the State of Delaware pursuant to the provisions of the Delaware Act.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Name</w:t>
      </w:r>
      <w:r>
        <w:rPr>
          <w:rFonts w:ascii="Arial" w:cs="Arial" w:eastAsia="Arial" w:hAnsi="Arial"/>
          <w:sz w:val="18"/>
          <w:szCs w:val="18"/>
          <w:color w:val="auto"/>
        </w:rPr>
        <w:t>.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 of the Partnership at any time and from time to time and shall notify the Limited Partners of such change in the next regular communication to the Limited Partners.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6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Purpose and Business</w:t>
      </w:r>
      <w:r>
        <w:rPr>
          <w:rFonts w:ascii="Arial" w:cs="Arial" w:eastAsia="Arial" w:hAnsi="Arial"/>
          <w:sz w:val="16"/>
          <w:szCs w:val="16"/>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w:t>
      </w:r>
    </w:p>
    <w:p>
      <w:pPr>
        <w:sectPr>
          <w:pgSz w:w="11900" w:h="16975" w:orient="portrait"/>
          <w:cols w:equalWidth="0" w:num="1">
            <w:col w:w="11360"/>
          </w:cols>
          <w:pgMar w:left="240" w:top="125" w:right="299" w:bottom="0" w:gutter="0" w:footer="0" w:header="0"/>
        </w:sectPr>
      </w:pPr>
    </w:p>
    <w:bookmarkStart w:id="15" w:name="page16"/>
    <w:bookmarkEnd w:id="15"/>
    <w:p>
      <w:pPr>
        <w:ind w:right="40"/>
        <w:spacing w:after="0" w:line="272" w:lineRule="auto"/>
        <w:rPr>
          <w:sz w:val="20"/>
          <w:szCs w:val="20"/>
          <w:color w:val="auto"/>
        </w:rPr>
      </w:pPr>
      <w:r>
        <w:rPr>
          <w:rFonts w:ascii="Arial" w:cs="Arial" w:eastAsia="Arial" w:hAnsi="Arial"/>
          <w:sz w:val="17"/>
          <w:szCs w:val="17"/>
          <w:color w:val="auto"/>
        </w:rPr>
        <w:t>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Powers</w:t>
      </w:r>
      <w:r>
        <w:rPr>
          <w:rFonts w:ascii="Arial" w:cs="Arial" w:eastAsia="Arial" w:hAnsi="Arial"/>
          <w:sz w:val="18"/>
          <w:szCs w:val="18"/>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81"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i w:val="1"/>
          <w:iCs w:val="1"/>
          <w:color w:val="auto"/>
        </w:rPr>
        <w:t>Term</w:t>
      </w:r>
      <w:r>
        <w:rPr>
          <w:rFonts w:ascii="Arial" w:cs="Arial" w:eastAsia="Arial" w:hAnsi="Arial"/>
          <w:sz w:val="16"/>
          <w:szCs w:val="16"/>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Title to Partnership Assets</w:t>
      </w:r>
      <w:r>
        <w:rPr>
          <w:rFonts w:ascii="Arial" w:cs="Arial" w:eastAsia="Arial" w:hAnsi="Arial"/>
          <w:sz w:val="18"/>
          <w:szCs w:val="18"/>
          <w:color w:val="auto"/>
        </w:rPr>
        <w:t>.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accordance with the provisions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OF LIMITED PARTNERS</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Limitation of Liability</w:t>
      </w:r>
      <w:r>
        <w:rPr>
          <w:rFonts w:ascii="Arial" w:cs="Arial" w:eastAsia="Arial" w:hAnsi="Arial"/>
          <w:sz w:val="18"/>
          <w:szCs w:val="18"/>
          <w:color w:val="auto"/>
        </w:rPr>
        <w:t>. The Limited Partners shall have no liability under this Agreement except as expressly provided in this Agreement or required under the Delaware Act.</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Management of Business</w:t>
      </w:r>
      <w:r>
        <w:rPr>
          <w:rFonts w:ascii="Arial" w:cs="Arial" w:eastAsia="Arial" w:hAnsi="Arial"/>
          <w:sz w:val="17"/>
          <w:szCs w:val="17"/>
          <w:color w:val="auto"/>
        </w:rPr>
        <w:t>. No Limited Partner,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Outside Activities of the Limited Partners</w:t>
      </w:r>
      <w:r>
        <w:rPr>
          <w:rFonts w:ascii="Arial" w:cs="Arial" w:eastAsia="Arial" w:hAnsi="Arial"/>
          <w:sz w:val="18"/>
          <w:szCs w:val="18"/>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i w:val="1"/>
          <w:iCs w:val="1"/>
          <w:color w:val="auto"/>
        </w:rPr>
        <w:t>Rights of Limited Partners</w:t>
      </w:r>
      <w:r>
        <w:rPr>
          <w:rFonts w:ascii="Arial" w:cs="Arial" w:eastAsia="Arial" w:hAnsi="Arial"/>
          <w:sz w:val="16"/>
          <w:szCs w:val="16"/>
          <w:color w:val="auto"/>
        </w:rPr>
        <w:t>.</w:t>
      </w:r>
    </w:p>
    <w:p>
      <w:pPr>
        <w:spacing w:after="0" w:line="225" w:lineRule="exact"/>
        <w:rPr>
          <w:sz w:val="20"/>
          <w:szCs w:val="20"/>
          <w:color w:val="auto"/>
        </w:rPr>
      </w:pPr>
    </w:p>
    <w:p>
      <w:pPr>
        <w:ind w:right="220" w:firstLine="656"/>
        <w:spacing w:after="0" w:line="264" w:lineRule="auto"/>
        <w:tabs>
          <w:tab w:leader="none" w:pos="129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312" w:lineRule="auto"/>
        <w:tabs>
          <w:tab w:leader="none" w:pos="1978" w:val="left"/>
        </w:tabs>
        <w:numPr>
          <w:ilvl w:val="1"/>
          <w:numId w:val="9"/>
        </w:numPr>
        <w:rPr>
          <w:rFonts w:ascii="Arial" w:cs="Arial" w:eastAsia="Arial" w:hAnsi="Arial"/>
          <w:sz w:val="16"/>
          <w:szCs w:val="16"/>
          <w:color w:val="auto"/>
        </w:rPr>
      </w:pPr>
      <w:r>
        <w:rPr>
          <w:rFonts w:ascii="Arial" w:cs="Arial" w:eastAsia="Arial" w:hAnsi="Arial"/>
          <w:sz w:val="16"/>
          <w:szCs w:val="16"/>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obtain a current list of the name and last known business, residence or mailing address of each Partner;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obtain a copy of this Agreement and the Certificate of Limited Partnership and all amendments thereto.</w:t>
      </w:r>
    </w:p>
    <w:p>
      <w:pPr>
        <w:spacing w:after="0" w:line="225" w:lineRule="exact"/>
        <w:rPr>
          <w:rFonts w:ascii="Arial" w:cs="Arial" w:eastAsia="Arial" w:hAnsi="Arial"/>
          <w:sz w:val="18"/>
          <w:szCs w:val="18"/>
          <w:color w:val="auto"/>
        </w:rPr>
      </w:pPr>
    </w:p>
    <w:p>
      <w:pPr>
        <w:jc w:val="both"/>
        <w:ind w:right="40" w:firstLine="656"/>
        <w:spacing w:after="0" w:line="342" w:lineRule="auto"/>
        <w:tabs>
          <w:tab w:leader="none" w:pos="13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w:t>
      </w:r>
    </w:p>
    <w:p>
      <w:pPr>
        <w:sectPr>
          <w:pgSz w:w="11900" w:h="16838" w:orient="portrait"/>
          <w:cols w:equalWidth="0" w:num="1">
            <w:col w:w="11420"/>
          </w:cols>
          <w:pgMar w:left="240" w:top="125" w:right="239" w:bottom="0" w:gutter="0" w:footer="0" w:header="0"/>
        </w:sectPr>
      </w:pPr>
    </w:p>
    <w:bookmarkStart w:id="16" w:name="page17"/>
    <w:bookmarkEnd w:id="16"/>
    <w:p>
      <w:pPr>
        <w:spacing w:after="0" w:line="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agrees to the fullest extent permitted by law that their rights as Partners to receive any information either pursuant to Sections 17-305(a) of the Delaware Act or otherwise is restricted solely to the information identified in Section 3.4(a).</w:t>
      </w:r>
    </w:p>
    <w:p>
      <w:pPr>
        <w:spacing w:after="0" w:line="170" w:lineRule="exact"/>
        <w:rPr>
          <w:sz w:val="20"/>
          <w:szCs w:val="20"/>
          <w:color w:val="auto"/>
        </w:rPr>
      </w:pPr>
    </w:p>
    <w:p>
      <w:pPr>
        <w:ind w:right="380" w:firstLine="656"/>
        <w:spacing w:after="0" w:line="291" w:lineRule="auto"/>
        <w:tabs>
          <w:tab w:leader="none" w:pos="1307"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w:t>
      </w:r>
    </w:p>
    <w:p>
      <w:pPr>
        <w:ind w:left="280" w:hanging="272"/>
        <w:spacing w:after="0"/>
        <w:tabs>
          <w:tab w:leader="none" w:pos="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information the disclosure of which the General Partner believes (A) is not in the best interests of the Partnership Group or the MLP Group,</w:t>
      </w:r>
    </w:p>
    <w:p>
      <w:pPr>
        <w:spacing w:after="0" w:line="21" w:lineRule="exact"/>
        <w:rPr>
          <w:sz w:val="20"/>
          <w:szCs w:val="20"/>
          <w:color w:val="auto"/>
        </w:rPr>
      </w:pPr>
    </w:p>
    <w:p>
      <w:pPr>
        <w:ind w:right="80" w:firstLine="8"/>
        <w:spacing w:after="0" w:line="261" w:lineRule="auto"/>
        <w:tabs>
          <w:tab w:leader="none" w:pos="2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damage the Partnership Group or the MLP Group or either of their consolidated businesses or (C) that any Group Member is required by law or by agreement with any third party to keep confidential.</w:t>
      </w:r>
    </w:p>
    <w:p>
      <w:pPr>
        <w:spacing w:after="0" w:line="183" w:lineRule="exact"/>
        <w:rPr>
          <w:rFonts w:ascii="Arial" w:cs="Arial" w:eastAsia="Arial" w:hAnsi="Arial"/>
          <w:sz w:val="18"/>
          <w:szCs w:val="18"/>
          <w:color w:val="auto"/>
        </w:rPr>
      </w:pPr>
    </w:p>
    <w:p>
      <w:pPr>
        <w:ind w:right="20" w:firstLine="656"/>
        <w:spacing w:after="0" w:line="257"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 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CERTIFICATES; RECORD HOLDERS; TRANSFER OF PARTNERSHIP INTERESTS; REDEMPTION OF PARTNERSHIP INTERESTS</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Certificates</w:t>
      </w:r>
      <w:r>
        <w:rPr>
          <w:rFonts w:ascii="Arial" w:cs="Arial" w:eastAsia="Arial" w:hAnsi="Arial"/>
          <w:sz w:val="18"/>
          <w:szCs w:val="18"/>
          <w:color w:val="auto"/>
        </w:rPr>
        <w:t xml:space="preserve">.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 Interests;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General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i w:val="1"/>
          <w:iCs w:val="1"/>
          <w:color w:val="auto"/>
        </w:rPr>
        <w:t>Mutilated, Destroyed, Lost or Stolen Certificates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86" w:lineRule="auto"/>
        <w:tabs>
          <w:tab w:leader="none" w:pos="129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evidencing the same number and type of Partnership Interests as the Certificate so surrendered.</w:t>
      </w:r>
    </w:p>
    <w:p>
      <w:pPr>
        <w:spacing w:after="0" w:line="165" w:lineRule="exact"/>
        <w:rPr>
          <w:rFonts w:ascii="Arial" w:cs="Arial" w:eastAsia="Arial" w:hAnsi="Arial"/>
          <w:sz w:val="17"/>
          <w:szCs w:val="17"/>
          <w:color w:val="auto"/>
        </w:rPr>
      </w:pPr>
    </w:p>
    <w:p>
      <w:pPr>
        <w:ind w:right="460" w:firstLine="656"/>
        <w:spacing w:after="0" w:line="264" w:lineRule="auto"/>
        <w:tabs>
          <w:tab w:leader="none" w:pos="1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appropriate officers of the General Partner on behalf of the Partnership shall execute and deliver, and the Transfer Agent shall countersign a new Certificate, or shall deliver other evidence of the issuance of uncertificated Shares, in place of any Certificate previously issued if the Record Holder of the Certificate:</w:t>
      </w:r>
    </w:p>
    <w:p>
      <w:pPr>
        <w:spacing w:after="0" w:line="181" w:lineRule="exact"/>
        <w:rPr>
          <w:rFonts w:ascii="Arial" w:cs="Arial" w:eastAsia="Arial" w:hAnsi="Arial"/>
          <w:sz w:val="18"/>
          <w:szCs w:val="18"/>
          <w:color w:val="auto"/>
        </w:rPr>
      </w:pPr>
    </w:p>
    <w:p>
      <w:pPr>
        <w:ind w:left="660" w:right="220" w:firstLine="645"/>
        <w:spacing w:after="0" w:line="277" w:lineRule="auto"/>
        <w:tabs>
          <w:tab w:leader="none" w:pos="1978" w:val="left"/>
        </w:tabs>
        <w:numPr>
          <w:ilvl w:val="1"/>
          <w:numId w:val="14"/>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General Partner, that a previously issued Certificate has been lost, destroyed or stolen;</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81" w:lineRule="exact"/>
        <w:rPr>
          <w:rFonts w:ascii="Arial" w:cs="Arial" w:eastAsia="Arial" w:hAnsi="Arial"/>
          <w:sz w:val="18"/>
          <w:szCs w:val="18"/>
          <w:color w:val="auto"/>
        </w:rPr>
      </w:pPr>
    </w:p>
    <w:p>
      <w:pPr>
        <w:jc w:val="both"/>
        <w:ind w:left="660" w:right="20" w:firstLine="645"/>
        <w:spacing w:after="0" w:line="312" w:lineRule="auto"/>
        <w:tabs>
          <w:tab w:leader="none" w:pos="19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General Partner.</w:t>
      </w:r>
    </w:p>
    <w:p>
      <w:pPr>
        <w:spacing w:after="0" w:line="225" w:lineRule="exact"/>
        <w:rPr>
          <w:rFonts w:ascii="Arial" w:cs="Arial" w:eastAsia="Arial" w:hAnsi="Arial"/>
          <w:sz w:val="18"/>
          <w:szCs w:val="18"/>
          <w:color w:val="auto"/>
        </w:rPr>
      </w:pPr>
    </w:p>
    <w:p>
      <w:pPr>
        <w:ind w:right="80" w:firstLine="656"/>
        <w:spacing w:after="0" w:line="279" w:lineRule="auto"/>
        <w:tabs>
          <w:tab w:leader="none" w:pos="1307"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 Limited Partner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w:t>
      </w:r>
    </w:p>
    <w:p>
      <w:pPr>
        <w:spacing w:after="0" w:line="171" w:lineRule="exact"/>
        <w:rPr>
          <w:rFonts w:ascii="Arial" w:cs="Arial" w:eastAsia="Arial" w:hAnsi="Arial"/>
          <w:sz w:val="17"/>
          <w:szCs w:val="17"/>
          <w:color w:val="auto"/>
        </w:rPr>
      </w:pPr>
    </w:p>
    <w:p>
      <w:pPr>
        <w:ind w:right="100" w:firstLine="656"/>
        <w:spacing w:after="0" w:line="308" w:lineRule="auto"/>
        <w:tabs>
          <w:tab w:leader="none" w:pos="1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a condition to the issuance of any new Certificate, or other evidence of the issuance of uncertificated Shares, under this Section 4.2, the General Partner may require the payment of a sum sufficient to cover any tax or other governmental charge that may be imposed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relation thereto and any other expenses (including the fees and expenses of the Transfer Agent) reasonably connected therewith.</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Record Holders</w:t>
      </w:r>
      <w:r>
        <w:rPr>
          <w:rFonts w:ascii="Arial" w:cs="Arial" w:eastAsia="Arial" w:hAnsi="Arial"/>
          <w:sz w:val="16"/>
          <w:szCs w:val="16"/>
          <w:color w:val="auto"/>
        </w:rPr>
        <w:t>.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ectPr>
          <w:pgSz w:w="11900" w:h="16933" w:orient="portrait"/>
          <w:cols w:equalWidth="0" w:num="1">
            <w:col w:w="11400"/>
          </w:cols>
          <w:pgMar w:left="240" w:top="125" w:right="259" w:bottom="0" w:gutter="0" w:footer="0" w:header="0"/>
        </w:sectPr>
      </w:pPr>
    </w:p>
    <w:bookmarkStart w:id="17" w:name="page18"/>
    <w:bookmarkEnd w:id="17"/>
    <w:p>
      <w:pPr>
        <w:spacing w:after="0" w:line="10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i w:val="1"/>
          <w:iCs w:val="1"/>
          <w:color w:val="auto"/>
        </w:rPr>
        <w:t>Transfer Generally</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72" w:lineRule="auto"/>
        <w:tabs>
          <w:tab w:leader="none" w:pos="129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or (iii) by which the holder of a Class B Share assigns such Class B Share to another Person who is or becomes a Class B Shareholder, and includes a sale, assignment, gift, pledge, encumbrance, hypothecation, mortgage, exchange or other disposition by law or otherwise.</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Article IV. Any transfer or purported transfer of a Partnership Interest not made in accordance with this Article IV shall be, to the fullest extent permitted by law, null and void.</w:t>
      </w:r>
    </w:p>
    <w:p>
      <w:pPr>
        <w:spacing w:after="0" w:line="184" w:lineRule="exact"/>
        <w:rPr>
          <w:sz w:val="20"/>
          <w:szCs w:val="20"/>
          <w:color w:val="auto"/>
        </w:rPr>
      </w:pPr>
    </w:p>
    <w:p>
      <w:pPr>
        <w:jc w:val="both"/>
        <w:ind w:right="120" w:firstLine="656"/>
        <w:spacing w:after="0" w:line="264" w:lineRule="auto"/>
        <w:tabs>
          <w:tab w:leader="none" w:pos="13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i w:val="1"/>
          <w:iCs w:val="1"/>
          <w:color w:val="auto"/>
        </w:rPr>
        <w:t>Registration and Transfer of Limited Partner Interests</w:t>
      </w:r>
      <w:r>
        <w:rPr>
          <w:rFonts w:ascii="Arial" w:cs="Arial" w:eastAsia="Arial" w:hAnsi="Arial"/>
          <w:sz w:val="16"/>
          <w:szCs w:val="16"/>
          <w:color w:val="auto"/>
        </w:rPr>
        <w:t>.</w:t>
      </w:r>
    </w:p>
    <w:p>
      <w:pPr>
        <w:spacing w:after="0" w:line="225" w:lineRule="exact"/>
        <w:rPr>
          <w:sz w:val="20"/>
          <w:szCs w:val="20"/>
          <w:color w:val="auto"/>
        </w:rPr>
      </w:pPr>
    </w:p>
    <w:p>
      <w:pPr>
        <w:jc w:val="both"/>
        <w:ind w:right="60" w:firstLine="656"/>
        <w:spacing w:after="0" w:line="264" w:lineRule="auto"/>
        <w:tabs>
          <w:tab w:leader="none" w:pos="12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Partnership shall not recognize transfers of Certificates evidencing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93" w:lineRule="exact"/>
        <w:rPr>
          <w:sz w:val="20"/>
          <w:szCs w:val="20"/>
          <w:color w:val="auto"/>
        </w:rPr>
      </w:pPr>
    </w:p>
    <w:p>
      <w:pPr>
        <w:ind w:right="180" w:firstLine="656"/>
        <w:spacing w:after="0" w:line="288" w:lineRule="auto"/>
        <w:tabs>
          <w:tab w:leader="none" w:pos="1304"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are surrendered for registration of transfer. No charge shall be imposed by the General Partner for such transfer; </w:t>
      </w:r>
      <w:r>
        <w:rPr>
          <w:rFonts w:ascii="Arial" w:cs="Arial" w:eastAsia="Arial" w:hAnsi="Arial"/>
          <w:sz w:val="16"/>
          <w:szCs w:val="16"/>
          <w:i w:val="1"/>
          <w:iCs w:val="1"/>
          <w:color w:val="auto"/>
        </w:rPr>
        <w:t>provided</w:t>
      </w:r>
      <w:r>
        <w:rPr>
          <w:rFonts w:ascii="Arial" w:cs="Arial" w:eastAsia="Arial" w:hAnsi="Arial"/>
          <w:sz w:val="16"/>
          <w:szCs w:val="16"/>
          <w:color w:val="auto"/>
        </w:rPr>
        <w:t>, that as a condition to the issuance of any new Certificate under this</w:t>
      </w: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Section 4.5, the General Partner may require the payment of a sum sufficient to cover any tax or other governmental charge that may be imposed with respect thereto.</w:t>
      </w:r>
    </w:p>
    <w:p>
      <w:pPr>
        <w:spacing w:after="0" w:line="183" w:lineRule="exact"/>
        <w:rPr>
          <w:rFonts w:ascii="Arial" w:cs="Arial" w:eastAsia="Arial" w:hAnsi="Arial"/>
          <w:sz w:val="16"/>
          <w:szCs w:val="16"/>
          <w:color w:val="auto"/>
        </w:rPr>
      </w:pPr>
    </w:p>
    <w:p>
      <w:pPr>
        <w:ind w:right="320" w:firstLine="656"/>
        <w:spacing w:after="0" w:line="286" w:lineRule="auto"/>
        <w:tabs>
          <w:tab w:leader="none" w:pos="1307" w:val="left"/>
        </w:tabs>
        <w:numPr>
          <w:ilvl w:val="1"/>
          <w:numId w:val="18"/>
        </w:numPr>
        <w:rPr>
          <w:rFonts w:ascii="Arial" w:cs="Arial" w:eastAsia="Arial" w:hAnsi="Arial"/>
          <w:sz w:val="16"/>
          <w:szCs w:val="16"/>
          <w:color w:val="auto"/>
        </w:rPr>
      </w:pPr>
      <w:r>
        <w:rPr>
          <w:rFonts w:ascii="Arial" w:cs="Arial" w:eastAsia="Arial" w:hAnsi="Arial"/>
          <w:sz w:val="16"/>
          <w:szCs w:val="16"/>
          <w:color w:val="auto"/>
        </w:rPr>
        <w:t>By acceptance of the transfer of any Limited Partner Interests in accordance with this Section 4.5 and except as provided in Section 4.8, each transferee of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w:t>
      </w:r>
    </w:p>
    <w:p>
      <w:pPr>
        <w:spacing w:after="0" w:line="1" w:lineRule="exact"/>
        <w:rPr>
          <w:rFonts w:ascii="Arial" w:cs="Arial" w:eastAsia="Arial" w:hAnsi="Arial"/>
          <w:sz w:val="16"/>
          <w:szCs w:val="16"/>
          <w:color w:val="auto"/>
        </w:rPr>
      </w:pPr>
    </w:p>
    <w:p>
      <w:pPr>
        <w:ind w:right="20" w:firstLine="8"/>
        <w:spacing w:after="0" w:line="254"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89" w:lineRule="exact"/>
        <w:rPr>
          <w:rFonts w:ascii="Arial" w:cs="Arial" w:eastAsia="Arial" w:hAnsi="Arial"/>
          <w:sz w:val="18"/>
          <w:szCs w:val="18"/>
          <w:color w:val="auto"/>
        </w:rPr>
      </w:pPr>
    </w:p>
    <w:p>
      <w:pPr>
        <w:ind w:right="100" w:firstLine="656"/>
        <w:spacing w:after="0" w:line="312" w:lineRule="auto"/>
        <w:tabs>
          <w:tab w:leader="none" w:pos="1304" w:val="left"/>
        </w:tabs>
        <w:numPr>
          <w:ilvl w:val="1"/>
          <w:numId w:val="19"/>
        </w:numPr>
        <w:rPr>
          <w:rFonts w:ascii="Arial" w:cs="Arial" w:eastAsia="Arial" w:hAnsi="Arial"/>
          <w:sz w:val="16"/>
          <w:szCs w:val="16"/>
          <w:color w:val="auto"/>
        </w:rPr>
      </w:pPr>
      <w:r>
        <w:rPr>
          <w:rFonts w:ascii="Arial" w:cs="Arial" w:eastAsia="Arial" w:hAnsi="Arial"/>
          <w:sz w:val="16"/>
          <w:szCs w:val="16"/>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46" w:lineRule="exact"/>
        <w:rPr>
          <w:rFonts w:ascii="Arial" w:cs="Arial" w:eastAsia="Arial" w:hAnsi="Arial"/>
          <w:sz w:val="16"/>
          <w:szCs w:val="16"/>
          <w:color w:val="auto"/>
        </w:rPr>
      </w:pPr>
    </w:p>
    <w:p>
      <w:pPr>
        <w:ind w:right="20" w:firstLine="656"/>
        <w:spacing w:after="0" w:line="293" w:lineRule="auto"/>
        <w:tabs>
          <w:tab w:leader="none" w:pos="130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for transfers that are necessary in order to give effect to an AAP Exchange, a Limited Partner shall be prohibited from transferring any of its Class B Shares (a “</w:t>
      </w:r>
      <w:r>
        <w:rPr>
          <w:rFonts w:ascii="Arial" w:cs="Arial" w:eastAsia="Arial" w:hAnsi="Arial"/>
          <w:sz w:val="16"/>
          <w:szCs w:val="16"/>
          <w:b w:val="1"/>
          <w:bCs w:val="1"/>
          <w:i w:val="1"/>
          <w:iCs w:val="1"/>
          <w:color w:val="auto"/>
        </w:rPr>
        <w:t>Class B Transfer</w:t>
      </w:r>
      <w:r>
        <w:rPr>
          <w:rFonts w:ascii="Arial" w:cs="Arial" w:eastAsia="Arial" w:hAnsi="Arial"/>
          <w:sz w:val="16"/>
          <w:szCs w:val="16"/>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does not occur simultaneously with the Class B Transfer, then the Class B Transfer shall be null and void and of no force and effect.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i w:val="1"/>
          <w:iCs w:val="1"/>
          <w:color w:val="auto"/>
        </w:rPr>
        <w:t>Transfer of the General Partner Interest</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Section 4.6(b) below, the General Partner shall be free to transfer all or any part of its General Partner Interest to another Person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any time.</w:t>
      </w:r>
    </w:p>
    <w:p>
      <w:pPr>
        <w:spacing w:after="0" w:line="210" w:lineRule="exact"/>
        <w:rPr>
          <w:rFonts w:ascii="Arial" w:cs="Arial" w:eastAsia="Arial" w:hAnsi="Arial"/>
          <w:sz w:val="16"/>
          <w:szCs w:val="16"/>
          <w:color w:val="auto"/>
        </w:rPr>
      </w:pPr>
    </w:p>
    <w:p>
      <w:pPr>
        <w:ind w:firstLine="656"/>
        <w:spacing w:after="0" w:line="297" w:lineRule="auto"/>
        <w:tabs>
          <w:tab w:leader="none" w:pos="13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w:t>
      </w:r>
    </w:p>
    <w:p>
      <w:pPr>
        <w:sectPr>
          <w:pgSz w:w="11900" w:h="16941" w:orient="portrait"/>
          <w:cols w:equalWidth="0" w:num="1">
            <w:col w:w="11420"/>
          </w:cols>
          <w:pgMar w:left="240" w:top="341" w:right="239" w:bottom="0" w:gutter="0" w:footer="0" w:header="0"/>
        </w:sectPr>
      </w:pPr>
    </w:p>
    <w:bookmarkStart w:id="18" w:name="page19"/>
    <w:bookmarkEnd w:id="18"/>
    <w:p>
      <w:pPr>
        <w:spacing w:after="0" w:line="6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i w:val="1"/>
          <w:iCs w:val="1"/>
          <w:color w:val="auto"/>
        </w:rPr>
        <w:t>Restrictions on Transfers</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Notwithstanding the other provisions of this Article IV, no transfer of any Partnership Interests shall be made if such transfer would</w:t>
      </w:r>
    </w:p>
    <w:p>
      <w:pPr>
        <w:spacing w:after="0" w:line="34" w:lineRule="exact"/>
        <w:rPr>
          <w:rFonts w:ascii="Arial" w:cs="Arial" w:eastAsia="Arial" w:hAnsi="Arial"/>
          <w:sz w:val="17"/>
          <w:szCs w:val="17"/>
          <w:color w:val="auto"/>
        </w:rPr>
      </w:pPr>
    </w:p>
    <w:p>
      <w:pPr>
        <w:ind w:right="80" w:firstLine="8"/>
        <w:spacing w:after="0" w:line="255" w:lineRule="auto"/>
        <w:tabs>
          <w:tab w:leader="none" w:pos="2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violate the then applicable federal or state securities laws or rules and regulations of the Commission, any state securities commission or any other governmental authority with jurisdiction over such transfer or (ii) terminate the existence or qualification of the Partnership under the laws of the jurisdiction of its formation.</w:t>
      </w:r>
    </w:p>
    <w:p>
      <w:pPr>
        <w:spacing w:after="0" w:line="190" w:lineRule="exact"/>
        <w:rPr>
          <w:rFonts w:ascii="Arial" w:cs="Arial" w:eastAsia="Arial" w:hAnsi="Arial"/>
          <w:sz w:val="18"/>
          <w:szCs w:val="18"/>
          <w:color w:val="auto"/>
        </w:rPr>
      </w:pPr>
    </w:p>
    <w:p>
      <w:pPr>
        <w:ind w:right="20" w:firstLine="656"/>
        <w:spacing w:after="0" w:line="342" w:lineRule="auto"/>
        <w:tabs>
          <w:tab w:leader="none" w:pos="1304"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7"/>
          <w:szCs w:val="17"/>
          <w:i w:val="1"/>
          <w:iCs w:val="1"/>
          <w:color w:val="auto"/>
        </w:rPr>
        <w:t>Eligibility Certificates; Ineligible Holders</w:t>
      </w:r>
      <w:r>
        <w:rPr>
          <w:rFonts w:ascii="Arial" w:cs="Arial" w:eastAsia="Arial" w:hAnsi="Arial"/>
          <w:sz w:val="17"/>
          <w:szCs w:val="17"/>
          <w:color w:val="auto"/>
        </w:rPr>
        <w:t>.</w:t>
      </w:r>
    </w:p>
    <w:p>
      <w:pPr>
        <w:spacing w:after="0" w:line="225" w:lineRule="exact"/>
        <w:rPr>
          <w:sz w:val="20"/>
          <w:szCs w:val="20"/>
          <w:color w:val="auto"/>
        </w:rPr>
      </w:pPr>
    </w:p>
    <w:p>
      <w:pPr>
        <w:ind w:right="20" w:firstLine="656"/>
        <w:spacing w:after="0" w:line="271" w:lineRule="auto"/>
        <w:tabs>
          <w:tab w:leader="none" w:pos="1294"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 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determines, with the advice of counsel, that a Limited Partner or Citizenship Assignee is not an Eligible Citizen (an “</w:t>
      </w:r>
      <w:r>
        <w:rPr>
          <w:rFonts w:ascii="Arial" w:cs="Arial" w:eastAsia="Arial" w:hAnsi="Arial"/>
          <w:sz w:val="17"/>
          <w:szCs w:val="17"/>
          <w:b w:val="1"/>
          <w:bCs w:val="1"/>
          <w:i w:val="1"/>
          <w:iCs w:val="1"/>
          <w:color w:val="auto"/>
        </w:rPr>
        <w:t>Ineligible Holder</w:t>
      </w:r>
      <w:r>
        <w:rPr>
          <w:rFonts w:ascii="Arial" w:cs="Arial" w:eastAsia="Arial" w:hAnsi="Arial"/>
          <w:sz w:val="17"/>
          <w:szCs w:val="17"/>
          <w:color w:val="auto"/>
        </w:rPr>
        <w:t>”), the Partnership Interests owned by such Ineligible Holder shall be subject to redemption in accordance with the provisions of 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71" w:lineRule="exact"/>
        <w:rPr>
          <w:sz w:val="20"/>
          <w:szCs w:val="20"/>
          <w:color w:val="auto"/>
        </w:rPr>
      </w:pPr>
    </w:p>
    <w:p>
      <w:pPr>
        <w:jc w:val="both"/>
        <w:ind w:right="140" w:firstLine="656"/>
        <w:spacing w:after="0" w:line="264" w:lineRule="auto"/>
        <w:tabs>
          <w:tab w:leader="none" w:pos="13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81" w:lineRule="exact"/>
        <w:rPr>
          <w:rFonts w:ascii="Arial" w:cs="Arial" w:eastAsia="Arial" w:hAnsi="Arial"/>
          <w:sz w:val="18"/>
          <w:szCs w:val="18"/>
          <w:color w:val="auto"/>
        </w:rPr>
      </w:pPr>
    </w:p>
    <w:p>
      <w:pPr>
        <w:ind w:firstLine="656"/>
        <w:spacing w:after="0" w:line="279" w:lineRule="auto"/>
        <w:tabs>
          <w:tab w:leader="none" w:pos="13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71" w:lineRule="exact"/>
        <w:rPr>
          <w:rFonts w:ascii="Arial" w:cs="Arial" w:eastAsia="Arial" w:hAnsi="Arial"/>
          <w:sz w:val="17"/>
          <w:szCs w:val="17"/>
          <w:color w:val="auto"/>
        </w:rPr>
      </w:pPr>
    </w:p>
    <w:p>
      <w:pPr>
        <w:ind w:right="200" w:firstLine="656"/>
        <w:spacing w:after="0" w:line="302" w:lineRule="auto"/>
        <w:tabs>
          <w:tab w:leader="none" w:pos="13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and upon such Non-citizen Assignee’s admission pursuant to Section 12.4, the General Partner shall cease to be deemed to be the Limited Partner in respect of the Non-citizen Assignee’s Limited Partner Interests.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i w:val="1"/>
          <w:iCs w:val="1"/>
          <w:color w:val="auto"/>
        </w:rPr>
        <w:t>Redemption of Partnership Interests of Ineligible Holders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3" w:lineRule="auto"/>
        <w:tabs>
          <w:tab w:leader="none" w:pos="12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 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78" w:lineRule="exact"/>
        <w:rPr>
          <w:rFonts w:ascii="Arial" w:cs="Arial" w:eastAsia="Arial" w:hAnsi="Arial"/>
          <w:sz w:val="17"/>
          <w:szCs w:val="17"/>
          <w:color w:val="auto"/>
        </w:rPr>
      </w:pPr>
    </w:p>
    <w:p>
      <w:pPr>
        <w:ind w:left="660" w:right="220" w:firstLine="645"/>
        <w:spacing w:after="0" w:line="279" w:lineRule="auto"/>
        <w:tabs>
          <w:tab w:leader="none" w:pos="1978"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560"/>
        <w:spacing w:after="0" w:line="286" w:lineRule="auto"/>
        <w:rPr>
          <w:sz w:val="20"/>
          <w:szCs w:val="20"/>
          <w:color w:val="auto"/>
        </w:rPr>
      </w:pPr>
      <w:r>
        <w:rPr>
          <w:rFonts w:ascii="Arial" w:cs="Arial" w:eastAsia="Arial" w:hAnsi="Arial"/>
          <w:sz w:val="17"/>
          <w:szCs w:val="17"/>
          <w:color w:val="auto"/>
        </w:rPr>
        <w:t>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66" w:lineRule="exact"/>
        <w:rPr>
          <w:sz w:val="20"/>
          <w:szCs w:val="20"/>
          <w:color w:val="auto"/>
        </w:rPr>
      </w:pPr>
    </w:p>
    <w:p>
      <w:pPr>
        <w:ind w:left="660" w:right="20" w:firstLine="645"/>
        <w:spacing w:after="0" w:line="255" w:lineRule="auto"/>
        <w:tabs>
          <w:tab w:leader="none" w:pos="19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ectPr>
          <w:pgSz w:w="11900" w:h="16906" w:orient="portrait"/>
          <w:cols w:equalWidth="0" w:num="1">
            <w:col w:w="11400"/>
          </w:cols>
          <w:pgMar w:left="240" w:top="125" w:right="259" w:bottom="0" w:gutter="0" w:footer="0" w:header="0"/>
        </w:sectPr>
      </w:pPr>
    </w:p>
    <w:bookmarkStart w:id="19" w:name="page20"/>
    <w:bookmarkEnd w:id="19"/>
    <w:p>
      <w:pPr>
        <w:ind w:left="660" w:right="120" w:firstLine="645"/>
        <w:spacing w:after="0" w:line="259" w:lineRule="auto"/>
        <w:tabs>
          <w:tab w:leader="none" w:pos="19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 Interests.</w:t>
      </w:r>
    </w:p>
    <w:p>
      <w:pPr>
        <w:spacing w:after="0" w:line="236" w:lineRule="exact"/>
        <w:rPr>
          <w:rFonts w:ascii="Arial" w:cs="Arial" w:eastAsia="Arial" w:hAnsi="Arial"/>
          <w:sz w:val="17"/>
          <w:szCs w:val="17"/>
          <w:color w:val="auto"/>
        </w:rPr>
      </w:pPr>
    </w:p>
    <w:p>
      <w:pPr>
        <w:ind w:right="100" w:firstLine="656"/>
        <w:spacing w:after="0" w:line="277"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of this Section 4.9 shall also be applicable to Limited Partner Interests held by a Limited Partner or Citizenship Assignee as nominee of a Person determined to be other than an Eligible Citizen.</w:t>
      </w:r>
    </w:p>
    <w:p>
      <w:pPr>
        <w:spacing w:after="0" w:line="170" w:lineRule="exact"/>
        <w:rPr>
          <w:rFonts w:ascii="Arial" w:cs="Arial" w:eastAsia="Arial" w:hAnsi="Arial"/>
          <w:sz w:val="18"/>
          <w:szCs w:val="18"/>
          <w:color w:val="auto"/>
        </w:rPr>
      </w:pPr>
    </w:p>
    <w:p>
      <w:pPr>
        <w:ind w:right="20" w:firstLine="656"/>
        <w:spacing w:after="0" w:line="257" w:lineRule="auto"/>
        <w:tabs>
          <w:tab w:leader="none" w:pos="13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CONTRIBUTIONS AND ISSUANCE OF PARTNERSHIP INTERESTS</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Organizational Issuances</w:t>
      </w:r>
      <w:r>
        <w:rPr>
          <w:rFonts w:ascii="Arial" w:cs="Arial" w:eastAsia="Arial" w:hAnsi="Arial"/>
          <w:sz w:val="18"/>
          <w:szCs w:val="18"/>
          <w:color w:val="auto"/>
        </w:rPr>
        <w:t>.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another Limited Partner to the Partnership, the interests of the Organizational Limited Partner shall be cancelled as provided in the Contribution Agreement.</w:t>
      </w:r>
    </w:p>
    <w:p>
      <w:pPr>
        <w:spacing w:after="0" w:line="248" w:lineRule="exact"/>
        <w:rPr>
          <w:sz w:val="20"/>
          <w:szCs w:val="20"/>
          <w:color w:val="auto"/>
        </w:rPr>
      </w:pPr>
    </w:p>
    <w:p>
      <w:pPr>
        <w:ind w:right="1000" w:firstLine="648"/>
        <w:spacing w:after="0" w:line="308"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i w:val="1"/>
          <w:iCs w:val="1"/>
          <w:color w:val="auto"/>
        </w:rPr>
        <w:t>Contributions by Initial Limited Partners</w:t>
      </w:r>
      <w:r>
        <w:rPr>
          <w:rFonts w:ascii="Arial" w:cs="Arial" w:eastAsia="Arial" w:hAnsi="Arial"/>
          <w:sz w:val="17"/>
          <w:szCs w:val="17"/>
          <w:color w:val="auto"/>
        </w:rPr>
        <w:t>. The General Partner and the Existing Owners shall make the contributions contemplated by the Contribution Agreement in exchange for the interests provided for therein, including the Class B Shares.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i w:val="1"/>
          <w:iCs w:val="1"/>
          <w:color w:val="auto"/>
        </w:rPr>
        <w:t>Contributions by the Underwriters.</w:t>
      </w:r>
    </w:p>
    <w:p>
      <w:pPr>
        <w:spacing w:after="0" w:line="225" w:lineRule="exact"/>
        <w:rPr>
          <w:sz w:val="20"/>
          <w:szCs w:val="20"/>
          <w:color w:val="auto"/>
        </w:rPr>
      </w:pPr>
    </w:p>
    <w:p>
      <w:pPr>
        <w:ind w:right="200" w:firstLine="656"/>
        <w:spacing w:after="0" w:line="273" w:lineRule="auto"/>
        <w:tabs>
          <w:tab w:leader="none" w:pos="1294"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the Closing Date and pursuant to the Underwriting Agreement, each Underwriter shall contribute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shall issue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shall use the proceeds from such Capital Contributions to purchase AAP Class A Units and General Partner Units as provided in the Contribution Agreement.</w:t>
      </w:r>
    </w:p>
    <w:p>
      <w:pPr>
        <w:spacing w:after="0" w:line="178" w:lineRule="exact"/>
        <w:rPr>
          <w:rFonts w:ascii="Arial" w:cs="Arial" w:eastAsia="Arial" w:hAnsi="Arial"/>
          <w:sz w:val="17"/>
          <w:szCs w:val="17"/>
          <w:color w:val="auto"/>
        </w:rPr>
      </w:pPr>
    </w:p>
    <w:p>
      <w:pPr>
        <w:ind w:firstLine="656"/>
        <w:spacing w:after="0" w:line="273" w:lineRule="auto"/>
        <w:tabs>
          <w:tab w:leader="none" w:pos="13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the exercise of the Over-Allotment Option, each Underwriter shall contribute to the Partnership cash in an amount equal to the Issue Price per Initial Class A Share, multiplied by the number of Class A Shares to be purchased by such Underwriter at the Option Closing Date. In exchange for such Capital Contributions by the Underwriters, the Partnership shall issue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shall use the proceeds from such Capital Contributions to purchase a number of Class B Shares, AAP Class A Units and General Partner Units as provided in the Contribution Agreement.</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Interest and Withdrawal</w:t>
      </w:r>
      <w:r>
        <w:rPr>
          <w:rFonts w:ascii="Arial" w:cs="Arial" w:eastAsia="Arial" w:hAnsi="Arial"/>
          <w:sz w:val="16"/>
          <w:szCs w:val="16"/>
          <w:color w:val="auto"/>
        </w:rPr>
        <w:t>. No interest on Capital Contributions shall be paid by the Partnership. No Partner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i w:val="1"/>
          <w:iCs w:val="1"/>
          <w:color w:val="auto"/>
        </w:rPr>
        <w:t>Issuances of Additional Partnership Interests</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312" w:lineRule="auto"/>
        <w:tabs>
          <w:tab w:leader="none" w:pos="129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89" w:lineRule="auto"/>
        <w:tabs>
          <w:tab w:leader="none" w:pos="13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ectPr>
          <w:pgSz w:w="11900" w:h="16838" w:orient="portrait"/>
          <w:cols w:equalWidth="0" w:num="1">
            <w:col w:w="11420"/>
          </w:cols>
          <w:pgMar w:left="240" w:top="341" w:right="239" w:bottom="0" w:gutter="0" w:footer="0" w:header="0"/>
        </w:sectPr>
      </w:pPr>
    </w:p>
    <w:bookmarkStart w:id="20" w:name="page21"/>
    <w:bookmarkEnd w:id="20"/>
    <w:p>
      <w:pPr>
        <w:ind w:right="20" w:firstLine="656"/>
        <w:spacing w:after="0" w:line="290" w:lineRule="auto"/>
        <w:tabs>
          <w:tab w:leader="none" w:pos="130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 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66" w:lineRule="exact"/>
        <w:rPr>
          <w:rFonts w:ascii="Arial" w:cs="Arial" w:eastAsia="Arial" w:hAnsi="Arial"/>
          <w:sz w:val="16"/>
          <w:szCs w:val="16"/>
          <w:color w:val="auto"/>
        </w:rPr>
      </w:pPr>
    </w:p>
    <w:p>
      <w:pPr>
        <w:ind w:left="1320" w:hanging="66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fractional Shares shall be issued by the Partnership.</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5"/>
          <w:szCs w:val="15"/>
          <w:i w:val="1"/>
          <w:iCs w:val="1"/>
          <w:color w:val="auto"/>
        </w:rPr>
        <w:t>AAP Exchanges</w:t>
      </w:r>
      <w:r>
        <w:rPr>
          <w:rFonts w:ascii="Arial" w:cs="Arial" w:eastAsia="Arial" w:hAnsi="Arial"/>
          <w:sz w:val="15"/>
          <w:szCs w:val="15"/>
          <w:color w:val="auto"/>
        </w:rPr>
        <w:t>.</w:t>
      </w:r>
    </w:p>
    <w:p>
      <w:pPr>
        <w:spacing w:after="0" w:line="225" w:lineRule="exact"/>
        <w:rPr>
          <w:sz w:val="20"/>
          <w:szCs w:val="20"/>
          <w:color w:val="auto"/>
        </w:rPr>
      </w:pPr>
    </w:p>
    <w:p>
      <w:pPr>
        <w:ind w:right="580" w:firstLine="656"/>
        <w:spacing w:after="0" w:line="264" w:lineRule="auto"/>
        <w:tabs>
          <w:tab w:leader="none" w:pos="12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 exchange.</w:t>
      </w:r>
    </w:p>
    <w:p>
      <w:pPr>
        <w:spacing w:after="0" w:line="181" w:lineRule="exact"/>
        <w:rPr>
          <w:rFonts w:ascii="Arial" w:cs="Arial" w:eastAsia="Arial" w:hAnsi="Arial"/>
          <w:sz w:val="18"/>
          <w:szCs w:val="18"/>
          <w:color w:val="auto"/>
        </w:rPr>
      </w:pPr>
    </w:p>
    <w:p>
      <w:pPr>
        <w:ind w:right="380" w:firstLine="656"/>
        <w:spacing w:after="0" w:line="312" w:lineRule="auto"/>
        <w:tabs>
          <w:tab w:leader="none" w:pos="1304" w:val="left"/>
        </w:tabs>
        <w:numPr>
          <w:ilvl w:val="0"/>
          <w:numId w:val="33"/>
        </w:numPr>
        <w:rPr>
          <w:rFonts w:ascii="Arial" w:cs="Arial" w:eastAsia="Arial" w:hAnsi="Arial"/>
          <w:sz w:val="16"/>
          <w:szCs w:val="16"/>
          <w:color w:val="auto"/>
        </w:rPr>
      </w:pPr>
      <w:r>
        <w:rPr>
          <w:rFonts w:ascii="Arial" w:cs="Arial" w:eastAsia="Arial" w:hAnsi="Arial"/>
          <w:sz w:val="16"/>
          <w:szCs w:val="16"/>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No Preemptive Right</w:t>
      </w:r>
      <w:r>
        <w:rPr>
          <w:rFonts w:ascii="Arial" w:cs="Arial" w:eastAsia="Arial" w:hAnsi="Arial"/>
          <w:sz w:val="18"/>
          <w:szCs w:val="18"/>
          <w:color w:val="auto"/>
        </w:rPr>
        <w:t>. No Person shall have any preemptive, preferential or other similar right with respect to the issuance of any Partnership Interest, whether unissued, held in the treasury or hereafter created.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i w:val="1"/>
          <w:iCs w:val="1"/>
          <w:color w:val="auto"/>
        </w:rPr>
        <w:t>Splits and Combinations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72" w:lineRule="auto"/>
        <w:tabs>
          <w:tab w:leader="none" w:pos="1294"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 Class B Shares pursuant to this Agreement, General Partner Units pursuant to the Holdings GP LLC Agreement, and the AAP Class A Units or AAP Class B Units, respectively, pursuant to the AAP Agreement, and vice versa. This provision shall not be amended unless corresponding changes are made to the Holdings GP LLC Agreement and the AAP Agreement.</w:t>
      </w:r>
    </w:p>
    <w:p>
      <w:pPr>
        <w:spacing w:after="0" w:line="177" w:lineRule="exact"/>
        <w:rPr>
          <w:rFonts w:ascii="Arial" w:cs="Arial" w:eastAsia="Arial" w:hAnsi="Arial"/>
          <w:sz w:val="17"/>
          <w:szCs w:val="17"/>
          <w:color w:val="auto"/>
        </w:rPr>
      </w:pPr>
    </w:p>
    <w:p>
      <w:pPr>
        <w:ind w:firstLine="656"/>
        <w:spacing w:after="0" w:line="297" w:lineRule="auto"/>
        <w:tabs>
          <w:tab w:leader="none" w:pos="13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58" w:lineRule="exact"/>
        <w:rPr>
          <w:rFonts w:ascii="Arial" w:cs="Arial" w:eastAsia="Arial" w:hAnsi="Arial"/>
          <w:sz w:val="16"/>
          <w:szCs w:val="16"/>
          <w:color w:val="auto"/>
        </w:rPr>
      </w:pPr>
    </w:p>
    <w:p>
      <w:pPr>
        <w:ind w:right="80" w:firstLine="656"/>
        <w:spacing w:after="0" w:line="293" w:lineRule="auto"/>
        <w:tabs>
          <w:tab w:leader="none" w:pos="1307"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Promptly following any such distribution, subdivision or combination, the Partnership may issue Certificates, or other evidence of the issuance of uncertificated Shares,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the surrender of any Certificate, or other evidence of the issuance of uncertificated Shares, held by such Record Holder immediately prior to such Record Date.</w:t>
      </w:r>
    </w:p>
    <w:p>
      <w:pPr>
        <w:spacing w:after="0" w:line="164" w:lineRule="exact"/>
        <w:rPr>
          <w:rFonts w:ascii="Arial" w:cs="Arial" w:eastAsia="Arial" w:hAnsi="Arial"/>
          <w:sz w:val="16"/>
          <w:szCs w:val="16"/>
          <w:color w:val="auto"/>
        </w:rPr>
      </w:pPr>
    </w:p>
    <w:p>
      <w:pPr>
        <w:jc w:val="both"/>
        <w:ind w:right="100" w:firstLine="656"/>
        <w:spacing w:after="0" w:line="264" w:lineRule="auto"/>
        <w:tabs>
          <w:tab w:leader="none" w:pos="13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Partnership shall not issue fractional Shares upon any distribution, subdivision or combination of Shares. If a distribution, subdivision or combination of Shares would result in the issuance of fractional Shares but for the provisions of this Section 5.8(d), each fractional Share shall be rounded to the nearest whole Share (and a 0.5 Share shall be rounded to the next higher Share).</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Fully Paid and Non-Assessable Nature of Limited Partner Interests</w:t>
      </w:r>
      <w:r>
        <w:rPr>
          <w:rFonts w:ascii="Arial" w:cs="Arial" w:eastAsia="Arial" w:hAnsi="Arial"/>
          <w:sz w:val="18"/>
          <w:szCs w:val="18"/>
          <w:color w:val="auto"/>
        </w:rPr>
        <w:t>. All Limited Partner Interests issued pursuant to, and in accordance with the requirements of,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Article V shall be fully paid and non-assessable Limited Partner Interests in the Partnership, except as such non assessability may be affected by Section 17-607 of the Delaware 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Requirement and Characterization of Distributions; Distributions to Record Holders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9" w:lineRule="auto"/>
        <w:tabs>
          <w:tab w:leader="none" w:pos="12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 this Article VI by the Partnership to the Partners as of the Record Date selected by the General Partner. All distributions required to be made under this Agreement shall be made subject to Section 17-607 and 17-804 of the Delaware Act.</w:t>
      </w:r>
    </w:p>
    <w:p>
      <w:pPr>
        <w:sectPr>
          <w:pgSz w:w="11900" w:h="16838" w:orient="portrait"/>
          <w:cols w:equalWidth="0" w:num="1">
            <w:col w:w="11420"/>
          </w:cols>
          <w:pgMar w:left="240" w:top="125" w:right="239" w:bottom="0" w:gutter="0" w:footer="0" w:header="0"/>
        </w:sectPr>
      </w:pPr>
    </w:p>
    <w:bookmarkStart w:id="21" w:name="page22"/>
    <w:bookmarkEnd w:id="21"/>
    <w:p>
      <w:pPr>
        <w:spacing w:after="0" w:line="36" w:lineRule="exact"/>
        <w:rPr>
          <w:sz w:val="20"/>
          <w:szCs w:val="20"/>
          <w:color w:val="auto"/>
        </w:rPr>
      </w:pPr>
    </w:p>
    <w:p>
      <w:pPr>
        <w:ind w:right="540" w:firstLine="656"/>
        <w:spacing w:after="0" w:line="264" w:lineRule="auto"/>
        <w:tabs>
          <w:tab w:leader="none" w:pos="13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81" w:lineRule="exact"/>
        <w:rPr>
          <w:rFonts w:ascii="Arial" w:cs="Arial" w:eastAsia="Arial" w:hAnsi="Arial"/>
          <w:sz w:val="18"/>
          <w:szCs w:val="18"/>
          <w:color w:val="auto"/>
        </w:rPr>
      </w:pPr>
    </w:p>
    <w:p>
      <w:pPr>
        <w:ind w:right="60" w:firstLine="656"/>
        <w:spacing w:after="0" w:line="259" w:lineRule="auto"/>
        <w:tabs>
          <w:tab w:leader="none" w:pos="13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6" w:lineRule="exact"/>
        <w:rPr>
          <w:rFonts w:ascii="Arial" w:cs="Arial" w:eastAsia="Arial" w:hAnsi="Arial"/>
          <w:sz w:val="18"/>
          <w:szCs w:val="18"/>
          <w:color w:val="auto"/>
        </w:rPr>
      </w:pPr>
    </w:p>
    <w:p>
      <w:pPr>
        <w:jc w:val="both"/>
        <w:ind w:right="100" w:firstLine="656"/>
        <w:spacing w:after="0" w:line="264" w:lineRule="auto"/>
        <w:tabs>
          <w:tab w:leader="none" w:pos="13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Distributions of Available Cash</w:t>
      </w:r>
      <w:r>
        <w:rPr>
          <w:rFonts w:ascii="Arial" w:cs="Arial" w:eastAsia="Arial" w:hAnsi="Arial"/>
          <w:sz w:val="16"/>
          <w:szCs w:val="16"/>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OPERATION OF BUSINESS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i w:val="1"/>
          <w:iCs w:val="1"/>
          <w:color w:val="auto"/>
        </w:rPr>
        <w:t>Management</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312" w:lineRule="auto"/>
        <w:tabs>
          <w:tab w:leader="none" w:pos="129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General Partner shall conduct, direct and manage all activities of the Partnership. Except as otherwise expressly provided in this Agreement or required by law, all management powers over the business and affairs of the Partnership shall be exclusively vested in the General Partner, and no Limited Partner shall have any management power over the business and affairs or property of the Partnership. In addition to the powers now or hereafter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 or appropriate to conduct the business of the Partnership, to exercise all powers set forth in Section 2.5 and to effectuate the purposes set forth in Section 2.4, including the following:</w:t>
      </w:r>
    </w:p>
    <w:p>
      <w:pPr>
        <w:spacing w:after="0" w:line="187" w:lineRule="exact"/>
        <w:rPr>
          <w:sz w:val="20"/>
          <w:szCs w:val="20"/>
          <w:color w:val="auto"/>
        </w:rPr>
      </w:pPr>
    </w:p>
    <w:p>
      <w:pPr>
        <w:ind w:left="660" w:right="40" w:firstLine="645"/>
        <w:spacing w:after="0" w:line="264" w:lineRule="auto"/>
        <w:tabs>
          <w:tab w:leader="none" w:pos="19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19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Partnership;</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19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81" w:lineRule="exact"/>
        <w:rPr>
          <w:rFonts w:ascii="Arial" w:cs="Arial" w:eastAsia="Arial" w:hAnsi="Arial"/>
          <w:sz w:val="18"/>
          <w:szCs w:val="18"/>
          <w:color w:val="auto"/>
        </w:rPr>
      </w:pPr>
    </w:p>
    <w:p>
      <w:pPr>
        <w:ind w:left="660" w:firstLine="645"/>
        <w:spacing w:after="0" w:line="259" w:lineRule="auto"/>
        <w:tabs>
          <w:tab w:leader="none" w:pos="19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86" w:lineRule="exact"/>
        <w:rPr>
          <w:rFonts w:ascii="Arial" w:cs="Arial" w:eastAsia="Arial" w:hAnsi="Arial"/>
          <w:sz w:val="18"/>
          <w:szCs w:val="18"/>
          <w:color w:val="auto"/>
        </w:rPr>
      </w:pPr>
    </w:p>
    <w:p>
      <w:pPr>
        <w:jc w:val="both"/>
        <w:ind w:left="660" w:firstLine="645"/>
        <w:spacing w:after="0" w:line="259" w:lineRule="auto"/>
        <w:tabs>
          <w:tab w:leader="none" w:pos="1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distribution of Partnership cash;</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198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maintenance of insurance for the benefit of the Partnership, the Partners and Indemnitees;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264" w:lineRule="auto"/>
        <w:tabs>
          <w:tab w:leader="none" w:pos="19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81" w:lineRule="exact"/>
        <w:rPr>
          <w:rFonts w:ascii="Arial" w:cs="Arial" w:eastAsia="Arial" w:hAnsi="Arial"/>
          <w:sz w:val="18"/>
          <w:szCs w:val="18"/>
          <w:color w:val="auto"/>
        </w:rPr>
      </w:pPr>
    </w:p>
    <w:p>
      <w:pPr>
        <w:jc w:val="both"/>
        <w:ind w:left="660" w:right="60" w:firstLine="645"/>
        <w:spacing w:after="0" w:line="264" w:lineRule="auto"/>
        <w:tabs>
          <w:tab w:leader="none" w:pos="19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control of any matters affecting the rights and obligations of the Partnership, including the bringing and defending of actions at law or in equity and otherwise engaging in the conduct of litigation, arbitration or mediation and the incurring of legal expense and the settlement of claims and litigation;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indemnification of any Person against liabilities and contingencies to the extent permitted by law;</w:t>
      </w:r>
    </w:p>
    <w:p>
      <w:pPr>
        <w:sectPr>
          <w:pgSz w:w="11900" w:h="16874" w:orient="portrait"/>
          <w:cols w:equalWidth="0" w:num="1">
            <w:col w:w="11420"/>
          </w:cols>
          <w:pgMar w:left="240" w:top="125" w:right="239" w:bottom="0" w:gutter="0" w:footer="0" w:header="0"/>
        </w:sectPr>
      </w:pPr>
    </w:p>
    <w:bookmarkStart w:id="22" w:name="page23"/>
    <w:bookmarkEnd w:id="22"/>
    <w:p>
      <w:pPr>
        <w:spacing w:after="0" w:line="94" w:lineRule="exact"/>
        <w:rPr>
          <w:sz w:val="20"/>
          <w:szCs w:val="20"/>
          <w:color w:val="auto"/>
        </w:rPr>
      </w:pPr>
    </w:p>
    <w:p>
      <w:pPr>
        <w:ind w:left="660" w:right="520" w:firstLine="645"/>
        <w:spacing w:after="0" w:line="277" w:lineRule="auto"/>
        <w:tabs>
          <w:tab w:leader="none" w:pos="198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entering into of listing agreements with any National Securities Exchange and the delisting of some or all of the Limited Partner Interests from, or requesting that trading be suspended on, any such exchange;</w:t>
      </w:r>
    </w:p>
    <w:p>
      <w:pPr>
        <w:spacing w:after="0" w:line="170" w:lineRule="exact"/>
        <w:rPr>
          <w:rFonts w:ascii="Arial" w:cs="Arial" w:eastAsia="Arial" w:hAnsi="Arial"/>
          <w:sz w:val="18"/>
          <w:szCs w:val="18"/>
          <w:color w:val="auto"/>
        </w:rPr>
      </w:pPr>
    </w:p>
    <w:p>
      <w:pPr>
        <w:ind w:left="660" w:right="520" w:firstLine="645"/>
        <w:spacing w:after="0" w:line="277" w:lineRule="auto"/>
        <w:tabs>
          <w:tab w:leader="none" w:pos="19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Partnership Interests, or the issuance of options, rights, warrants and appreciation rights relating to Partnership Interests; and</w:t>
      </w:r>
    </w:p>
    <w:p>
      <w:pPr>
        <w:spacing w:after="0" w:line="170" w:lineRule="exact"/>
        <w:rPr>
          <w:rFonts w:ascii="Arial" w:cs="Arial" w:eastAsia="Arial" w:hAnsi="Arial"/>
          <w:sz w:val="18"/>
          <w:szCs w:val="18"/>
          <w:color w:val="auto"/>
        </w:rPr>
      </w:pPr>
    </w:p>
    <w:p>
      <w:pPr>
        <w:ind w:left="660" w:right="100" w:firstLine="645"/>
        <w:spacing w:after="0" w:line="297" w:lineRule="auto"/>
        <w:tabs>
          <w:tab w:leader="none" w:pos="19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undertaking of any action in connection with the Partnership’s participation and management of the MLP through its ownership of the MLP Managing General Partner, including the approval or disapproval on behalf of the Partnership in its capacity as the sole member of the MLP Managing General Partner, of any proposed actions that may not be effected or authorized without the prior written consent of the Partnership pursuant to the terms of the limited liability company agreement of the MLP Managing General Partner, including any modification, amendment, waiver or other action affecting the 2% general partner interest or incentive distribution rights provided for in the MLP Agreement.</w:t>
      </w:r>
    </w:p>
    <w:p>
      <w:pPr>
        <w:spacing w:after="0" w:line="158" w:lineRule="exact"/>
        <w:rPr>
          <w:rFonts w:ascii="Arial" w:cs="Arial" w:eastAsia="Arial" w:hAnsi="Arial"/>
          <w:sz w:val="16"/>
          <w:szCs w:val="16"/>
          <w:color w:val="auto"/>
        </w:rPr>
      </w:pPr>
    </w:p>
    <w:p>
      <w:pPr>
        <w:ind w:firstLine="656"/>
        <w:spacing w:after="0" w:line="289" w:lineRule="auto"/>
        <w:tabs>
          <w:tab w:leader="none" w:pos="1304"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contemplated by the Registration Statement on behalf of the Partnership without any further act, approval or vote of the Partners or the other Persons who may acquire an interest in Partnership Interests or are otherwise bound by the provisions of this Agreement; and (iii) 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otherwise existing at law, in equity or otherwise.</w:t>
      </w:r>
    </w:p>
    <w:p>
      <w:pPr>
        <w:spacing w:after="0" w:line="18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6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Restrictions on General Partner’s Authority</w:t>
      </w:r>
      <w:r>
        <w:rPr>
          <w:rFonts w:ascii="Arial" w:cs="Arial" w:eastAsia="Arial" w:hAnsi="Arial"/>
          <w:sz w:val="16"/>
          <w:szCs w:val="16"/>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i w:val="1"/>
          <w:iCs w:val="1"/>
          <w:color w:val="auto"/>
        </w:rPr>
        <w:t>Reimbursement of the General Partner</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77" w:lineRule="auto"/>
        <w:tabs>
          <w:tab w:leader="none" w:pos="12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provided in this Section 7.4 and elsewhere in this Agreement, the General Partner shall not be compensated for its services as general a partner or managing member of any Group Member.</w:t>
      </w:r>
    </w:p>
    <w:p>
      <w:pPr>
        <w:spacing w:after="0" w:line="170" w:lineRule="exact"/>
        <w:rPr>
          <w:rFonts w:ascii="Arial" w:cs="Arial" w:eastAsia="Arial" w:hAnsi="Arial"/>
          <w:sz w:val="18"/>
          <w:szCs w:val="18"/>
          <w:color w:val="auto"/>
        </w:rPr>
      </w:pPr>
    </w:p>
    <w:p>
      <w:pPr>
        <w:ind w:right="100" w:firstLine="656"/>
        <w:spacing w:after="0" w:line="277" w:lineRule="auto"/>
        <w:tabs>
          <w:tab w:leader="none" w:pos="13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General Partner shall be reimbursed on a monthly basis, or such other basis as the General Partner may determine, for (i) all direct and indirect expenses it incurs or payments it makes on behalf of the Partnership Group (including salary, bonus, incentive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73" w:lineRule="exact"/>
        <w:rPr>
          <w:sz w:val="20"/>
          <w:szCs w:val="20"/>
          <w:color w:val="auto"/>
        </w:rPr>
      </w:pPr>
    </w:p>
    <w:p>
      <w:pPr>
        <w:ind w:firstLine="656"/>
        <w:spacing w:after="0" w:line="291" w:lineRule="auto"/>
        <w:tabs>
          <w:tab w:leader="none" w:pos="13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 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w:t>
      </w:r>
    </w:p>
    <w:p>
      <w:pPr>
        <w:sectPr>
          <w:pgSz w:w="11900" w:h="16932" w:orient="portrait"/>
          <w:cols w:equalWidth="0" w:num="1">
            <w:col w:w="11420"/>
          </w:cols>
          <w:pgMar w:left="240" w:top="341" w:right="239" w:bottom="0" w:gutter="0" w:footer="0" w:header="0"/>
        </w:sectPr>
      </w:pPr>
    </w:p>
    <w:bookmarkStart w:id="23" w:name="page24"/>
    <w:bookmarkEnd w:id="23"/>
    <w:p>
      <w:pPr>
        <w:spacing w:after="0" w:line="3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i w:val="1"/>
          <w:iCs w:val="1"/>
          <w:color w:val="auto"/>
        </w:rPr>
        <w:t>Outside Activities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312" w:lineRule="auto"/>
        <w:tabs>
          <w:tab w:leader="none" w:pos="129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46" w:lineRule="exact"/>
        <w:rPr>
          <w:rFonts w:ascii="Arial" w:cs="Arial" w:eastAsia="Arial" w:hAnsi="Arial"/>
          <w:sz w:val="16"/>
          <w:szCs w:val="16"/>
          <w:color w:val="auto"/>
        </w:rPr>
      </w:pPr>
    </w:p>
    <w:p>
      <w:pPr>
        <w:ind w:right="100" w:firstLine="656"/>
        <w:spacing w:after="0" w:line="279" w:lineRule="auto"/>
        <w:tabs>
          <w:tab w:leader="none" w:pos="1304"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pacing w:after="0" w:line="187" w:lineRule="exact"/>
        <w:rPr>
          <w:sz w:val="20"/>
          <w:szCs w:val="20"/>
          <w:color w:val="auto"/>
        </w:rPr>
      </w:pPr>
    </w:p>
    <w:p>
      <w:pPr>
        <w:ind w:firstLine="656"/>
        <w:spacing w:after="0" w:line="286" w:lineRule="auto"/>
        <w:tabs>
          <w:tab w:leader="none" w:pos="1307"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 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 (including any fiduciary duty) or any other obligation by reason of the fact that such Indemnitee pursues or acquires for itself, directs such opportunity to another Person or does not communicate such opportunity or information to the Partnership;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Indemnitee does not engage in such business or activity using confidential or proprietary information provided by or on behalf of the Partnership to Indemnitee;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74" w:lineRule="exact"/>
        <w:rPr>
          <w:rFonts w:ascii="Arial" w:cs="Arial" w:eastAsia="Arial" w:hAnsi="Arial"/>
          <w:sz w:val="16"/>
          <w:szCs w:val="16"/>
          <w:color w:val="auto"/>
        </w:rPr>
      </w:pPr>
    </w:p>
    <w:p>
      <w:pPr>
        <w:jc w:val="both"/>
        <w:ind w:right="20" w:firstLine="656"/>
        <w:spacing w:after="0" w:line="259" w:lineRule="auto"/>
        <w:tabs>
          <w:tab w:leader="none" w:pos="13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to the extent that any provision of this Agreement purports or is interpreted</w:t>
      </w:r>
    </w:p>
    <w:p>
      <w:pPr>
        <w:spacing w:after="0" w:line="34" w:lineRule="exact"/>
        <w:rPr>
          <w:rFonts w:ascii="Arial" w:cs="Arial" w:eastAsia="Arial" w:hAnsi="Arial"/>
          <w:sz w:val="17"/>
          <w:szCs w:val="17"/>
          <w:color w:val="auto"/>
        </w:rPr>
      </w:pPr>
    </w:p>
    <w:p>
      <w:pPr>
        <w:ind w:right="80" w:firstLine="8"/>
        <w:spacing w:after="0" w:line="253" w:lineRule="auto"/>
        <w:tabs>
          <w:tab w:leader="none" w:pos="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 Section 7.5 shall limit or otherwise affect the effectiveness of any Group Member Agreement, the Holdings GP LLC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separate contractual obligations of any Person (including any Indemnitee) to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or any of its Affiliates pursuant to agreements entered into following the date of this Agreement.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i w:val="1"/>
          <w:iCs w:val="1"/>
          <w:color w:val="auto"/>
        </w:rPr>
        <w:t>Loans from the General Partner; Loans or Contributions from the Partnership</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9" w:lineRule="auto"/>
        <w:tabs>
          <w:tab w:leader="none" w:pos="1294"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66" w:lineRule="exact"/>
        <w:rPr>
          <w:rFonts w:ascii="Arial" w:cs="Arial" w:eastAsia="Arial" w:hAnsi="Arial"/>
          <w:sz w:val="16"/>
          <w:szCs w:val="16"/>
          <w:color w:val="auto"/>
        </w:rPr>
      </w:pPr>
    </w:p>
    <w:p>
      <w:pPr>
        <w:ind w:right="220" w:firstLine="656"/>
        <w:spacing w:after="0" w:line="277" w:lineRule="auto"/>
        <w:tabs>
          <w:tab w:leader="none" w:pos="13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Partnership may lend or contribute to any Group Member, and any Group Member may borrow from the Partnership, funds on terms and conditions determined by the General Partner.</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24" w:name="page25"/>
    <w:bookmarkEnd w:id="24"/>
    <w:p>
      <w:pPr>
        <w:ind w:right="100" w:firstLine="656"/>
        <w:spacing w:after="0" w:line="287" w:lineRule="auto"/>
        <w:tabs>
          <w:tab w:leader="none" w:pos="129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 misconduct, or in the case of a criminal matter, acted with knowledge that the Indemnitee’s conduct was unlawful;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General Partner shall not be personally liable for such indemnification and shall have no obligation to contribute or loan any monies or property to the Partnership to enable it to effectuate such indemnification.</w:t>
      </w:r>
    </w:p>
    <w:p>
      <w:pPr>
        <w:spacing w:after="0" w:line="170" w:lineRule="exact"/>
        <w:rPr>
          <w:sz w:val="20"/>
          <w:szCs w:val="20"/>
          <w:color w:val="auto"/>
        </w:rPr>
      </w:pPr>
    </w:p>
    <w:p>
      <w:pPr>
        <w:ind w:right="40" w:firstLine="656"/>
        <w:spacing w:after="0" w:line="255" w:lineRule="auto"/>
        <w:tabs>
          <w:tab w:leader="none" w:pos="13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pacing w:after="0" w:line="193" w:lineRule="exact"/>
        <w:rPr>
          <w:rFonts w:ascii="Arial" w:cs="Arial" w:eastAsia="Arial" w:hAnsi="Arial"/>
          <w:sz w:val="18"/>
          <w:szCs w:val="18"/>
          <w:color w:val="auto"/>
        </w:rPr>
      </w:pPr>
    </w:p>
    <w:p>
      <w:pPr>
        <w:ind w:right="20" w:firstLine="656"/>
        <w:spacing w:after="0" w:line="255" w:lineRule="auto"/>
        <w:tabs>
          <w:tab w:leader="none" w:pos="13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 the Indemnitee; </w:t>
      </w:r>
      <w:r>
        <w:rPr>
          <w:rFonts w:ascii="Arial" w:cs="Arial" w:eastAsia="Arial" w:hAnsi="Arial"/>
          <w:sz w:val="18"/>
          <w:szCs w:val="18"/>
          <w:i w:val="1"/>
          <w:iCs w:val="1"/>
          <w:color w:val="auto"/>
        </w:rPr>
        <w:t>provided</w:t>
      </w:r>
      <w:r>
        <w:rPr>
          <w:rFonts w:ascii="Arial" w:cs="Arial" w:eastAsia="Arial" w:hAnsi="Arial"/>
          <w:sz w:val="18"/>
          <w:szCs w:val="18"/>
          <w:color w:val="auto"/>
        </w:rPr>
        <w:t>, that if an Indemnitee is also an Affiliate of a voting Person, the vote of such Person will be disregarded in the vote.</w:t>
      </w:r>
    </w:p>
    <w:p>
      <w:pPr>
        <w:spacing w:after="0" w:line="193" w:lineRule="exact"/>
        <w:rPr>
          <w:rFonts w:ascii="Arial" w:cs="Arial" w:eastAsia="Arial" w:hAnsi="Arial"/>
          <w:sz w:val="18"/>
          <w:szCs w:val="18"/>
          <w:color w:val="auto"/>
        </w:rPr>
      </w:pPr>
    </w:p>
    <w:p>
      <w:pPr>
        <w:ind w:right="20" w:firstLine="656"/>
        <w:spacing w:after="0" w:line="297" w:lineRule="auto"/>
        <w:tabs>
          <w:tab w:leader="none" w:pos="130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58" w:lineRule="exact"/>
        <w:rPr>
          <w:rFonts w:ascii="Arial" w:cs="Arial" w:eastAsia="Arial" w:hAnsi="Arial"/>
          <w:sz w:val="16"/>
          <w:szCs w:val="16"/>
          <w:color w:val="auto"/>
        </w:rPr>
      </w:pPr>
    </w:p>
    <w:p>
      <w:pPr>
        <w:ind w:firstLine="656"/>
        <w:spacing w:after="0" w:line="255" w:lineRule="auto"/>
        <w:tabs>
          <w:tab w:leader="none" w:pos="13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93" w:lineRule="exact"/>
        <w:rPr>
          <w:rFonts w:ascii="Arial" w:cs="Arial" w:eastAsia="Arial" w:hAnsi="Arial"/>
          <w:sz w:val="18"/>
          <w:szCs w:val="18"/>
          <w:color w:val="auto"/>
        </w:rPr>
      </w:pPr>
    </w:p>
    <w:p>
      <w:pPr>
        <w:ind w:right="20" w:firstLine="656"/>
        <w:spacing w:after="0" w:line="308" w:lineRule="auto"/>
        <w:tabs>
          <w:tab w:leader="none" w:pos="1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308" w:lineRule="auto"/>
        <w:tabs>
          <w:tab w:leader="none" w:pos="1317"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46" w:lineRule="exact"/>
        <w:rPr>
          <w:rFonts w:ascii="Arial" w:cs="Arial" w:eastAsia="Arial" w:hAnsi="Arial"/>
          <w:sz w:val="17"/>
          <w:szCs w:val="17"/>
          <w:color w:val="auto"/>
        </w:rPr>
      </w:pPr>
    </w:p>
    <w:p>
      <w:pPr>
        <w:ind w:right="100" w:firstLine="656"/>
        <w:spacing w:after="0" w:line="277" w:lineRule="auto"/>
        <w:tabs>
          <w:tab w:leader="none" w:pos="13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70" w:lineRule="exact"/>
        <w:rPr>
          <w:rFonts w:ascii="Arial" w:cs="Arial" w:eastAsia="Arial" w:hAnsi="Arial"/>
          <w:sz w:val="18"/>
          <w:szCs w:val="18"/>
          <w:color w:val="auto"/>
        </w:rPr>
      </w:pPr>
    </w:p>
    <w:p>
      <w:pPr>
        <w:ind w:right="60" w:firstLine="656"/>
        <w:spacing w:after="0" w:line="257" w:lineRule="auto"/>
        <w:tabs>
          <w:tab w:leader="none" w:pos="13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 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i w:val="1"/>
          <w:iCs w:val="1"/>
          <w:color w:val="auto"/>
        </w:rPr>
        <w:t>Liability of Indemnitees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55" w:lineRule="auto"/>
        <w:tabs>
          <w:tab w:leader="none" w:pos="12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ectPr>
          <w:pgSz w:w="11900" w:h="16838" w:orient="portrait"/>
          <w:cols w:equalWidth="0" w:num="1">
            <w:col w:w="11380"/>
          </w:cols>
          <w:pgMar w:left="240" w:top="341" w:right="279" w:bottom="0" w:gutter="0" w:footer="0" w:header="0"/>
        </w:sectPr>
      </w:pPr>
    </w:p>
    <w:bookmarkStart w:id="25" w:name="page26"/>
    <w:bookmarkEnd w:id="25"/>
    <w:p>
      <w:pPr>
        <w:spacing w:after="0" w:line="92" w:lineRule="exact"/>
        <w:rPr>
          <w:sz w:val="20"/>
          <w:szCs w:val="20"/>
          <w:color w:val="auto"/>
        </w:rPr>
      </w:pPr>
    </w:p>
    <w:p>
      <w:pPr>
        <w:ind w:right="240" w:firstLine="656"/>
        <w:spacing w:after="0" w:line="312" w:lineRule="auto"/>
        <w:tabs>
          <w:tab w:leader="none" w:pos="1304"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46" w:lineRule="exact"/>
        <w:rPr>
          <w:rFonts w:ascii="Arial" w:cs="Arial" w:eastAsia="Arial" w:hAnsi="Arial"/>
          <w:sz w:val="16"/>
          <w:szCs w:val="16"/>
          <w:color w:val="auto"/>
        </w:rPr>
      </w:pPr>
    </w:p>
    <w:p>
      <w:pPr>
        <w:ind w:right="200" w:firstLine="656"/>
        <w:spacing w:after="0" w:line="259" w:lineRule="auto"/>
        <w:tabs>
          <w:tab w:leader="none" w:pos="13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 the MLP and its Subsidiaries, such Indemnitee shall not be liable to the Group Member or the MLP or its Subsidiaries or to any Partner or other Indemnitee for its reliance in good faith on the provisions of this Agreement.</w:t>
      </w:r>
    </w:p>
    <w:p>
      <w:pPr>
        <w:spacing w:after="0" w:line="186" w:lineRule="exact"/>
        <w:rPr>
          <w:rFonts w:ascii="Arial" w:cs="Arial" w:eastAsia="Arial" w:hAnsi="Arial"/>
          <w:sz w:val="18"/>
          <w:szCs w:val="18"/>
          <w:color w:val="auto"/>
        </w:rPr>
      </w:pPr>
    </w:p>
    <w:p>
      <w:pPr>
        <w:jc w:val="both"/>
        <w:ind w:right="40" w:firstLine="656"/>
        <w:spacing w:after="0" w:line="264" w:lineRule="auto"/>
        <w:tabs>
          <w:tab w:leader="none" w:pos="13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whole or in part, prior to such amendment, modification or repeal, regardless of when such claims may arise or be asserted.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i w:val="1"/>
          <w:iCs w:val="1"/>
          <w:color w:val="auto"/>
        </w:rPr>
        <w:t>Resolution of Conflicts of Interest; Standards of Conduct and Modification of Duties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4" w:lineRule="auto"/>
        <w:tabs>
          <w:tab w:leader="none" w:pos="1294"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Share Majority (excluding Shares owned by the General Partner and its Affiliates), (iii) determined by the General Partner (after due inquiry) to be on terms no less favorable to the Partnership than those 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180" w:lineRule="exact"/>
        <w:rPr>
          <w:rFonts w:ascii="Arial" w:cs="Arial" w:eastAsia="Arial" w:hAnsi="Arial"/>
          <w:sz w:val="16"/>
          <w:szCs w:val="16"/>
          <w:color w:val="auto"/>
        </w:rPr>
      </w:pPr>
    </w:p>
    <w:p>
      <w:pPr>
        <w:ind w:right="80" w:firstLine="656"/>
        <w:spacing w:after="0" w:line="308" w:lineRule="auto"/>
        <w:tabs>
          <w:tab w:leader="none" w:pos="1304"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or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 interests of the Partnership and other arrangements or relationships that could be considered favorable or advantageous to the Partnership). Without limiting the generality of the foregoing, in considering whether to approve, on behalf of the Partnership in its capacity as the sole member of MLP Managing General Partner, any concession with respect to, or modification, amendment or elimination of, any incentive distribution rights held by AAP, the General Partner and the Board of Directors shall be entitled to take into account all relevant factors, including (without limitation), to the extent that it believes relevant, (i) anticipated increases in distributions to the Partnership or any of its Subsidiaries expected to be received as a result of the issuance of any securities by the MLP in connection therewith, (ii) any increase in value of such incentive distribution rights associated with any such expected increase in distributions and (iii) the effect of such action on the long-term distribution growth prospects of the MLP or any of the MLP’s subsidiaries.</w:t>
      </w:r>
    </w:p>
    <w:p>
      <w:pPr>
        <w:spacing w:after="0" w:line="172" w:lineRule="exact"/>
        <w:rPr>
          <w:sz w:val="20"/>
          <w:szCs w:val="20"/>
          <w:color w:val="auto"/>
        </w:rPr>
      </w:pPr>
    </w:p>
    <w:p>
      <w:pPr>
        <w:ind w:firstLine="656"/>
        <w:spacing w:after="0" w:line="288" w:lineRule="auto"/>
        <w:tabs>
          <w:tab w:leader="none" w:pos="13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ectPr>
          <w:pgSz w:w="11900" w:h="16930" w:orient="portrait"/>
          <w:cols w:equalWidth="0" w:num="1">
            <w:col w:w="11420"/>
          </w:cols>
          <w:pgMar w:left="240" w:top="125" w:right="239" w:bottom="0" w:gutter="0" w:footer="0" w:header="0"/>
        </w:sectPr>
      </w:pPr>
    </w:p>
    <w:bookmarkStart w:id="26" w:name="page27"/>
    <w:bookmarkEnd w:id="26"/>
    <w:p>
      <w:pPr>
        <w:spacing w:after="0" w:line="137" w:lineRule="exact"/>
        <w:rPr>
          <w:sz w:val="20"/>
          <w:szCs w:val="20"/>
          <w:color w:val="auto"/>
        </w:rPr>
      </w:pPr>
    </w:p>
    <w:p>
      <w:pPr>
        <w:ind w:firstLine="656"/>
        <w:spacing w:after="0" w:line="264" w:lineRule="auto"/>
        <w:tabs>
          <w:tab w:leader="none" w:pos="13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except as may be provided in contracts entered into from time to time specifically dealing with such use. Any determination by the General Partner or any of its Affiliates to enter into such contracts shall be at its option.</w:t>
      </w:r>
    </w:p>
    <w:p>
      <w:pPr>
        <w:spacing w:after="0" w:line="170" w:lineRule="exact"/>
        <w:rPr>
          <w:sz w:val="20"/>
          <w:szCs w:val="20"/>
          <w:color w:val="auto"/>
        </w:rPr>
      </w:pPr>
    </w:p>
    <w:p>
      <w:pPr>
        <w:ind w:right="40" w:firstLine="656"/>
        <w:spacing w:after="0" w:line="288" w:lineRule="auto"/>
        <w:tabs>
          <w:tab w:leader="none" w:pos="1307"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 fullest extent permitted by law, in connection with any action or inaction of, or determination made by, 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69" w:lineRule="exact"/>
        <w:rPr>
          <w:rFonts w:ascii="Arial" w:cs="Arial" w:eastAsia="Arial" w:hAnsi="Arial"/>
          <w:sz w:val="16"/>
          <w:szCs w:val="16"/>
          <w:color w:val="auto"/>
        </w:rPr>
      </w:pPr>
    </w:p>
    <w:p>
      <w:pPr>
        <w:ind w:right="40" w:firstLine="656"/>
        <w:spacing w:after="0" w:line="264" w:lineRule="auto"/>
        <w:tabs>
          <w:tab w:leader="none" w:pos="13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81" w:lineRule="exact"/>
        <w:rPr>
          <w:rFonts w:ascii="Arial" w:cs="Arial" w:eastAsia="Arial" w:hAnsi="Arial"/>
          <w:sz w:val="18"/>
          <w:szCs w:val="18"/>
          <w:color w:val="auto"/>
        </w:rPr>
      </w:pPr>
    </w:p>
    <w:p>
      <w:pPr>
        <w:ind w:right="60" w:firstLine="656"/>
        <w:spacing w:after="0" w:line="264" w:lineRule="auto"/>
        <w:tabs>
          <w:tab w:leader="none" w:pos="13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Where a determination requires “due inquiry,” the Person or Persons making such determination or taking or declining to take such action must subjectively believe that such Person or Persons had available adequate information to make such determination or to take or decline to take such action in accordance with the applicable contractual standard.</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i w:val="1"/>
          <w:iCs w:val="1"/>
          <w:color w:val="auto"/>
        </w:rPr>
        <w:t>Other Matters Concerning the General Partner</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64" w:lineRule="auto"/>
        <w:tabs>
          <w:tab w:leader="none" w:pos="12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100" w:firstLine="656"/>
        <w:spacing w:after="0" w:line="259" w:lineRule="auto"/>
        <w:tabs>
          <w:tab w:leader="none" w:pos="13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86" w:lineRule="exact"/>
        <w:rPr>
          <w:rFonts w:ascii="Arial" w:cs="Arial" w:eastAsia="Arial" w:hAnsi="Arial"/>
          <w:sz w:val="18"/>
          <w:szCs w:val="18"/>
          <w:color w:val="auto"/>
        </w:rPr>
      </w:pPr>
    </w:p>
    <w:p>
      <w:pPr>
        <w:ind w:right="200" w:firstLine="656"/>
        <w:spacing w:after="0" w:line="277" w:lineRule="auto"/>
        <w:tabs>
          <w:tab w:leader="none" w:pos="13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General Partner shall have the right, in respect of any of its powers or obligations hereunder, to act through any of its duly authorized officers, a duly appointed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attorney or attorneys-in-fact or the duly authorized officers or agents of the Partnership or any Group Member.</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Purchase or Sale of Partnership Interests</w:t>
      </w:r>
      <w:r>
        <w:rPr>
          <w:rFonts w:ascii="Arial" w:cs="Arial" w:eastAsia="Arial" w:hAnsi="Arial"/>
          <w:sz w:val="16"/>
          <w:szCs w:val="16"/>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5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Reliance by Third Parties</w:t>
      </w:r>
      <w:r>
        <w:rPr>
          <w:rFonts w:ascii="Arial" w:cs="Arial" w:eastAsia="Arial" w:hAnsi="Arial"/>
          <w:sz w:val="16"/>
          <w:szCs w:val="16"/>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 negate or disaffirm any action of the General Partner or 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RECORDS, ACCOUNTING AND REPORTS</w:t>
      </w:r>
    </w:p>
    <w:p>
      <w:pPr>
        <w:spacing w:after="0" w:line="21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i w:val="1"/>
          <w:iCs w:val="1"/>
          <w:color w:val="auto"/>
        </w:rPr>
        <w:t>Records and Accounting</w:t>
      </w:r>
      <w:r>
        <w:rPr>
          <w:rFonts w:ascii="Arial" w:cs="Arial" w:eastAsia="Arial" w:hAnsi="Arial"/>
          <w:sz w:val="16"/>
          <w:szCs w:val="16"/>
          <w:color w:val="auto"/>
        </w:rPr>
        <w:t>. The General Partner shall keep or cause to be kept at the principal office of the Partnership appropriate books and records with respect to the Partnership’s business, including all books and records necessary to provide to the Limited Partners any information</w:t>
      </w:r>
    </w:p>
    <w:p>
      <w:pPr>
        <w:sectPr>
          <w:pgSz w:w="11900" w:h="16975" w:orient="portrait"/>
          <w:cols w:equalWidth="0" w:num="1">
            <w:col w:w="11420"/>
          </w:cols>
          <w:pgMar w:left="240" w:top="341" w:right="239" w:bottom="0" w:gutter="0" w:footer="0" w:header="0"/>
        </w:sectPr>
      </w:pPr>
    </w:p>
    <w:bookmarkStart w:id="27" w:name="page28"/>
    <w:bookmarkEnd w:id="27"/>
    <w:p>
      <w:pPr>
        <w:jc w:val="both"/>
        <w:ind w:right="20"/>
        <w:spacing w:after="0" w:line="259" w:lineRule="auto"/>
        <w:rPr>
          <w:sz w:val="20"/>
          <w:szCs w:val="20"/>
          <w:color w:val="auto"/>
        </w:rPr>
      </w:pPr>
      <w:r>
        <w:rPr>
          <w:rFonts w:ascii="Arial" w:cs="Arial" w:eastAsia="Arial" w:hAnsi="Arial"/>
          <w:sz w:val="18"/>
          <w:szCs w:val="18"/>
          <w:color w:val="auto"/>
        </w:rPr>
        <w:t xml:space="preserve">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Arial" w:cs="Arial" w:eastAsia="Arial" w:hAnsi="Arial"/>
          <w:sz w:val="18"/>
          <w:szCs w:val="18"/>
          <w:i w:val="1"/>
          <w:iCs w:val="1"/>
          <w:color w:val="auto"/>
        </w:rPr>
        <w:t>provided</w:t>
      </w:r>
      <w:r>
        <w:rPr>
          <w:rFonts w:ascii="Arial" w:cs="Arial" w:eastAsia="Arial" w:hAnsi="Arial"/>
          <w:sz w:val="18"/>
          <w:szCs w:val="18"/>
          <w:color w:val="auto"/>
        </w:rPr>
        <w:t>, that the books and records so maintained are convertible into clearly legible written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form within a reasonable period of time. The books of the Partnership shall be maintained, for financial reporting purposes, on an accrual basis in accordance with U.S. GAAP.</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i w:val="1"/>
          <w:iCs w:val="1"/>
          <w:color w:val="auto"/>
        </w:rPr>
        <w:t>Fiscal Year</w:t>
      </w:r>
      <w:r>
        <w:rPr>
          <w:rFonts w:ascii="Arial" w:cs="Arial" w:eastAsia="Arial" w:hAnsi="Arial"/>
          <w:sz w:val="16"/>
          <w:szCs w:val="16"/>
          <w:color w:val="auto"/>
        </w:rPr>
        <w:t>. The fiscal year of the Partnership shall be the calendar year ending December 31.</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5" w:lineRule="exact"/>
        <w:rPr>
          <w:sz w:val="20"/>
          <w:szCs w:val="20"/>
          <w:color w:val="auto"/>
        </w:rPr>
      </w:pPr>
    </w:p>
    <w:p>
      <w:pPr>
        <w:ind w:right="40" w:firstLine="656"/>
        <w:spacing w:after="0" w:line="276" w:lineRule="auto"/>
        <w:tabs>
          <w:tab w:leader="none" w:pos="1294"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72" w:lineRule="exact"/>
        <w:rPr>
          <w:rFonts w:ascii="Arial" w:cs="Arial" w:eastAsia="Arial" w:hAnsi="Arial"/>
          <w:sz w:val="17"/>
          <w:szCs w:val="17"/>
          <w:color w:val="auto"/>
        </w:rPr>
      </w:pPr>
    </w:p>
    <w:p>
      <w:pPr>
        <w:ind w:right="120" w:firstLine="656"/>
        <w:spacing w:after="0" w:line="276" w:lineRule="auto"/>
        <w:tabs>
          <w:tab w:leader="none" w:pos="1304"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 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i w:val="1"/>
          <w:iCs w:val="1"/>
          <w:color w:val="auto"/>
        </w:rPr>
        <w:t>Tax Elections and Information</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Partnership is authorized and has elected to be treated as an association taxable as a corporation for U.S. federal income tax purposes.</w:t>
      </w:r>
    </w:p>
    <w:p>
      <w:pPr>
        <w:spacing w:after="0" w:line="248" w:lineRule="exact"/>
        <w:rPr>
          <w:rFonts w:ascii="Arial" w:cs="Arial" w:eastAsia="Arial" w:hAnsi="Arial"/>
          <w:sz w:val="16"/>
          <w:szCs w:val="16"/>
          <w:color w:val="auto"/>
        </w:rPr>
      </w:pPr>
    </w:p>
    <w:p>
      <w:pPr>
        <w:ind w:right="740" w:firstLine="656"/>
        <w:spacing w:after="0" w:line="277"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herein, the General Partner shall determine whether the Partnership should make any other elections permitted by the Code.</w:t>
      </w:r>
    </w:p>
    <w:p>
      <w:pPr>
        <w:spacing w:after="0" w:line="170" w:lineRule="exact"/>
        <w:rPr>
          <w:rFonts w:ascii="Arial" w:cs="Arial" w:eastAsia="Arial" w:hAnsi="Arial"/>
          <w:sz w:val="18"/>
          <w:szCs w:val="18"/>
          <w:color w:val="auto"/>
        </w:rPr>
      </w:pPr>
    </w:p>
    <w:p>
      <w:pPr>
        <w:ind w:right="320" w:firstLine="656"/>
        <w:spacing w:after="0" w:line="264" w:lineRule="auto"/>
        <w:tabs>
          <w:tab w:leader="none" w:pos="13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Withholding</w:t>
      </w:r>
      <w:r>
        <w:rPr>
          <w:rFonts w:ascii="Arial" w:cs="Arial" w:eastAsia="Arial" w:hAnsi="Arial"/>
          <w:sz w:val="18"/>
          <w:szCs w:val="18"/>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Partner, the General Partner may treat the amount withheld as a distribution of cash pursuant to Section 6.2 in the amount of such withholding from such Partner.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ADMISSION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Admission of Limited Partners</w:t>
      </w:r>
      <w:r>
        <w:rPr>
          <w:rFonts w:ascii="Arial" w:cs="Arial" w:eastAsia="Arial" w:hAnsi="Arial"/>
          <w:sz w:val="16"/>
          <w:szCs w:val="16"/>
          <w:color w:val="auto"/>
        </w:rPr>
        <w:t>.</w:t>
      </w:r>
    </w:p>
    <w:p>
      <w:pPr>
        <w:spacing w:after="0" w:line="225" w:lineRule="exact"/>
        <w:rPr>
          <w:sz w:val="20"/>
          <w:szCs w:val="20"/>
          <w:color w:val="auto"/>
        </w:rPr>
      </w:pPr>
    </w:p>
    <w:p>
      <w:pPr>
        <w:ind w:right="820" w:firstLine="656"/>
        <w:spacing w:after="0" w:line="277" w:lineRule="auto"/>
        <w:tabs>
          <w:tab w:leader="none" w:pos="1294"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the issuance by the Partnership of Class B Shares to the Initial Limited Partners as described in Article V, such parties shall automatically be admitted to the Partnership as Initial Limited Partners in respect of the Class B Shares issued to them.</w:t>
      </w:r>
    </w:p>
    <w:p>
      <w:pPr>
        <w:spacing w:after="0" w:line="170" w:lineRule="exact"/>
        <w:rPr>
          <w:rFonts w:ascii="Arial" w:cs="Arial" w:eastAsia="Arial" w:hAnsi="Arial"/>
          <w:sz w:val="18"/>
          <w:szCs w:val="18"/>
          <w:color w:val="auto"/>
        </w:rPr>
      </w:pPr>
    </w:p>
    <w:p>
      <w:pPr>
        <w:ind w:firstLine="656"/>
        <w:spacing w:after="0" w:line="308" w:lineRule="auto"/>
        <w:tabs>
          <w:tab w:leader="none" w:pos="1304" w:val="left"/>
        </w:tabs>
        <w:numPr>
          <w:ilvl w:val="0"/>
          <w:numId w:val="60"/>
        </w:numPr>
        <w:rPr>
          <w:rFonts w:ascii="Arial" w:cs="Arial" w:eastAsia="Arial" w:hAnsi="Arial"/>
          <w:sz w:val="17"/>
          <w:szCs w:val="17"/>
          <w:color w:val="auto"/>
        </w:rPr>
      </w:pPr>
      <w:r>
        <w:rPr>
          <w:rFonts w:ascii="Arial" w:cs="Arial" w:eastAsia="Arial" w:hAnsi="Arial"/>
          <w:sz w:val="17"/>
          <w:szCs w:val="17"/>
          <w:color w:val="auto"/>
        </w:rPr>
        <w:t>Upon the issuance by the Partnership of Class A Shares to the Underwriters as described in Article V in connection with the Initial Offering, such parties shall automatically be admitted to the Partnership as Limited Partners in respect of the Class A Shares issued to them.</w:t>
      </w:r>
    </w:p>
    <w:p>
      <w:pPr>
        <w:spacing w:after="0" w:line="146" w:lineRule="exact"/>
        <w:rPr>
          <w:rFonts w:ascii="Arial" w:cs="Arial" w:eastAsia="Arial" w:hAnsi="Arial"/>
          <w:sz w:val="17"/>
          <w:szCs w:val="17"/>
          <w:color w:val="auto"/>
        </w:rPr>
      </w:pPr>
    </w:p>
    <w:p>
      <w:pPr>
        <w:ind w:right="120" w:firstLine="656"/>
        <w:spacing w:after="0" w:line="288" w:lineRule="auto"/>
        <w:tabs>
          <w:tab w:leader="none" w:pos="1307" w:val="left"/>
        </w:tabs>
        <w:numPr>
          <w:ilvl w:val="0"/>
          <w:numId w:val="60"/>
        </w:numPr>
        <w:rPr>
          <w:rFonts w:ascii="Arial" w:cs="Arial" w:eastAsia="Arial" w:hAnsi="Arial"/>
          <w:sz w:val="16"/>
          <w:szCs w:val="16"/>
          <w:color w:val="auto"/>
        </w:rPr>
      </w:pPr>
      <w:r>
        <w:rPr>
          <w:rFonts w:ascii="Arial" w:cs="Arial" w:eastAsia="Arial" w:hAnsi="Arial"/>
          <w:sz w:val="16"/>
          <w:szCs w:val="16"/>
          <w:color w:val="auto"/>
        </w:rPr>
        <w:t>By acceptance of the transfer of any Limited Partner Interests in accordance with Article IV or the acceptance of any Limited Partner Interests issued pursuant to Article V or 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w:t>
      </w:r>
    </w:p>
    <w:p>
      <w:pPr>
        <w:sectPr>
          <w:pgSz w:w="11900" w:h="16838" w:orient="portrait"/>
          <w:cols w:equalWidth="0" w:num="1">
            <w:col w:w="11420"/>
          </w:cols>
          <w:pgMar w:left="240" w:top="125" w:right="239" w:bottom="0" w:gutter="0" w:footer="0" w:header="0"/>
        </w:sectPr>
      </w:pPr>
    </w:p>
    <w:bookmarkStart w:id="28" w:name="page29"/>
    <w:bookmarkEnd w:id="28"/>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reflected in the books and records of the Partnership as the Record Holder of such Limited Partner Interest. The rights and obligations of a Person who is an Ineligible Holder shall be determined in accordance with Section 4.9 hereof.</w:t>
      </w:r>
    </w:p>
    <w:p>
      <w:pPr>
        <w:spacing w:after="0" w:line="170" w:lineRule="exact"/>
        <w:rPr>
          <w:sz w:val="20"/>
          <w:szCs w:val="20"/>
          <w:color w:val="auto"/>
        </w:rPr>
      </w:pPr>
    </w:p>
    <w:p>
      <w:pPr>
        <w:ind w:right="60" w:firstLine="656"/>
        <w:spacing w:after="0" w:line="259" w:lineRule="auto"/>
        <w:tabs>
          <w:tab w:leader="none" w:pos="13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86" w:lineRule="exact"/>
        <w:rPr>
          <w:rFonts w:ascii="Arial" w:cs="Arial" w:eastAsia="Arial" w:hAnsi="Arial"/>
          <w:sz w:val="18"/>
          <w:szCs w:val="18"/>
          <w:color w:val="auto"/>
        </w:rPr>
      </w:pPr>
    </w:p>
    <w:p>
      <w:pPr>
        <w:ind w:right="260" w:firstLine="656"/>
        <w:spacing w:after="0" w:line="277" w:lineRule="auto"/>
        <w:tabs>
          <w:tab w:leader="none" w:pos="13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transfer of a Limited Partner Interest shall not entitle the transferee to distributions or to any other rights to which the transferor was entitled until the transferee becomes a Limited Partner pursuant to Section 10.1(c).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Admission of Successor General Partner</w:t>
      </w:r>
      <w:r>
        <w:rPr>
          <w:rFonts w:ascii="Arial" w:cs="Arial" w:eastAsia="Arial" w:hAnsi="Arial"/>
          <w:sz w:val="18"/>
          <w:szCs w:val="18"/>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Amendment of Agreement and Certificate of Limited Partnership</w:t>
      </w:r>
      <w:r>
        <w:rPr>
          <w:rFonts w:ascii="Arial" w:cs="Arial" w:eastAsia="Arial" w:hAnsi="Arial"/>
          <w:sz w:val="18"/>
          <w:szCs w:val="18"/>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WITHDRAWAL OR REMOVAL OF PARTNERS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i w:val="1"/>
          <w:iCs w:val="1"/>
          <w:color w:val="auto"/>
        </w:rPr>
        <w:t>Withdrawal of the General Partner</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77" w:lineRule="auto"/>
        <w:tabs>
          <w:tab w:leader="none" w:pos="129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General Partner shall be deemed to have withdrawn from the Partnership upon the occurrence of any one of the following events (each such event herein referred to as an “</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General Partner voluntarily withdraws from the Partnership by giving written notice to the other Partners;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General Partner transfers all of its General Partner Interest pursuant to Section 4.6;</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General Partner is removed pursuant to Section 11.2;</w:t>
      </w:r>
    </w:p>
    <w:p>
      <w:pPr>
        <w:spacing w:after="0" w:line="225" w:lineRule="exact"/>
        <w:rPr>
          <w:rFonts w:ascii="Arial" w:cs="Arial" w:eastAsia="Arial" w:hAnsi="Arial"/>
          <w:sz w:val="18"/>
          <w:szCs w:val="18"/>
          <w:color w:val="auto"/>
        </w:rPr>
      </w:pPr>
    </w:p>
    <w:p>
      <w:pPr>
        <w:ind w:left="660" w:firstLine="645"/>
        <w:spacing w:after="0" w:line="255" w:lineRule="auto"/>
        <w:tabs>
          <w:tab w:leader="none" w:pos="197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60" w:firstLine="645"/>
        <w:spacing w:after="0" w:line="277" w:lineRule="auto"/>
        <w:tabs>
          <w:tab w:leader="none" w:pos="1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70" w:lineRule="exact"/>
        <w:rPr>
          <w:rFonts w:ascii="Arial" w:cs="Arial" w:eastAsia="Arial" w:hAnsi="Arial"/>
          <w:sz w:val="18"/>
          <w:szCs w:val="18"/>
          <w:color w:val="auto"/>
        </w:rPr>
      </w:pPr>
    </w:p>
    <w:p>
      <w:pPr>
        <w:ind w:left="660" w:right="60" w:firstLine="645"/>
        <w:spacing w:after="0" w:line="255" w:lineRule="auto"/>
        <w:tabs>
          <w:tab w:leader="none" w:pos="19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ind w:right="60" w:firstLine="656"/>
        <w:spacing w:after="0" w:line="289" w:lineRule="auto"/>
        <w:tabs>
          <w:tab w:leader="none" w:pos="1304"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w:t>
      </w:r>
    </w:p>
    <w:p>
      <w:pPr>
        <w:sectPr>
          <w:pgSz w:w="11900" w:h="16932" w:orient="portrait"/>
          <w:cols w:equalWidth="0" w:num="1">
            <w:col w:w="11420"/>
          </w:cols>
          <w:pgMar w:left="240" w:top="125" w:right="239" w:bottom="0" w:gutter="0" w:footer="0" w:header="0"/>
        </w:sectPr>
      </w:pPr>
    </w:p>
    <w:bookmarkStart w:id="29" w:name="page30"/>
    <w:bookmarkEnd w:id="29"/>
    <w:p>
      <w:pPr>
        <w:ind w:right="80"/>
        <w:spacing w:after="0" w:line="312" w:lineRule="auto"/>
        <w:rPr>
          <w:sz w:val="20"/>
          <w:szCs w:val="20"/>
          <w:color w:val="auto"/>
        </w:rPr>
      </w:pPr>
      <w:r>
        <w:rPr>
          <w:rFonts w:ascii="Arial" w:cs="Arial" w:eastAsia="Arial" w:hAnsi="Arial"/>
          <w:sz w:val="16"/>
          <w:szCs w:val="16"/>
          <w:color w:val="auto"/>
        </w:rPr>
        <w:t>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47"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i w:val="1"/>
          <w:iCs w:val="1"/>
          <w:color w:val="auto"/>
        </w:rPr>
        <w:t>Removal of the General Partner</w:t>
      </w:r>
      <w:r>
        <w:rPr>
          <w:rFonts w:ascii="Arial" w:cs="Arial" w:eastAsia="Arial" w:hAnsi="Arial"/>
          <w:sz w:val="16"/>
          <w:szCs w:val="16"/>
          <w:color w:val="auto"/>
        </w:rPr>
        <w:t>. The General Partner may be removed if such removal is approved by the Shareholders holding at least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i w:val="1"/>
          <w:iCs w:val="1"/>
          <w:color w:val="auto"/>
        </w:rPr>
        <w:t>Interest of Departing General Partner and Successor General Partner</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In the event of (i) withdrawal of the General Partner under circumstances where such withdrawal does not violate this Agreement or</w:t>
      </w:r>
    </w:p>
    <w:p>
      <w:pPr>
        <w:spacing w:after="0" w:line="34" w:lineRule="exact"/>
        <w:rPr>
          <w:rFonts w:ascii="Arial" w:cs="Arial" w:eastAsia="Arial" w:hAnsi="Arial"/>
          <w:sz w:val="17"/>
          <w:szCs w:val="17"/>
          <w:color w:val="auto"/>
        </w:rPr>
      </w:pPr>
    </w:p>
    <w:p>
      <w:pPr>
        <w:ind w:right="80" w:firstLine="8"/>
        <w:spacing w:after="0" w:line="285" w:lineRule="auto"/>
        <w:tabs>
          <w:tab w:leader="none" w:pos="2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removal of the General Partner by the 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Arial" w:cs="Arial" w:eastAsia="Arial" w:hAnsi="Arial"/>
          <w:sz w:val="16"/>
          <w:szCs w:val="16"/>
          <w:b w:val="1"/>
          <w:bCs w:val="1"/>
          <w:i w:val="1"/>
          <w:iCs w:val="1"/>
          <w:color w:val="auto"/>
        </w:rPr>
        <w:t>Combined Interest</w:t>
      </w:r>
      <w:r>
        <w:rPr>
          <w:rFonts w:ascii="Arial" w:cs="Arial" w:eastAsia="Arial" w:hAnsi="Arial"/>
          <w:sz w:val="16"/>
          <w:szCs w:val="16"/>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6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purposes of this Section 11.3(a), the fair market value of the Departing General Partner’s Combined Interest shall be determined by agreement between the Departing General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69" w:lineRule="exact"/>
        <w:rPr>
          <w:sz w:val="20"/>
          <w:szCs w:val="20"/>
          <w:color w:val="auto"/>
        </w:rPr>
      </w:pPr>
    </w:p>
    <w:p>
      <w:pPr>
        <w:ind w:firstLine="656"/>
        <w:spacing w:after="0" w:line="291" w:lineRule="auto"/>
        <w:tabs>
          <w:tab w:leader="none" w:pos="1304"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67" w:lineRule="exact"/>
        <w:rPr>
          <w:rFonts w:ascii="Arial" w:cs="Arial" w:eastAsia="Arial" w:hAnsi="Arial"/>
          <w:sz w:val="16"/>
          <w:szCs w:val="16"/>
          <w:color w:val="auto"/>
        </w:rPr>
      </w:pPr>
    </w:p>
    <w:p>
      <w:pPr>
        <w:ind w:right="20" w:firstLine="656"/>
        <w:spacing w:after="0" w:line="259" w:lineRule="auto"/>
        <w:tabs>
          <w:tab w:leader="none" w:pos="13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i w:val="1"/>
          <w:iCs w:val="1"/>
          <w:color w:val="auto"/>
        </w:rPr>
        <w:t>Withdrawal of Limited Partners</w:t>
      </w:r>
      <w:r>
        <w:rPr>
          <w:rFonts w:ascii="Arial" w:cs="Arial" w:eastAsia="Arial" w:hAnsi="Arial"/>
          <w:sz w:val="18"/>
          <w:szCs w:val="18"/>
          <w:color w:val="auto"/>
        </w:rPr>
        <w:t xml:space="preserve">. No Limited Partner shall have any right to withdraw from the Partnership;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ectPr>
          <w:pgSz w:w="11900" w:h="16838" w:orient="portrait"/>
          <w:cols w:equalWidth="0" w:num="1">
            <w:col w:w="11420"/>
          </w:cols>
          <w:pgMar w:left="240" w:top="125" w:right="239" w:bottom="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AND LIQUIDATION</w:t>
      </w:r>
    </w:p>
    <w:p>
      <w:pPr>
        <w:spacing w:after="0" w:line="21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Dissolution</w:t>
      </w:r>
      <w:r>
        <w:rPr>
          <w:rFonts w:ascii="Arial" w:cs="Arial" w:eastAsia="Arial" w:hAnsi="Arial"/>
          <w:sz w:val="16"/>
          <w:szCs w:val="16"/>
          <w:color w:val="auto"/>
        </w:rPr>
        <w:t>.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 Partnership. Subject to Section 12.2, the Partnership shall dissolve, and its affairs shall be wound up, upon:</w:t>
      </w:r>
    </w:p>
    <w:p>
      <w:pPr>
        <w:spacing w:after="0" w:line="154" w:lineRule="exact"/>
        <w:rPr>
          <w:sz w:val="20"/>
          <w:szCs w:val="20"/>
          <w:color w:val="auto"/>
        </w:rPr>
      </w:pPr>
    </w:p>
    <w:p>
      <w:pPr>
        <w:ind w:right="200" w:firstLine="656"/>
        <w:spacing w:after="0" w:line="277" w:lineRule="auto"/>
        <w:tabs>
          <w:tab w:leader="none" w:pos="12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Event of Withdrawal of the General Partner as provided in Section 11.1(a) (other than Section 11.1(a)(ii)), unless a successor is elected and such successor is admitted to the Partnership in accordance with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the holders of a Share Majority;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Partnership pursuant to the provisions of the Delaware Act;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at any time there are no Limited Partners, unless the Partnership is continued without dissolution in accordance with the Delaware Act.</w:t>
      </w:r>
    </w:p>
    <w:p>
      <w:pPr>
        <w:spacing w:after="0" w:line="24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i w:val="1"/>
          <w:iCs w:val="1"/>
          <w:color w:val="auto"/>
        </w:rPr>
        <w:t>Continuation of the Business of the Partnership After Dissolution</w:t>
      </w:r>
      <w:r>
        <w:rPr>
          <w:rFonts w:ascii="Arial" w:cs="Arial" w:eastAsia="Arial" w:hAnsi="Arial"/>
          <w:sz w:val="17"/>
          <w:szCs w:val="17"/>
          <w:color w:val="auto"/>
        </w:rPr>
        <w:t>. Upon an Event of Withdrawal caused by (a) the withdrawal or removal of the General Partner as 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78" w:lineRule="exact"/>
        <w:rPr>
          <w:sz w:val="20"/>
          <w:szCs w:val="20"/>
          <w:color w:val="auto"/>
        </w:rPr>
      </w:pPr>
    </w:p>
    <w:p>
      <w:pPr>
        <w:ind w:left="1980" w:hanging="675"/>
        <w:spacing w:after="0"/>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Partnership shall continue without dissolution unless earlier dissolved in accordance with this Article XII;</w:t>
      </w:r>
    </w:p>
    <w:p>
      <w:pPr>
        <w:spacing w:after="0" w:line="225" w:lineRule="exact"/>
        <w:rPr>
          <w:rFonts w:ascii="Arial" w:cs="Arial" w:eastAsia="Arial" w:hAnsi="Arial"/>
          <w:sz w:val="18"/>
          <w:szCs w:val="18"/>
          <w:color w:val="auto"/>
        </w:rPr>
      </w:pPr>
    </w:p>
    <w:p>
      <w:pPr>
        <w:ind w:left="660" w:firstLine="645"/>
        <w:spacing w:after="0" w:line="277" w:lineRule="auto"/>
        <w:tabs>
          <w:tab w:leader="none" w:pos="19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successor General Partner is not the former General Partner, then the interest of the former General Partner shall be treated in the manner provided in Section 11.3; and</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19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8"/>
          <w:szCs w:val="18"/>
          <w:i w:val="1"/>
          <w:iCs w:val="1"/>
          <w:color w:val="auto"/>
        </w:rPr>
        <w:t>provided</w:t>
      </w:r>
      <w:r>
        <w:rPr>
          <w:rFonts w:ascii="Arial" w:cs="Arial" w:eastAsia="Arial" w:hAnsi="Arial"/>
          <w:sz w:val="18"/>
          <w:szCs w:val="18"/>
          <w:color w:val="auto"/>
        </w:rPr>
        <w:t>, that the right of the holders of a Share Majority to approve a successor General Partner and to continue the business of the Partnership shall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not exist and may not be exercised unless the Partnership has received an Opinion of Counsel that the exercise of the right would not result in the loss of limited liability of any Limited Partner.</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12.3 </w:t>
      </w:r>
      <w:r>
        <w:rPr>
          <w:rFonts w:ascii="Arial" w:cs="Arial" w:eastAsia="Arial" w:hAnsi="Arial"/>
          <w:sz w:val="16"/>
          <w:szCs w:val="16"/>
          <w:i w:val="1"/>
          <w:iCs w:val="1"/>
          <w:color w:val="auto"/>
        </w:rPr>
        <w:t>Liquidator</w:t>
      </w:r>
      <w:r>
        <w:rPr>
          <w:rFonts w:ascii="Arial" w:cs="Arial" w:eastAsia="Arial" w:hAnsi="Arial"/>
          <w:sz w:val="16"/>
          <w:szCs w:val="16"/>
          <w:color w:val="auto"/>
        </w:rPr>
        <w:t>.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6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i w:val="1"/>
          <w:iCs w:val="1"/>
          <w:color w:val="auto"/>
        </w:rPr>
        <w:t>Liquidation</w:t>
      </w:r>
      <w:r>
        <w:rPr>
          <w:rFonts w:ascii="Arial" w:cs="Arial" w:eastAsia="Arial" w:hAnsi="Arial"/>
          <w:sz w:val="17"/>
          <w:szCs w:val="17"/>
          <w:color w:val="auto"/>
        </w:rPr>
        <w:t>.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47" w:lineRule="exact"/>
        <w:rPr>
          <w:sz w:val="20"/>
          <w:szCs w:val="20"/>
          <w:color w:val="auto"/>
        </w:rPr>
      </w:pPr>
    </w:p>
    <w:p>
      <w:pPr>
        <w:ind w:right="180" w:firstLine="656"/>
        <w:spacing w:after="0" w:line="293" w:lineRule="auto"/>
        <w:tabs>
          <w:tab w:leader="none" w:pos="1294"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Disposition of Assets</w:t>
      </w:r>
      <w:r>
        <w:rPr>
          <w:rFonts w:ascii="Arial" w:cs="Arial" w:eastAsia="Arial" w:hAnsi="Arial"/>
          <w:sz w:val="16"/>
          <w:szCs w:val="16"/>
          <w:color w:val="auto"/>
        </w:rPr>
        <w:t>. The assets may be disposed of by public or private sale or by distribution in kind to one or more Partners on such</w:t>
      </w:r>
      <w:r>
        <w:rPr>
          <w:rFonts w:ascii="Arial" w:cs="Arial" w:eastAsia="Arial" w:hAnsi="Arial"/>
          <w:sz w:val="16"/>
          <w:szCs w:val="16"/>
          <w:i w:val="1"/>
          <w:iCs w:val="1"/>
          <w:color w:val="auto"/>
        </w:rPr>
        <w:t xml:space="preserve"> </w:t>
      </w:r>
      <w:r>
        <w:rPr>
          <w:rFonts w:ascii="Arial" w:cs="Arial" w:eastAsia="Arial" w:hAnsi="Arial"/>
          <w:sz w:val="16"/>
          <w:szCs w:val="16"/>
          <w:color w:val="auto"/>
        </w:rPr>
        <w:t>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64" w:lineRule="exact"/>
        <w:rPr>
          <w:rFonts w:ascii="Arial" w:cs="Arial" w:eastAsia="Arial" w:hAnsi="Arial"/>
          <w:sz w:val="16"/>
          <w:szCs w:val="16"/>
          <w:color w:val="auto"/>
        </w:rPr>
      </w:pPr>
    </w:p>
    <w:p>
      <w:pPr>
        <w:ind w:right="40" w:firstLine="656"/>
        <w:spacing w:after="0" w:line="259" w:lineRule="auto"/>
        <w:tabs>
          <w:tab w:leader="none" w:pos="1304"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Discharge of Liabilities</w:t>
      </w:r>
      <w:r>
        <w:rPr>
          <w:rFonts w:ascii="Arial" w:cs="Arial" w:eastAsia="Arial" w:hAnsi="Arial"/>
          <w:sz w:val="18"/>
          <w:szCs w:val="18"/>
          <w:color w:val="auto"/>
        </w:rPr>
        <w:t>. Liabilities of the Partnership include amounts owed to the Liquidator as compensation for serving in such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w:t>
      </w:r>
    </w:p>
    <w:p>
      <w:pPr>
        <w:sectPr>
          <w:pgSz w:w="11900" w:h="16838" w:orient="portrait"/>
          <w:cols w:equalWidth="0" w:num="1">
            <w:col w:w="11420"/>
          </w:cols>
          <w:pgMar w:left="240" w:top="125" w:right="239" w:bottom="55"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31" w:name="page32"/>
    <w:bookmarkEnd w:id="31"/>
    <w:p>
      <w:pPr>
        <w:spacing w:after="0" w:line="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appropriate or establish a reserve of cash or other assets to provide for its payment. When paid, any unused portion of the reserve shall be distributed as additional liquidation proceeds.</w:t>
      </w:r>
    </w:p>
    <w:p>
      <w:pPr>
        <w:spacing w:after="0" w:line="170" w:lineRule="exact"/>
        <w:rPr>
          <w:sz w:val="20"/>
          <w:szCs w:val="20"/>
          <w:color w:val="auto"/>
        </w:rPr>
      </w:pPr>
    </w:p>
    <w:p>
      <w:pPr>
        <w:ind w:right="80" w:firstLine="656"/>
        <w:spacing w:after="0" w:line="277" w:lineRule="auto"/>
        <w:tabs>
          <w:tab w:leader="none" w:pos="1307"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Liquidation Distributions</w:t>
      </w:r>
      <w:r>
        <w:rPr>
          <w:rFonts w:ascii="Arial" w:cs="Arial" w:eastAsia="Arial" w:hAnsi="Arial"/>
          <w:sz w:val="18"/>
          <w:szCs w:val="18"/>
          <w:color w:val="auto"/>
        </w:rPr>
        <w:t>. All property and all cash in excess of that required to discharge liabilities as provided in Section 12.4(b)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100% to the Class A Shareholders Pro Rata.</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i w:val="1"/>
          <w:iCs w:val="1"/>
          <w:color w:val="auto"/>
        </w:rPr>
        <w:t>Cancellation of Certificate of Limited Partnership</w:t>
      </w:r>
      <w:r>
        <w:rPr>
          <w:rFonts w:ascii="Arial" w:cs="Arial" w:eastAsia="Arial" w:hAnsi="Arial"/>
          <w:sz w:val="18"/>
          <w:szCs w:val="18"/>
          <w:color w:val="auto"/>
        </w:rPr>
        <w:t>.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i w:val="1"/>
          <w:iCs w:val="1"/>
          <w:color w:val="auto"/>
        </w:rPr>
        <w:t>Return of Contributions</w:t>
      </w:r>
      <w:r>
        <w:rPr>
          <w:rFonts w:ascii="Arial" w:cs="Arial" w:eastAsia="Arial" w:hAnsi="Arial"/>
          <w:sz w:val="18"/>
          <w:szCs w:val="18"/>
          <w:color w:val="auto"/>
        </w:rPr>
        <w:t>.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6"/>
          <w:szCs w:val="16"/>
          <w:i w:val="1"/>
          <w:iCs w:val="1"/>
          <w:color w:val="auto"/>
        </w:rPr>
        <w:t>Waiver of Partition</w:t>
      </w:r>
      <w:r>
        <w:rPr>
          <w:rFonts w:ascii="Arial" w:cs="Arial" w:eastAsia="Arial" w:hAnsi="Arial"/>
          <w:sz w:val="16"/>
          <w:szCs w:val="16"/>
          <w:color w:val="auto"/>
        </w:rPr>
        <w:t>. To the maximum extent permitted by law, each Partner hereby waives any right to partition of the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PARTNERSHIP AGREEMENT; MEETINGS; RECORD DATE</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i w:val="1"/>
          <w:iCs w:val="1"/>
          <w:color w:val="auto"/>
        </w:rPr>
        <w:t>Amendments to be Adopted Solely by the General Partner</w:t>
      </w:r>
      <w:r>
        <w:rPr>
          <w:rFonts w:ascii="Arial" w:cs="Arial" w:eastAsia="Arial" w:hAnsi="Arial"/>
          <w:sz w:val="18"/>
          <w:szCs w:val="18"/>
          <w:color w:val="auto"/>
        </w:rPr>
        <w:t>. Each Partner agrees that the General Partner, without the approval of any Partner, may amend any provision of this Agreement and execute, swear to, acknowledge, deliver, file and record whatever documents may be required in connection therewith, to reflect:</w:t>
      </w:r>
    </w:p>
    <w:p>
      <w:pPr>
        <w:spacing w:after="0" w:line="181" w:lineRule="exact"/>
        <w:rPr>
          <w:sz w:val="20"/>
          <w:szCs w:val="20"/>
          <w:color w:val="auto"/>
        </w:rPr>
      </w:pPr>
    </w:p>
    <w:p>
      <w:pPr>
        <w:ind w:right="620" w:firstLine="656"/>
        <w:spacing w:after="0" w:line="277" w:lineRule="auto"/>
        <w:tabs>
          <w:tab w:leader="none" w:pos="12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change in the name of the Partnership, the location of the principal place of business of the Partnership, the registered agent of the Partnership or the registered office of the Partnership;</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this Agreement;</w:t>
      </w:r>
    </w:p>
    <w:p>
      <w:pPr>
        <w:spacing w:after="0" w:line="225" w:lineRule="exact"/>
        <w:rPr>
          <w:rFonts w:ascii="Arial" w:cs="Arial" w:eastAsia="Arial" w:hAnsi="Arial"/>
          <w:sz w:val="18"/>
          <w:szCs w:val="18"/>
          <w:color w:val="auto"/>
        </w:rPr>
      </w:pPr>
    </w:p>
    <w:p>
      <w:pPr>
        <w:ind w:right="180" w:firstLine="656"/>
        <w:spacing w:after="0" w:line="277" w:lineRule="auto"/>
        <w:tabs>
          <w:tab w:leader="none" w:pos="13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70" w:lineRule="exact"/>
        <w:rPr>
          <w:rFonts w:ascii="Arial" w:cs="Arial" w:eastAsia="Arial" w:hAnsi="Arial"/>
          <w:sz w:val="18"/>
          <w:szCs w:val="18"/>
          <w:color w:val="auto"/>
        </w:rPr>
      </w:pPr>
    </w:p>
    <w:p>
      <w:pPr>
        <w:ind w:right="360" w:firstLine="656"/>
        <w:spacing w:after="0" w:line="279" w:lineRule="auto"/>
        <w:tabs>
          <w:tab w:leader="none" w:pos="1304"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following the Trigger Date,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89" w:lineRule="exact"/>
        <w:rPr>
          <w:sz w:val="20"/>
          <w:szCs w:val="20"/>
          <w:color w:val="auto"/>
        </w:rPr>
      </w:pPr>
    </w:p>
    <w:p>
      <w:pPr>
        <w:ind w:right="180" w:firstLine="656"/>
        <w:spacing w:after="0" w:line="264" w:lineRule="auto"/>
        <w:tabs>
          <w:tab w:leader="none" w:pos="13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1" w:lineRule="exact"/>
        <w:rPr>
          <w:rFonts w:ascii="Arial" w:cs="Arial" w:eastAsia="Arial" w:hAnsi="Arial"/>
          <w:sz w:val="18"/>
          <w:szCs w:val="18"/>
          <w:color w:val="auto"/>
        </w:rPr>
      </w:pPr>
    </w:p>
    <w:p>
      <w:pPr>
        <w:ind w:right="20" w:firstLine="656"/>
        <w:spacing w:after="0" w:line="279" w:lineRule="auto"/>
        <w:tabs>
          <w:tab w:leader="none" w:pos="1301"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1" w:lineRule="exact"/>
        <w:rPr>
          <w:rFonts w:ascii="Arial" w:cs="Arial" w:eastAsia="Arial" w:hAnsi="Arial"/>
          <w:sz w:val="17"/>
          <w:szCs w:val="17"/>
          <w:color w:val="auto"/>
        </w:rPr>
      </w:pPr>
    </w:p>
    <w:p>
      <w:pPr>
        <w:ind w:right="220" w:firstLine="656"/>
        <w:spacing w:after="0" w:line="277" w:lineRule="auto"/>
        <w:tabs>
          <w:tab w:leader="none" w:pos="13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General Partner acting alone;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approved in accordance with Section 14.3;</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merger, conveyance or conversion pursuant to Section 14.3(d);</w:t>
      </w:r>
    </w:p>
    <w:p>
      <w:pPr>
        <w:spacing w:after="0" w:line="225" w:lineRule="exact"/>
        <w:rPr>
          <w:rFonts w:ascii="Arial" w:cs="Arial" w:eastAsia="Arial" w:hAnsi="Arial"/>
          <w:sz w:val="18"/>
          <w:szCs w:val="18"/>
          <w:color w:val="auto"/>
        </w:rPr>
      </w:pPr>
    </w:p>
    <w:p>
      <w:pPr>
        <w:ind w:right="80" w:firstLine="656"/>
        <w:spacing w:after="0" w:line="342" w:lineRule="auto"/>
        <w:tabs>
          <w:tab w:leader="none" w:pos="131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w:t>
      </w:r>
    </w:p>
    <w:p>
      <w:pPr>
        <w:sectPr>
          <w:pgSz w:w="11900" w:h="16935" w:orient="portrait"/>
          <w:cols w:equalWidth="0" w:num="1">
            <w:col w:w="11400"/>
          </w:cols>
          <w:pgMar w:left="240" w:top="584" w:right="259" w:bottom="0" w:gutter="0" w:footer="0" w:header="0"/>
        </w:sectPr>
      </w:pPr>
    </w:p>
    <w:bookmarkStart w:id="32" w:name="page33"/>
    <w:bookmarkEnd w:id="32"/>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income generated by the MLP;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i w:val="1"/>
          <w:iCs w:val="1"/>
          <w:color w:val="auto"/>
        </w:rPr>
        <w:t>Amendment Procedures</w:t>
      </w:r>
      <w:r>
        <w:rPr>
          <w:rFonts w:ascii="Arial" w:cs="Arial" w:eastAsia="Arial" w:hAnsi="Arial"/>
          <w:sz w:val="17"/>
          <w:szCs w:val="17"/>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 or call a meeting of the Shareholders to consider and vote on such proposed amendment, in each case in accordance with the other provisions of this Article XIII. The General Partner shall notify all Record Holders upon final adoption of any such proposed amendments.</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5"/>
          <w:szCs w:val="15"/>
          <w:i w:val="1"/>
          <w:iCs w:val="1"/>
          <w:color w:val="auto"/>
        </w:rPr>
        <w:t>Amendment Requirements</w:t>
      </w:r>
      <w:r>
        <w:rPr>
          <w:rFonts w:ascii="Arial" w:cs="Arial" w:eastAsia="Arial" w:hAnsi="Arial"/>
          <w:sz w:val="15"/>
          <w:szCs w:val="15"/>
          <w:color w:val="auto"/>
        </w:rPr>
        <w:t>.</w:t>
      </w:r>
    </w:p>
    <w:p>
      <w:pPr>
        <w:spacing w:after="0" w:line="225" w:lineRule="exact"/>
        <w:rPr>
          <w:sz w:val="20"/>
          <w:szCs w:val="20"/>
          <w:color w:val="auto"/>
        </w:rPr>
      </w:pPr>
    </w:p>
    <w:p>
      <w:pPr>
        <w:ind w:right="100" w:firstLine="656"/>
        <w:spacing w:after="0" w:line="255" w:lineRule="auto"/>
        <w:tabs>
          <w:tab w:leader="none" w:pos="12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 aggregate Outstanding Shares constitute not less than the percentage of Outstanding Shares required to take such action sought to be reduced or increased, as applicable.</w:t>
      </w:r>
    </w:p>
    <w:p>
      <w:pPr>
        <w:spacing w:after="0" w:line="189" w:lineRule="exact"/>
        <w:rPr>
          <w:rFonts w:ascii="Arial" w:cs="Arial" w:eastAsia="Arial" w:hAnsi="Arial"/>
          <w:sz w:val="18"/>
          <w:szCs w:val="18"/>
          <w:color w:val="auto"/>
        </w:rPr>
      </w:pPr>
    </w:p>
    <w:p>
      <w:pPr>
        <w:ind w:right="20" w:firstLine="656"/>
        <w:spacing w:after="0" w:line="279" w:lineRule="auto"/>
        <w:tabs>
          <w:tab w:leader="none" w:pos="13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Notwithstanding the provisions of Sections 13.1 and 13.2, no amendment to this Agreement may (i) enlarge the obligations of any Limited Partner without its consent,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71" w:lineRule="exact"/>
        <w:rPr>
          <w:rFonts w:ascii="Arial" w:cs="Arial" w:eastAsia="Arial" w:hAnsi="Arial"/>
          <w:sz w:val="17"/>
          <w:szCs w:val="17"/>
          <w:color w:val="auto"/>
        </w:rPr>
      </w:pPr>
    </w:p>
    <w:p>
      <w:pPr>
        <w:ind w:firstLine="656"/>
        <w:spacing w:after="0" w:line="264" w:lineRule="auto"/>
        <w:tabs>
          <w:tab w:leader="none" w:pos="13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 relation to other classes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Partnership Interests must be approved by the holders of not less than a majority of the Outstanding Partnership Interests of the class adversely affected.</w:t>
      </w:r>
    </w:p>
    <w:p>
      <w:pPr>
        <w:spacing w:after="0" w:line="248" w:lineRule="exact"/>
        <w:rPr>
          <w:sz w:val="20"/>
          <w:szCs w:val="20"/>
          <w:color w:val="auto"/>
        </w:rPr>
      </w:pPr>
    </w:p>
    <w:p>
      <w:pPr>
        <w:ind w:right="100" w:firstLine="656"/>
        <w:spacing w:after="0" w:line="259" w:lineRule="auto"/>
        <w:tabs>
          <w:tab w:leader="none" w:pos="13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86" w:lineRule="exact"/>
        <w:rPr>
          <w:rFonts w:ascii="Arial" w:cs="Arial" w:eastAsia="Arial" w:hAnsi="Arial"/>
          <w:sz w:val="18"/>
          <w:szCs w:val="18"/>
          <w:color w:val="auto"/>
        </w:rPr>
      </w:pPr>
    </w:p>
    <w:p>
      <w:pPr>
        <w:ind w:right="720" w:firstLine="656"/>
        <w:spacing w:after="0" w:line="277" w:lineRule="auto"/>
        <w:tabs>
          <w:tab w:leader="none" w:pos="1307"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Except as provided in Section 13.1, this Section 13.3 shall only be amended with the approval of the holders of at least 90% of the Outstanding Shares.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i w:val="1"/>
          <w:iCs w:val="1"/>
          <w:color w:val="auto"/>
        </w:rPr>
        <w:t>Meetings</w:t>
      </w:r>
      <w:r>
        <w:rPr>
          <w:rFonts w:ascii="Arial" w:cs="Arial" w:eastAsia="Arial" w:hAnsi="Arial"/>
          <w:sz w:val="16"/>
          <w:szCs w:val="16"/>
          <w:color w:val="auto"/>
        </w:rPr>
        <w:t>.</w:t>
      </w:r>
    </w:p>
    <w:p>
      <w:pPr>
        <w:spacing w:after="0" w:line="225" w:lineRule="exact"/>
        <w:rPr>
          <w:sz w:val="20"/>
          <w:szCs w:val="20"/>
          <w:color w:val="auto"/>
        </w:rPr>
      </w:pPr>
    </w:p>
    <w:p>
      <w:pPr>
        <w:ind w:right="280" w:firstLine="656"/>
        <w:spacing w:after="0" w:line="312" w:lineRule="auto"/>
        <w:tabs>
          <w:tab w:leader="none" w:pos="1294"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acts of Limited Partners to be taken pursuant to this Agreement shall be taken in the manner provided in this Article XIII. At any meeting of the Limited Partners pursuant to this Agreement, subject to eligibility criteria and voting rights as provided hereunder or under applicable law, each Limited Partner shall be entitled to one vote for each Share that is registered in the name of such Limited Partner on the record date for such meeting.</w:t>
      </w:r>
    </w:p>
    <w:p>
      <w:pPr>
        <w:spacing w:after="0" w:line="146" w:lineRule="exact"/>
        <w:rPr>
          <w:rFonts w:ascii="Arial" w:cs="Arial" w:eastAsia="Arial" w:hAnsi="Arial"/>
          <w:sz w:val="16"/>
          <w:szCs w:val="16"/>
          <w:color w:val="auto"/>
        </w:rPr>
      </w:pPr>
    </w:p>
    <w:p>
      <w:pPr>
        <w:ind w:right="20" w:firstLine="656"/>
        <w:spacing w:after="0" w:line="255" w:lineRule="auto"/>
        <w:tabs>
          <w:tab w:leader="none" w:pos="13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Special meetings of the Limited Partners may be called by the General Partner or by Limited Partners owning 20% or more of the Outstanding Shares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89" w:lineRule="exact"/>
        <w:rPr>
          <w:rFonts w:ascii="Arial" w:cs="Arial" w:eastAsia="Arial" w:hAnsi="Arial"/>
          <w:sz w:val="18"/>
          <w:szCs w:val="18"/>
          <w:color w:val="auto"/>
        </w:rPr>
      </w:pPr>
    </w:p>
    <w:p>
      <w:pPr>
        <w:ind w:right="60" w:firstLine="656"/>
        <w:spacing w:after="0" w:line="257" w:lineRule="auto"/>
        <w:tabs>
          <w:tab w:leader="none" w:pos="130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After the Board Classification Date, an annual meeting of the Limited Partners for the election of Eligible Directors and such other matters as the Board of Directors shall submit to a vote of the Limited Partners shall be 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w:t>
      </w:r>
    </w:p>
    <w:p>
      <w:pPr>
        <w:spacing w:after="0" w:line="188" w:lineRule="exact"/>
        <w:rPr>
          <w:rFonts w:ascii="Arial" w:cs="Arial" w:eastAsia="Arial" w:hAnsi="Arial"/>
          <w:sz w:val="18"/>
          <w:szCs w:val="18"/>
          <w:color w:val="auto"/>
        </w:rPr>
      </w:pPr>
    </w:p>
    <w:p>
      <w:pPr>
        <w:ind w:left="660" w:right="80" w:firstLine="645"/>
        <w:spacing w:after="0" w:line="342" w:lineRule="auto"/>
        <w:tabs>
          <w:tab w:leader="none" w:pos="1978" w:val="left"/>
        </w:tabs>
        <w:numPr>
          <w:ilvl w:val="1"/>
          <w:numId w:val="77"/>
        </w:numPr>
        <w:rPr>
          <w:rFonts w:ascii="Arial" w:cs="Arial" w:eastAsia="Arial" w:hAnsi="Arial"/>
          <w:sz w:val="16"/>
          <w:szCs w:val="16"/>
          <w:color w:val="auto"/>
        </w:rPr>
      </w:pPr>
      <w:r>
        <w:rPr>
          <w:rFonts w:ascii="Arial" w:cs="Arial" w:eastAsia="Arial" w:hAnsi="Arial"/>
          <w:sz w:val="16"/>
          <w:szCs w:val="16"/>
          <w:color w:val="auto"/>
        </w:rPr>
        <w:t>After the Board Classification Date, the Limited Partners entitled to vote shall have the right to vote for the election of Eligible Directors whose term is expiring at each annual meeting. The holders of Class A Shares and Class B Shares, acting as a single class, shall elect by a</w:t>
      </w:r>
    </w:p>
    <w:p>
      <w:pPr>
        <w:sectPr>
          <w:pgSz w:w="11900" w:h="16975" w:orient="portrait"/>
          <w:cols w:equalWidth="0" w:num="1">
            <w:col w:w="11420"/>
          </w:cols>
          <w:pgMar w:left="240" w:top="125" w:right="239" w:bottom="0" w:gutter="0" w:footer="0" w:header="0"/>
        </w:sectPr>
      </w:pPr>
    </w:p>
    <w:bookmarkStart w:id="33" w:name="page34"/>
    <w:bookmarkEnd w:id="33"/>
    <w:p>
      <w:pPr>
        <w:ind w:left="4" w:right="600"/>
        <w:spacing w:after="0" w:line="277" w:lineRule="auto"/>
        <w:rPr>
          <w:sz w:val="20"/>
          <w:szCs w:val="20"/>
          <w:color w:val="auto"/>
        </w:rPr>
      </w:pPr>
      <w:r>
        <w:rPr>
          <w:rFonts w:ascii="Arial" w:cs="Arial" w:eastAsia="Arial" w:hAnsi="Arial"/>
          <w:sz w:val="18"/>
          <w:szCs w:val="18"/>
          <w:color w:val="auto"/>
        </w:rPr>
        <w:t xml:space="preserve">plurality of the votes cast at such meeting (not counting abstentions) persons to serve as Eligible Directors on the Board of Directors who are nominated in accordance with the provisions of this </w:t>
      </w:r>
      <w:r>
        <w:rPr>
          <w:rFonts w:ascii="Arial" w:cs="Arial" w:eastAsia="Arial" w:hAnsi="Arial"/>
          <w:sz w:val="18"/>
          <w:szCs w:val="18"/>
          <w:u w:val="single" w:color="auto"/>
          <w:color w:val="auto"/>
        </w:rPr>
        <w:t>Section 13.4(c)</w:t>
      </w:r>
      <w:r>
        <w:rPr>
          <w:rFonts w:ascii="Arial" w:cs="Arial" w:eastAsia="Arial" w:hAnsi="Arial"/>
          <w:sz w:val="18"/>
          <w:szCs w:val="18"/>
          <w:color w:val="auto"/>
        </w:rPr>
        <w:t>.</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4" w:hanging="675"/>
        <w:spacing w:after="0"/>
        <w:tabs>
          <w:tab w:leader="none" w:pos="1324" w:val="left"/>
        </w:tabs>
        <w:numPr>
          <w:ilvl w:val="1"/>
          <w:numId w:val="78"/>
        </w:numPr>
        <w:rPr>
          <w:rFonts w:ascii="Arial" w:cs="Arial" w:eastAsia="Arial" w:hAnsi="Arial"/>
          <w:sz w:val="16"/>
          <w:szCs w:val="16"/>
          <w:color w:val="auto"/>
        </w:rPr>
      </w:pPr>
      <w:r>
        <w:rPr>
          <w:rFonts w:ascii="Arial" w:cs="Arial" w:eastAsia="Arial" w:hAnsi="Arial"/>
          <w:sz w:val="16"/>
          <w:szCs w:val="16"/>
          <w:color w:val="auto"/>
        </w:rPr>
        <w:t>(A) (1) Nominations of persons for election as Eligible Directors may be made at an annual meeting of the Limited Partners only</w:t>
      </w:r>
    </w:p>
    <w:p>
      <w:pPr>
        <w:spacing w:after="0" w:line="46" w:lineRule="exact"/>
        <w:rPr>
          <w:rFonts w:ascii="Arial" w:cs="Arial" w:eastAsia="Arial" w:hAnsi="Arial"/>
          <w:sz w:val="16"/>
          <w:szCs w:val="16"/>
          <w:color w:val="auto"/>
        </w:rPr>
      </w:pPr>
    </w:p>
    <w:p>
      <w:pPr>
        <w:ind w:left="4" w:right="80" w:hanging="4"/>
        <w:spacing w:after="0" w:line="292"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 Outstanding Shares at the time the notice provided for in this Section 13.4(c)(ii) is delivered to the General Partner, who is entitled to vote at the meeting and who complies with the notice procedures set forth in this Section 13.4(c)(ii); </w:t>
      </w:r>
      <w:r>
        <w:rPr>
          <w:rFonts w:ascii="Arial" w:cs="Arial" w:eastAsia="Arial" w:hAnsi="Arial"/>
          <w:sz w:val="16"/>
          <w:szCs w:val="16"/>
          <w:i w:val="1"/>
          <w:iCs w:val="1"/>
          <w:color w:val="auto"/>
        </w:rPr>
        <w:t>provided</w:t>
      </w:r>
      <w:r>
        <w:rPr>
          <w:rFonts w:ascii="Arial" w:cs="Arial" w:eastAsia="Arial" w:hAnsi="Arial"/>
          <w:sz w:val="16"/>
          <w:szCs w:val="16"/>
          <w:color w:val="auto"/>
        </w:rPr>
        <w:t>, that any such Limited Partner who is entitled to nominate as provided in clause (b) immediately preceding shall only be entitled to nominate a single person for election as an Eligible Director.</w:t>
      </w:r>
    </w:p>
    <w:p>
      <w:pPr>
        <w:spacing w:after="0" w:line="163" w:lineRule="exact"/>
        <w:rPr>
          <w:sz w:val="20"/>
          <w:szCs w:val="20"/>
          <w:color w:val="auto"/>
        </w:rPr>
      </w:pPr>
    </w:p>
    <w:p>
      <w:pPr>
        <w:ind w:left="644" w:right="80" w:firstLine="5"/>
        <w:spacing w:after="0" w:line="268" w:lineRule="auto"/>
        <w:tabs>
          <w:tab w:leader="none" w:pos="899"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any nomination brought before an annual meeting by a Limited Partner pursuant to clause (b) of paragraph (A)(1) of this Section 13.4(c)(ii) the Limited Partner must have given timely notice thereof in writing to the General Partner. To be timely, a Limited 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85" w:lineRule="exact"/>
        <w:rPr>
          <w:rFonts w:ascii="Arial" w:cs="Arial" w:eastAsia="Arial" w:hAnsi="Arial"/>
          <w:sz w:val="17"/>
          <w:szCs w:val="17"/>
          <w:color w:val="auto"/>
        </w:rPr>
      </w:pPr>
    </w:p>
    <w:p>
      <w:pPr>
        <w:ind w:left="644" w:right="20" w:firstLine="5"/>
        <w:spacing w:after="0" w:line="273" w:lineRule="auto"/>
        <w:tabs>
          <w:tab w:leader="none" w:pos="899" w:val="left"/>
        </w:tabs>
        <w:numPr>
          <w:ilvl w:val="0"/>
          <w:numId w:val="80"/>
        </w:numPr>
        <w:rPr>
          <w:rFonts w:ascii="Arial" w:cs="Arial" w:eastAsia="Arial" w:hAnsi="Arial"/>
          <w:sz w:val="17"/>
          <w:szCs w:val="17"/>
          <w:color w:val="auto"/>
        </w:rPr>
      </w:pPr>
      <w:r>
        <w:rPr>
          <w:rFonts w:ascii="Arial" w:cs="Arial" w:eastAsia="Arial" w:hAnsi="Arial"/>
          <w:sz w:val="17"/>
          <w:szCs w:val="17"/>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0"/>
        <w:spacing w:after="0" w:line="286" w:lineRule="auto"/>
        <w:rPr>
          <w:sz w:val="20"/>
          <w:szCs w:val="20"/>
          <w:color w:val="auto"/>
        </w:rPr>
      </w:pPr>
      <w:r>
        <w:rPr>
          <w:rFonts w:ascii="Arial" w:cs="Arial" w:eastAsia="Arial" w:hAnsi="Arial"/>
          <w:sz w:val="16"/>
          <w:szCs w:val="16"/>
          <w:color w:val="auto"/>
        </w:rPr>
        <w:t>such beneficial owner, (ii) the number of Shares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that has been entered into as of the date of the Limited Partner’s notice by, or on behalf of, such Limited Partner and such beneficial owners, the effect or intent of which is to mitigate loss to, manage risk or benefit of Share price changes for, or increase or decrease the voting power of, such Limited Partner and such beneficial owner, with respect to Shares,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 (AA) to deliver a proxy statement and/or form of proxy to holders of at least the percentage of the Partnership’s Shares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75" w:lineRule="exact"/>
        <w:rPr>
          <w:sz w:val="20"/>
          <w:szCs w:val="20"/>
          <w:color w:val="auto"/>
        </w:rPr>
      </w:pPr>
    </w:p>
    <w:p>
      <w:pPr>
        <w:ind w:left="924" w:hanging="275"/>
        <w:spacing w:after="0"/>
        <w:tabs>
          <w:tab w:leader="none" w:pos="9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After the Board Classification Date, nominations of persons for election as Eligible Directors may be made at a special meeting of</w:t>
      </w:r>
    </w:p>
    <w:p>
      <w:pPr>
        <w:spacing w:after="0" w:line="34" w:lineRule="exact"/>
        <w:rPr>
          <w:rFonts w:ascii="Arial" w:cs="Arial" w:eastAsia="Arial" w:hAnsi="Arial"/>
          <w:sz w:val="17"/>
          <w:szCs w:val="17"/>
          <w:color w:val="auto"/>
        </w:rPr>
      </w:pPr>
    </w:p>
    <w:p>
      <w:pPr>
        <w:ind w:left="644"/>
        <w:spacing w:after="0" w:line="285" w:lineRule="auto"/>
        <w:rPr>
          <w:rFonts w:ascii="Arial" w:cs="Arial" w:eastAsia="Arial" w:hAnsi="Arial"/>
          <w:sz w:val="17"/>
          <w:szCs w:val="17"/>
          <w:color w:val="auto"/>
        </w:rPr>
      </w:pPr>
      <w:r>
        <w:rPr>
          <w:rFonts w:ascii="Arial" w:cs="Arial" w:eastAsia="Arial" w:hAnsi="Arial"/>
          <w:sz w:val="16"/>
          <w:szCs w:val="16"/>
          <w:color w:val="auto"/>
        </w:rPr>
        <w:t>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 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300"/>
        <w:spacing w:after="0" w:line="277" w:lineRule="auto"/>
        <w:rPr>
          <w:sz w:val="20"/>
          <w:szCs w:val="20"/>
          <w:color w:val="auto"/>
        </w:rPr>
      </w:pPr>
      <w:r>
        <w:rPr>
          <w:rFonts w:ascii="Arial" w:cs="Arial" w:eastAsia="Arial" w:hAnsi="Arial"/>
          <w:sz w:val="18"/>
          <w:szCs w:val="18"/>
          <w:color w:val="auto"/>
        </w:rPr>
        <w:t>adjournment or postponement of a special meeting commence a new time period (or extend any time period) for the giving of a Limited Partner’s notice as described above.</w:t>
      </w:r>
    </w:p>
    <w:p>
      <w:pPr>
        <w:sectPr>
          <w:pgSz w:w="11900" w:h="16838" w:orient="portrait"/>
          <w:cols w:equalWidth="0" w:num="1">
            <w:col w:w="10744"/>
          </w:cols>
          <w:pgMar w:left="896" w:top="125" w:right="259" w:bottom="0" w:gutter="0" w:footer="0" w:header="0"/>
        </w:sectPr>
      </w:pPr>
    </w:p>
    <w:bookmarkStart w:id="34" w:name="page35"/>
    <w:bookmarkEnd w:id="34"/>
    <w:p>
      <w:pPr>
        <w:spacing w:after="0" w:line="114" w:lineRule="exact"/>
        <w:rPr>
          <w:sz w:val="20"/>
          <w:szCs w:val="20"/>
          <w:color w:val="auto"/>
        </w:rPr>
      </w:pPr>
    </w:p>
    <w:p>
      <w:pPr>
        <w:ind w:left="1300" w:right="20" w:firstLine="5"/>
        <w:spacing w:after="0" w:line="286" w:lineRule="auto"/>
        <w:tabs>
          <w:tab w:leader="none" w:pos="1959" w:val="left"/>
        </w:tabs>
        <w:numPr>
          <w:ilvl w:val="0"/>
          <w:numId w:val="82"/>
        </w:numPr>
        <w:rPr>
          <w:rFonts w:ascii="Arial" w:cs="Arial" w:eastAsia="Arial" w:hAnsi="Arial"/>
          <w:sz w:val="16"/>
          <w:szCs w:val="16"/>
          <w:color w:val="auto"/>
        </w:rPr>
      </w:pPr>
      <w:r>
        <w:rPr>
          <w:rFonts w:ascii="Arial" w:cs="Arial" w:eastAsia="Arial" w:hAnsi="Arial"/>
          <w:sz w:val="16"/>
          <w:szCs w:val="16"/>
          <w:color w:val="auto"/>
        </w:rPr>
        <w:t>(1) Only such persons who are nominated in accordance with the procedures set forth in this Section 13.4(c)(ii) shall be eligible to be elected at an annual or special meeting of Limited Partners to serve as Eligible Directors. 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 group which solicited) or did not so solicit, as the case may be, proxies in support of such Limited Partner’s nominee in compliance with such Limited Partner’s representation as required by clause (A)(3) (b)(vi)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pacing w:after="0" w:line="168" w:lineRule="exact"/>
        <w:rPr>
          <w:rFonts w:ascii="Arial" w:cs="Arial" w:eastAsia="Arial" w:hAnsi="Arial"/>
          <w:sz w:val="16"/>
          <w:szCs w:val="16"/>
          <w:color w:val="auto"/>
        </w:rPr>
      </w:pPr>
    </w:p>
    <w:p>
      <w:pPr>
        <w:ind w:left="1300" w:right="620" w:firstLine="653"/>
        <w:spacing w:after="0" w:line="312" w:lineRule="auto"/>
        <w:tabs>
          <w:tab w:leader="none" w:pos="2203" w:val="left"/>
        </w:tabs>
        <w:numPr>
          <w:ilvl w:val="1"/>
          <w:numId w:val="82"/>
        </w:numPr>
        <w:rPr>
          <w:rFonts w:ascii="Arial" w:cs="Arial" w:eastAsia="Arial" w:hAnsi="Arial"/>
          <w:sz w:val="16"/>
          <w:szCs w:val="16"/>
          <w:color w:val="auto"/>
        </w:rPr>
      </w:pPr>
      <w:r>
        <w:rPr>
          <w:rFonts w:ascii="Arial" w:cs="Arial" w:eastAsia="Arial" w:hAnsi="Arial"/>
          <w:sz w:val="16"/>
          <w:szCs w:val="16"/>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46" w:lineRule="exact"/>
        <w:rPr>
          <w:rFonts w:ascii="Arial" w:cs="Arial" w:eastAsia="Arial" w:hAnsi="Arial"/>
          <w:sz w:val="16"/>
          <w:szCs w:val="16"/>
          <w:color w:val="auto"/>
        </w:rPr>
      </w:pPr>
    </w:p>
    <w:p>
      <w:pPr>
        <w:jc w:val="both"/>
        <w:ind w:left="1300" w:right="320" w:firstLine="653"/>
        <w:spacing w:after="0" w:line="291" w:lineRule="auto"/>
        <w:tabs>
          <w:tab w:leader="none" w:pos="2203" w:val="left"/>
        </w:tabs>
        <w:numPr>
          <w:ilvl w:val="1"/>
          <w:numId w:val="82"/>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13.4(c)(ii), a Limited Partner shall also comply with all applicable requirements of the Securities Exchange Act and the rules and regulations thereunder with respect to the matters set forth in this Section</w:t>
      </w:r>
    </w:p>
    <w:p>
      <w:pPr>
        <w:ind w:left="1300" w:right="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13.4(c)(ii);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59" w:lineRule="auto"/>
        <w:tabs>
          <w:tab w:leader="none" w:pos="1997"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 provisions, “no hand” provisions or other provisions relating to the redemption of the poison pill or plan, in each case as such terms are used under Delaware common law.</w:t>
      </w:r>
    </w:p>
    <w:p>
      <w:pPr>
        <w:spacing w:after="0" w:line="186" w:lineRule="exact"/>
        <w:rPr>
          <w:rFonts w:ascii="Arial" w:cs="Arial" w:eastAsia="Arial" w:hAnsi="Arial"/>
          <w:sz w:val="18"/>
          <w:szCs w:val="18"/>
          <w:color w:val="auto"/>
        </w:rPr>
      </w:pPr>
    </w:p>
    <w:p>
      <w:pPr>
        <w:ind w:left="660" w:right="60" w:firstLine="645"/>
        <w:spacing w:after="0" w:line="259" w:lineRule="auto"/>
        <w:tabs>
          <w:tab w:leader="none" w:pos="1973"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The General Partner shall use commercially reasonable efforts to take such action as shall be necessary or appropriate to give effect to and implement the provisions of this </w:t>
      </w:r>
      <w:r>
        <w:rPr>
          <w:rFonts w:ascii="Arial" w:cs="Arial" w:eastAsia="Arial" w:hAnsi="Arial"/>
          <w:sz w:val="18"/>
          <w:szCs w:val="18"/>
          <w:u w:val="single" w:color="auto"/>
          <w:color w:val="auto"/>
        </w:rPr>
        <w:t>Section 13.4(c)</w:t>
      </w:r>
      <w:r>
        <w:rPr>
          <w:rFonts w:ascii="Arial" w:cs="Arial" w:eastAsia="Arial" w:hAnsi="Arial"/>
          <w:sz w:val="18"/>
          <w:szCs w:val="18"/>
          <w:color w:val="auto"/>
        </w:rPr>
        <w:t>, including, without limitation, amending the Holdings GP LLC Agreement such that at all times the Holdings GP LLC Agreement shall provide that following the Board Classification Date the Eligible Directors shall be nominated and elected in accordance with the terms of this Agreement.</w:t>
      </w:r>
    </w:p>
    <w:p>
      <w:pPr>
        <w:spacing w:after="0" w:line="186" w:lineRule="exact"/>
        <w:rPr>
          <w:rFonts w:ascii="Arial" w:cs="Arial" w:eastAsia="Arial" w:hAnsi="Arial"/>
          <w:sz w:val="18"/>
          <w:szCs w:val="18"/>
          <w:color w:val="auto"/>
        </w:rPr>
      </w:pPr>
    </w:p>
    <w:p>
      <w:pPr>
        <w:ind w:left="660" w:right="200" w:firstLine="645"/>
        <w:spacing w:after="0" w:line="264" w:lineRule="auto"/>
        <w:tabs>
          <w:tab w:leader="none" w:pos="1964"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shall be applicable with respect to the board of directors or other governing body of such subsidiary.</w:t>
      </w:r>
    </w:p>
    <w:p>
      <w:pPr>
        <w:spacing w:after="0" w:line="181"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70" w:lineRule="exact"/>
        <w:rPr>
          <w:rFonts w:ascii="Arial" w:cs="Arial" w:eastAsia="Arial" w:hAnsi="Arial"/>
          <w:sz w:val="18"/>
          <w:szCs w:val="18"/>
          <w:color w:val="auto"/>
        </w:rPr>
      </w:pPr>
    </w:p>
    <w:p>
      <w:pPr>
        <w:ind w:right="40" w:firstLine="656"/>
        <w:spacing w:after="0" w:line="279" w:lineRule="auto"/>
        <w:tabs>
          <w:tab w:leader="none" w:pos="1307"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 xml:space="preserve">Section 13.5 </w:t>
      </w:r>
      <w:r>
        <w:rPr>
          <w:rFonts w:ascii="Arial" w:cs="Arial" w:eastAsia="Arial" w:hAnsi="Arial"/>
          <w:sz w:val="17"/>
          <w:szCs w:val="17"/>
          <w:i w:val="1"/>
          <w:iCs w:val="1"/>
          <w:color w:val="auto"/>
        </w:rPr>
        <w:t>Notice of a Meeting</w:t>
      </w:r>
      <w:r>
        <w:rPr>
          <w:rFonts w:ascii="Arial" w:cs="Arial" w:eastAsia="Arial" w:hAnsi="Arial"/>
          <w:sz w:val="17"/>
          <w:szCs w:val="17"/>
          <w:color w:val="auto"/>
        </w:rPr>
        <w:t>. Notice of a meeting called pursuant to Section 13.4 shall be given to the Record Holders of the class or classes of Shares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13.6 </w:t>
      </w:r>
      <w:r>
        <w:rPr>
          <w:rFonts w:ascii="Arial" w:cs="Arial" w:eastAsia="Arial" w:hAnsi="Arial"/>
          <w:sz w:val="17"/>
          <w:szCs w:val="17"/>
          <w:i w:val="1"/>
          <w:iCs w:val="1"/>
          <w:color w:val="auto"/>
        </w:rPr>
        <w:t>Record Date</w:t>
      </w:r>
      <w:r>
        <w:rPr>
          <w:rFonts w:ascii="Arial" w:cs="Arial" w:eastAsia="Arial" w:hAnsi="Arial"/>
          <w:sz w:val="17"/>
          <w:szCs w:val="17"/>
          <w:color w:val="auto"/>
        </w:rPr>
        <w:t>.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Shares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13.7 </w:t>
      </w:r>
      <w:r>
        <w:rPr>
          <w:rFonts w:ascii="Arial" w:cs="Arial" w:eastAsia="Arial" w:hAnsi="Arial"/>
          <w:sz w:val="16"/>
          <w:szCs w:val="16"/>
          <w:i w:val="1"/>
          <w:iCs w:val="1"/>
          <w:color w:val="auto"/>
        </w:rPr>
        <w:t>Adjournment</w:t>
      </w:r>
      <w:r>
        <w:rPr>
          <w:rFonts w:ascii="Arial" w:cs="Arial" w:eastAsia="Arial" w:hAnsi="Arial"/>
          <w:sz w:val="16"/>
          <w:szCs w:val="16"/>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w:t>
      </w:r>
    </w:p>
    <w:p>
      <w:pPr>
        <w:sectPr>
          <w:pgSz w:w="11900" w:h="16952" w:orient="portrait"/>
          <w:cols w:equalWidth="0" w:num="1">
            <w:col w:w="11420"/>
          </w:cols>
          <w:pgMar w:left="240" w:top="125" w:right="239" w:bottom="0" w:gutter="0" w:footer="0" w:header="0"/>
        </w:sectPr>
      </w:pPr>
    </w:p>
    <w:bookmarkStart w:id="35" w:name="page36"/>
    <w:bookmarkEnd w:id="35"/>
    <w:p>
      <w:pPr>
        <w:ind w:right="700"/>
        <w:spacing w:after="0" w:line="277" w:lineRule="auto"/>
        <w:rPr>
          <w:sz w:val="20"/>
          <w:szCs w:val="20"/>
          <w:color w:val="auto"/>
        </w:rPr>
      </w:pPr>
      <w:r>
        <w:rPr>
          <w:rFonts w:ascii="Arial" w:cs="Arial" w:eastAsia="Arial" w:hAnsi="Arial"/>
          <w:sz w:val="18"/>
          <w:szCs w:val="18"/>
          <w:color w:val="auto"/>
        </w:rPr>
        <w:t>adjournment is for more than 45 days or if a new Record Date is fixed for the adjourned meeting, a notice of the adjourned meeting shall be given in accordance with this Article XIII.</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i w:val="1"/>
          <w:iCs w:val="1"/>
          <w:color w:val="auto"/>
        </w:rPr>
        <w:t>Waiver of Notice; Approval of Meeting; Approval of Minutes</w:t>
      </w:r>
      <w:r>
        <w:rPr>
          <w:rFonts w:ascii="Arial" w:cs="Arial" w:eastAsia="Arial" w:hAnsi="Arial"/>
          <w:sz w:val="17"/>
          <w:szCs w:val="17"/>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13.9 </w:t>
      </w:r>
      <w:r>
        <w:rPr>
          <w:rFonts w:ascii="Arial" w:cs="Arial" w:eastAsia="Arial" w:hAnsi="Arial"/>
          <w:sz w:val="17"/>
          <w:szCs w:val="17"/>
          <w:i w:val="1"/>
          <w:iCs w:val="1"/>
          <w:color w:val="auto"/>
        </w:rPr>
        <w:t>Quorum</w:t>
      </w:r>
      <w:r>
        <w:rPr>
          <w:rFonts w:ascii="Arial" w:cs="Arial" w:eastAsia="Arial" w:hAnsi="Arial"/>
          <w:sz w:val="17"/>
          <w:szCs w:val="17"/>
          <w:color w:val="auto"/>
        </w:rPr>
        <w:t>. The holders of a majority of the Outstanding Shares of the class or classes for which a meeting has been called (including Shares deemed owned by the General Partner) represented, in person or by proxy, shall constitute a quorum at a meeting of Limited Partners of such class or classes unless any such action by the Limited Partners requires approval by holders of a greater percentage of such Shares, in which case the quorum shall be such greater percentage. At any meeting of the Limited Partners duly called and held in accordance with this Agreement at which a quorum is present, the act of Limited Partners holding Outstanding Shares that in the aggregate represent a majority of the Outstanding Shares entitled to vote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specified in this Agreement (including Outstanding Shares deemed owned by the General Partner). In the absence of a quorum any meeting of Limited Partners may be adjourned from time to time by the affirmative vote of holders of at least a majority of the Outstanding Shares entitled to vote at such meeting (including Outstanding Shares deemed owned by the General Partner) represented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either in person or by proxy, but no other business may be transacted, except as provided in Section 13.7.</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13.10 </w:t>
      </w:r>
      <w:r>
        <w:rPr>
          <w:rFonts w:ascii="Arial" w:cs="Arial" w:eastAsia="Arial" w:hAnsi="Arial"/>
          <w:sz w:val="17"/>
          <w:szCs w:val="17"/>
          <w:i w:val="1"/>
          <w:iCs w:val="1"/>
          <w:color w:val="auto"/>
        </w:rPr>
        <w:t>Conduct of a Meeting</w:t>
      </w:r>
      <w:r>
        <w:rPr>
          <w:rFonts w:ascii="Arial" w:cs="Arial" w:eastAsia="Arial" w:hAnsi="Arial"/>
          <w:sz w:val="17"/>
          <w:szCs w:val="17"/>
          <w:color w:val="auto"/>
        </w:rPr>
        <w:t>.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proxies and votes in writing.</w:t>
      </w:r>
    </w:p>
    <w:p>
      <w:pPr>
        <w:spacing w:after="0" w:line="18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i w:val="1"/>
          <w:iCs w:val="1"/>
          <w:color w:val="auto"/>
        </w:rPr>
        <w:t>Action Without a Meeting</w:t>
      </w:r>
      <w:r>
        <w:rPr>
          <w:rFonts w:ascii="Arial" w:cs="Arial" w:eastAsia="Arial" w:hAnsi="Arial"/>
          <w:sz w:val="16"/>
          <w:szCs w:val="16"/>
          <w:color w:val="auto"/>
        </w:rPr>
        <w:t>. If authorized by the General Partner, any action that may be taken at a meeting of the Limited Partners (other than the election of Eligible Directors following the Board Classification Date) may be taken without a meeting, without a vote and without prior notice, if an approval in writing setting forth the action so taken is signed by Limited Partners owning not less than the minimum percentage of the Outstanding Shares (including Shares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held by the Limited Partners, the Partnership shall be deemed to have failed to receive a ballot for the Shares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Nothing contained in this Section 13.11 shall be deemed to require the General Partner to solicit all Limited Partners in connection with a matter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holders of the requisite percentage of Shares acting by written consent without a meeting.</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i w:val="1"/>
          <w:iCs w:val="1"/>
          <w:color w:val="auto"/>
        </w:rPr>
        <w:t>Voting and Other Rights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302" w:lineRule="auto"/>
        <w:tabs>
          <w:tab w:leader="none" w:pos="1294" w:val="left"/>
        </w:tabs>
        <w:numPr>
          <w:ilvl w:val="0"/>
          <w:numId w:val="85"/>
        </w:numPr>
        <w:rPr>
          <w:rFonts w:ascii="Arial" w:cs="Arial" w:eastAsia="Arial" w:hAnsi="Arial"/>
          <w:sz w:val="16"/>
          <w:szCs w:val="16"/>
          <w:color w:val="auto"/>
        </w:rPr>
      </w:pPr>
      <w:r>
        <w:rPr>
          <w:rFonts w:ascii="Arial" w:cs="Arial" w:eastAsia="Arial" w:hAnsi="Arial"/>
          <w:sz w:val="16"/>
          <w:szCs w:val="16"/>
          <w:color w:val="auto"/>
        </w:rPr>
        <w:t>Only those Record Holders of the Outstanding Shares on the Record Date set pursuant to Section 13.6 (and also subject to the limitations contained in the definition of “</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shall be entitled to notice of, and to vote at, a meeting of Limited Partners or to act with respect to matters as to which the holders of the Outstanding Shares have the right to vote or to act. All references in this Agreement to votes of, or other acts that may be taken by, the Outstanding Shares shall be deemed to be references to the votes or acts of the Record Holders of such Outstanding Shares.</w:t>
      </w:r>
    </w:p>
    <w:p>
      <w:pPr>
        <w:spacing w:after="0" w:line="154" w:lineRule="exact"/>
        <w:rPr>
          <w:rFonts w:ascii="Arial" w:cs="Arial" w:eastAsia="Arial" w:hAnsi="Arial"/>
          <w:sz w:val="16"/>
          <w:szCs w:val="16"/>
          <w:color w:val="auto"/>
        </w:rPr>
      </w:pPr>
    </w:p>
    <w:p>
      <w:pPr>
        <w:ind w:right="80" w:firstLine="656"/>
        <w:spacing w:after="0" w:line="312" w:lineRule="auto"/>
        <w:tabs>
          <w:tab w:leader="none" w:pos="1304" w:val="left"/>
        </w:tabs>
        <w:numPr>
          <w:ilvl w:val="0"/>
          <w:numId w:val="85"/>
        </w:numPr>
        <w:rPr>
          <w:rFonts w:ascii="Arial" w:cs="Arial" w:eastAsia="Arial" w:hAnsi="Arial"/>
          <w:sz w:val="16"/>
          <w:szCs w:val="16"/>
          <w:color w:val="auto"/>
        </w:rPr>
      </w:pPr>
      <w:r>
        <w:rPr>
          <w:rFonts w:ascii="Arial" w:cs="Arial" w:eastAsia="Arial" w:hAnsi="Arial"/>
          <w:sz w:val="16"/>
          <w:szCs w:val="16"/>
          <w:color w:val="auto"/>
        </w:rPr>
        <w:t>With respect to Shares that are held for a Person’s account by another Person (such as a broker, dealer, bank, trust company or clearing corporation, or an agent of any of the foregoing), in whose name such Shares are registered, such other Person shall, in exercising the voting rights in respect of such Shares on any matter, and unless the arrangement between such Persons provides otherwise, vote such Shares in favor of, and at the direction of, the</w:t>
      </w:r>
    </w:p>
    <w:p>
      <w:pPr>
        <w:sectPr>
          <w:pgSz w:w="11900" w:h="16838" w:orient="portrait"/>
          <w:cols w:equalWidth="0" w:num="1">
            <w:col w:w="11400"/>
          </w:cols>
          <w:pgMar w:left="240" w:top="125" w:right="259" w:bottom="0" w:gutter="0" w:footer="0" w:header="0"/>
        </w:sectPr>
      </w:pPr>
    </w:p>
    <w:bookmarkStart w:id="36" w:name="page37"/>
    <w:bookmarkEnd w:id="36"/>
    <w:p>
      <w:pPr>
        <w:ind w:right="520"/>
        <w:spacing w:after="0" w:line="277" w:lineRule="auto"/>
        <w:rPr>
          <w:sz w:val="20"/>
          <w:szCs w:val="20"/>
          <w:color w:val="auto"/>
        </w:rPr>
      </w:pPr>
      <w:r>
        <w:rPr>
          <w:rFonts w:ascii="Arial" w:cs="Arial" w:eastAsia="Arial" w:hAnsi="Arial"/>
          <w:sz w:val="18"/>
          <w:szCs w:val="18"/>
          <w:color w:val="auto"/>
        </w:rPr>
        <w:t>Person who is the beneficial owner, and the Partnership shall be entitled to assume it is so acting without further inquiry. The provisions of this Section 13.12(b) (as well as all other provisions of this Agreement) are subject to the provisions of Section 4.3.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CONSOLIDATION OR CONVERSION</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i w:val="1"/>
          <w:iCs w:val="1"/>
          <w:color w:val="auto"/>
        </w:rPr>
        <w:t>Authority</w:t>
      </w:r>
      <w:r>
        <w:rPr>
          <w:rFonts w:ascii="Arial" w:cs="Arial" w:eastAsia="Arial" w:hAnsi="Arial"/>
          <w:sz w:val="18"/>
          <w:szCs w:val="18"/>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or a written plan of conversion (“</w:t>
      </w:r>
      <w:r>
        <w:rPr>
          <w:rFonts w:ascii="Arial" w:cs="Arial" w:eastAsia="Arial" w:hAnsi="Arial"/>
          <w:sz w:val="18"/>
          <w:szCs w:val="18"/>
          <w:b w:val="1"/>
          <w:bCs w:val="1"/>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as the case may be, in accordance with this Article XIV.</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i w:val="1"/>
          <w:iCs w:val="1"/>
          <w:color w:val="auto"/>
        </w:rPr>
        <w:t>Procedure for Merger, Consolidation or Conversion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97" w:lineRule="auto"/>
        <w:tabs>
          <w:tab w:leader="none" w:pos="1294"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Merger, consolidation or conversion of the Partnership pursuant to this Article XIV requires the prior consent of the General Partner,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General Partner shall have no duty or obligation to consent to any merger, consolidation or conversion of the Partnership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to 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 agreement contemplated hereby or under the Delaware Act or any other law, rule or regulation or at equity.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77" w:lineRule="auto"/>
        <w:tabs>
          <w:tab w:leader="none" w:pos="13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General Partner shall determine to consent to the merger or consolidation, the General Partner shall approve the Merger Agreement, which shall set forth:</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36" w:lineRule="exact"/>
        <w:rPr>
          <w:rFonts w:ascii="Arial" w:cs="Arial" w:eastAsia="Arial" w:hAnsi="Arial"/>
          <w:sz w:val="17"/>
          <w:szCs w:val="17"/>
          <w:color w:val="auto"/>
        </w:rPr>
      </w:pPr>
    </w:p>
    <w:p>
      <w:pPr>
        <w:ind w:left="660" w:right="980" w:firstLine="645"/>
        <w:spacing w:after="0" w:line="277" w:lineRule="auto"/>
        <w:tabs>
          <w:tab w:leader="none" w:pos="1987"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name and jurisdiction of formation or organization of the business entity that is to survive the proposed merger or consolidation (the “</w:t>
      </w:r>
      <w:r>
        <w:rPr>
          <w:rFonts w:ascii="Arial" w:cs="Arial" w:eastAsia="Arial" w:hAnsi="Arial"/>
          <w:sz w:val="18"/>
          <w:szCs w:val="18"/>
          <w:b w:val="1"/>
          <w:bCs w:val="1"/>
          <w:i w:val="1"/>
          <w:iCs w:val="1"/>
          <w:color w:val="auto"/>
        </w:rPr>
        <w:t>Surviving Business Entity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25" w:lineRule="exact"/>
        <w:rPr>
          <w:rFonts w:ascii="Arial" w:cs="Arial" w:eastAsia="Arial" w:hAnsi="Arial"/>
          <w:sz w:val="18"/>
          <w:szCs w:val="18"/>
          <w:color w:val="auto"/>
        </w:rPr>
      </w:pPr>
    </w:p>
    <w:p>
      <w:pPr>
        <w:ind w:left="660" w:firstLine="645"/>
        <w:spacing w:after="0" w:line="270" w:lineRule="auto"/>
        <w:tabs>
          <w:tab w:leader="none" w:pos="1973"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 the Surviving Business Entity or any general or limited partnership, corporation, trust, limited liability company, unincorporated business or other entity (other than the Surviving Business Entity), or evidences thereof, are to be delivered;</w:t>
      </w:r>
    </w:p>
    <w:p>
      <w:pPr>
        <w:spacing w:after="0" w:line="177" w:lineRule="exact"/>
        <w:rPr>
          <w:rFonts w:ascii="Arial" w:cs="Arial" w:eastAsia="Arial" w:hAnsi="Arial"/>
          <w:sz w:val="17"/>
          <w:szCs w:val="17"/>
          <w:color w:val="auto"/>
        </w:rPr>
      </w:pPr>
    </w:p>
    <w:p>
      <w:pPr>
        <w:ind w:left="660" w:right="20" w:firstLine="645"/>
        <w:spacing w:after="0" w:line="264" w:lineRule="auto"/>
        <w:tabs>
          <w:tab w:leader="none" w:pos="196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81" w:lineRule="exact"/>
        <w:rPr>
          <w:rFonts w:ascii="Arial" w:cs="Arial" w:eastAsia="Arial" w:hAnsi="Arial"/>
          <w:sz w:val="18"/>
          <w:szCs w:val="18"/>
          <w:color w:val="auto"/>
        </w:rPr>
      </w:pPr>
    </w:p>
    <w:p>
      <w:pPr>
        <w:ind w:left="660" w:right="120" w:firstLine="645"/>
        <w:spacing w:after="0" w:line="259" w:lineRule="auto"/>
        <w:tabs>
          <w:tab w:leader="none" w:pos="197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effective time of the merger, which may be the date of the filing of the certificate of merger pursuant to Section 14.4 or a later date specified in or determinable in accordance with the Merger Agreement (</w:t>
      </w:r>
      <w:r>
        <w:rPr>
          <w:rFonts w:ascii="Arial" w:cs="Arial" w:eastAsia="Arial" w:hAnsi="Arial"/>
          <w:sz w:val="18"/>
          <w:szCs w:val="18"/>
          <w:i w:val="1"/>
          <w:iCs w:val="1"/>
          <w:color w:val="auto"/>
        </w:rPr>
        <w:t>provided</w:t>
      </w:r>
      <w:r>
        <w:rPr>
          <w:rFonts w:ascii="Arial" w:cs="Arial" w:eastAsia="Arial" w:hAnsi="Arial"/>
          <w:sz w:val="18"/>
          <w:szCs w:val="18"/>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merger or consolidation that the General Partner determines to be necessary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General Partner shall determine to consent to the conversion, the General Partner shall approve the Plan of Conversion, which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set forth: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name of the converting entity and the converted entity;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that the Partnership is continuing its existence in the organizational form of the converted entity;</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9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statement as to the type of entity that the converted entity is to be and the state or country under the laws of which the converted entity is to be incorporated, formed or organized;</w:t>
      </w:r>
    </w:p>
    <w:p>
      <w:pPr>
        <w:spacing w:after="0" w:line="170" w:lineRule="exact"/>
        <w:rPr>
          <w:rFonts w:ascii="Arial" w:cs="Arial" w:eastAsia="Arial" w:hAnsi="Arial"/>
          <w:sz w:val="18"/>
          <w:szCs w:val="18"/>
          <w:color w:val="auto"/>
        </w:rPr>
      </w:pPr>
    </w:p>
    <w:p>
      <w:pPr>
        <w:jc w:val="both"/>
        <w:ind w:left="660" w:right="580" w:firstLine="645"/>
        <w:spacing w:after="0" w:line="342" w:lineRule="auto"/>
        <w:tabs>
          <w:tab w:leader="none" w:pos="197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an attachment or exhibit, the certificate of limited partnership of the Partnership; and</w:t>
      </w:r>
    </w:p>
    <w:p>
      <w:pPr>
        <w:sectPr>
          <w:pgSz w:w="11900" w:h="16838" w:orient="portrait"/>
          <w:cols w:equalWidth="0" w:num="1">
            <w:col w:w="11400"/>
          </w:cols>
          <w:pgMar w:left="240" w:top="125" w:right="259" w:bottom="0" w:gutter="0" w:footer="0" w:header="0"/>
        </w:sectPr>
      </w:pPr>
    </w:p>
    <w:bookmarkStart w:id="37" w:name="page38"/>
    <w:bookmarkEnd w:id="37"/>
    <w:p>
      <w:pPr>
        <w:spacing w:after="0" w:line="90" w:lineRule="exact"/>
        <w:rPr>
          <w:sz w:val="20"/>
          <w:szCs w:val="20"/>
          <w:color w:val="auto"/>
        </w:rPr>
      </w:pPr>
    </w:p>
    <w:p>
      <w:pPr>
        <w:ind w:left="1960" w:hanging="655"/>
        <w:spacing w:after="0"/>
        <w:tabs>
          <w:tab w:leader="none" w:pos="1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an attachment or exhibit, the certificate of limited partnership, articles of incorporation, or other organizational documents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converted entity;</w:t>
      </w:r>
    </w:p>
    <w:p>
      <w:pPr>
        <w:spacing w:after="0" w:line="210" w:lineRule="exact"/>
        <w:rPr>
          <w:rFonts w:ascii="Arial" w:cs="Arial" w:eastAsia="Arial" w:hAnsi="Arial"/>
          <w:sz w:val="16"/>
          <w:szCs w:val="16"/>
          <w:color w:val="auto"/>
        </w:rPr>
      </w:pPr>
    </w:p>
    <w:p>
      <w:pPr>
        <w:jc w:val="both"/>
        <w:ind w:left="660" w:right="80" w:firstLine="645"/>
        <w:spacing w:after="0" w:line="259" w:lineRule="auto"/>
        <w:tabs>
          <w:tab w:leader="none" w:pos="19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18"/>
          <w:szCs w:val="18"/>
          <w:i w:val="1"/>
          <w:iCs w:val="1"/>
          <w:color w:val="auto"/>
        </w:rPr>
        <w:t>provided</w:t>
      </w:r>
      <w:r>
        <w:rPr>
          <w:rFonts w:ascii="Arial" w:cs="Arial" w:eastAsia="Arial" w:hAnsi="Arial"/>
          <w:sz w:val="18"/>
          <w:szCs w:val="18"/>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conversion that the General Partner determines to be necessary or appropriate.</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14.3</w:t>
      </w:r>
      <w:r>
        <w:rPr>
          <w:rFonts w:ascii="Arial" w:cs="Arial" w:eastAsia="Arial" w:hAnsi="Arial"/>
          <w:sz w:val="16"/>
          <w:szCs w:val="16"/>
          <w:i w:val="1"/>
          <w:iCs w:val="1"/>
          <w:color w:val="auto"/>
        </w:rPr>
        <w:t>Approval by Limited Partners</w:t>
      </w:r>
      <w:r>
        <w:rPr>
          <w:rFonts w:ascii="Arial" w:cs="Arial" w:eastAsia="Arial" w:hAnsi="Arial"/>
          <w:sz w:val="16"/>
          <w:szCs w:val="16"/>
          <w:color w:val="auto"/>
        </w:rPr>
        <w:t>.</w:t>
      </w:r>
    </w:p>
    <w:p>
      <w:pPr>
        <w:spacing w:after="0" w:line="225" w:lineRule="exact"/>
        <w:rPr>
          <w:rFonts w:ascii="Arial" w:cs="Arial" w:eastAsia="Arial" w:hAnsi="Arial"/>
          <w:sz w:val="16"/>
          <w:szCs w:val="16"/>
          <w:color w:val="auto"/>
        </w:rPr>
      </w:pPr>
    </w:p>
    <w:p>
      <w:pPr>
        <w:ind w:right="40" w:firstLine="656"/>
        <w:spacing w:after="0" w:line="257" w:lineRule="auto"/>
        <w:tabs>
          <w:tab w:leader="none" w:pos="1294"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88" w:lineRule="exact"/>
        <w:rPr>
          <w:rFonts w:ascii="Arial" w:cs="Arial" w:eastAsia="Arial" w:hAnsi="Arial"/>
          <w:sz w:val="18"/>
          <w:szCs w:val="18"/>
          <w:color w:val="auto"/>
        </w:rPr>
      </w:pPr>
    </w:p>
    <w:p>
      <w:pPr>
        <w:ind w:right="240" w:firstLine="656"/>
        <w:spacing w:after="0" w:line="297" w:lineRule="auto"/>
        <w:tabs>
          <w:tab w:leader="none" w:pos="1304"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Merger Agreement or Plan of Conversion, as the case may be, containing any provision that, if contained in an amendment to this Agreement, the provisions of this Agreement or the Delaware Act would 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86" w:lineRule="auto"/>
        <w:tabs>
          <w:tab w:leader="none" w:pos="1307" w:val="left"/>
        </w:tabs>
        <w:numPr>
          <w:ilvl w:val="1"/>
          <w:numId w:val="91"/>
        </w:numPr>
        <w:rPr>
          <w:rFonts w:ascii="Arial" w:cs="Arial" w:eastAsia="Arial" w:hAnsi="Arial"/>
          <w:sz w:val="17"/>
          <w:szCs w:val="17"/>
          <w:color w:val="auto"/>
        </w:rPr>
      </w:pPr>
      <w:r>
        <w:rPr>
          <w:rFonts w:ascii="Arial" w:cs="Arial" w:eastAsia="Arial" w:hAnsi="Arial"/>
          <w:sz w:val="17"/>
          <w:szCs w:val="17"/>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65" w:lineRule="exact"/>
        <w:rPr>
          <w:rFonts w:ascii="Arial" w:cs="Arial" w:eastAsia="Arial" w:hAnsi="Arial"/>
          <w:sz w:val="17"/>
          <w:szCs w:val="17"/>
          <w:color w:val="auto"/>
        </w:rPr>
      </w:pPr>
    </w:p>
    <w:p>
      <w:pPr>
        <w:ind w:right="40" w:firstLine="656"/>
        <w:spacing w:after="0" w:line="271" w:lineRule="auto"/>
        <w:tabs>
          <w:tab w:leader="none" w:pos="1304" w:val="left"/>
        </w:tabs>
        <w:numPr>
          <w:ilvl w:val="1"/>
          <w:numId w:val="91"/>
        </w:numPr>
        <w:rPr>
          <w:rFonts w:ascii="Arial" w:cs="Arial" w:eastAsia="Arial" w:hAnsi="Arial"/>
          <w:sz w:val="17"/>
          <w:szCs w:val="17"/>
          <w:color w:val="auto"/>
        </w:rPr>
      </w:pPr>
      <w:r>
        <w:rPr>
          <w:rFonts w:ascii="Arial" w:cs="Arial" w:eastAsia="Arial" w:hAnsi="Arial"/>
          <w:sz w:val="17"/>
          <w:szCs w:val="17"/>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78" w:lineRule="exact"/>
        <w:rPr>
          <w:rFonts w:ascii="Arial" w:cs="Arial" w:eastAsia="Arial" w:hAnsi="Arial"/>
          <w:sz w:val="17"/>
          <w:szCs w:val="17"/>
          <w:color w:val="auto"/>
        </w:rPr>
      </w:pPr>
    </w:p>
    <w:p>
      <w:pPr>
        <w:ind w:right="20" w:firstLine="656"/>
        <w:spacing w:after="0" w:line="286" w:lineRule="auto"/>
        <w:tabs>
          <w:tab w:leader="none" w:pos="1307" w:val="left"/>
        </w:tabs>
        <w:numPr>
          <w:ilvl w:val="1"/>
          <w:numId w:val="91"/>
        </w:numPr>
        <w:rPr>
          <w:rFonts w:ascii="Arial" w:cs="Arial" w:eastAsia="Arial" w:hAnsi="Arial"/>
          <w:sz w:val="16"/>
          <w:szCs w:val="16"/>
          <w:color w:val="auto"/>
        </w:rPr>
      </w:pPr>
      <w:r>
        <w:rPr>
          <w:rFonts w:ascii="Arial" w:cs="Arial" w:eastAsia="Arial" w:hAnsi="Arial"/>
          <w:sz w:val="16"/>
          <w:szCs w:val="16"/>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w:t>
      </w:r>
    </w:p>
    <w:p>
      <w:pPr>
        <w:spacing w:after="0" w:line="1" w:lineRule="exact"/>
        <w:rPr>
          <w:rFonts w:ascii="Arial" w:cs="Arial" w:eastAsia="Arial" w:hAnsi="Arial"/>
          <w:sz w:val="16"/>
          <w:szCs w:val="16"/>
          <w:color w:val="auto"/>
        </w:rPr>
      </w:pPr>
    </w:p>
    <w:p>
      <w:pPr>
        <w:ind w:firstLine="8"/>
        <w:spacing w:after="0" w:line="254" w:lineRule="auto"/>
        <w:tabs>
          <w:tab w:leader="none" w:pos="3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Partnership is the Surviving Business Entity in such merger or consolidation, (iv) each Share outstanding immediately prior to the effective date of the merger or consolidation is to be an identical Share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9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i w:val="1"/>
          <w:iCs w:val="1"/>
          <w:color w:val="auto"/>
        </w:rPr>
        <w:t>Certificate of Merger</w:t>
      </w:r>
      <w:r>
        <w:rPr>
          <w:rFonts w:ascii="Arial" w:cs="Arial" w:eastAsia="Arial" w:hAnsi="Arial"/>
          <w:sz w:val="18"/>
          <w:szCs w:val="18"/>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14.5</w:t>
      </w:r>
      <w:r>
        <w:rPr>
          <w:sz w:val="20"/>
          <w:szCs w:val="20"/>
          <w:color w:val="auto"/>
        </w:rPr>
        <w:tab/>
      </w:r>
      <w:r>
        <w:rPr>
          <w:rFonts w:ascii="Arial" w:cs="Arial" w:eastAsia="Arial" w:hAnsi="Arial"/>
          <w:sz w:val="16"/>
          <w:szCs w:val="16"/>
          <w:i w:val="1"/>
          <w:iCs w:val="1"/>
          <w:color w:val="auto"/>
        </w:rPr>
        <w:t>Effect of Merger, Consolidation or Conversion</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the effective time of the certificate of merger:</w:t>
      </w:r>
    </w:p>
    <w:p>
      <w:pPr>
        <w:spacing w:after="0" w:line="225" w:lineRule="exact"/>
        <w:rPr>
          <w:rFonts w:ascii="Arial" w:cs="Arial" w:eastAsia="Arial" w:hAnsi="Arial"/>
          <w:sz w:val="18"/>
          <w:szCs w:val="18"/>
          <w:color w:val="auto"/>
        </w:rPr>
      </w:pPr>
    </w:p>
    <w:p>
      <w:pPr>
        <w:ind w:left="660" w:right="200" w:firstLine="645"/>
        <w:spacing w:after="0" w:line="264" w:lineRule="auto"/>
        <w:tabs>
          <w:tab w:leader="none" w:pos="197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merger or consolidation shall be the property of the Surviving Business Entity to the extent they were of each constituent business entity;</w:t>
      </w:r>
    </w:p>
    <w:p>
      <w:pPr>
        <w:spacing w:after="0" w:line="225" w:lineRule="exact"/>
        <w:rPr>
          <w:sz w:val="20"/>
          <w:szCs w:val="20"/>
          <w:color w:val="auto"/>
        </w:rPr>
      </w:pPr>
    </w:p>
    <w:p>
      <w:pPr>
        <w:ind w:left="660" w:right="160" w:firstLine="645"/>
        <w:spacing w:after="0" w:line="277" w:lineRule="auto"/>
        <w:tabs>
          <w:tab w:leader="none" w:pos="198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170" w:lineRule="exact"/>
        <w:rPr>
          <w:rFonts w:ascii="Arial" w:cs="Arial" w:eastAsia="Arial" w:hAnsi="Arial"/>
          <w:sz w:val="18"/>
          <w:szCs w:val="18"/>
          <w:color w:val="auto"/>
        </w:rPr>
      </w:pPr>
    </w:p>
    <w:p>
      <w:pPr>
        <w:ind w:left="660" w:right="720" w:firstLine="645"/>
        <w:spacing w:after="0" w:line="277" w:lineRule="auto"/>
        <w:tabs>
          <w:tab w:leader="none" w:pos="19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rights of creditors and all liens on or security interests in property of any of those constituent business entities shall be preserved unimpaired; and</w:t>
      </w:r>
    </w:p>
    <w:p>
      <w:pPr>
        <w:spacing w:after="0" w:line="170" w:lineRule="exact"/>
        <w:rPr>
          <w:rFonts w:ascii="Arial" w:cs="Arial" w:eastAsia="Arial" w:hAnsi="Arial"/>
          <w:sz w:val="18"/>
          <w:szCs w:val="18"/>
          <w:color w:val="auto"/>
        </w:rPr>
      </w:pPr>
    </w:p>
    <w:p>
      <w:pPr>
        <w:ind w:left="660" w:right="520" w:firstLine="645"/>
        <w:spacing w:after="0" w:line="277" w:lineRule="auto"/>
        <w:tabs>
          <w:tab w:leader="none" w:pos="19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ectPr>
          <w:pgSz w:w="11900" w:h="16929" w:orient="portrait"/>
          <w:cols w:equalWidth="0" w:num="1">
            <w:col w:w="11420"/>
          </w:cols>
          <w:pgMar w:left="240" w:top="125" w:right="239" w:bottom="0" w:gutter="0" w:footer="0" w:header="0"/>
        </w:sectPr>
      </w:pPr>
    </w:p>
    <w:bookmarkStart w:id="38" w:name="page39"/>
    <w:bookmarkEnd w:id="38"/>
    <w:p>
      <w:pPr>
        <w:spacing w:after="0" w:line="95" w:lineRule="exact"/>
        <w:rPr>
          <w:sz w:val="20"/>
          <w:szCs w:val="20"/>
          <w:color w:val="auto"/>
        </w:rPr>
      </w:pPr>
    </w:p>
    <w:p>
      <w:pPr>
        <w:ind w:left="1320" w:hanging="66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the effective time of the certificate of conversion, for all purposes of the laws of the State of Delaware:</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9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Partnership shall continue to exist, without interruption, but in the organizational form of the converted entity rather than in its prior organizational form;</w:t>
      </w:r>
    </w:p>
    <w:p>
      <w:pPr>
        <w:spacing w:after="0" w:line="170" w:lineRule="exact"/>
        <w:rPr>
          <w:rFonts w:ascii="Arial" w:cs="Arial" w:eastAsia="Arial" w:hAnsi="Arial"/>
          <w:sz w:val="18"/>
          <w:szCs w:val="18"/>
          <w:color w:val="auto"/>
        </w:rPr>
      </w:pPr>
    </w:p>
    <w:p>
      <w:pPr>
        <w:jc w:val="both"/>
        <w:ind w:left="660" w:right="320" w:firstLine="645"/>
        <w:spacing w:after="0" w:line="264" w:lineRule="auto"/>
        <w:tabs>
          <w:tab w:leader="none" w:pos="1987"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81" w:lineRule="exact"/>
        <w:rPr>
          <w:rFonts w:ascii="Arial" w:cs="Arial" w:eastAsia="Arial" w:hAnsi="Arial"/>
          <w:sz w:val="18"/>
          <w:szCs w:val="18"/>
          <w:color w:val="auto"/>
        </w:rPr>
      </w:pPr>
    </w:p>
    <w:p>
      <w:pPr>
        <w:ind w:left="660" w:right="320" w:firstLine="645"/>
        <w:spacing w:after="0" w:line="277" w:lineRule="auto"/>
        <w:tabs>
          <w:tab w:leader="none" w:pos="1997"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liabilities and obligations of the Partnership shall continue to be liabilities and obligations of the converted entity in its new organizational form without impairment or diminution by reason of the conversion;</w:t>
      </w:r>
    </w:p>
    <w:p>
      <w:pPr>
        <w:spacing w:after="0" w:line="170" w:lineRule="exact"/>
        <w:rPr>
          <w:rFonts w:ascii="Arial" w:cs="Arial" w:eastAsia="Arial" w:hAnsi="Arial"/>
          <w:sz w:val="18"/>
          <w:szCs w:val="18"/>
          <w:color w:val="auto"/>
        </w:rPr>
      </w:pPr>
    </w:p>
    <w:p>
      <w:pPr>
        <w:ind w:left="660" w:right="80" w:firstLine="645"/>
        <w:spacing w:after="0" w:line="259" w:lineRule="auto"/>
        <w:tabs>
          <w:tab w:leader="none" w:pos="1973"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 obligees to the same extent as if the liabilities and obligations had originally been incurred or contracted by the converted entity; and</w:t>
      </w:r>
    </w:p>
    <w:p>
      <w:pPr>
        <w:spacing w:after="0" w:line="186" w:lineRule="exact"/>
        <w:rPr>
          <w:rFonts w:ascii="Arial" w:cs="Arial" w:eastAsia="Arial" w:hAnsi="Arial"/>
          <w:sz w:val="18"/>
          <w:szCs w:val="18"/>
          <w:color w:val="auto"/>
        </w:rPr>
      </w:pPr>
    </w:p>
    <w:p>
      <w:pPr>
        <w:ind w:left="660" w:right="180" w:firstLine="645"/>
        <w:spacing w:after="0" w:line="264" w:lineRule="auto"/>
        <w:tabs>
          <w:tab w:leader="none" w:pos="19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81"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merger, consolidation or conversion effected pursuant to this Article shall not be deemed to result in a transfer or assignment of assets or liabilities from one entity to another.</w:t>
      </w:r>
    </w:p>
    <w:p>
      <w:pPr>
        <w:spacing w:after="0" w:line="170"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i w:val="1"/>
          <w:iCs w:val="1"/>
          <w:color w:val="auto"/>
        </w:rPr>
        <w:t>Amendment of Partnership Agreement</w:t>
      </w:r>
      <w:r>
        <w:rPr>
          <w:rFonts w:ascii="Arial" w:cs="Arial" w:eastAsia="Arial" w:hAnsi="Arial"/>
          <w:sz w:val="18"/>
          <w:szCs w:val="18"/>
          <w:color w:val="auto"/>
        </w:rPr>
        <w:t>. Pursuant to Section 17-211(g) of the Delaware Act, an agreement of merger or consolidation approved in accordance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TO ACQUIRE LIMITED PARTNER INTERESTS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15.1</w:t>
      </w:r>
      <w:r>
        <w:rPr>
          <w:sz w:val="20"/>
          <w:szCs w:val="20"/>
          <w:color w:val="auto"/>
        </w:rPr>
        <w:tab/>
      </w:r>
      <w:r>
        <w:rPr>
          <w:rFonts w:ascii="Arial" w:cs="Arial" w:eastAsia="Arial" w:hAnsi="Arial"/>
          <w:sz w:val="16"/>
          <w:szCs w:val="16"/>
          <w:i w:val="1"/>
          <w:iCs w:val="1"/>
          <w:color w:val="auto"/>
        </w:rPr>
        <w:t>Right to Acquire Limited Partner Interests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4" w:lineRule="auto"/>
        <w:tabs>
          <w:tab w:leader="none" w:pos="1294"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Arial" w:cs="Arial" w:eastAsia="Arial" w:hAnsi="Arial"/>
          <w:sz w:val="16"/>
          <w:szCs w:val="16"/>
          <w:b w:val="1"/>
          <w:bCs w:val="1"/>
          <w:i w:val="1"/>
          <w:iCs w:val="1"/>
          <w:color w:val="auto"/>
        </w:rPr>
        <w:t>Closing Price</w:t>
      </w:r>
      <w:r>
        <w:rPr>
          <w:rFonts w:ascii="Arial" w:cs="Arial" w:eastAsia="Arial" w:hAnsi="Arial"/>
          <w:sz w:val="16"/>
          <w:szCs w:val="16"/>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90" w:lineRule="auto"/>
        <w:tabs>
          <w:tab w:leader="none" w:pos="1304"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Arial" w:cs="Arial" w:eastAsia="Arial" w:hAnsi="Arial"/>
          <w:sz w:val="16"/>
          <w:szCs w:val="16"/>
          <w:b w:val="1"/>
          <w:bCs w:val="1"/>
          <w:i w:val="1"/>
          <w:i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Election to Purchase</w:t>
      </w:r>
      <w:r>
        <w:rPr>
          <w:rFonts w:ascii="Arial" w:cs="Arial" w:eastAsia="Arial" w:hAnsi="Arial"/>
          <w:sz w:val="16"/>
          <w:szCs w:val="16"/>
          <w:color w:val="auto"/>
        </w:rPr>
        <w:t>”) and shall cause the Transfer Agent to mail a copy of such Notice of Election to Purchase to the Record Holders of Limited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w:t>
      </w:r>
    </w:p>
    <w:p>
      <w:pPr>
        <w:sectPr>
          <w:pgSz w:w="11900" w:h="16933" w:orient="portrait"/>
          <w:cols w:equalWidth="0" w:num="1">
            <w:col w:w="11420"/>
          </w:cols>
          <w:pgMar w:left="240" w:top="341" w:right="239" w:bottom="0" w:gutter="0" w:footer="0" w:header="0"/>
        </w:sectPr>
      </w:pPr>
    </w:p>
    <w:bookmarkStart w:id="39" w:name="page40"/>
    <w:bookmarkEnd w:id="39"/>
    <w:p>
      <w:pPr>
        <w:ind w:right="20"/>
        <w:spacing w:after="0" w:line="285" w:lineRule="auto"/>
        <w:rPr>
          <w:sz w:val="20"/>
          <w:szCs w:val="20"/>
          <w:color w:val="auto"/>
        </w:rPr>
      </w:pPr>
      <w:r>
        <w:rPr>
          <w:rFonts w:ascii="Arial" w:cs="Arial" w:eastAsia="Arial" w:hAnsi="Arial"/>
          <w:sz w:val="16"/>
          <w:szCs w:val="16"/>
          <w:color w:val="auto"/>
        </w:rPr>
        <w:t>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178" w:lineRule="exact"/>
        <w:rPr>
          <w:sz w:val="20"/>
          <w:szCs w:val="20"/>
          <w:color w:val="auto"/>
        </w:rPr>
      </w:pPr>
    </w:p>
    <w:p>
      <w:pPr>
        <w:ind w:right="40" w:firstLine="656"/>
        <w:spacing w:after="0" w:line="286" w:lineRule="auto"/>
        <w:tabs>
          <w:tab w:leader="none" w:pos="1307" w:val="left"/>
        </w:tabs>
        <w:numPr>
          <w:ilvl w:val="0"/>
          <w:numId w:val="98"/>
        </w:numPr>
        <w:rPr>
          <w:rFonts w:ascii="Arial" w:cs="Arial" w:eastAsia="Arial" w:hAnsi="Arial"/>
          <w:sz w:val="17"/>
          <w:szCs w:val="17"/>
          <w:color w:val="auto"/>
        </w:rPr>
      </w:pPr>
      <w:r>
        <w:rPr>
          <w:rFonts w:ascii="Arial" w:cs="Arial" w:eastAsia="Arial" w:hAnsi="Arial"/>
          <w:sz w:val="17"/>
          <w:szCs w:val="17"/>
          <w:color w:val="auto"/>
        </w:rPr>
        <w:t>At any time from and after the Purchase Date, a holder of an Outstanding Limited Partner Interest subject to purchase as provided in this Section 15.1 may surrender his Certificate evidencing such Limited Partner Interest, or other evidence of the issuance of uncertificated Shares, to the Transfer Agent in exchange for payment of the amount described in Section 15.1(a), therefor, without interest thereon.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16.1 </w:t>
      </w:r>
      <w:r>
        <w:rPr>
          <w:rFonts w:ascii="Arial" w:cs="Arial" w:eastAsia="Arial" w:hAnsi="Arial"/>
          <w:sz w:val="16"/>
          <w:szCs w:val="16"/>
          <w:i w:val="1"/>
          <w:iCs w:val="1"/>
          <w:color w:val="auto"/>
        </w:rPr>
        <w:t>Addresses and Notices</w:t>
      </w:r>
      <w:r>
        <w:rPr>
          <w:rFonts w:ascii="Arial" w:cs="Arial" w:eastAsia="Arial" w:hAnsi="Arial"/>
          <w:sz w:val="16"/>
          <w:szCs w:val="16"/>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16.2 </w:t>
      </w:r>
      <w:r>
        <w:rPr>
          <w:rFonts w:ascii="Arial" w:cs="Arial" w:eastAsia="Arial" w:hAnsi="Arial"/>
          <w:sz w:val="18"/>
          <w:szCs w:val="18"/>
          <w:i w:val="1"/>
          <w:iCs w:val="1"/>
          <w:color w:val="auto"/>
        </w:rPr>
        <w:t>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i w:val="1"/>
          <w:iCs w:val="1"/>
          <w:color w:val="auto"/>
        </w:rPr>
        <w:t>Binding Effect</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i w:val="1"/>
          <w:iCs w:val="1"/>
          <w:color w:val="auto"/>
        </w:rPr>
        <w:t>Integration</w:t>
      </w:r>
      <w:r>
        <w:rPr>
          <w:rFonts w:ascii="Arial" w:cs="Arial" w:eastAsia="Arial" w:hAnsi="Arial"/>
          <w:sz w:val="18"/>
          <w:szCs w:val="18"/>
          <w:color w:val="auto"/>
        </w:rPr>
        <w:t>. This Agreement constitutes the entire agreement among the parties hereto pertaining to the subject matter hereof and supersedes all prior agreements and understandings pertaining thereto.</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16.5 </w:t>
      </w:r>
      <w:r>
        <w:rPr>
          <w:rFonts w:ascii="Arial" w:cs="Arial" w:eastAsia="Arial" w:hAnsi="Arial"/>
          <w:sz w:val="18"/>
          <w:szCs w:val="18"/>
          <w:i w:val="1"/>
          <w:iCs w:val="1"/>
          <w:color w:val="auto"/>
        </w:rPr>
        <w:t>Creditors</w:t>
      </w:r>
      <w:r>
        <w:rPr>
          <w:rFonts w:ascii="Arial" w:cs="Arial" w:eastAsia="Arial" w:hAnsi="Arial"/>
          <w:sz w:val="18"/>
          <w:szCs w:val="18"/>
          <w:color w:val="auto"/>
        </w:rPr>
        <w:t>. None of the provisions of this Agreement shall be for the benefit of, or shall be enforceable by, any creditor of the Partnership.</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Section 16.6 </w:t>
      </w:r>
      <w:r>
        <w:rPr>
          <w:rFonts w:ascii="Arial" w:cs="Arial" w:eastAsia="Arial" w:hAnsi="Arial"/>
          <w:sz w:val="18"/>
          <w:szCs w:val="18"/>
          <w:i w:val="1"/>
          <w:iCs w:val="1"/>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consequent upon a breach thereof shall constitute waiver of any such breach of any other covenant, duty, agreement or condition.</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 xml:space="preserve">Section 16.7 </w:t>
      </w:r>
      <w:r>
        <w:rPr>
          <w:rFonts w:ascii="Arial" w:cs="Arial" w:eastAsia="Arial" w:hAnsi="Arial"/>
          <w:sz w:val="17"/>
          <w:szCs w:val="17"/>
          <w:i w:val="1"/>
          <w:iCs w:val="1"/>
          <w:color w:val="auto"/>
        </w:rPr>
        <w:t>Third-Party Beneficiaries</w:t>
      </w:r>
      <w:r>
        <w:rPr>
          <w:rFonts w:ascii="Arial" w:cs="Arial" w:eastAsia="Arial" w:hAnsi="Arial"/>
          <w:sz w:val="17"/>
          <w:szCs w:val="17"/>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16.8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16.9</w:t>
      </w:r>
      <w:r>
        <w:rPr>
          <w:sz w:val="20"/>
          <w:szCs w:val="20"/>
          <w:color w:val="auto"/>
        </w:rPr>
        <w:tab/>
      </w:r>
      <w:r>
        <w:rPr>
          <w:rFonts w:ascii="Arial" w:cs="Arial" w:eastAsia="Arial" w:hAnsi="Arial"/>
          <w:sz w:val="16"/>
          <w:szCs w:val="16"/>
          <w:i w:val="1"/>
          <w:iCs w:val="1"/>
          <w:color w:val="auto"/>
        </w:rPr>
        <w:t>Applicable Law; Forum; Venue and Jurisdiction; Waiver of Trial by Jury</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40" w:name="page41"/>
    <w:bookmarkEnd w:id="40"/>
    <w:p>
      <w:pPr>
        <w:ind w:right="180" w:firstLine="656"/>
        <w:spacing w:after="0" w:line="277" w:lineRule="auto"/>
        <w:tabs>
          <w:tab w:leader="none" w:pos="129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Delaware, without regard to the principles of conflicts of law.</w:t>
      </w:r>
    </w:p>
    <w:p>
      <w:pPr>
        <w:spacing w:after="0" w:line="170" w:lineRule="exact"/>
        <w:rPr>
          <w:rFonts w:ascii="Arial" w:cs="Arial" w:eastAsia="Arial" w:hAnsi="Arial"/>
          <w:sz w:val="18"/>
          <w:szCs w:val="18"/>
          <w:color w:val="auto"/>
        </w:rPr>
      </w:pPr>
    </w:p>
    <w:p>
      <w:pPr>
        <w:ind w:right="600" w:firstLine="656"/>
        <w:spacing w:after="0" w:line="277" w:lineRule="auto"/>
        <w:tabs>
          <w:tab w:leader="none" w:pos="13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70" w:lineRule="exact"/>
        <w:rPr>
          <w:rFonts w:ascii="Arial" w:cs="Arial" w:eastAsia="Arial" w:hAnsi="Arial"/>
          <w:sz w:val="18"/>
          <w:szCs w:val="18"/>
          <w:color w:val="auto"/>
        </w:rPr>
      </w:pPr>
    </w:p>
    <w:p>
      <w:pPr>
        <w:ind w:left="660" w:right="20" w:firstLine="645"/>
        <w:spacing w:after="0" w:line="289" w:lineRule="auto"/>
        <w:tabs>
          <w:tab w:leader="none" w:pos="1978" w:val="left"/>
        </w:tabs>
        <w:numPr>
          <w:ilvl w:val="1"/>
          <w:numId w:val="99"/>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66" w:lineRule="exact"/>
        <w:rPr>
          <w:rFonts w:ascii="Arial" w:cs="Arial" w:eastAsia="Arial" w:hAnsi="Arial"/>
          <w:sz w:val="16"/>
          <w:szCs w:val="16"/>
          <w:color w:val="auto"/>
        </w:rPr>
      </w:pPr>
    </w:p>
    <w:p>
      <w:pPr>
        <w:ind w:left="660" w:right="60" w:firstLine="645"/>
        <w:spacing w:after="0" w:line="264" w:lineRule="auto"/>
        <w:tabs>
          <w:tab w:leader="none" w:pos="1987" w:val="left"/>
        </w:tabs>
        <w:numPr>
          <w:ilvl w:val="1"/>
          <w:numId w:val="99"/>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99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agrees not to, and waives any right to, assert in any such claim, suit, action or proceeding that (A) it is not personally subject to the jurisdiction of the Court of Chancery of the State of Delaware or of any other court to which proceedings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Court of Chancery of the State of Delaware may be appealed, (B) such claim, suit, action or proceeding is brought in an inconvenient forum, or</w:t>
      </w:r>
    </w:p>
    <w:p>
      <w:pPr>
        <w:spacing w:after="0" w:line="35" w:lineRule="exact"/>
        <w:rPr>
          <w:sz w:val="20"/>
          <w:szCs w:val="20"/>
          <w:color w:val="auto"/>
        </w:rPr>
      </w:pPr>
    </w:p>
    <w:p>
      <w:pPr>
        <w:ind w:left="940" w:hanging="284"/>
        <w:spacing w:after="0"/>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venue of such claim, suit, action or proceeding is improper;</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expressly waives any requirement for the posting of a bond by a party bringing such claim, suit, action or proceeding; and</w:t>
      </w:r>
    </w:p>
    <w:p>
      <w:pPr>
        <w:spacing w:after="0" w:line="236" w:lineRule="exact"/>
        <w:rPr>
          <w:rFonts w:ascii="Arial" w:cs="Arial" w:eastAsia="Arial" w:hAnsi="Arial"/>
          <w:sz w:val="17"/>
          <w:szCs w:val="17"/>
          <w:color w:val="auto"/>
        </w:rPr>
      </w:pPr>
    </w:p>
    <w:p>
      <w:pPr>
        <w:ind w:left="660" w:right="40" w:firstLine="645"/>
        <w:spacing w:after="0" w:line="259" w:lineRule="auto"/>
        <w:tabs>
          <w:tab w:leader="none" w:pos="19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8"/>
          <w:szCs w:val="18"/>
          <w:i w:val="1"/>
          <w:iCs w:val="1"/>
          <w:color w:val="auto"/>
        </w:rPr>
        <w:t>provided</w:t>
      </w:r>
      <w:r>
        <w:rPr>
          <w:rFonts w:ascii="Arial" w:cs="Arial" w:eastAsia="Arial" w:hAnsi="Arial"/>
          <w:sz w:val="18"/>
          <w:szCs w:val="18"/>
          <w:color w:val="auto"/>
        </w:rPr>
        <w:t>, nothing in clause (v) hereof shall affect or limit any right to serve process in any other manner permitted by law.</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i w:val="1"/>
          <w:iCs w:val="1"/>
          <w:color w:val="auto"/>
        </w:rPr>
        <w:t>Invalidity of Provisions</w:t>
      </w:r>
      <w:r>
        <w:rPr>
          <w:rFonts w:ascii="Arial" w:cs="Arial" w:eastAsia="Arial" w:hAnsi="Arial"/>
          <w:sz w:val="18"/>
          <w:szCs w:val="18"/>
          <w:color w:val="auto"/>
        </w:rPr>
        <w:t>. If any provision of this Agreement is or becomes invalid, illegal or unenforceable in any respect, the validity, legality and enforceability of the remaining provisions contained herein shall not be affected thereby.</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i w:val="1"/>
          <w:iCs w:val="1"/>
          <w:color w:val="auto"/>
        </w:rPr>
        <w:t>Consent of Partners</w:t>
      </w:r>
      <w:r>
        <w:rPr>
          <w:rFonts w:ascii="Arial" w:cs="Arial" w:eastAsia="Arial" w:hAnsi="Arial"/>
          <w:sz w:val="18"/>
          <w:szCs w:val="18"/>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i w:val="1"/>
          <w:iCs w:val="1"/>
          <w:color w:val="auto"/>
        </w:rPr>
        <w:t>Facsimile Signatures</w:t>
      </w:r>
      <w:r>
        <w:rPr>
          <w:rFonts w:ascii="Arial" w:cs="Arial" w:eastAsia="Arial" w:hAnsi="Arial"/>
          <w:sz w:val="18"/>
          <w:szCs w:val="18"/>
          <w:color w:val="auto"/>
        </w:rPr>
        <w:t>. The use of facsimile signatures affixed in the name and on behalf of the transfer agent and registrar of the Partnership on certificates representing Class A Shares is expressly permitted by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GENERAL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Amended and Restated Agreement of Limited Partnership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dated as of October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384175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94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8"/>
              </w:rPr>
              <w:t>TABLE OF CONTENTS</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58"/>
        </w:trPr>
        <w:tc>
          <w:tcPr>
            <w:tcW w:w="10540" w:type="dxa"/>
            <w:vAlign w:val="bottom"/>
            <w:gridSpan w:val="4"/>
          </w:tcPr>
          <w:p>
            <w:pPr>
              <w:spacing w:after="0"/>
              <w:rPr>
                <w:sz w:val="20"/>
                <w:szCs w:val="20"/>
                <w:color w:val="auto"/>
              </w:rPr>
            </w:pPr>
            <w:r>
              <w:rPr>
                <w:rFonts w:ascii="Arial" w:cs="Arial" w:eastAsia="Arial" w:hAnsi="Arial"/>
                <w:sz w:val="18"/>
                <w:szCs w:val="18"/>
                <w:color w:val="auto"/>
              </w:rPr>
              <w:t>Article 1 DEFINITIONS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0540" w:type="dxa"/>
            <w:vAlign w:val="bottom"/>
            <w:gridSpan w:val="4"/>
          </w:tcPr>
          <w:p>
            <w:pPr>
              <w:spacing w:after="0"/>
              <w:rPr>
                <w:sz w:val="20"/>
                <w:szCs w:val="20"/>
                <w:color w:val="auto"/>
              </w:rPr>
            </w:pPr>
            <w:r>
              <w:rPr>
                <w:rFonts w:ascii="Arial" w:cs="Arial" w:eastAsia="Arial" w:hAnsi="Arial"/>
                <w:sz w:val="18"/>
                <w:szCs w:val="18"/>
                <w:color w:val="auto"/>
              </w:rPr>
              <w:t>Article 2 GENERAL</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2.1</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Formation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2.2</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Principal Office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2.3</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Registered Office and Registered Agent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2.4</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Purpose of the Company</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2.5</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Date of Dissolution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2.6</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Qualification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2.7</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Members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2.8</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Reliance by Third Parties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18"/>
        </w:trPr>
        <w:tc>
          <w:tcPr>
            <w:tcW w:w="10540" w:type="dxa"/>
            <w:vAlign w:val="bottom"/>
            <w:gridSpan w:val="4"/>
          </w:tcPr>
          <w:p>
            <w:pPr>
              <w:spacing w:after="0"/>
              <w:rPr>
                <w:sz w:val="20"/>
                <w:szCs w:val="20"/>
                <w:color w:val="auto"/>
              </w:rPr>
            </w:pPr>
            <w:r>
              <w:rPr>
                <w:rFonts w:ascii="Arial" w:cs="Arial" w:eastAsia="Arial" w:hAnsi="Arial"/>
                <w:sz w:val="18"/>
                <w:szCs w:val="18"/>
                <w:color w:val="auto"/>
              </w:rPr>
              <w:t>Article 3 CAPITALIZATION OF THE COMPANY</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3.1</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Capital Contributions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3.2</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Additional Capital Contributions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3.3</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Splits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18"/>
        </w:trPr>
        <w:tc>
          <w:tcPr>
            <w:tcW w:w="10540" w:type="dxa"/>
            <w:vAlign w:val="bottom"/>
            <w:gridSpan w:val="4"/>
          </w:tcPr>
          <w:p>
            <w:pPr>
              <w:spacing w:after="0"/>
              <w:rPr>
                <w:sz w:val="20"/>
                <w:szCs w:val="20"/>
                <w:color w:val="auto"/>
              </w:rPr>
            </w:pPr>
            <w:r>
              <w:rPr>
                <w:rFonts w:ascii="Arial" w:cs="Arial" w:eastAsia="Arial" w:hAnsi="Arial"/>
                <w:sz w:val="18"/>
                <w:szCs w:val="18"/>
                <w:color w:val="auto"/>
              </w:rPr>
              <w:t>Article 4 DISTRIBUTIONS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4.1</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Distributions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4.2</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Persons Entitled to Distributions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18"/>
        </w:trPr>
        <w:tc>
          <w:tcPr>
            <w:tcW w:w="10540" w:type="dxa"/>
            <w:vAlign w:val="bottom"/>
            <w:gridSpan w:val="4"/>
          </w:tcPr>
          <w:p>
            <w:pPr>
              <w:spacing w:after="0"/>
              <w:rPr>
                <w:sz w:val="20"/>
                <w:szCs w:val="20"/>
                <w:color w:val="auto"/>
              </w:rPr>
            </w:pPr>
            <w:r>
              <w:rPr>
                <w:rFonts w:ascii="Arial" w:cs="Arial" w:eastAsia="Arial" w:hAnsi="Arial"/>
                <w:sz w:val="18"/>
                <w:szCs w:val="18"/>
                <w:color w:val="auto"/>
              </w:rPr>
              <w:t>Article 5 MEMBERS’ MEETINGS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5.1</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Meetings of Members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5.2</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Quorum; Voting Requirement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5.3</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Proxies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5.4</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Action Without Meeting</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5.5</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Notice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5.6</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Waiver of Notice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18"/>
        </w:trPr>
        <w:tc>
          <w:tcPr>
            <w:tcW w:w="10540" w:type="dxa"/>
            <w:vAlign w:val="bottom"/>
            <w:gridSpan w:val="4"/>
          </w:tcPr>
          <w:p>
            <w:pPr>
              <w:spacing w:after="0"/>
              <w:rPr>
                <w:sz w:val="20"/>
                <w:szCs w:val="20"/>
                <w:color w:val="auto"/>
              </w:rPr>
            </w:pPr>
            <w:r>
              <w:rPr>
                <w:rFonts w:ascii="Arial" w:cs="Arial" w:eastAsia="Arial" w:hAnsi="Arial"/>
                <w:sz w:val="18"/>
                <w:szCs w:val="18"/>
                <w:color w:val="auto"/>
              </w:rPr>
              <w:t>Article 6 MANAGEMENT AND CONTROL</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6.1</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Board of Directors; General and Prior to Trigger Date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6.2</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Board of Directors Following Trigger Date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6.3</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Meetings of the Board</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6.4</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Quorum and Acts of the Board</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6.5</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Communications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6.6</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Committees of Directors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6.7</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Compensation of Directors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6.8</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Directors as Agents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6.9</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Officers; Agents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6.10</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Actions Requiring Consent of Oxy</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6.11</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Amendments to the PAGP Partnership Agreement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6.12</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Restrictions Regarding General Partner Interest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18"/>
        </w:trPr>
        <w:tc>
          <w:tcPr>
            <w:tcW w:w="10540" w:type="dxa"/>
            <w:vAlign w:val="bottom"/>
            <w:gridSpan w:val="4"/>
          </w:tcPr>
          <w:p>
            <w:pPr>
              <w:spacing w:after="0"/>
              <w:rPr>
                <w:sz w:val="20"/>
                <w:szCs w:val="20"/>
                <w:color w:val="auto"/>
              </w:rPr>
            </w:pPr>
            <w:r>
              <w:rPr>
                <w:rFonts w:ascii="Arial" w:cs="Arial" w:eastAsia="Arial" w:hAnsi="Arial"/>
                <w:sz w:val="18"/>
                <w:szCs w:val="18"/>
                <w:color w:val="auto"/>
              </w:rPr>
              <w:t>Article 7 LIABILITY AND INDEMNIFICATION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7.1</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Limitation on Liability of Members, Directors and Officers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780" w:type="dxa"/>
            <w:vAlign w:val="bottom"/>
            <w:gridSpan w:val="2"/>
          </w:tcPr>
          <w:p>
            <w:pPr>
              <w:jc w:val="center"/>
              <w:ind w:right="3880"/>
              <w:spacing w:after="0"/>
              <w:rPr>
                <w:sz w:val="20"/>
                <w:szCs w:val="20"/>
                <w:color w:val="auto"/>
              </w:rPr>
            </w:pPr>
            <w:r>
              <w:rPr>
                <w:rFonts w:ascii="Arial" w:cs="Arial" w:eastAsia="Arial" w:hAnsi="Arial"/>
                <w:sz w:val="18"/>
                <w:szCs w:val="18"/>
                <w:color w:val="auto"/>
              </w:rPr>
              <w:t>i</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36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38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gridSpan w:val="2"/>
          </w:tcPr>
          <w:p>
            <w:pPr>
              <w:spacing w:after="0"/>
              <w:rPr>
                <w:sz w:val="11"/>
                <w:szCs w:val="11"/>
                <w:color w:val="auto"/>
              </w:rPr>
            </w:pPr>
          </w:p>
        </w:tc>
      </w:tr>
      <w:tr>
        <w:trPr>
          <w:trHeight w:val="780"/>
        </w:trPr>
        <w:tc>
          <w:tcPr>
            <w:tcW w:w="1080" w:type="dxa"/>
            <w:vAlign w:val="bottom"/>
          </w:tcPr>
          <w:p>
            <w:pPr>
              <w:ind w:left="540"/>
              <w:spacing w:after="0"/>
              <w:rPr>
                <w:sz w:val="20"/>
                <w:szCs w:val="20"/>
                <w:color w:val="auto"/>
              </w:rPr>
            </w:pPr>
            <w:r>
              <w:rPr>
                <w:rFonts w:ascii="Arial" w:cs="Arial" w:eastAsia="Arial" w:hAnsi="Arial"/>
                <w:sz w:val="18"/>
                <w:szCs w:val="18"/>
                <w:color w:val="auto"/>
              </w:rPr>
              <w:t>7.2</w:t>
            </w:r>
          </w:p>
        </w:tc>
        <w:tc>
          <w:tcPr>
            <w:tcW w:w="9460" w:type="dxa"/>
            <w:vAlign w:val="bottom"/>
            <w:gridSpan w:val="3"/>
          </w:tcPr>
          <w:p>
            <w:pPr>
              <w:ind w:left="200"/>
              <w:spacing w:after="0"/>
              <w:rPr>
                <w:sz w:val="20"/>
                <w:szCs w:val="20"/>
                <w:color w:val="auto"/>
              </w:rPr>
            </w:pPr>
            <w:r>
              <w:rPr>
                <w:rFonts w:ascii="Arial" w:cs="Arial" w:eastAsia="Arial" w:hAnsi="Arial"/>
                <w:sz w:val="18"/>
                <w:szCs w:val="18"/>
                <w:color w:val="auto"/>
              </w:rPr>
              <w:t>Indemnification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10540" w:type="dxa"/>
            <w:vAlign w:val="bottom"/>
            <w:gridSpan w:val="4"/>
          </w:tcPr>
          <w:p>
            <w:pPr>
              <w:spacing w:after="0"/>
              <w:rPr>
                <w:sz w:val="20"/>
                <w:szCs w:val="20"/>
                <w:color w:val="auto"/>
              </w:rPr>
            </w:pPr>
            <w:r>
              <w:rPr>
                <w:rFonts w:ascii="Arial" w:cs="Arial" w:eastAsia="Arial" w:hAnsi="Arial"/>
                <w:sz w:val="18"/>
                <w:szCs w:val="18"/>
                <w:color w:val="auto"/>
              </w:rPr>
              <w:t>Article 8 TRANSFERS OF UniTS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1" w:right="19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8.1</w:t>
            </w:r>
          </w:p>
        </w:tc>
        <w:tc>
          <w:tcPr>
            <w:tcW w:w="7060" w:type="dxa"/>
            <w:vAlign w:val="bottom"/>
          </w:tcPr>
          <w:p>
            <w:pPr>
              <w:ind w:left="160"/>
              <w:spacing w:after="0"/>
              <w:rPr>
                <w:sz w:val="20"/>
                <w:szCs w:val="20"/>
                <w:color w:val="auto"/>
              </w:rPr>
            </w:pPr>
            <w:r>
              <w:rPr>
                <w:rFonts w:ascii="Arial" w:cs="Arial" w:eastAsia="Arial" w:hAnsi="Arial"/>
                <w:sz w:val="18"/>
                <w:szCs w:val="18"/>
                <w:color w:val="auto"/>
              </w:rPr>
              <w:t>General Restrictions</w:t>
            </w:r>
          </w:p>
        </w:tc>
        <w:tc>
          <w:tcPr>
            <w:tcW w:w="3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8.2</w:t>
            </w:r>
          </w:p>
        </w:tc>
        <w:tc>
          <w:tcPr>
            <w:tcW w:w="7060" w:type="dxa"/>
            <w:vAlign w:val="bottom"/>
          </w:tcPr>
          <w:p>
            <w:pPr>
              <w:ind w:left="160"/>
              <w:spacing w:after="0"/>
              <w:rPr>
                <w:sz w:val="20"/>
                <w:szCs w:val="20"/>
                <w:color w:val="auto"/>
              </w:rPr>
            </w:pPr>
            <w:r>
              <w:rPr>
                <w:rFonts w:ascii="Arial" w:cs="Arial" w:eastAsia="Arial" w:hAnsi="Arial"/>
                <w:sz w:val="18"/>
                <w:szCs w:val="18"/>
                <w:color w:val="auto"/>
              </w:rPr>
              <w:t>Substitute Members</w:t>
            </w:r>
          </w:p>
        </w:tc>
        <w:tc>
          <w:tcPr>
            <w:tcW w:w="3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8.3</w:t>
            </w:r>
          </w:p>
        </w:tc>
        <w:tc>
          <w:tcPr>
            <w:tcW w:w="7060" w:type="dxa"/>
            <w:vAlign w:val="bottom"/>
          </w:tcPr>
          <w:p>
            <w:pPr>
              <w:ind w:left="160"/>
              <w:spacing w:after="0"/>
              <w:rPr>
                <w:sz w:val="20"/>
                <w:szCs w:val="20"/>
                <w:color w:val="auto"/>
              </w:rPr>
            </w:pPr>
            <w:r>
              <w:rPr>
                <w:rFonts w:ascii="Arial" w:cs="Arial" w:eastAsia="Arial" w:hAnsi="Arial"/>
                <w:sz w:val="18"/>
                <w:szCs w:val="18"/>
                <w:color w:val="auto"/>
              </w:rPr>
              <w:t>Effect of Admission as a Substitute Member</w:t>
            </w:r>
          </w:p>
        </w:tc>
        <w:tc>
          <w:tcPr>
            <w:tcW w:w="3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8.4</w:t>
            </w:r>
          </w:p>
        </w:tc>
        <w:tc>
          <w:tcPr>
            <w:tcW w:w="7060" w:type="dxa"/>
            <w:vAlign w:val="bottom"/>
          </w:tcPr>
          <w:p>
            <w:pPr>
              <w:ind w:left="160"/>
              <w:spacing w:after="0"/>
              <w:rPr>
                <w:sz w:val="20"/>
                <w:szCs w:val="20"/>
                <w:color w:val="auto"/>
              </w:rPr>
            </w:pPr>
            <w:r>
              <w:rPr>
                <w:rFonts w:ascii="Arial" w:cs="Arial" w:eastAsia="Arial" w:hAnsi="Arial"/>
                <w:sz w:val="18"/>
                <w:szCs w:val="18"/>
                <w:color w:val="auto"/>
              </w:rPr>
              <w:t>Consent</w:t>
            </w:r>
          </w:p>
        </w:tc>
        <w:tc>
          <w:tcPr>
            <w:tcW w:w="3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8.5</w:t>
            </w:r>
          </w:p>
        </w:tc>
        <w:tc>
          <w:tcPr>
            <w:tcW w:w="7060" w:type="dxa"/>
            <w:vAlign w:val="bottom"/>
          </w:tcPr>
          <w:p>
            <w:pPr>
              <w:ind w:left="160"/>
              <w:spacing w:after="0"/>
              <w:rPr>
                <w:sz w:val="20"/>
                <w:szCs w:val="20"/>
                <w:color w:val="auto"/>
              </w:rPr>
            </w:pPr>
            <w:r>
              <w:rPr>
                <w:rFonts w:ascii="Arial" w:cs="Arial" w:eastAsia="Arial" w:hAnsi="Arial"/>
                <w:sz w:val="18"/>
                <w:szCs w:val="18"/>
                <w:color w:val="auto"/>
              </w:rPr>
              <w:t>No Dissolution</w:t>
            </w:r>
          </w:p>
        </w:tc>
        <w:tc>
          <w:tcPr>
            <w:tcW w:w="3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120" w:type="dxa"/>
            <w:vAlign w:val="bottom"/>
          </w:tcPr>
          <w:p>
            <w:pPr>
              <w:ind w:left="540"/>
              <w:spacing w:after="0"/>
              <w:rPr>
                <w:sz w:val="20"/>
                <w:szCs w:val="20"/>
                <w:color w:val="auto"/>
              </w:rPr>
            </w:pPr>
            <w:r>
              <w:rPr>
                <w:rFonts w:ascii="Arial" w:cs="Arial" w:eastAsia="Arial" w:hAnsi="Arial"/>
                <w:sz w:val="18"/>
                <w:szCs w:val="18"/>
                <w:color w:val="auto"/>
              </w:rPr>
              <w:t>8.6</w:t>
            </w:r>
          </w:p>
        </w:tc>
        <w:tc>
          <w:tcPr>
            <w:tcW w:w="7060" w:type="dxa"/>
            <w:vAlign w:val="bottom"/>
          </w:tcPr>
          <w:p>
            <w:pPr>
              <w:ind w:left="160"/>
              <w:spacing w:after="0"/>
              <w:rPr>
                <w:sz w:val="20"/>
                <w:szCs w:val="20"/>
                <w:color w:val="auto"/>
              </w:rPr>
            </w:pPr>
            <w:r>
              <w:rPr>
                <w:rFonts w:ascii="Arial" w:cs="Arial" w:eastAsia="Arial" w:hAnsi="Arial"/>
                <w:sz w:val="18"/>
                <w:szCs w:val="18"/>
                <w:color w:val="auto"/>
              </w:rPr>
              <w:t>Additional Members</w:t>
            </w:r>
          </w:p>
        </w:tc>
        <w:tc>
          <w:tcPr>
            <w:tcW w:w="3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9 DISSOLUTION AND TERMINATION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9.1</w:t>
            </w:r>
          </w:p>
        </w:tc>
        <w:tc>
          <w:tcPr>
            <w:tcW w:w="7060" w:type="dxa"/>
            <w:vAlign w:val="bottom"/>
          </w:tcPr>
          <w:p>
            <w:pPr>
              <w:ind w:left="160"/>
              <w:spacing w:after="0"/>
              <w:rPr>
                <w:sz w:val="20"/>
                <w:szCs w:val="20"/>
                <w:color w:val="auto"/>
              </w:rPr>
            </w:pPr>
            <w:r>
              <w:rPr>
                <w:rFonts w:ascii="Arial" w:cs="Arial" w:eastAsia="Arial" w:hAnsi="Arial"/>
                <w:sz w:val="18"/>
                <w:szCs w:val="18"/>
                <w:color w:val="auto"/>
              </w:rPr>
              <w:t>Events Causing Dissolution</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9.2</w:t>
            </w:r>
          </w:p>
        </w:tc>
        <w:tc>
          <w:tcPr>
            <w:tcW w:w="7060" w:type="dxa"/>
            <w:vAlign w:val="bottom"/>
          </w:tcPr>
          <w:p>
            <w:pPr>
              <w:ind w:left="160"/>
              <w:spacing w:after="0"/>
              <w:rPr>
                <w:sz w:val="20"/>
                <w:szCs w:val="20"/>
                <w:color w:val="auto"/>
              </w:rPr>
            </w:pPr>
            <w:r>
              <w:rPr>
                <w:rFonts w:ascii="Arial" w:cs="Arial" w:eastAsia="Arial" w:hAnsi="Arial"/>
                <w:sz w:val="18"/>
                <w:szCs w:val="18"/>
                <w:color w:val="auto"/>
              </w:rPr>
              <w:t>Final Accounting</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9.3</w:t>
            </w:r>
          </w:p>
        </w:tc>
        <w:tc>
          <w:tcPr>
            <w:tcW w:w="7060" w:type="dxa"/>
            <w:vAlign w:val="bottom"/>
          </w:tcPr>
          <w:p>
            <w:pPr>
              <w:ind w:left="160"/>
              <w:spacing w:after="0"/>
              <w:rPr>
                <w:sz w:val="20"/>
                <w:szCs w:val="20"/>
                <w:color w:val="auto"/>
              </w:rPr>
            </w:pPr>
            <w:r>
              <w:rPr>
                <w:rFonts w:ascii="Arial" w:cs="Arial" w:eastAsia="Arial" w:hAnsi="Arial"/>
                <w:sz w:val="18"/>
                <w:szCs w:val="18"/>
                <w:color w:val="auto"/>
              </w:rPr>
              <w:t>Distributions Following Dissolution and Termination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9.4</w:t>
            </w:r>
          </w:p>
        </w:tc>
        <w:tc>
          <w:tcPr>
            <w:tcW w:w="7060" w:type="dxa"/>
            <w:vAlign w:val="bottom"/>
          </w:tcPr>
          <w:p>
            <w:pPr>
              <w:ind w:left="160"/>
              <w:spacing w:after="0"/>
              <w:rPr>
                <w:sz w:val="20"/>
                <w:szCs w:val="20"/>
                <w:color w:val="auto"/>
              </w:rPr>
            </w:pPr>
            <w:r>
              <w:rPr>
                <w:rFonts w:ascii="Arial" w:cs="Arial" w:eastAsia="Arial" w:hAnsi="Arial"/>
                <w:sz w:val="18"/>
                <w:szCs w:val="18"/>
                <w:color w:val="auto"/>
              </w:rPr>
              <w:t>Termination of the Company</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120" w:type="dxa"/>
            <w:vAlign w:val="bottom"/>
          </w:tcPr>
          <w:p>
            <w:pPr>
              <w:ind w:left="540"/>
              <w:spacing w:after="0"/>
              <w:rPr>
                <w:sz w:val="20"/>
                <w:szCs w:val="20"/>
                <w:color w:val="auto"/>
              </w:rPr>
            </w:pPr>
            <w:r>
              <w:rPr>
                <w:rFonts w:ascii="Arial" w:cs="Arial" w:eastAsia="Arial" w:hAnsi="Arial"/>
                <w:sz w:val="18"/>
                <w:szCs w:val="18"/>
                <w:color w:val="auto"/>
              </w:rPr>
              <w:t>9.5</w:t>
            </w:r>
          </w:p>
        </w:tc>
        <w:tc>
          <w:tcPr>
            <w:tcW w:w="7060" w:type="dxa"/>
            <w:vAlign w:val="bottom"/>
          </w:tcPr>
          <w:p>
            <w:pPr>
              <w:ind w:left="160"/>
              <w:spacing w:after="0"/>
              <w:rPr>
                <w:sz w:val="20"/>
                <w:szCs w:val="20"/>
                <w:color w:val="auto"/>
              </w:rPr>
            </w:pPr>
            <w:r>
              <w:rPr>
                <w:rFonts w:ascii="Arial" w:cs="Arial" w:eastAsia="Arial" w:hAnsi="Arial"/>
                <w:sz w:val="18"/>
                <w:szCs w:val="18"/>
                <w:color w:val="auto"/>
              </w:rPr>
              <w:t>No Action for Dissolution</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10 ACCOUNTING; Books and Records</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10.1</w:t>
            </w:r>
          </w:p>
        </w:tc>
        <w:tc>
          <w:tcPr>
            <w:tcW w:w="7060" w:type="dxa"/>
            <w:vAlign w:val="bottom"/>
          </w:tcPr>
          <w:p>
            <w:pPr>
              <w:ind w:left="160"/>
              <w:spacing w:after="0"/>
              <w:rPr>
                <w:sz w:val="20"/>
                <w:szCs w:val="20"/>
                <w:color w:val="auto"/>
              </w:rPr>
            </w:pPr>
            <w:r>
              <w:rPr>
                <w:rFonts w:ascii="Arial" w:cs="Arial" w:eastAsia="Arial" w:hAnsi="Arial"/>
                <w:sz w:val="18"/>
                <w:szCs w:val="18"/>
                <w:color w:val="auto"/>
              </w:rPr>
              <w:t>Fiscal Year and Accounting Method</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10.2</w:t>
            </w:r>
          </w:p>
        </w:tc>
        <w:tc>
          <w:tcPr>
            <w:tcW w:w="706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10.3</w:t>
            </w:r>
          </w:p>
        </w:tc>
        <w:tc>
          <w:tcPr>
            <w:tcW w:w="7060" w:type="dxa"/>
            <w:vAlign w:val="bottom"/>
          </w:tcPr>
          <w:p>
            <w:pPr>
              <w:ind w:left="160"/>
              <w:spacing w:after="0"/>
              <w:rPr>
                <w:sz w:val="20"/>
                <w:szCs w:val="20"/>
                <w:color w:val="auto"/>
              </w:rPr>
            </w:pPr>
            <w:r>
              <w:rPr>
                <w:rFonts w:ascii="Arial" w:cs="Arial" w:eastAsia="Arial" w:hAnsi="Arial"/>
                <w:sz w:val="18"/>
                <w:szCs w:val="18"/>
                <w:color w:val="auto"/>
              </w:rPr>
              <w:t>Delivery to Members; Inspection</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120" w:type="dxa"/>
            <w:vAlign w:val="bottom"/>
          </w:tcPr>
          <w:p>
            <w:pPr>
              <w:ind w:left="540"/>
              <w:spacing w:after="0"/>
              <w:rPr>
                <w:sz w:val="20"/>
                <w:szCs w:val="20"/>
                <w:color w:val="auto"/>
              </w:rPr>
            </w:pPr>
            <w:r>
              <w:rPr>
                <w:rFonts w:ascii="Arial" w:cs="Arial" w:eastAsia="Arial" w:hAnsi="Arial"/>
                <w:sz w:val="18"/>
                <w:szCs w:val="18"/>
                <w:color w:val="auto"/>
              </w:rPr>
              <w:t>10.4</w:t>
            </w:r>
          </w:p>
        </w:tc>
        <w:tc>
          <w:tcPr>
            <w:tcW w:w="7060" w:type="dxa"/>
            <w:vAlign w:val="bottom"/>
          </w:tcPr>
          <w:p>
            <w:pPr>
              <w:ind w:left="160"/>
              <w:spacing w:after="0"/>
              <w:rPr>
                <w:sz w:val="20"/>
                <w:szCs w:val="20"/>
                <w:color w:val="auto"/>
              </w:rPr>
            </w:pPr>
            <w:r>
              <w:rPr>
                <w:rFonts w:ascii="Arial" w:cs="Arial" w:eastAsia="Arial" w:hAnsi="Arial"/>
                <w:sz w:val="18"/>
                <w:szCs w:val="18"/>
                <w:color w:val="auto"/>
              </w:rPr>
              <w:t>Non-Disclosure</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11 NON-COMPETITION AND NON-SOLICITATION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11.1</w:t>
            </w:r>
          </w:p>
        </w:tc>
        <w:tc>
          <w:tcPr>
            <w:tcW w:w="7060" w:type="dxa"/>
            <w:vAlign w:val="bottom"/>
          </w:tcPr>
          <w:p>
            <w:pPr>
              <w:ind w:left="160"/>
              <w:spacing w:after="0"/>
              <w:rPr>
                <w:sz w:val="20"/>
                <w:szCs w:val="20"/>
                <w:color w:val="auto"/>
              </w:rPr>
            </w:pPr>
            <w:r>
              <w:rPr>
                <w:rFonts w:ascii="Arial" w:cs="Arial" w:eastAsia="Arial" w:hAnsi="Arial"/>
                <w:sz w:val="18"/>
                <w:szCs w:val="18"/>
                <w:color w:val="auto"/>
              </w:rPr>
              <w:t>Non-Competition</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11.2</w:t>
            </w:r>
          </w:p>
        </w:tc>
        <w:tc>
          <w:tcPr>
            <w:tcW w:w="7060" w:type="dxa"/>
            <w:vAlign w:val="bottom"/>
          </w:tcPr>
          <w:p>
            <w:pPr>
              <w:ind w:left="160"/>
              <w:spacing w:after="0"/>
              <w:rPr>
                <w:sz w:val="20"/>
                <w:szCs w:val="20"/>
                <w:color w:val="auto"/>
              </w:rPr>
            </w:pPr>
            <w:r>
              <w:rPr>
                <w:rFonts w:ascii="Arial" w:cs="Arial" w:eastAsia="Arial" w:hAnsi="Arial"/>
                <w:sz w:val="18"/>
                <w:szCs w:val="18"/>
                <w:color w:val="auto"/>
              </w:rPr>
              <w:t>Non-Solicitation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11.3</w:t>
            </w:r>
          </w:p>
        </w:tc>
        <w:tc>
          <w:tcPr>
            <w:tcW w:w="7060" w:type="dxa"/>
            <w:vAlign w:val="bottom"/>
          </w:tcPr>
          <w:p>
            <w:pPr>
              <w:ind w:left="160"/>
              <w:spacing w:after="0"/>
              <w:rPr>
                <w:sz w:val="20"/>
                <w:szCs w:val="20"/>
                <w:color w:val="auto"/>
              </w:rPr>
            </w:pPr>
            <w:r>
              <w:rPr>
                <w:rFonts w:ascii="Arial" w:cs="Arial" w:eastAsia="Arial" w:hAnsi="Arial"/>
                <w:sz w:val="18"/>
                <w:szCs w:val="18"/>
                <w:color w:val="auto"/>
              </w:rPr>
              <w:t>Damages</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120" w:type="dxa"/>
            <w:vAlign w:val="bottom"/>
          </w:tcPr>
          <w:p>
            <w:pPr>
              <w:ind w:left="540"/>
              <w:spacing w:after="0"/>
              <w:rPr>
                <w:sz w:val="20"/>
                <w:szCs w:val="20"/>
                <w:color w:val="auto"/>
              </w:rPr>
            </w:pPr>
            <w:r>
              <w:rPr>
                <w:rFonts w:ascii="Arial" w:cs="Arial" w:eastAsia="Arial" w:hAnsi="Arial"/>
                <w:sz w:val="18"/>
                <w:szCs w:val="18"/>
                <w:color w:val="auto"/>
              </w:rPr>
              <w:t>11.4</w:t>
            </w:r>
          </w:p>
        </w:tc>
        <w:tc>
          <w:tcPr>
            <w:tcW w:w="7060" w:type="dxa"/>
            <w:vAlign w:val="bottom"/>
          </w:tcPr>
          <w:p>
            <w:pPr>
              <w:ind w:left="160"/>
              <w:spacing w:after="0"/>
              <w:rPr>
                <w:sz w:val="20"/>
                <w:szCs w:val="20"/>
                <w:color w:val="auto"/>
              </w:rPr>
            </w:pPr>
            <w:r>
              <w:rPr>
                <w:rFonts w:ascii="Arial" w:cs="Arial" w:eastAsia="Arial" w:hAnsi="Arial"/>
                <w:sz w:val="18"/>
                <w:szCs w:val="18"/>
                <w:color w:val="auto"/>
              </w:rPr>
              <w:t>Limitations</w:t>
            </w:r>
          </w:p>
        </w:tc>
        <w:tc>
          <w:tcPr>
            <w:tcW w:w="3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12 MISCELLANEOUS</w:t>
            </w:r>
          </w:p>
        </w:tc>
        <w:tc>
          <w:tcPr>
            <w:tcW w:w="3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12.1</w:t>
            </w:r>
          </w:p>
        </w:tc>
        <w:tc>
          <w:tcPr>
            <w:tcW w:w="7060" w:type="dxa"/>
            <w:vAlign w:val="bottom"/>
          </w:tcPr>
          <w:p>
            <w:pPr>
              <w:ind w:left="160"/>
              <w:spacing w:after="0"/>
              <w:rPr>
                <w:sz w:val="20"/>
                <w:szCs w:val="20"/>
                <w:color w:val="auto"/>
              </w:rPr>
            </w:pPr>
            <w:r>
              <w:rPr>
                <w:rFonts w:ascii="Arial" w:cs="Arial" w:eastAsia="Arial" w:hAnsi="Arial"/>
                <w:sz w:val="18"/>
                <w:szCs w:val="18"/>
                <w:color w:val="auto"/>
              </w:rPr>
              <w:t>Waiver of Default</w:t>
            </w:r>
          </w:p>
        </w:tc>
        <w:tc>
          <w:tcPr>
            <w:tcW w:w="3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12.2</w:t>
            </w:r>
          </w:p>
        </w:tc>
        <w:tc>
          <w:tcPr>
            <w:tcW w:w="7060" w:type="dxa"/>
            <w:vAlign w:val="bottom"/>
          </w:tcPr>
          <w:p>
            <w:pPr>
              <w:ind w:left="160"/>
              <w:spacing w:after="0"/>
              <w:rPr>
                <w:sz w:val="20"/>
                <w:szCs w:val="20"/>
                <w:color w:val="auto"/>
              </w:rPr>
            </w:pPr>
            <w:r>
              <w:rPr>
                <w:rFonts w:ascii="Arial" w:cs="Arial" w:eastAsia="Arial" w:hAnsi="Arial"/>
                <w:sz w:val="18"/>
                <w:szCs w:val="18"/>
                <w:color w:val="auto"/>
              </w:rPr>
              <w:t>Amendment</w:t>
            </w:r>
          </w:p>
        </w:tc>
        <w:tc>
          <w:tcPr>
            <w:tcW w:w="3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12.3</w:t>
            </w:r>
          </w:p>
        </w:tc>
        <w:tc>
          <w:tcPr>
            <w:tcW w:w="7060" w:type="dxa"/>
            <w:vAlign w:val="bottom"/>
          </w:tcPr>
          <w:p>
            <w:pPr>
              <w:ind w:left="160"/>
              <w:spacing w:after="0"/>
              <w:rPr>
                <w:sz w:val="20"/>
                <w:szCs w:val="20"/>
                <w:color w:val="auto"/>
              </w:rPr>
            </w:pPr>
            <w:r>
              <w:rPr>
                <w:rFonts w:ascii="Arial" w:cs="Arial" w:eastAsia="Arial" w:hAnsi="Arial"/>
                <w:sz w:val="18"/>
                <w:szCs w:val="18"/>
                <w:color w:val="auto"/>
              </w:rPr>
              <w:t>No Third Party Rights</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12.4</w:t>
            </w:r>
          </w:p>
        </w:tc>
        <w:tc>
          <w:tcPr>
            <w:tcW w:w="70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12.5</w:t>
            </w:r>
          </w:p>
        </w:tc>
        <w:tc>
          <w:tcPr>
            <w:tcW w:w="7060" w:type="dxa"/>
            <w:vAlign w:val="bottom"/>
          </w:tcPr>
          <w:p>
            <w:pPr>
              <w:ind w:left="160"/>
              <w:spacing w:after="0"/>
              <w:rPr>
                <w:sz w:val="20"/>
                <w:szCs w:val="20"/>
                <w:color w:val="auto"/>
              </w:rPr>
            </w:pPr>
            <w:r>
              <w:rPr>
                <w:rFonts w:ascii="Arial" w:cs="Arial" w:eastAsia="Arial" w:hAnsi="Arial"/>
                <w:sz w:val="18"/>
                <w:szCs w:val="18"/>
                <w:color w:val="auto"/>
              </w:rPr>
              <w:t>Nature of Interest in the Company</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12.6</w:t>
            </w:r>
          </w:p>
        </w:tc>
        <w:tc>
          <w:tcPr>
            <w:tcW w:w="7060" w:type="dxa"/>
            <w:vAlign w:val="bottom"/>
          </w:tcPr>
          <w:p>
            <w:pPr>
              <w:ind w:left="160"/>
              <w:spacing w:after="0"/>
              <w:rPr>
                <w:sz w:val="20"/>
                <w:szCs w:val="20"/>
                <w:color w:val="auto"/>
              </w:rPr>
            </w:pPr>
            <w:r>
              <w:rPr>
                <w:rFonts w:ascii="Arial" w:cs="Arial" w:eastAsia="Arial" w:hAnsi="Arial"/>
                <w:sz w:val="18"/>
                <w:szCs w:val="18"/>
                <w:color w:val="auto"/>
              </w:rPr>
              <w:t>Binding Agreement</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12.7</w:t>
            </w:r>
          </w:p>
        </w:tc>
        <w:tc>
          <w:tcPr>
            <w:tcW w:w="7060" w:type="dxa"/>
            <w:vAlign w:val="bottom"/>
          </w:tcPr>
          <w:p>
            <w:pPr>
              <w:ind w:left="160"/>
              <w:spacing w:after="0"/>
              <w:rPr>
                <w:sz w:val="20"/>
                <w:szCs w:val="20"/>
                <w:color w:val="auto"/>
              </w:rPr>
            </w:pPr>
            <w:r>
              <w:rPr>
                <w:rFonts w:ascii="Arial" w:cs="Arial" w:eastAsia="Arial" w:hAnsi="Arial"/>
                <w:sz w:val="18"/>
                <w:szCs w:val="18"/>
                <w:color w:val="auto"/>
              </w:rPr>
              <w:t>Headings</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12.8</w:t>
            </w:r>
          </w:p>
        </w:tc>
        <w:tc>
          <w:tcPr>
            <w:tcW w:w="7060" w:type="dxa"/>
            <w:vAlign w:val="bottom"/>
          </w:tcPr>
          <w:p>
            <w:pPr>
              <w:ind w:left="160"/>
              <w:spacing w:after="0"/>
              <w:rPr>
                <w:sz w:val="20"/>
                <w:szCs w:val="20"/>
                <w:color w:val="auto"/>
              </w:rPr>
            </w:pPr>
            <w:r>
              <w:rPr>
                <w:rFonts w:ascii="Arial" w:cs="Arial" w:eastAsia="Arial" w:hAnsi="Arial"/>
                <w:sz w:val="18"/>
                <w:szCs w:val="18"/>
                <w:color w:val="auto"/>
              </w:rPr>
              <w:t>Word Meanings</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12.9</w:t>
            </w:r>
          </w:p>
        </w:tc>
        <w:tc>
          <w:tcPr>
            <w:tcW w:w="70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12.10</w:t>
            </w:r>
          </w:p>
        </w:tc>
        <w:tc>
          <w:tcPr>
            <w:tcW w:w="706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12.11</w:t>
            </w:r>
          </w:p>
        </w:tc>
        <w:tc>
          <w:tcPr>
            <w:tcW w:w="7060" w:type="dxa"/>
            <w:vAlign w:val="bottom"/>
          </w:tcPr>
          <w:p>
            <w:pPr>
              <w:ind w:left="160"/>
              <w:spacing w:after="0"/>
              <w:rPr>
                <w:sz w:val="20"/>
                <w:szCs w:val="20"/>
                <w:color w:val="auto"/>
              </w:rPr>
            </w:pPr>
            <w:r>
              <w:rPr>
                <w:rFonts w:ascii="Arial" w:cs="Arial" w:eastAsia="Arial" w:hAnsi="Arial"/>
                <w:sz w:val="18"/>
                <w:szCs w:val="18"/>
                <w:color w:val="auto"/>
              </w:rPr>
              <w:t>Partition</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120" w:type="dxa"/>
            <w:vAlign w:val="bottom"/>
          </w:tcPr>
          <w:p>
            <w:pPr>
              <w:ind w:left="540"/>
              <w:spacing w:after="0"/>
              <w:rPr>
                <w:sz w:val="20"/>
                <w:szCs w:val="20"/>
                <w:color w:val="auto"/>
              </w:rPr>
            </w:pPr>
            <w:r>
              <w:rPr>
                <w:rFonts w:ascii="Arial" w:cs="Arial" w:eastAsia="Arial" w:hAnsi="Arial"/>
                <w:sz w:val="18"/>
                <w:szCs w:val="18"/>
                <w:color w:val="auto"/>
              </w:rPr>
              <w:t>12.12</w:t>
            </w:r>
          </w:p>
        </w:tc>
        <w:tc>
          <w:tcPr>
            <w:tcW w:w="7060" w:type="dxa"/>
            <w:vAlign w:val="bottom"/>
          </w:tcPr>
          <w:p>
            <w:pPr>
              <w:ind w:left="160"/>
              <w:spacing w:after="0"/>
              <w:rPr>
                <w:sz w:val="20"/>
                <w:szCs w:val="20"/>
                <w:color w:val="auto"/>
              </w:rPr>
            </w:pPr>
            <w:r>
              <w:rPr>
                <w:rFonts w:ascii="Arial" w:cs="Arial" w:eastAsia="Arial" w:hAnsi="Arial"/>
                <w:sz w:val="18"/>
                <w:szCs w:val="18"/>
                <w:color w:val="auto"/>
              </w:rPr>
              <w:t>Governing Law; Consent to Jurisdiction and Venue</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11"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THIS AMENDED AND RESTATED LIMITED LIABILITY COMPANY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PAA GP Holdings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and entered into as of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October, 2013, by and among the Persons executing this Agreement on the signature pages hereto as a member (together with such other Persons that may hereafter become members as provided herein, referred to collectively as the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or, individually, as a “</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the Company was formed on July 17, 2013 as a limited liability company under the Act (as defined below) by the filing of a certificate of formation of the Company with the Delaware Secretary of State;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Members desire to amend and restate the original PAA GP Holdings LLC Limited Liability Company Agreement in its entirety with the terms and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contained herein,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 unless the context otherwise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means the Class A Units of AAP, having the rights and obligations specified in the AAP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the Class B Units of AAP, having the rights and obligations specified in the AAP Partnership 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Seventh Amended and Restated Limited Partnership Agreement, dated as of the date hereof, as such may be further amended, modified, supplemented or restated from time to time in accordance with the terms thereof.</w:t>
      </w:r>
    </w:p>
    <w:p>
      <w:pPr>
        <w:sectPr>
          <w:pgSz w:w="11900" w:h="16838" w:orient="portrait"/>
          <w:cols w:equalWidth="0" w:num="1">
            <w:col w:w="11420"/>
          </w:cols>
          <w:pgMar w:left="240" w:top="125" w:right="239" w:bottom="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 Person, whether through ownership of voting securities, by contract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88" w:lineRule="exact"/>
        <w:rPr>
          <w:sz w:val="20"/>
          <w:szCs w:val="20"/>
          <w:color w:val="auto"/>
        </w:rPr>
      </w:pPr>
    </w:p>
    <w:p>
      <w:pPr>
        <w:ind w:left="660" w:right="20" w:hanging="4"/>
        <w:spacing w:after="0" w:line="312" w:lineRule="auto"/>
        <w:tabs>
          <w:tab w:leader="none" w:pos="130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individual who is an officer or director of the Company or any Group Member (excluding the Chief Executive Officer and Chairman of the Board) shall not be considered to be an Affiliate of the Company or any Group Member solely by virtue of such Person’s status as an officer or director and the possession of the powers that are within the scope of the designated or delegated authority of such officer or director;</w:t>
      </w:r>
    </w:p>
    <w:p>
      <w:pPr>
        <w:spacing w:after="0" w:line="146" w:lineRule="exact"/>
        <w:rPr>
          <w:rFonts w:ascii="Arial" w:cs="Arial" w:eastAsia="Arial" w:hAnsi="Arial"/>
          <w:sz w:val="16"/>
          <w:szCs w:val="16"/>
          <w:color w:val="auto"/>
        </w:rPr>
      </w:pPr>
    </w:p>
    <w:p>
      <w:pPr>
        <w:ind w:left="660" w:right="220" w:hanging="4"/>
        <w:spacing w:after="0" w:line="264" w:lineRule="auto"/>
        <w:tabs>
          <w:tab w:leader="none" w:pos="131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number of outstanding Company Units shall not be considered to be an Affiliate of the Company or any Group Member solely by virtue of the ownership by such Person (and Affiliate Group, if applicable) of such Company Units; and</w:t>
      </w:r>
    </w:p>
    <w:p>
      <w:pPr>
        <w:spacing w:after="0" w:line="181" w:lineRule="exact"/>
        <w:rPr>
          <w:rFonts w:ascii="Arial" w:cs="Arial" w:eastAsia="Arial" w:hAnsi="Arial"/>
          <w:sz w:val="18"/>
          <w:szCs w:val="18"/>
          <w:color w:val="auto"/>
        </w:rPr>
      </w:pPr>
    </w:p>
    <w:p>
      <w:pPr>
        <w:ind w:left="660" w:right="180" w:hanging="4"/>
        <w:spacing w:after="0" w:line="312" w:lineRule="auto"/>
        <w:tabs>
          <w:tab w:leader="none" w:pos="131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solely by virtue of the ownership by such Person (and Affiliate Group, if applicable) of such interests.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avoidance of doubt, for purposes of this Agreement, as of the date hereof (but subject to redetermination upon changed circumstances)</w:t>
      </w:r>
    </w:p>
    <w:p>
      <w:pPr>
        <w:spacing w:after="0" w:line="46" w:lineRule="exact"/>
        <w:rPr>
          <w:sz w:val="20"/>
          <w:szCs w:val="20"/>
          <w:color w:val="auto"/>
        </w:rPr>
      </w:pPr>
    </w:p>
    <w:p>
      <w:pPr>
        <w:ind w:right="200" w:firstLine="8"/>
        <w:spacing w:after="0" w:line="255" w:lineRule="auto"/>
        <w:tabs>
          <w:tab w:leader="none" w:pos="2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KAFU Holdings, L.P., KA First Reserve XII, LLC, Kayne Anderson Energy Development Company, Kayne Anderson Midstream/Energy Fund, Inc. and KAFU Holdings II, L.P. is an Affiliate of each other, and (ii) each of EMG Investment, LLC and Lynx Holdings I, LLC is an Affiliate of the other.</w:t>
      </w:r>
    </w:p>
    <w:p>
      <w:pPr>
        <w:spacing w:after="0" w:line="19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 Group</w:t>
      </w:r>
      <w:r>
        <w:rPr>
          <w:rFonts w:ascii="Arial" w:cs="Arial" w:eastAsia="Arial" w:hAnsi="Arial"/>
          <w:sz w:val="16"/>
          <w:szCs w:val="16"/>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has the meaning set forth in the preamble hereof, as such may be amended, supplemented or restated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are listed or admitted for trading,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failure results in the Company ceasing to have the minimum number of Independent Directors required under applicable rules, laws or restrictions of the Commission and any National Securities Exchange on which the PAGP Class A Shares are listed or admitted for trading.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Group</w:t>
      </w:r>
      <w:r>
        <w:rPr>
          <w:rFonts w:ascii="Arial" w:cs="Arial" w:eastAsia="Arial" w:hAnsi="Arial"/>
          <w:sz w:val="16"/>
          <w:szCs w:val="16"/>
          <w:color w:val="auto"/>
        </w:rPr>
        <w:t>” means the Company and its Subsidiaries treated as a single consolidated entity, but excluding the MLP and its Subsidiaries.</w:t>
      </w:r>
    </w:p>
    <w:p>
      <w:pPr>
        <w:sectPr>
          <w:pgSz w:w="11900" w:h="16838" w:orient="portrait"/>
          <w:cols w:equalWidth="0" w:num="1">
            <w:col w:w="11380"/>
          </w:cols>
          <w:pgMar w:left="240" w:top="125" w:right="279" w:bottom="55" w:gutter="0" w:footer="0" w:header="0"/>
        </w:sectPr>
      </w:pPr>
    </w:p>
    <w:bookmarkStart w:id="44" w:name="page45"/>
    <w:bookmarkEnd w:id="4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Unit</w:t>
      </w:r>
      <w:r>
        <w:rPr>
          <w:rFonts w:ascii="Arial" w:cs="Arial" w:eastAsia="Arial" w:hAnsi="Arial"/>
          <w:sz w:val="16"/>
          <w:szCs w:val="16"/>
          <w:color w:val="auto"/>
        </w:rPr>
        <w:t>” means a fractional part of the Membership Interest having the rights and preferences specified with respect to the Membership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Designating Members</w:t>
      </w:r>
      <w:r>
        <w:rPr>
          <w:rFonts w:ascii="Arial" w:cs="Arial" w:eastAsia="Arial" w:hAnsi="Arial"/>
          <w:sz w:val="18"/>
          <w:szCs w:val="18"/>
          <w:color w:val="auto"/>
        </w:rPr>
        <w:t>” means the Initial Designating Members and any Subsequent Designating Members, in each case until a Designation Loss Event with respect to such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Designation Loss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the Initial Members listed on Schedule 1 attached hereto as of the date hereof, excluding PAGP.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Reserve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 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Arial" w:cs="Arial" w:eastAsia="Arial" w:hAnsi="Arial"/>
          <w:sz w:val="16"/>
          <w:szCs w:val="16"/>
          <w:i w:val="1"/>
          <w:iCs w:val="1"/>
          <w:color w:val="auto"/>
        </w:rPr>
        <w:t>provided</w:t>
      </w:r>
      <w:r>
        <w:rPr>
          <w:rFonts w:ascii="Arial" w:cs="Arial" w:eastAsia="Arial" w:hAnsi="Arial"/>
          <w:sz w:val="16"/>
          <w:szCs w:val="16"/>
          <w:color w:val="auto"/>
        </w:rPr>
        <w:t>, that a Person shall not be an Indemnitee by reason of providing, on a fee-for-services basis, trustee, fiduciary or custodial services, and (e) any Person the Board designates an “Indemnitee” for purposes of this Agreement.</w:t>
      </w:r>
    </w:p>
    <w:p>
      <w:pPr>
        <w:spacing w:after="0" w:line="16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means a Director who is eligible to serve on the Board’s Audit Committee (in accordance with the applicable requirements of the Commission and any National Securities Exchange on which the PAGP Class A Shares are listed or admitted for trading).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Designating Members</w:t>
      </w:r>
      <w:r>
        <w:rPr>
          <w:rFonts w:ascii="Arial" w:cs="Arial" w:eastAsia="Arial" w:hAnsi="Arial"/>
          <w:sz w:val="18"/>
          <w:szCs w:val="18"/>
          <w:color w:val="auto"/>
        </w:rPr>
        <w:t>” means Kayne Anderson Capital Advisors L.P., Oxy and EMG Investment,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Members</w:t>
      </w:r>
      <w:r>
        <w:rPr>
          <w:rFonts w:ascii="Arial" w:cs="Arial" w:eastAsia="Arial" w:hAnsi="Arial"/>
          <w:sz w:val="18"/>
          <w:szCs w:val="18"/>
          <w:color w:val="auto"/>
        </w:rPr>
        <w:t xml:space="preserve">” means each of the Members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as of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the PAGP Class A Shares to the public, as described in the Registration Statement.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Investments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 means, with respect to the Members, Members owning more than fifty percent (50%) of the outstanding Company Units.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National Securities Exchange</w:t>
      </w:r>
      <w:r>
        <w:rPr>
          <w:rFonts w:ascii="Arial" w:cs="Arial" w:eastAsia="Arial" w:hAnsi="Arial"/>
          <w:sz w:val="18"/>
          <w:szCs w:val="18"/>
          <w:color w:val="auto"/>
        </w:rPr>
        <w:t>” means an exchange registered with the Commission under Section 6(a) of the Securities Exchange Act or any successor to such statute.</w:t>
      </w:r>
    </w:p>
    <w:p>
      <w:pPr>
        <w:sectPr>
          <w:pgSz w:w="11900" w:h="16838" w:orient="portrait"/>
          <w:cols w:equalWidth="0" w:num="1">
            <w:col w:w="11400"/>
          </w:cols>
          <w:pgMar w:left="240" w:top="125" w:right="259" w:bottom="0" w:gutter="0" w:footer="0" w:header="0"/>
        </w:sectPr>
      </w:pPr>
    </w:p>
    <w:bookmarkStart w:id="45" w:name="page46"/>
    <w:bookmarkEnd w:id="45"/>
    <w:p>
      <w:pPr>
        <w:spacing w:after="0" w:line="5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a writing, containing the information required by this Agreement to be communicated to a party, and shall be deemed to have been received (a) 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the Class A shares in PAGP, having the rights and obligations specified in the PAGP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the Class B shares in PAGP, having the rights and obligations specified in the PAGP Partnership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Limited Partners</w:t>
      </w:r>
      <w:r>
        <w:rPr>
          <w:rFonts w:ascii="Arial" w:cs="Arial" w:eastAsia="Arial" w:hAnsi="Arial"/>
          <w:sz w:val="18"/>
          <w:szCs w:val="18"/>
          <w:color w:val="auto"/>
        </w:rPr>
        <w:t>” means the Limited Partners of PAGP as such term is given meaning in the PAGP Partnership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Partnership Agreement</w:t>
      </w:r>
      <w:r>
        <w:rPr>
          <w:rFonts w:ascii="Arial" w:cs="Arial" w:eastAsia="Arial" w:hAnsi="Arial"/>
          <w:sz w:val="18"/>
          <w:szCs w:val="18"/>
          <w:color w:val="auto"/>
        </w:rPr>
        <w:t>” means the Amended and Restated Agreement of Limited Partnership of PAGP,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Person who shall have acquired and who shall hold a Company Unit pursuant to a Permitted Transfer.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b w:val="1"/>
          <w:bCs w:val="1"/>
          <w:i w:val="1"/>
          <w:iCs w:val="1"/>
          <w:color w:val="auto"/>
        </w:rPr>
        <w:t xml:space="preserve">“Qualifying Interest” </w:t>
      </w:r>
      <w:r>
        <w:rPr>
          <w:rFonts w:ascii="Arial" w:cs="Arial" w:eastAsia="Arial" w:hAnsi="Arial"/>
          <w:sz w:val="17"/>
          <w:szCs w:val="17"/>
          <w:color w:val="auto"/>
        </w:rPr>
        <w:t>means a direct or indirect ownership interest in the issued and outstanding limited partner interests of AAP represented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AAP Class A Units (i.e., excluding any AAP Class B Units), and solely with respect to the Initial Designating Members, including for this purpose any indirect ownership of such AAP Class A Units through the ownership of issued and outstanding PAGP Class A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supplemented or restated from time to time and any successor to such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Designating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6.1(a)(iii)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6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Transferred</w:t>
      </w:r>
      <w:r>
        <w:rPr>
          <w:rFonts w:ascii="Arial" w:cs="Arial" w:eastAsia="Arial" w:hAnsi="Arial"/>
          <w:sz w:val="18"/>
          <w:szCs w:val="18"/>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Trigger Date</w:t>
      </w:r>
      <w:r>
        <w:rPr>
          <w:rFonts w:ascii="Arial" w:cs="Arial" w:eastAsia="Arial" w:hAnsi="Arial"/>
          <w:sz w:val="17"/>
          <w:szCs w:val="17"/>
          <w:color w:val="auto"/>
        </w:rPr>
        <w:t>” means the date on which the overall direct and indirect economic interest of the Existing Owners, their Affiliates and their respective Permitted Transferees (other than the Company or any of its Subsidiaries) in AAP is less than 40%. Such 40% threshold will be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calculated on a fully diluted basis that (i) takes into account any PAGP Class A Shares owned by the Existing Owners, their Affiliates and their respective Permitted Transferees, (ii) assumes the exchange of all outstanding AAP Class B Units for AAP Class A Units based on the then applicable conversion factor applicable to such exchange and attributes the ownership of the AAP Class A Units resulting from such exchange to the Existing Owners and (iii) without duplication of any AAP Class A Units or AAP Class B Units attributed pursuant to clause (ii), attributes to the Existing Owners ownership of any outstanding AAP Class A Units actually issued in exchange for any AAP Class B Units.</w:t>
      </w:r>
    </w:p>
    <w:p>
      <w:pPr>
        <w:spacing w:after="0" w:line="18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ectPr>
          <w:pgSz w:w="11900" w:h="16888" w:orient="portrait"/>
          <w:cols w:equalWidth="0" w:num="1">
            <w:col w:w="11380"/>
          </w:cols>
          <w:pgMar w:left="240" w:top="125" w:right="279" w:bottom="0" w:gutter="0" w:footer="0" w:header="0"/>
        </w:sectPr>
      </w:pPr>
    </w:p>
    <w:bookmarkStart w:id="46" w:name="page47"/>
    <w:bookmarkEnd w:id="46"/>
    <w:p>
      <w:pPr>
        <w:jc w:val="both"/>
        <w:ind w:right="60" w:firstLine="648"/>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Formation</w:t>
      </w:r>
      <w:r>
        <w:rPr>
          <w:rFonts w:ascii="Arial" w:cs="Arial" w:eastAsia="Arial" w:hAnsi="Arial"/>
          <w:sz w:val="17"/>
          <w:szCs w:val="17"/>
          <w:color w:val="auto"/>
        </w:rPr>
        <w:t>.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Company shall be located at 333 Clay Street, Suite 1600, Houston, Texas 77002 or at such other place(s) as the Board may determine from time to time.</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Registered Office and Registered Agent</w:t>
      </w:r>
      <w:r>
        <w:rPr>
          <w:rFonts w:ascii="Arial" w:cs="Arial" w:eastAsia="Arial" w:hAnsi="Arial"/>
          <w:sz w:val="18"/>
          <w:szCs w:val="18"/>
          <w:color w:val="auto"/>
        </w:rPr>
        <w:t>. The location of the registered office and the name of the registered agent of the Company in the State of Delaware shall be as stated in the Certificate or as determined from time to time by the Board.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Purpose of the Company</w:t>
      </w:r>
      <w:r>
        <w:rPr>
          <w:rFonts w:ascii="Arial" w:cs="Arial" w:eastAsia="Arial" w:hAnsi="Arial"/>
          <w:sz w:val="16"/>
          <w:szCs w:val="16"/>
          <w:color w:val="auto"/>
        </w:rPr>
        <w:t>. The Company’s purposes, and the nature of the business to be conducted and promoted by the Company, are</w:t>
      </w:r>
    </w:p>
    <w:p>
      <w:pPr>
        <w:spacing w:after="0" w:line="23" w:lineRule="exact"/>
        <w:rPr>
          <w:sz w:val="20"/>
          <w:szCs w:val="20"/>
          <w:color w:val="auto"/>
        </w:rPr>
      </w:pPr>
    </w:p>
    <w:p>
      <w:pPr>
        <w:ind w:right="720" w:firstLine="8"/>
        <w:spacing w:after="0" w:line="261" w:lineRule="auto"/>
        <w:tabs>
          <w:tab w:leader="none" w:pos="24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act as the general partner of PAGP in accordance with the terms of the PAGP Partnership Agreement and (b) to engage in any and all activities necessary, advisable, convenient or incidental to the foregoing.</w:t>
      </w:r>
    </w:p>
    <w:p>
      <w:pPr>
        <w:spacing w:after="0" w:line="184"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Date of Dissolution</w:t>
      </w:r>
      <w:r>
        <w:rPr>
          <w:rFonts w:ascii="Arial" w:cs="Arial" w:eastAsia="Arial" w:hAnsi="Arial"/>
          <w:sz w:val="17"/>
          <w:szCs w:val="17"/>
          <w:color w:val="auto"/>
        </w:rPr>
        <w:t xml:space="preserve">. The Company shall have perpetual existence unless the Company is dissolved pursuant to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hereof. The existence of the Company as a separate legal entity shall continue until cancellation of the Certificate in the manner required by the Act.</w:t>
      </w:r>
    </w:p>
    <w:p>
      <w:pPr>
        <w:spacing w:after="0" w:line="14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Qualification</w:t>
      </w:r>
      <w:r>
        <w:rPr>
          <w:rFonts w:ascii="Arial" w:cs="Arial" w:eastAsia="Arial" w:hAnsi="Arial"/>
          <w:sz w:val="16"/>
          <w:szCs w:val="16"/>
          <w:color w:val="auto"/>
        </w:rPr>
        <w:t>.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Members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29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Powers of Members</w:t>
      </w:r>
      <w:r>
        <w:rPr>
          <w:rFonts w:ascii="Arial" w:cs="Arial" w:eastAsia="Arial" w:hAnsi="Arial"/>
          <w:sz w:val="18"/>
          <w:szCs w:val="18"/>
          <w:color w:val="auto"/>
        </w:rPr>
        <w:t>. Except to the extent waived or limited in a separate written agreement executed by a Member, the Members shall have the power to exercise any and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rights or powers granted to the Members pursuant to the express terms of this Agreement. Except as expressly provided herein, the Members shall have no power to bind the Company and no authority to act on behalf of the Company.</w:t>
      </w:r>
    </w:p>
    <w:p>
      <w:pPr>
        <w:spacing w:after="0" w:line="170" w:lineRule="exact"/>
        <w:rPr>
          <w:sz w:val="20"/>
          <w:szCs w:val="20"/>
          <w:color w:val="auto"/>
        </w:rPr>
      </w:pPr>
    </w:p>
    <w:p>
      <w:pPr>
        <w:jc w:val="both"/>
        <w:ind w:right="60" w:firstLine="656"/>
        <w:spacing w:after="0" w:line="286" w:lineRule="auto"/>
        <w:tabs>
          <w:tab w:leader="none" w:pos="1304"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Except upon a Transfer of all of its Company Units in accordance with this Agreement, a Member may not resign from the Company prior to the dissolution and winding up of the Company. A Member ceases to be a Member only upon such Member holding no Company Units following: (i) a Permitted Transfer of all of such Member’s Company Units (other than a “Permitted Transfer” pursuant to clause (a) of the definition of such term in the AAP Partnership Agreement) and the transferee’s admission as a substitute Member, all in accordance with the terms of this Agreement or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completion of dissolution and winding up of the Company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20" w:firstLine="656"/>
        <w:spacing w:after="0" w:line="264" w:lineRule="auto"/>
        <w:tabs>
          <w:tab w:leader="none" w:pos="1307"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Company Unit shall correspond to a “limited liability company interest” as is provided in the Act. The Company shall be the owner of the Property. No Member shall have any ownership interest or right in any Property, including any Property conveyed by a Member to the Company, except indirectly by virtue of a Member’s ownership of a Company Unit.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Persons dealing with the Company shall be entitled to rely conclusively upon the power and authority of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 OF THE COMPANY</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 xml:space="preserve">. The Members acknowledge that no capital was contributed to the Company in connection with its formation. The number of each Member’s initial Company Units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Additional Capital Contributions</w:t>
      </w:r>
      <w:r>
        <w:rPr>
          <w:rFonts w:ascii="Arial" w:cs="Arial" w:eastAsia="Arial" w:hAnsi="Arial"/>
          <w:sz w:val="16"/>
          <w:szCs w:val="16"/>
          <w:color w:val="auto"/>
        </w:rPr>
        <w:t>. No Member shall be required to make any capital contribution to the Company.</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Splits</w:t>
      </w:r>
      <w:r>
        <w:rPr>
          <w:rFonts w:ascii="Arial" w:cs="Arial" w:eastAsia="Arial" w:hAnsi="Arial"/>
          <w:sz w:val="18"/>
          <w:szCs w:val="18"/>
          <w:color w:val="auto"/>
        </w:rPr>
        <w:t>.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and PAGP Class B shares pursuant to the PAGP LP Agreement, and vice versa. This provision shall not be amended unless corresponding changes are made to the AAP Partnership Agreement and the PAGP LP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Distributions</w:t>
      </w:r>
      <w:r>
        <w:rPr>
          <w:rFonts w:ascii="Arial" w:cs="Arial" w:eastAsia="Arial" w:hAnsi="Arial"/>
          <w:sz w:val="18"/>
          <w:szCs w:val="18"/>
          <w:color w:val="auto"/>
        </w:rPr>
        <w:t>. The Board shall have sole discretion to determine the timing, amount and manner of any distribution of cash or property of the Company. Any distribution declared by the Board shall be paid to the Members in proportion to their Company Units.</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Persons Entitled to Distributions</w:t>
      </w:r>
      <w:r>
        <w:rPr>
          <w:rFonts w:ascii="Arial" w:cs="Arial" w:eastAsia="Arial" w:hAnsi="Arial"/>
          <w:sz w:val="18"/>
          <w:szCs w:val="18"/>
          <w:color w:val="auto"/>
        </w:rPr>
        <w:t xml:space="preserve">. Any distributions to Members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made to the Members shown on the records of the Company to be entitled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32" w:gutter="0" w:footer="0" w:header="0"/>
        </w:sectPr>
      </w:pPr>
    </w:p>
    <w:bookmarkStart w:id="47" w:name="page48"/>
    <w:bookmarkEnd w:id="47"/>
    <w:p>
      <w:pPr>
        <w:ind w:right="640"/>
        <w:spacing w:after="0" w:line="308" w:lineRule="auto"/>
        <w:rPr>
          <w:sz w:val="20"/>
          <w:szCs w:val="20"/>
          <w:color w:val="auto"/>
        </w:rPr>
      </w:pPr>
      <w:r>
        <w:rPr>
          <w:rFonts w:ascii="Arial" w:cs="Arial" w:eastAsia="Arial" w:hAnsi="Arial"/>
          <w:sz w:val="17"/>
          <w:szCs w:val="17"/>
          <w:color w:val="auto"/>
        </w:rPr>
        <w:t>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MEETINGS</w:t>
      </w:r>
    </w:p>
    <w:p>
      <w:pPr>
        <w:spacing w:after="0" w:line="21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Meetings of Members</w:t>
      </w:r>
      <w:r>
        <w:rPr>
          <w:rFonts w:ascii="Arial" w:cs="Arial" w:eastAsia="Arial" w:hAnsi="Arial"/>
          <w:sz w:val="18"/>
          <w:szCs w:val="18"/>
          <w:color w:val="auto"/>
        </w:rPr>
        <w:t>.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9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Quorum; Voting Requirement</w:t>
      </w:r>
      <w:r>
        <w:rPr>
          <w:rFonts w:ascii="Arial" w:cs="Arial" w:eastAsia="Arial" w:hAnsi="Arial"/>
          <w:sz w:val="18"/>
          <w:szCs w:val="18"/>
          <w:color w:val="auto"/>
        </w:rPr>
        <w:t>.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Proxies</w:t>
      </w:r>
      <w:r>
        <w:rPr>
          <w:rFonts w:ascii="Arial" w:cs="Arial" w:eastAsia="Arial" w:hAnsi="Arial"/>
          <w:sz w:val="18"/>
          <w:szCs w:val="18"/>
          <w:color w:val="auto"/>
        </w:rPr>
        <w:t xml:space="preserve">. Any Member entitled to vote but expecting to be absent from a meeting shall be entitled to designate in writing (or orally; </w:t>
      </w:r>
      <w:r>
        <w:rPr>
          <w:rFonts w:ascii="Arial" w:cs="Arial" w:eastAsia="Arial" w:hAnsi="Arial"/>
          <w:sz w:val="18"/>
          <w:szCs w:val="18"/>
          <w:i w:val="1"/>
          <w:iCs w:val="1"/>
          <w:color w:val="auto"/>
        </w:rPr>
        <w:t>provided</w:t>
      </w:r>
      <w:r>
        <w:rPr>
          <w:rFonts w:ascii="Arial" w:cs="Arial" w:eastAsia="Arial" w:hAnsi="Arial"/>
          <w:sz w:val="18"/>
          <w:szCs w:val="18"/>
          <w:color w:val="auto"/>
        </w:rPr>
        <w:t>, that such oral designation is later confirmed in writing) a proxy (an “</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to act on behalf of such Member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Notice</w:t>
      </w:r>
      <w:r>
        <w:rPr>
          <w:rFonts w:ascii="Arial" w:cs="Arial" w:eastAsia="Arial" w:hAnsi="Arial"/>
          <w:sz w:val="18"/>
          <w:szCs w:val="18"/>
          <w:color w:val="auto"/>
        </w:rPr>
        <w:t>. Notice stating the place, day and hour of the meeting of Members and the purpose for which the meeting is called shall be delivered personally or sent by mail or by facsimile or email not less than one Business Day nor more than 60 days before the date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meeting by or at the direction of the Board or a representative of a Majority in Interest calling the meeting, to each Member entitled to vote at such meeting.</w:t>
      </w:r>
    </w:p>
    <w:p>
      <w:pPr>
        <w:spacing w:after="0" w:line="2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 any Notice is required to be given to any Member hereunder, a waiver thereof in writing signed by the Member or its Authorized Representative, 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CONTROL</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Board of Directors; General and Prior to Trigger Date</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55" w:lineRule="auto"/>
        <w:tabs>
          <w:tab w:leader="none" w:pos="129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6.2(b)</w:t>
      </w:r>
      <w:r>
        <w:rPr>
          <w:rFonts w:ascii="Arial" w:cs="Arial" w:eastAsia="Arial" w:hAnsi="Arial"/>
          <w:sz w:val="18"/>
          <w:szCs w:val="18"/>
          <w:color w:val="auto"/>
        </w:rPr>
        <w:t>, consist of seven individuals designated as directors of the Company (the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60" w:right="20" w:firstLine="645"/>
        <w:spacing w:after="0" w:line="286" w:lineRule="auto"/>
        <w:tabs>
          <w:tab w:leader="none" w:pos="197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The Chief Executive Officer of the Company as of the date hereof shall be a Director and shall serve as Chairman of the Board. Subject to </w:t>
      </w:r>
      <w:r>
        <w:rPr>
          <w:rFonts w:ascii="Arial" w:cs="Arial" w:eastAsia="Arial" w:hAnsi="Arial"/>
          <w:sz w:val="16"/>
          <w:szCs w:val="16"/>
          <w:u w:val="single" w:color="auto"/>
          <w:color w:val="auto"/>
        </w:rPr>
        <w:t>Section 6.1(a)(iii) and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are listed, the Board shall include at least one Independent Director as of the initial listing of the PAGP Class A Shares on a National Securities Exchange in connection with the Initial Offering, at least two Independent Directors within 90 days of such initial listing and at least three Independent Directors within one year of such initial listing, at least two of whom shall also meet the requirements for service on the Conflicts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time there shall be fewer than the required number of Independent Directors, the Board shall take such actions as may be necessary to cause the Board to re-establish the required number of Independent Directors. In connection therewith, the Board may exercise its Director removal and appointment rights hereunder and may, to the extent required, increase the size of the Board and appoint one or more new Independent Directors to fill the resulting vacancies. The initial Directors of the Company are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to this Agreement. In addition, immediately following the consummation of the Initial Offering and the effectiveness of the AAP Partnership Agreement, Vicky Sutil shall become a Director as the designee of Oxy. Each Director shall hold office until his or her successor is elected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until his or her earlier death, resignation or removal.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48" w:name="page49"/>
    <w:bookmarkEnd w:id="48"/>
    <w:p>
      <w:pPr>
        <w:spacing w:after="0" w:line="114" w:lineRule="exact"/>
        <w:rPr>
          <w:sz w:val="20"/>
          <w:szCs w:val="20"/>
          <w:color w:val="auto"/>
        </w:rPr>
      </w:pPr>
    </w:p>
    <w:p>
      <w:pPr>
        <w:ind w:left="640" w:firstLine="645"/>
        <w:spacing w:after="0" w:line="269" w:lineRule="auto"/>
        <w:tabs>
          <w:tab w:leader="none" w:pos="196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any individual designated by a Designating Member as a Director may only be removed by such Designating Member, which removal may be effected at any time, with or without Cause; provided, however, that such designated Director may also be removed by majority vote of the remaining Directors if such removal is for Cause. 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in the event of the death, resignation or removal of a Director designated by a Designating Member, such Designating Member may designate a replacement Director. Prior to the Trigger Date, a Director (other than a Director designated by a Designating Member) may be removed with or without Cause upon a majority vote of the remaining Directors. In the event of the death, resignation or removal of or any vacancy relating to a Director (other than a Director designated by a Designating Member), a majority of the remaining Directors may 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82" w:lineRule="exact"/>
        <w:rPr>
          <w:rFonts w:ascii="Arial" w:cs="Arial" w:eastAsia="Arial" w:hAnsi="Arial"/>
          <w:sz w:val="17"/>
          <w:szCs w:val="17"/>
          <w:color w:val="auto"/>
        </w:rPr>
      </w:pPr>
    </w:p>
    <w:p>
      <w:pPr>
        <w:ind w:left="640" w:right="40" w:firstLine="645"/>
        <w:spacing w:after="0" w:line="270" w:lineRule="auto"/>
        <w:tabs>
          <w:tab w:leader="none" w:pos="197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at all times there shall be no more than three Directors designated by the Designating Members. Accordingly, if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Section 6.1(a)(iv) below.</w:t>
      </w:r>
    </w:p>
    <w:p>
      <w:pPr>
        <w:spacing w:after="0" w:line="181" w:lineRule="exact"/>
        <w:rPr>
          <w:rFonts w:ascii="Arial" w:cs="Arial" w:eastAsia="Arial" w:hAnsi="Arial"/>
          <w:sz w:val="17"/>
          <w:szCs w:val="17"/>
          <w:color w:val="auto"/>
        </w:rPr>
      </w:pPr>
    </w:p>
    <w:p>
      <w:pPr>
        <w:ind w:left="640" w:right="20" w:firstLine="645"/>
        <w:spacing w:after="0" w:line="272" w:lineRule="auto"/>
        <w:tabs>
          <w:tab w:leader="none" w:pos="195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7"/>
          <w:szCs w:val="17"/>
          <w:b w:val="1"/>
          <w:bCs w:val="1"/>
          <w:i w:val="1"/>
          <w:iCs w:val="1"/>
          <w:color w:val="auto"/>
        </w:rPr>
        <w:t>Designation Loss Event</w:t>
      </w:r>
      <w:r>
        <w:rPr>
          <w:rFonts w:ascii="Arial" w:cs="Arial" w:eastAsia="Arial" w:hAnsi="Arial"/>
          <w:sz w:val="17"/>
          <w:szCs w:val="17"/>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shall be entitled to designate a Director, or, if there is no such remaining Subsequent Designating Member, a majority of the remaining Directors shall elect a replacement Director (whether such Designation Loss Event occurs before or after the Trigger Date); </w:t>
      </w:r>
      <w:r>
        <w:rPr>
          <w:rFonts w:ascii="Arial" w:cs="Arial" w:eastAsia="Arial" w:hAnsi="Arial"/>
          <w:sz w:val="17"/>
          <w:szCs w:val="17"/>
          <w:i w:val="1"/>
          <w:iCs w:val="1"/>
          <w:color w:val="auto"/>
        </w:rPr>
        <w:t>provided, however</w:t>
      </w:r>
      <w:r>
        <w:rPr>
          <w:rFonts w:ascii="Arial" w:cs="Arial" w:eastAsia="Arial" w:hAnsi="Arial"/>
          <w:sz w:val="17"/>
          <w:szCs w:val="17"/>
          <w:color w:val="auto"/>
        </w:rPr>
        <w:t>, in the event that there is more than one remaining Subsequent Designating Member whose right to designate a Director has been deferred, the Subsequent Designating Member who first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accumulated ownership of at least a 20% Qualifying Interest shall be entitled to designate the Director.</w:t>
      </w:r>
    </w:p>
    <w:p>
      <w:pPr>
        <w:spacing w:after="0" w:line="225" w:lineRule="exact"/>
        <w:rPr>
          <w:sz w:val="20"/>
          <w:szCs w:val="20"/>
          <w:color w:val="auto"/>
        </w:rPr>
      </w:pPr>
    </w:p>
    <w:p>
      <w:pPr>
        <w:ind w:left="640" w:right="40" w:firstLine="645"/>
        <w:spacing w:after="0" w:line="283" w:lineRule="auto"/>
        <w:tabs>
          <w:tab w:leader="none" w:pos="194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If any Designating Member (before or after the Trigger Date)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if, following any such increase or increases in the size of the Board, there shall be any subsequent vacancy on the Board, the Board shall not fill such vacancy and shall reduce the size of the Board by one (but not below seven members) unless either (1) any Designating Member shall be entitled to fill such vacancy or (2) the failure to fill such vacancy would cause the Board to fail to consist of the required number of Independent Directors pursuant to</w:t>
      </w:r>
    </w:p>
    <w:p>
      <w:pPr>
        <w:spacing w:after="0" w:line="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0" w:right="80" w:firstLine="656"/>
        <w:spacing w:after="0" w:line="254" w:lineRule="auto"/>
        <w:tabs>
          <w:tab w:leader="none" w:pos="128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92" w:lineRule="exact"/>
        <w:rPr>
          <w:rFonts w:ascii="Arial" w:cs="Arial" w:eastAsia="Arial" w:hAnsi="Arial"/>
          <w:sz w:val="18"/>
          <w:szCs w:val="18"/>
          <w:color w:val="auto"/>
        </w:rPr>
      </w:pPr>
    </w:p>
    <w:p>
      <w:pPr>
        <w:ind w:left="640" w:right="340" w:firstLine="645"/>
        <w:spacing w:after="0" w:line="277" w:lineRule="auto"/>
        <w:tabs>
          <w:tab w:leader="none" w:pos="195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sz w:val="20"/>
          <w:szCs w:val="20"/>
          <w:color w:val="auto"/>
        </w:rPr>
      </w:pPr>
    </w:p>
    <w:p>
      <w:pPr>
        <w:ind w:left="640" w:right="40" w:firstLine="645"/>
        <w:spacing w:after="0" w:line="279" w:lineRule="auto"/>
        <w:tabs>
          <w:tab w:leader="none" w:pos="196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excluded from relevant portions of the Board meetings or committee meetings pursuant to (iv) below.</w:t>
      </w:r>
    </w:p>
    <w:p>
      <w:pPr>
        <w:spacing w:after="0" w:line="225" w:lineRule="exact"/>
        <w:rPr>
          <w:sz w:val="20"/>
          <w:szCs w:val="20"/>
          <w:color w:val="auto"/>
        </w:rPr>
      </w:pPr>
    </w:p>
    <w:p>
      <w:pPr>
        <w:ind w:left="640" w:right="40" w:firstLine="645"/>
        <w:spacing w:after="0" w:line="312" w:lineRule="auto"/>
        <w:tabs>
          <w:tab w:leader="none" w:pos="197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providing such information (1) would result in a potential breach of confidentiality agreements between third parties and the Company Group or the MLP and its Subsidiaries; (2) may otherwise</w:t>
      </w:r>
    </w:p>
    <w:p>
      <w:pPr>
        <w:sectPr>
          <w:pgSz w:w="11900" w:h="16952" w:orient="portrait"/>
          <w:cols w:equalWidth="0" w:num="1">
            <w:col w:w="11400"/>
          </w:cols>
          <w:pgMar w:left="260" w:top="125" w:right="239" w:bottom="0" w:gutter="0" w:footer="0" w:header="0"/>
        </w:sectPr>
      </w:pPr>
    </w:p>
    <w:bookmarkStart w:id="49" w:name="page50"/>
    <w:bookmarkEnd w:id="49"/>
    <w:p>
      <w:pPr>
        <w:ind w:left="660" w:right="100"/>
        <w:spacing w:after="0" w:line="264" w:lineRule="auto"/>
        <w:rPr>
          <w:sz w:val="20"/>
          <w:szCs w:val="20"/>
          <w:color w:val="auto"/>
        </w:rPr>
      </w:pPr>
      <w:r>
        <w:rPr>
          <w:rFonts w:ascii="Arial" w:cs="Arial" w:eastAsia="Arial" w:hAnsi="Arial"/>
          <w:sz w:val="18"/>
          <w:szCs w:val="18"/>
          <w:color w:val="auto"/>
        </w:rPr>
        <w:t>disadvantage the Company Group, the MLP or any of its Subsidiaries in ongoing commercial dealings with such Initial Designating Member or any of its affiliates; (3) is necessary or advisable for the protection and retention of any attorney-client privilege; or (4) could result in the competitive positioning of the Company Group or the MLP or its Subsidiaries being compromised.</w:t>
      </w:r>
    </w:p>
    <w:p>
      <w:pPr>
        <w:spacing w:after="0" w:line="181" w:lineRule="exact"/>
        <w:rPr>
          <w:sz w:val="20"/>
          <w:szCs w:val="20"/>
          <w:color w:val="auto"/>
        </w:rPr>
      </w:pPr>
    </w:p>
    <w:p>
      <w:pPr>
        <w:ind w:left="660" w:right="240" w:firstLine="645"/>
        <w:spacing w:after="0" w:line="285" w:lineRule="auto"/>
        <w:tabs>
          <w:tab w:leader="none" w:pos="197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such IDM Observer’s attendance (1) would result in a potential breach of confidentiality agreements between third parties and the Company Group or the MLP and its Subsidiaries; (2) may otherwise disadvantage the Company Group, the MLP or any of its Subsidiaries in ongoing commercial dealings with any Initial Designating Member or any of its affiliates; (3) is necessary or advisable for the protection and retention of any attorney-client privilege; or</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could result in the competitive positioning of the Company Group or the MLP or its Subsidiaries being compromised;</w:t>
      </w:r>
    </w:p>
    <w:p>
      <w:pPr>
        <w:spacing w:after="0" w:line="210" w:lineRule="exact"/>
        <w:rPr>
          <w:rFonts w:ascii="Arial" w:cs="Arial" w:eastAsia="Arial" w:hAnsi="Arial"/>
          <w:sz w:val="18"/>
          <w:szCs w:val="18"/>
          <w:color w:val="auto"/>
        </w:rPr>
      </w:pPr>
    </w:p>
    <w:p>
      <w:pPr>
        <w:ind w:left="660" w:right="60" w:firstLine="645"/>
        <w:spacing w:after="0" w:line="257" w:lineRule="auto"/>
        <w:tabs>
          <w:tab w:leader="none" w:pos="19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Oxy or any of its affiliates.</w:t>
      </w:r>
    </w:p>
    <w:p>
      <w:pPr>
        <w:spacing w:after="0" w:line="188" w:lineRule="exact"/>
        <w:rPr>
          <w:rFonts w:ascii="Arial" w:cs="Arial" w:eastAsia="Arial" w:hAnsi="Arial"/>
          <w:sz w:val="18"/>
          <w:szCs w:val="18"/>
          <w:color w:val="auto"/>
        </w:rPr>
      </w:pPr>
    </w:p>
    <w:p>
      <w:pPr>
        <w:ind w:left="660" w:right="200" w:firstLine="645"/>
        <w:spacing w:after="0" w:line="273" w:lineRule="auto"/>
        <w:tabs>
          <w:tab w:leader="none" w:pos="197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with respect to materials provided to any Initial Designating Member pursuant to </w:t>
      </w:r>
      <w:r>
        <w:rPr>
          <w:rFonts w:ascii="Arial" w:cs="Arial" w:eastAsia="Arial" w:hAnsi="Arial"/>
          <w:sz w:val="17"/>
          <w:szCs w:val="17"/>
          <w:u w:val="single" w:color="auto"/>
          <w:color w:val="auto"/>
        </w:rPr>
        <w:t>Section 6.1(b)(ii)</w:t>
      </w:r>
      <w:r>
        <w:rPr>
          <w:rFonts w:ascii="Arial" w:cs="Arial" w:eastAsia="Arial" w:hAnsi="Arial"/>
          <w:sz w:val="17"/>
          <w:szCs w:val="17"/>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7"/>
          <w:szCs w:val="17"/>
          <w:u w:val="single" w:color="auto"/>
          <w:color w:val="auto"/>
        </w:rPr>
        <w:t>Section 6.1(b)(vi)</w:t>
      </w:r>
      <w:r>
        <w:rPr>
          <w:rFonts w:ascii="Arial" w:cs="Arial" w:eastAsia="Arial" w:hAnsi="Arial"/>
          <w:sz w:val="17"/>
          <w:szCs w:val="17"/>
          <w:color w:val="auto"/>
        </w:rPr>
        <w:t xml:space="preserve"> shall not apply with respect to information provided to any Initial Designating Member pursuant to </w:t>
      </w:r>
      <w:r>
        <w:rPr>
          <w:rFonts w:ascii="Arial" w:cs="Arial" w:eastAsia="Arial" w:hAnsi="Arial"/>
          <w:sz w:val="17"/>
          <w:szCs w:val="17"/>
          <w:u w:val="single" w:color="auto"/>
          <w:color w:val="auto"/>
        </w:rPr>
        <w:t>Section 6.2(b)(v)</w:t>
      </w:r>
      <w:r>
        <w:rPr>
          <w:rFonts w:ascii="Arial" w:cs="Arial" w:eastAsia="Arial" w:hAnsi="Arial"/>
          <w:sz w:val="17"/>
          <w:szCs w:val="17"/>
          <w:color w:val="auto"/>
        </w:rPr>
        <w:t xml:space="preserve"> or otherwise provided upon an Initial Designating Member’s request.</w:t>
      </w:r>
    </w:p>
    <w:p>
      <w:pPr>
        <w:spacing w:after="0" w:line="178" w:lineRule="exact"/>
        <w:rPr>
          <w:rFonts w:ascii="Arial" w:cs="Arial" w:eastAsia="Arial" w:hAnsi="Arial"/>
          <w:sz w:val="17"/>
          <w:szCs w:val="17"/>
          <w:color w:val="auto"/>
        </w:rPr>
      </w:pPr>
    </w:p>
    <w:p>
      <w:pPr>
        <w:ind w:left="660" w:right="380" w:firstLine="645"/>
        <w:spacing w:after="0" w:line="277" w:lineRule="auto"/>
        <w:tabs>
          <w:tab w:leader="none" w:pos="198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 IDM Observer shall have any voting rights. No consent or approval of any IDM Observer shall be required for any action taken by the Board.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attendance or participation of any IDM Observer at a meeting shall not be required for action by the Board.</w:t>
      </w:r>
    </w:p>
    <w:p>
      <w:pPr>
        <w:spacing w:after="0" w:line="225" w:lineRule="exact"/>
        <w:rPr>
          <w:sz w:val="20"/>
          <w:szCs w:val="20"/>
          <w:color w:val="auto"/>
        </w:rPr>
      </w:pPr>
    </w:p>
    <w:p>
      <w:pPr>
        <w:ind w:right="360" w:firstLine="656"/>
        <w:spacing w:after="0" w:line="264" w:lineRule="auto"/>
        <w:tabs>
          <w:tab w:leader="none" w:pos="13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Board of Directors Following Trigger Date</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83" w:lineRule="auto"/>
        <w:tabs>
          <w:tab w:leader="none" w:pos="129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earlier than 180 days after the Trigger Date, and no later than the end of the calendar year (as determined by the Board) following the year in which the Trigger Date occurs, the Directors of the Company, other than the Chief Executive Officer of the Company, shall be divided into three classes as follows: (i) each class shall initially be comprised of two Directors and the classes shall be denominated Class I, Class II and Class III (each being referred to herein as a “</w:t>
      </w:r>
      <w:r>
        <w:rPr>
          <w:rFonts w:ascii="Arial" w:cs="Arial" w:eastAsia="Arial" w:hAnsi="Arial"/>
          <w:sz w:val="16"/>
          <w:szCs w:val="16"/>
          <w:b w:val="1"/>
          <w:bCs w:val="1"/>
          <w:i w:val="1"/>
          <w:iCs w:val="1"/>
          <w:color w:val="auto"/>
        </w:rPr>
        <w:t>Class</w:t>
      </w:r>
      <w:r>
        <w:rPr>
          <w:rFonts w:ascii="Arial" w:cs="Arial" w:eastAsia="Arial" w:hAnsi="Arial"/>
          <w:sz w:val="16"/>
          <w:szCs w:val="16"/>
          <w:color w:val="auto"/>
        </w:rPr>
        <w:t xml:space="preserve">”); (ii) each Class shall be comprised of one Independent Director and one Director designated by a Designating Member, or, if there are fewer than three Designating Members at such time, the applicable replacement Director(s) appointed in accordance with </w:t>
      </w:r>
      <w:r>
        <w:rPr>
          <w:rFonts w:ascii="Arial" w:cs="Arial" w:eastAsia="Arial" w:hAnsi="Arial"/>
          <w:sz w:val="16"/>
          <w:szCs w:val="16"/>
          <w:u w:val="single" w:color="auto"/>
          <w:color w:val="auto"/>
        </w:rPr>
        <w:t>Section 6.1(a)(iv)</w:t>
      </w:r>
      <w:r>
        <w:rPr>
          <w:rFonts w:ascii="Arial" w:cs="Arial" w:eastAsia="Arial" w:hAnsi="Arial"/>
          <w:sz w:val="16"/>
          <w:szCs w:val="16"/>
          <w:color w:val="auto"/>
        </w:rPr>
        <w:t xml:space="preserve"> (any such replacement Directors who are not subject to designation by any Designating Member, together with any Independent Directors who are not subject to designation by any Designating Member, the “</w:t>
      </w:r>
      <w:r>
        <w:rPr>
          <w:rFonts w:ascii="Arial" w:cs="Arial" w:eastAsia="Arial" w:hAnsi="Arial"/>
          <w:sz w:val="16"/>
          <w:szCs w:val="16"/>
          <w:b w:val="1"/>
          <w:bCs w:val="1"/>
          <w:i w:val="1"/>
          <w:iCs w:val="1"/>
          <w:color w:val="auto"/>
        </w:rPr>
        <w:t>Eligible Directors</w:t>
      </w:r>
      <w:r>
        <w:rPr>
          <w:rFonts w:ascii="Arial" w:cs="Arial" w:eastAsia="Arial" w:hAnsi="Arial"/>
          <w:sz w:val="16"/>
          <w:szCs w:val="16"/>
          <w:color w:val="auto"/>
        </w:rPr>
        <w:t>”); (iii) Class placements will be made first with respect to any Directors designated by Initial Designating Members and then with respect to any Directors designated by Subsequent Designating Members (i.e., Directors designated by the Initial Designating Members shall have priority with respect to Class placement over Directors designated by any Subsequent Designating Members); (iv) each Director that has been designated by a Designating Member will be placed in Class I, II or III, respectively, based on the relative percentage Qualifying Interest of the Member that designated such Director such that the Director designated by the Designating Member with the highest relative percentage Qualifying Interest at the time of classification will be placed in Class I, the Director designated by the Designating Member with the second highest relative percentage Qualifying Interest at the time of classification will be placed in Class II and so on until all designated Directors have been placed in a</w:t>
      </w:r>
    </w:p>
    <w:p>
      <w:pPr>
        <w:spacing w:after="0" w:line="3" w:lineRule="exact"/>
        <w:rPr>
          <w:rFonts w:ascii="Arial" w:cs="Arial" w:eastAsia="Arial" w:hAnsi="Arial"/>
          <w:sz w:val="16"/>
          <w:szCs w:val="16"/>
          <w:color w:val="auto"/>
        </w:rPr>
      </w:pPr>
    </w:p>
    <w:p>
      <w:pPr>
        <w:ind w:right="40"/>
        <w:spacing w:after="0" w:line="273" w:lineRule="auto"/>
        <w:rPr>
          <w:rFonts w:ascii="Arial" w:cs="Arial" w:eastAsia="Arial" w:hAnsi="Arial"/>
          <w:sz w:val="16"/>
          <w:szCs w:val="16"/>
          <w:color w:val="auto"/>
        </w:rPr>
      </w:pPr>
      <w:r>
        <w:rPr>
          <w:rFonts w:ascii="Arial" w:cs="Arial" w:eastAsia="Arial" w:hAnsi="Arial"/>
          <w:sz w:val="17"/>
          <w:szCs w:val="17"/>
          <w:color w:val="auto"/>
        </w:rPr>
        <w:t>Class (placing all Directors designated by Initial Designating Members before Directors designated by Subsequent Designating Members as required by clause (iii) above); and (v) Eligible Directors will be placed in the Classes by lot or by such other method as may be determined by majority vote of the Board (excluding the Eligible Directors). If the size of the Board is increased in accordance with the terms of this Agreement, the Board shall place the additional Directors into the Class or Classes such that Directors are as evenly distributed among Classes as possible.</w:t>
      </w:r>
    </w:p>
    <w:p>
      <w:pPr>
        <w:spacing w:after="0" w:line="176" w:lineRule="exact"/>
        <w:rPr>
          <w:rFonts w:ascii="Arial" w:cs="Arial" w:eastAsia="Arial" w:hAnsi="Arial"/>
          <w:sz w:val="16"/>
          <w:szCs w:val="16"/>
          <w:color w:val="auto"/>
        </w:rPr>
      </w:pPr>
    </w:p>
    <w:p>
      <w:pPr>
        <w:ind w:right="100" w:firstLine="656"/>
        <w:spacing w:after="0" w:line="276" w:lineRule="auto"/>
        <w:tabs>
          <w:tab w:leader="none" w:pos="130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continue to be a Director following the Trigger Date until his removal or replacement in accordance with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Each Director that has been designated by a Designating Member shall continue to be a Director following the Trigger Date until such Director’s removal or replacement in accordance with </w:t>
      </w:r>
      <w:r>
        <w:rPr>
          <w:rFonts w:ascii="Arial" w:cs="Arial" w:eastAsia="Arial" w:hAnsi="Arial"/>
          <w:sz w:val="17"/>
          <w:szCs w:val="17"/>
          <w:u w:val="single" w:color="auto"/>
          <w:color w:val="auto"/>
        </w:rPr>
        <w:t>Section 6.1(a)</w:t>
      </w:r>
      <w:r>
        <w:rPr>
          <w:rFonts w:ascii="Arial" w:cs="Arial" w:eastAsia="Arial" w:hAnsi="Arial"/>
          <w:sz w:val="17"/>
          <w:szCs w:val="17"/>
          <w:color w:val="auto"/>
        </w:rPr>
        <w:t>. Each Eligible Director shall serve for a term ending as follows, subject to earlier death, resignation or removal as provided herein: (aa) the Directors designated to Class III shall serve for an initial term that expires at the first annual meeting of PAGP Limited Partners following the Trigger Date; (bb) the Directors designated to Class II shall serve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an initial term that expires at the second annual meeting of PAGP Limited Partners following the Trigger Date; and (cc) and the Directors designated to Class I shall serve for an initial term that expires at the third annual meeting of PAGP Limited Partners following the Trigger Date. At each annual meeting of PAGP Limited Partners, successors to the class of Directors whose term expires at that annual meeting shall be elected or designated for a three-year term.</w:t>
      </w:r>
    </w:p>
    <w:p>
      <w:pPr>
        <w:spacing w:after="0" w:line="147" w:lineRule="exact"/>
        <w:rPr>
          <w:sz w:val="20"/>
          <w:szCs w:val="20"/>
          <w:color w:val="auto"/>
        </w:rPr>
      </w:pPr>
    </w:p>
    <w:p>
      <w:pPr>
        <w:ind w:right="540" w:firstLine="656"/>
        <w:spacing w:after="0" w:line="286" w:lineRule="auto"/>
        <w:tabs>
          <w:tab w:leader="none" w:pos="130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At each annual meeting of the PAGP Limited Partners held after the Trigger Date,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ectPr>
          <w:pgSz w:w="11900" w:h="16838" w:orient="portrait"/>
          <w:cols w:equalWidth="0" w:num="1">
            <w:col w:w="11420"/>
          </w:cols>
          <w:pgMar w:left="240" w:top="125" w:right="239" w:bottom="0" w:gutter="0" w:footer="0" w:header="0"/>
        </w:sectPr>
      </w:pPr>
    </w:p>
    <w:bookmarkStart w:id="50" w:name="page51"/>
    <w:bookmarkEnd w:id="50"/>
    <w:p>
      <w:pPr>
        <w:spacing w:after="0" w:line="103" w:lineRule="exact"/>
        <w:rPr>
          <w:sz w:val="20"/>
          <w:szCs w:val="20"/>
          <w:color w:val="auto"/>
        </w:rPr>
      </w:pPr>
    </w:p>
    <w:p>
      <w:pPr>
        <w:ind w:right="20" w:firstLine="656"/>
        <w:spacing w:after="0" w:line="271" w:lineRule="auto"/>
        <w:tabs>
          <w:tab w:leader="none" w:pos="130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Following the Trigger Date, an Eligible Director may be removed with or without Cause upon a vote of a majority of the remaining Directors then in office;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Director who is elected by the holders of PAGP Class A Shares and PAGP Class B Shares pursuant to the terms of the PAGP Partnership Agreement may only be removed for Cause upon a vote of a majority of the remaining Directors then in office. Any individual designated by a Designating Member as a Director may be removed (i) by such Designating Member or (ii) for Cause upon a vote of the majority of the remaining Directors then in office. In the event of the death, resignation or removal of a Director designated by a Designating Member other than upon occurrence of a Designation Loss Event, such Designating Member may designate a Director to fill such vacant position. Any vacancies among the Eligible Directors (whether due to death, resignation or removal of an Eligible Director) may be filled by a majority of the remaining Directors. Any Eligible Director elected to fill a vacancy shall have the same remaining term as that of his predecessor.</w:t>
      </w:r>
    </w:p>
    <w:p>
      <w:pPr>
        <w:spacing w:after="0" w:line="178" w:lineRule="exact"/>
        <w:rPr>
          <w:rFonts w:ascii="Arial" w:cs="Arial" w:eastAsia="Arial" w:hAnsi="Arial"/>
          <w:sz w:val="17"/>
          <w:szCs w:val="17"/>
          <w:color w:val="auto"/>
        </w:rPr>
      </w:pPr>
    </w:p>
    <w:p>
      <w:pPr>
        <w:ind w:right="220" w:firstLine="656"/>
        <w:spacing w:after="0" w:line="277" w:lineRule="auto"/>
        <w:tabs>
          <w:tab w:leader="none" w:pos="130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Following classification of the Board pursuant to </w:t>
      </w:r>
      <w:r>
        <w:rPr>
          <w:rFonts w:ascii="Arial" w:cs="Arial" w:eastAsia="Arial" w:hAnsi="Arial"/>
          <w:sz w:val="18"/>
          <w:szCs w:val="18"/>
          <w:u w:val="single" w:color="auto"/>
          <w:color w:val="auto"/>
        </w:rPr>
        <w:t>Section 6.2(a)</w:t>
      </w:r>
      <w:r>
        <w:rPr>
          <w:rFonts w:ascii="Arial" w:cs="Arial" w:eastAsia="Arial" w:hAnsi="Arial"/>
          <w:sz w:val="18"/>
          <w:szCs w:val="18"/>
          <w:color w:val="auto"/>
        </w:rPr>
        <w:t>, individuals shall be nominated for election as Eligible Directors, and the election of Eligible Directors shall be conducted, in accordance with the provisions of the PAGP Partnership Agreement.</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Meetings of the Board</w:t>
      </w:r>
      <w:r>
        <w:rPr>
          <w:rFonts w:ascii="Arial" w:cs="Arial" w:eastAsia="Arial" w:hAnsi="Arial"/>
          <w:sz w:val="17"/>
          <w:szCs w:val="17"/>
          <w:color w:val="auto"/>
        </w:rPr>
        <w:t>.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 Board, and, except as otherwise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6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Communications</w:t>
      </w:r>
      <w:r>
        <w:rPr>
          <w:rFonts w:ascii="Arial" w:cs="Arial" w:eastAsia="Arial" w:hAnsi="Arial"/>
          <w:sz w:val="17"/>
          <w:szCs w:val="17"/>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93" w:lineRule="auto"/>
        <w:tabs>
          <w:tab w:leader="none" w:pos="129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64" w:lineRule="exact"/>
        <w:rPr>
          <w:rFonts w:ascii="Arial" w:cs="Arial" w:eastAsia="Arial" w:hAnsi="Arial"/>
          <w:sz w:val="16"/>
          <w:szCs w:val="16"/>
          <w:color w:val="auto"/>
        </w:rPr>
      </w:pPr>
    </w:p>
    <w:p>
      <w:pPr>
        <w:ind w:right="60" w:firstLine="656"/>
        <w:spacing w:after="0" w:line="276" w:lineRule="auto"/>
        <w:tabs>
          <w:tab w:leader="none" w:pos="130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addition to any other committees established by the Board pursuant to Section 6.6(a), the Board may, as necessary, convene a “Conflicts Committee,” which shall be composed of at least two Directors, each of whom shall meet the requirements set forth in the PAGP Partnership Agreement. The 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72" w:lineRule="exact"/>
        <w:rPr>
          <w:rFonts w:ascii="Arial" w:cs="Arial" w:eastAsia="Arial" w:hAnsi="Arial"/>
          <w:sz w:val="17"/>
          <w:szCs w:val="17"/>
          <w:color w:val="auto"/>
        </w:rPr>
      </w:pPr>
    </w:p>
    <w:p>
      <w:pPr>
        <w:jc w:val="both"/>
        <w:ind w:right="200" w:firstLine="656"/>
        <w:spacing w:after="0" w:line="312" w:lineRule="auto"/>
        <w:tabs>
          <w:tab w:leader="none" w:pos="130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u w:val="single" w:color="auto"/>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Directors as Agents</w:t>
      </w:r>
      <w:r>
        <w:rPr>
          <w:rFonts w:ascii="Arial" w:cs="Arial" w:eastAsia="Arial" w:hAnsi="Arial"/>
          <w:sz w:val="17"/>
          <w:szCs w:val="17"/>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Officers; Agents</w:t>
      </w:r>
      <w:r>
        <w:rPr>
          <w:rFonts w:ascii="Arial" w:cs="Arial" w:eastAsia="Arial" w:hAnsi="Arial"/>
          <w:sz w:val="16"/>
          <w:szCs w:val="16"/>
          <w:color w:val="auto"/>
        </w:rPr>
        <w:t>. The Board shall have the power to appoint any Person or Persons as the Company’s officers (the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w:t>
      </w:r>
    </w:p>
    <w:p>
      <w:pPr>
        <w:sectPr>
          <w:pgSz w:w="11900" w:h="16941" w:orient="portrait"/>
          <w:cols w:equalWidth="0" w:num="1">
            <w:col w:w="11420"/>
          </w:cols>
          <w:pgMar w:left="240" w:top="125" w:right="239" w:bottom="0" w:gutter="0" w:footer="0" w:header="0"/>
        </w:sectPr>
      </w:pPr>
    </w:p>
    <w:bookmarkStart w:id="51" w:name="page52"/>
    <w:bookmarkEnd w:id="51"/>
    <w:p>
      <w:pPr>
        <w:ind w:right="160"/>
        <w:spacing w:after="0" w:line="255" w:lineRule="auto"/>
        <w:rPr>
          <w:sz w:val="20"/>
          <w:szCs w:val="20"/>
          <w:color w:val="auto"/>
        </w:rPr>
      </w:pPr>
      <w:r>
        <w:rPr>
          <w:rFonts w:ascii="Arial" w:cs="Arial" w:eastAsia="Arial" w:hAnsi="Arial"/>
          <w:sz w:val="18"/>
          <w:szCs w:val="18"/>
          <w:color w:val="auto"/>
        </w:rPr>
        <w:t xml:space="preserve">Treasurer, Controller or Secretary. A Director may be an Officer. The initial Officers are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Actions Requiring Consent of Oxy</w:t>
      </w:r>
      <w:r>
        <w:rPr>
          <w:rFonts w:ascii="Arial" w:cs="Arial" w:eastAsia="Arial" w:hAnsi="Arial"/>
          <w:sz w:val="18"/>
          <w:szCs w:val="18"/>
          <w:color w:val="auto"/>
        </w:rPr>
        <w:t>.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8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Restrictions Regarding General Partner Interest</w:t>
      </w:r>
      <w:r>
        <w:rPr>
          <w:rFonts w:ascii="Arial" w:cs="Arial" w:eastAsia="Arial" w:hAnsi="Arial"/>
          <w:sz w:val="18"/>
          <w:szCs w:val="18"/>
          <w:color w:val="auto"/>
        </w:rPr>
        <w:t>. Prior to the Trigger Date, without the prior written consent of holders of at least two-thirds of the Company Units, the Company may not (a) withdraw as the general partner of PAGP, (b) Transfer its general partner interest in PAGP or (c) approve the admission of another Person as an additional general partner of PAGP.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LIABILITY AND INDEMNIFICATION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Limitation on Liability of Members, Directors and Officers</w:t>
      </w:r>
      <w:r>
        <w:rPr>
          <w:rFonts w:ascii="Arial" w:cs="Arial" w:eastAsia="Arial" w:hAnsi="Arial"/>
          <w:sz w:val="17"/>
          <w:szCs w:val="17"/>
          <w:color w:val="auto"/>
        </w:rPr>
        <w:t>.</w:t>
      </w:r>
    </w:p>
    <w:p>
      <w:pPr>
        <w:spacing w:after="0" w:line="225" w:lineRule="exact"/>
        <w:rPr>
          <w:sz w:val="20"/>
          <w:szCs w:val="20"/>
          <w:color w:val="auto"/>
        </w:rPr>
      </w:pPr>
    </w:p>
    <w:p>
      <w:pPr>
        <w:ind w:firstLine="656"/>
        <w:spacing w:after="0" w:line="267" w:lineRule="auto"/>
        <w:tabs>
          <w:tab w:leader="none" w:pos="129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the avoidance of doubt nothing set forth herein shall be deemed to limit the obligations of the “General Partner” under the PAGP Partnership Agreement. 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 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84" w:lineRule="exact"/>
        <w:rPr>
          <w:rFonts w:ascii="Arial" w:cs="Arial" w:eastAsia="Arial" w:hAnsi="Arial"/>
          <w:sz w:val="17"/>
          <w:szCs w:val="17"/>
          <w:color w:val="auto"/>
        </w:rPr>
      </w:pPr>
    </w:p>
    <w:p>
      <w:pPr>
        <w:ind w:right="100" w:firstLine="656"/>
        <w:spacing w:after="0" w:line="264" w:lineRule="auto"/>
        <w:tabs>
          <w:tab w:leader="none" w:pos="130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56"/>
        <w:spacing w:after="0" w:line="279" w:lineRule="auto"/>
        <w:tabs>
          <w:tab w:leader="none" w:pos="130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100" w:firstLine="656"/>
        <w:spacing w:after="0" w:line="291" w:lineRule="auto"/>
        <w:tabs>
          <w:tab w:leader="none" w:pos="129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ectPr>
          <w:pgSz w:w="11900" w:h="16838" w:orient="portrait"/>
          <w:cols w:equalWidth="0" w:num="1">
            <w:col w:w="11420"/>
          </w:cols>
          <w:pgMar w:left="240" w:top="125" w:right="239" w:bottom="0" w:gutter="0" w:footer="0" w:header="0"/>
        </w:sectPr>
      </w:pPr>
    </w:p>
    <w:bookmarkStart w:id="52" w:name="page53"/>
    <w:bookmarkEnd w:id="52"/>
    <w:p>
      <w:pPr>
        <w:spacing w:after="0" w:line="90" w:lineRule="exact"/>
        <w:rPr>
          <w:sz w:val="20"/>
          <w:szCs w:val="20"/>
          <w:color w:val="auto"/>
        </w:rPr>
      </w:pPr>
    </w:p>
    <w:p>
      <w:pPr>
        <w:ind w:firstLine="656"/>
        <w:spacing w:after="0" w:line="259"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56"/>
        <w:spacing w:after="0" w:line="293" w:lineRule="auto"/>
        <w:tabs>
          <w:tab w:leader="none" w:pos="130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The indemnification provided by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Arial" w:cs="Arial" w:eastAsia="Arial" w:hAnsi="Arial"/>
          <w:sz w:val="16"/>
          <w:szCs w:val="16"/>
          <w:u w:val="single" w:color="auto"/>
          <w:color w:val="auto"/>
        </w:rPr>
        <w:t>Section 7.2(c)</w:t>
      </w:r>
      <w:r>
        <w:rPr>
          <w:rFonts w:ascii="Arial" w:cs="Arial" w:eastAsia="Arial" w:hAnsi="Arial"/>
          <w:sz w:val="16"/>
          <w:szCs w:val="16"/>
          <w:color w:val="auto"/>
        </w:rPr>
        <w:t>. The Company shall not be required to indemnify any Member in connection with any losses, claims, demands, actions, disputes, suits or proceedings, of any Member against any other Member.</w:t>
      </w:r>
    </w:p>
    <w:p>
      <w:pPr>
        <w:spacing w:after="0" w:line="164" w:lineRule="exact"/>
        <w:rPr>
          <w:rFonts w:ascii="Arial" w:cs="Arial" w:eastAsia="Arial" w:hAnsi="Arial"/>
          <w:sz w:val="16"/>
          <w:szCs w:val="16"/>
          <w:color w:val="auto"/>
        </w:rPr>
      </w:pPr>
    </w:p>
    <w:p>
      <w:pPr>
        <w:ind w:right="600" w:firstLine="656"/>
        <w:spacing w:after="0" w:line="277"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70" w:lineRule="exact"/>
        <w:rPr>
          <w:rFonts w:ascii="Arial" w:cs="Arial" w:eastAsia="Arial" w:hAnsi="Arial"/>
          <w:sz w:val="18"/>
          <w:szCs w:val="18"/>
          <w:color w:val="auto"/>
        </w:rPr>
      </w:pPr>
    </w:p>
    <w:p>
      <w:pPr>
        <w:ind w:right="200" w:firstLine="656"/>
        <w:spacing w:after="0" w:line="277" w:lineRule="auto"/>
        <w:tabs>
          <w:tab w:leader="none" w:pos="13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656"/>
        <w:spacing w:after="0" w:line="286" w:lineRule="auto"/>
        <w:tabs>
          <w:tab w:leader="none" w:pos="130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5" w:lineRule="exact"/>
        <w:rPr>
          <w:rFonts w:ascii="Arial" w:cs="Arial" w:eastAsia="Arial" w:hAnsi="Arial"/>
          <w:sz w:val="17"/>
          <w:szCs w:val="17"/>
          <w:color w:val="auto"/>
        </w:rPr>
      </w:pPr>
    </w:p>
    <w:p>
      <w:pPr>
        <w:ind w:right="380" w:firstLine="656"/>
        <w:spacing w:after="0" w:line="308" w:lineRule="auto"/>
        <w:tabs>
          <w:tab w:leader="none" w:pos="131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6" w:lineRule="exact"/>
        <w:rPr>
          <w:rFonts w:ascii="Arial" w:cs="Arial" w:eastAsia="Arial" w:hAnsi="Arial"/>
          <w:sz w:val="17"/>
          <w:szCs w:val="17"/>
          <w:color w:val="auto"/>
        </w:rPr>
      </w:pPr>
    </w:p>
    <w:p>
      <w:pPr>
        <w:ind w:right="20" w:firstLine="656"/>
        <w:spacing w:after="0" w:line="257" w:lineRule="auto"/>
        <w:tabs>
          <w:tab w:leader="none" w:pos="130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TRANSFERS OF UNITS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General Restrictions</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272" w:lineRule="auto"/>
        <w:tabs>
          <w:tab w:leader="none" w:pos="129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Except for Transfers that are necessary in order to give effect to an exchange of such Member’s AAP Class A Units and PAGP Class B Shares for PAGP Class A Shares in accordance with the AAP Partnership Agreement, a Member shall be prohibited from Transferring any of its Company Units (a “</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Arial" w:cs="Arial" w:eastAsia="Arial" w:hAnsi="Arial"/>
          <w:sz w:val="17"/>
          <w:szCs w:val="17"/>
          <w:b w:val="1"/>
          <w:bCs w:val="1"/>
          <w:i w:val="1"/>
          <w:i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If for any reason the transfer of such AAP Class A Units and PAGP Class B Shares does not occur simultaneously and proportionately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Membership Transfer, then the Membership Transfer shall be null and void and of no force and effect.</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no Member may pledge, mortgage or otherwise subject its Company Units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Encumbrance.</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Substitute Members</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57" w:lineRule="auto"/>
        <w:tabs>
          <w:tab w:leader="none" w:pos="129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Unless and until admitted as a substitute Member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 Company’s business, or the right to inspect the Company’s books and records. Such transferee shall only be entitled to receive, to the extent of the Company Units Transferred to such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transferee, the share of distributions and profits, if any, to which the transferor would otherwise be entitled with respect to the Transferred Company Units. The transferor shall have the right to vote such Transferred Company Units until the transferee is admitted to the Company as a substitute Member with respect to the Transferred Company Units.</w:t>
      </w:r>
    </w:p>
    <w:p>
      <w:pPr>
        <w:spacing w:after="0" w:line="181" w:lineRule="exact"/>
        <w:rPr>
          <w:sz w:val="20"/>
          <w:szCs w:val="20"/>
          <w:color w:val="auto"/>
        </w:rPr>
      </w:pPr>
    </w:p>
    <w:p>
      <w:pPr>
        <w:ind w:left="1320" w:hanging="664"/>
        <w:spacing w:after="0"/>
        <w:tabs>
          <w:tab w:leader="none" w:pos="13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transferee of all or any of a Member’s Company Units shall become a substitute Member in place of the transferor unless and until:</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98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9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transferee has caused to be paid all reasonable expenses of the Company in connection with the admission of the transferee as a substitute Member.</w:t>
      </w:r>
    </w:p>
    <w:p>
      <w:pPr>
        <w:sectPr>
          <w:pgSz w:w="11900" w:h="16929" w:orient="portrait"/>
          <w:cols w:equalWidth="0" w:num="1">
            <w:col w:w="11380"/>
          </w:cols>
          <w:pgMar w:left="240" w:top="125" w:right="279" w:bottom="0" w:gutter="0" w:footer="0" w:header="0"/>
        </w:sectPr>
      </w:pPr>
    </w:p>
    <w:bookmarkStart w:id="53" w:name="page54"/>
    <w:bookmarkEnd w:id="53"/>
    <w:p>
      <w:pPr>
        <w:spacing w:after="0" w:line="6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Effect of Admission as a Substitute Member</w:t>
      </w:r>
      <w:r>
        <w:rPr>
          <w:rFonts w:ascii="Arial" w:cs="Arial" w:eastAsia="Arial" w:hAnsi="Arial"/>
          <w:sz w:val="17"/>
          <w:szCs w:val="17"/>
          <w:color w:val="auto"/>
        </w:rPr>
        <w:t>.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Each Member hereby agrees that upon satisfaction of the terms and conditions of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with respect to any proposed Transfer, the transferee may be admitted as a Member without any further action by a Member hereunder.</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Dissolution</w:t>
      </w:r>
      <w:r>
        <w:rPr>
          <w:rFonts w:ascii="Arial" w:cs="Arial" w:eastAsia="Arial" w:hAnsi="Arial"/>
          <w:sz w:val="18"/>
          <w:szCs w:val="18"/>
          <w:color w:val="auto"/>
        </w:rPr>
        <w:t xml:space="preserve">. If a Member Transfers all of its Company Units pursuant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the transferee of such Company Units is admitted as a Member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such Person shall be admitted to the Company as a Member effective on the effective date of the Transfer and the Company shall not dissolve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Additional Members</w:t>
      </w:r>
      <w:r>
        <w:rPr>
          <w:rFonts w:ascii="Arial" w:cs="Arial" w:eastAsia="Arial" w:hAnsi="Arial"/>
          <w:sz w:val="17"/>
          <w:szCs w:val="17"/>
          <w:color w:val="auto"/>
        </w:rPr>
        <w:t xml:space="preserve">. Any Person acceptable to the Board may become an additional Member of the Company on terms and conditions as the Board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Member complies with all the requirements of a transferee under </w:t>
      </w:r>
      <w:r>
        <w:rPr>
          <w:rFonts w:ascii="Arial" w:cs="Arial" w:eastAsia="Arial" w:hAnsi="Arial"/>
          <w:sz w:val="17"/>
          <w:szCs w:val="17"/>
          <w:u w:val="single" w:color="auto"/>
          <w:color w:val="auto"/>
        </w:rPr>
        <w:t>Section 8.2(b)(ii) and (b)(iii)</w:t>
      </w:r>
      <w:r>
        <w:rPr>
          <w:rFonts w:ascii="Arial" w:cs="Arial" w:eastAsia="Arial" w:hAnsi="Arial"/>
          <w:sz w:val="17"/>
          <w:szCs w:val="17"/>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Events Causing Dissolution</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shall be dissolved and its affairs wound up upon the first to occur of the following events: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consent of at least two-thirds of the members of the Board;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Act or this Agreement;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entry of a decree of judicial dissolution pursuant to Section 18-802 of the Act.</w:t>
      </w:r>
    </w:p>
    <w:p>
      <w:pPr>
        <w:spacing w:after="0" w:line="225" w:lineRule="exact"/>
        <w:rPr>
          <w:rFonts w:ascii="Arial" w:cs="Arial" w:eastAsia="Arial" w:hAnsi="Arial"/>
          <w:sz w:val="18"/>
          <w:szCs w:val="18"/>
          <w:color w:val="auto"/>
        </w:rPr>
      </w:pPr>
    </w:p>
    <w:p>
      <w:pPr>
        <w:ind w:right="240" w:firstLine="656"/>
        <w:spacing w:after="0" w:line="308" w:lineRule="auto"/>
        <w:tabs>
          <w:tab w:leader="none" w:pos="130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14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Final Accounting</w:t>
      </w:r>
      <w:r>
        <w:rPr>
          <w:rFonts w:ascii="Arial" w:cs="Arial" w:eastAsia="Arial" w:hAnsi="Arial"/>
          <w:sz w:val="17"/>
          <w:szCs w:val="17"/>
          <w:color w:val="auto"/>
        </w:rPr>
        <w:t>.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Distributions Following Dissolution and Termination</w:t>
      </w:r>
      <w:r>
        <w:rPr>
          <w:rFonts w:ascii="Arial" w:cs="Arial" w:eastAsia="Arial" w:hAnsi="Arial"/>
          <w:sz w:val="18"/>
          <w:szCs w:val="18"/>
          <w:color w:val="auto"/>
        </w:rPr>
        <w:t>. Upon dissolution and liquidation of the Company, the assets of the Company shall be applied and distributed in the following order of priority:</w:t>
      </w:r>
    </w:p>
    <w:p>
      <w:pPr>
        <w:spacing w:after="0" w:line="170" w:lineRule="exact"/>
        <w:rPr>
          <w:sz w:val="20"/>
          <w:szCs w:val="20"/>
          <w:color w:val="auto"/>
        </w:rPr>
      </w:pPr>
    </w:p>
    <w:p>
      <w:pPr>
        <w:ind w:right="660" w:firstLine="656"/>
        <w:spacing w:after="0" w:line="277" w:lineRule="auto"/>
        <w:tabs>
          <w:tab w:leader="none" w:pos="12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the payment of debts and liabilities of the Company (including to the Members to the extent otherwise permitted by law) and the expenses of liquidation;</w:t>
      </w:r>
    </w:p>
    <w:p>
      <w:pPr>
        <w:spacing w:after="0" w:line="170" w:lineRule="exact"/>
        <w:rPr>
          <w:rFonts w:ascii="Arial" w:cs="Arial" w:eastAsia="Arial" w:hAnsi="Arial"/>
          <w:sz w:val="18"/>
          <w:szCs w:val="18"/>
          <w:color w:val="auto"/>
        </w:rPr>
      </w:pPr>
    </w:p>
    <w:p>
      <w:pPr>
        <w:ind w:right="40" w:firstLine="656"/>
        <w:spacing w:after="0" w:line="257" w:lineRule="auto"/>
        <w:tabs>
          <w:tab w:leader="none" w:pos="130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remainder to the Members in proportion to their relative ownership of Company Units.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The provisions of this Agreement, including, without limitation, this </w:t>
      </w:r>
      <w:r>
        <w:rPr>
          <w:rFonts w:ascii="Arial" w:cs="Arial" w:eastAsia="Arial" w:hAnsi="Arial"/>
          <w:sz w:val="18"/>
          <w:szCs w:val="18"/>
          <w:u w:val="single" w:color="auto"/>
          <w:color w:val="auto"/>
        </w:rPr>
        <w:t>Section 9.3</w:t>
      </w:r>
      <w:r>
        <w:rPr>
          <w:rFonts w:ascii="Arial" w:cs="Arial" w:eastAsia="Arial" w:hAnsi="Arial"/>
          <w:sz w:val="18"/>
          <w:szCs w:val="18"/>
          <w:color w:val="auto"/>
        </w:rPr>
        <w:t>, are intended solely to benefit the Members and, to the fullest extent permitted by law, shall not be construed as conferring any benefit upon any creditor of the Company, and no such creditor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shall be a third-party beneficiary of this Agreement, and no Member or Director shall have any duty or obligation to any creditor of the Company to issue any call for capital pursuant to this Agreement.</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of the Company</w:t>
      </w:r>
      <w:r>
        <w:rPr>
          <w:rFonts w:ascii="Arial" w:cs="Arial" w:eastAsia="Arial" w:hAnsi="Arial"/>
          <w:sz w:val="18"/>
          <w:szCs w:val="18"/>
          <w:color w:val="auto"/>
        </w:rPr>
        <w:t xml:space="preserve">. The Company shall terminate when all assets of the Company, after payment or due provision for all debts, liabilities and obligations of the Company, shall have been distributed to the Members in the manner provided for in this </w:t>
      </w:r>
      <w:r>
        <w:rPr>
          <w:rFonts w:ascii="Arial" w:cs="Arial" w:eastAsia="Arial" w:hAnsi="Arial"/>
          <w:sz w:val="18"/>
          <w:szCs w:val="18"/>
          <w:u w:val="single" w:color="auto"/>
          <w:color w:val="auto"/>
        </w:rPr>
        <w:t>Article 9</w:t>
      </w:r>
      <w:r>
        <w:rPr>
          <w:rFonts w:ascii="Arial" w:cs="Arial" w:eastAsia="Arial" w:hAnsi="Arial"/>
          <w:sz w:val="18"/>
          <w:szCs w:val="18"/>
          <w:color w:val="auto"/>
        </w:rPr>
        <w:t>, and the Certificate of Formation of the Company shall have been canceled in the manner required by the Act.</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 Action for Dissolution</w:t>
      </w:r>
      <w:r>
        <w:rPr>
          <w:rFonts w:ascii="Arial" w:cs="Arial" w:eastAsia="Arial" w:hAnsi="Arial"/>
          <w:sz w:val="18"/>
          <w:szCs w:val="18"/>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Accordingly, except where the Board has failed to cause the liquidation of the Company as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ectPr>
          <w:pgSz w:w="11900" w:h="16906" w:orient="portrait"/>
          <w:cols w:equalWidth="0" w:num="1">
            <w:col w:w="11400"/>
          </w:cols>
          <w:pgMar w:left="240" w:top="341" w:right="259" w:bottom="0" w:gutter="0" w:footer="0" w:header="0"/>
        </w:sectPr>
      </w:pPr>
    </w:p>
    <w:bookmarkStart w:id="54" w:name="page55"/>
    <w:bookmarkEnd w:id="54"/>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BOOKS AND RECORDS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Fiscal Year and Accounting Method</w:t>
      </w:r>
      <w:r>
        <w:rPr>
          <w:rFonts w:ascii="Arial" w:cs="Arial" w:eastAsia="Arial" w:hAnsi="Arial"/>
          <w:sz w:val="18"/>
          <w:szCs w:val="18"/>
          <w:color w:val="auto"/>
        </w:rPr>
        <w:t>. The fiscal year and taxable year of the Company shall be the calendar year. The Company shall use an accrual method of accounting.</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maintain at its principal office, or such other office as may be determined by the Board, all the following:</w:t>
      </w:r>
    </w:p>
    <w:p>
      <w:pPr>
        <w:spacing w:after="0" w:line="170"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Member, and of each member of the Board;</w:t>
      </w:r>
    </w:p>
    <w:p>
      <w:pPr>
        <w:spacing w:after="0" w:line="236" w:lineRule="exact"/>
        <w:rPr>
          <w:rFonts w:ascii="Arial" w:cs="Arial" w:eastAsia="Arial" w:hAnsi="Arial"/>
          <w:sz w:val="17"/>
          <w:szCs w:val="17"/>
          <w:color w:val="auto"/>
        </w:rPr>
      </w:pPr>
    </w:p>
    <w:p>
      <w:pPr>
        <w:ind w:right="420" w:firstLine="656"/>
        <w:spacing w:after="0" w:line="277" w:lineRule="auto"/>
        <w:tabs>
          <w:tab w:leader="none" w:pos="130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Company’s books and records.</w:t>
      </w:r>
    </w:p>
    <w:p>
      <w:pPr>
        <w:spacing w:after="0" w:line="225" w:lineRule="exact"/>
        <w:rPr>
          <w:sz w:val="20"/>
          <w:szCs w:val="20"/>
          <w:color w:val="auto"/>
        </w:rPr>
      </w:pPr>
    </w:p>
    <w:p>
      <w:pPr>
        <w:ind w:right="420" w:firstLine="648"/>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Delivery to Members; Inspection</w:t>
      </w:r>
      <w:r>
        <w:rPr>
          <w:rFonts w:ascii="Arial" w:cs="Arial" w:eastAsia="Arial" w:hAnsi="Arial"/>
          <w:sz w:val="16"/>
          <w:szCs w:val="16"/>
          <w:color w:val="auto"/>
        </w:rPr>
        <w:t>. Upon the request of any Member, for any purpose reasonably related to such Member’s interest as a member of the Company, the Board shall cause to be made available to the requesting Member the information required to be maintained by clauses</w:t>
      </w:r>
    </w:p>
    <w:p>
      <w:pPr>
        <w:ind w:right="360" w:firstLine="8"/>
        <w:spacing w:after="0" w:line="261" w:lineRule="auto"/>
        <w:tabs>
          <w:tab w:leader="none" w:pos="24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through (c)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such other information regarding the business and affairs and financial condition of the Company as any Member may reasonably request.</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Non-Disclosure</w:t>
      </w:r>
      <w:r>
        <w:rPr>
          <w:rFonts w:ascii="Arial" w:cs="Arial" w:eastAsia="Arial" w:hAnsi="Arial"/>
          <w:sz w:val="18"/>
          <w:szCs w:val="18"/>
          <w:color w:val="auto"/>
        </w:rPr>
        <w:t>. Each Member (other than PAGP) agrees that, except as otherwise consented to by the Company in writing, all non-public and confidential information furnished to it pursuant to this Agreement will be kept confidential and will not be disclosed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and are apprised of the confidential nature of such information, (b) each Member shall be 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 (c) each Member shall be permitted to disclose such information to possible purchasers of all or a portion of the Member’s Company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prospective purchaser shall execute a suitable confidentiality agreement in a form approved by the Company containing terms not less restrictive than the terms set forth herein, (d) 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information shall not be deemed to be confidential information for purposes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where such information (i) is already known to such Member (or its Representatives), having been disclosed to such Member (or its Representatives) by a third Person without such third Person having an obligation of confidentiality to the Company (ii) 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by its Representatives.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NON-COMPETITION AND NON-SOLICITATION</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the Oxy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when a Member engages in such activities, there shall be no presumption of misuse of such confidential information solely because a Representative or Director designee of such Member or the Oxy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Arial" w:cs="Arial" w:eastAsia="Arial" w:hAnsi="Arial"/>
          <w:sz w:val="16"/>
          <w:szCs w:val="16"/>
          <w:u w:val="single" w:color="auto"/>
          <w:color w:val="auto"/>
        </w:rPr>
        <w:t>Section 10.4</w:t>
      </w:r>
      <w:r>
        <w:rPr>
          <w:rFonts w:ascii="Arial" w:cs="Arial" w:eastAsia="Arial" w:hAnsi="Arial"/>
          <w:sz w:val="16"/>
          <w:szCs w:val="16"/>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each of the Members also acknowledge and agree that (i) Kayne Anderson Capital 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First Reserve XII Advisors, L.L.C. and its Affiliates (“</w:t>
      </w:r>
      <w:r>
        <w:rPr>
          <w:rFonts w:ascii="Arial" w:cs="Arial" w:eastAsia="Arial" w:hAnsi="Arial"/>
          <w:sz w:val="16"/>
          <w:szCs w:val="16"/>
          <w:b w:val="1"/>
          <w:bCs w:val="1"/>
          <w:i w:val="1"/>
          <w:iCs w:val="1"/>
          <w:color w:val="auto"/>
        </w:rPr>
        <w:t>First Reserve</w:t>
      </w:r>
      <w:r>
        <w:rPr>
          <w:rFonts w:ascii="Arial" w:cs="Arial" w:eastAsia="Arial" w:hAnsi="Arial"/>
          <w:sz w:val="16"/>
          <w:szCs w:val="16"/>
          <w:color w:val="auto"/>
        </w:rPr>
        <w:t>”), and EMG Investment, LLC and its Affiliates (“</w:t>
      </w:r>
      <w:r>
        <w:rPr>
          <w:rFonts w:ascii="Arial" w:cs="Arial" w:eastAsia="Arial" w:hAnsi="Arial"/>
          <w:sz w:val="16"/>
          <w:szCs w:val="16"/>
          <w:b w:val="1"/>
          <w:bCs w:val="1"/>
          <w:i w:val="1"/>
          <w:iCs w:val="1"/>
          <w:color w:val="auto"/>
        </w:rPr>
        <w:t>EMG</w:t>
      </w:r>
      <w:r>
        <w:rPr>
          <w:rFonts w:ascii="Arial" w:cs="Arial" w:eastAsia="Arial" w:hAnsi="Arial"/>
          <w:sz w:val="16"/>
          <w:szCs w:val="16"/>
          <w:color w:val="auto"/>
        </w:rPr>
        <w:t>”) manage investments in the energy industry in the ordinary course of business (such investments referred to as “</w:t>
      </w:r>
      <w:r>
        <w:rPr>
          <w:rFonts w:ascii="Arial" w:cs="Arial" w:eastAsia="Arial" w:hAnsi="Arial"/>
          <w:sz w:val="16"/>
          <w:szCs w:val="16"/>
          <w:b w:val="1"/>
          <w:bCs w:val="1"/>
          <w:i w:val="1"/>
          <w:iCs w:val="1"/>
          <w:color w:val="auto"/>
        </w:rPr>
        <w:t>Institutional Investments</w:t>
      </w:r>
      <w:r>
        <w:rPr>
          <w:rFonts w:ascii="Arial" w:cs="Arial" w:eastAsia="Arial" w:hAnsi="Arial"/>
          <w:sz w:val="16"/>
          <w:szCs w:val="16"/>
          <w:color w:val="auto"/>
        </w:rPr>
        <w:t>”) and that Kayne Anderson, First Reserve and EMG may make Institutional Investments, even if such Institutional Investments are competitive with the Partnership’s and its Subsidiaries’ business; (ii) Oxy Holding Company (Pipeline), Inc. (“</w:t>
      </w:r>
      <w:r>
        <w:rPr>
          <w:rFonts w:ascii="Arial" w:cs="Arial" w:eastAsia="Arial" w:hAnsi="Arial"/>
          <w:sz w:val="16"/>
          <w:szCs w:val="16"/>
          <w:b w:val="1"/>
          <w:bCs w:val="1"/>
          <w:i w:val="1"/>
          <w:iCs w:val="1"/>
          <w:color w:val="auto"/>
        </w:rPr>
        <w:t>Oxy</w:t>
      </w:r>
      <w:r>
        <w:rPr>
          <w:rFonts w:ascii="Arial" w:cs="Arial" w:eastAsia="Arial" w:hAnsi="Arial"/>
          <w:sz w:val="16"/>
          <w:szCs w:val="16"/>
          <w:color w:val="auto"/>
        </w:rPr>
        <w:t>”)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First Reserve,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w:t>
      </w:r>
    </w:p>
    <w:p>
      <w:pPr>
        <w:sectPr>
          <w:pgSz w:w="11900" w:h="16926" w:orient="portrait"/>
          <w:cols w:equalWidth="0" w:num="1">
            <w:col w:w="11420"/>
          </w:cols>
          <w:pgMar w:left="240" w:top="337" w:right="239" w:bottom="0" w:gutter="0" w:footer="0" w:header="0"/>
        </w:sectPr>
      </w:pPr>
    </w:p>
    <w:bookmarkStart w:id="55" w:name="page56"/>
    <w:bookmarkEnd w:id="55"/>
    <w:p>
      <w:pPr>
        <w:spacing w:after="0" w:line="3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interest with, or to have breached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all cases, such Institutional Investments are not in violation of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the second sentence of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Each of the Members confirms that the restrictions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are reasonable and valid and all defenses to the strict enforcement thereof are hereby waived by each of the Members.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Non-Solicitation</w:t>
      </w:r>
      <w:r>
        <w:rPr>
          <w:rFonts w:ascii="Arial" w:cs="Arial" w:eastAsia="Arial" w:hAnsi="Arial"/>
          <w:sz w:val="17"/>
          <w:szCs w:val="17"/>
          <w:color w:val="auto"/>
        </w:rPr>
        <w:t>.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7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Damages</w:t>
      </w:r>
      <w:r>
        <w:rPr>
          <w:rFonts w:ascii="Arial" w:cs="Arial" w:eastAsia="Arial" w:hAnsi="Arial"/>
          <w:sz w:val="16"/>
          <w:szCs w:val="16"/>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and that the Company shall be entitled to seek injunctive relief with respect to any such breach in lieu of or in addition to any recourse in damages without the posting of a bond or other security.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In the event that a court of competent jurisdiction decides that the limitations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 are too broad, such limitations shall be reduced to those limitations that such court deems reasonable.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Waiver of Default</w:t>
      </w:r>
      <w:r>
        <w:rPr>
          <w:rFonts w:ascii="Arial" w:cs="Arial" w:eastAsia="Arial" w:hAnsi="Arial"/>
          <w:sz w:val="16"/>
          <w:szCs w:val="16"/>
          <w:color w:val="auto"/>
        </w:rPr>
        <w:t>.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77" w:lineRule="auto"/>
        <w:tabs>
          <w:tab w:leader="none" w:pos="129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elsewhere in this Agreement, this Agreement shall not be altered, modified or changed except by an amendment approved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70" w:lineRule="exact"/>
        <w:rPr>
          <w:sz w:val="20"/>
          <w:szCs w:val="20"/>
          <w:color w:val="auto"/>
        </w:rPr>
      </w:pPr>
    </w:p>
    <w:p>
      <w:pPr>
        <w:ind w:left="1980" w:hanging="675"/>
        <w:spacing w:after="0"/>
        <w:tabs>
          <w:tab w:leader="none" w:pos="198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no amendment of the terms of this Agreement that (A) increases or extends any financial obligation or liability of a Member,</w:t>
      </w:r>
    </w:p>
    <w:p>
      <w:pPr>
        <w:spacing w:after="0" w:line="34" w:lineRule="exact"/>
        <w:rPr>
          <w:rFonts w:ascii="Arial" w:cs="Arial" w:eastAsia="Arial" w:hAnsi="Arial"/>
          <w:sz w:val="17"/>
          <w:szCs w:val="17"/>
          <w:color w:val="auto"/>
        </w:rPr>
      </w:pPr>
    </w:p>
    <w:p>
      <w:pPr>
        <w:ind w:left="660" w:right="40" w:hanging="4"/>
        <w:spacing w:after="0" w:line="323" w:lineRule="auto"/>
        <w:tabs>
          <w:tab w:leader="none" w:pos="94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38" w:lineRule="exact"/>
        <w:rPr>
          <w:rFonts w:ascii="Arial" w:cs="Arial" w:eastAsia="Arial" w:hAnsi="Arial"/>
          <w:sz w:val="16"/>
          <w:szCs w:val="16"/>
          <w:color w:val="auto"/>
        </w:rPr>
      </w:pPr>
    </w:p>
    <w:p>
      <w:pPr>
        <w:ind w:left="660" w:right="160" w:firstLine="645"/>
        <w:spacing w:after="0" w:line="277" w:lineRule="auto"/>
        <w:tabs>
          <w:tab w:leader="none" w:pos="198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no amendment of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that adversely affects the obligations or rights of a Member shall be effective as to any Member without the prior written consent of that Member;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no amendment of this Agreement that would (A) except as expressly provided for hereunder, increase the size of the Board,</w:t>
      </w:r>
    </w:p>
    <w:p>
      <w:pPr>
        <w:spacing w:after="0" w:line="35" w:lineRule="exact"/>
        <w:rPr>
          <w:sz w:val="20"/>
          <w:szCs w:val="20"/>
          <w:color w:val="auto"/>
        </w:rPr>
      </w:pPr>
    </w:p>
    <w:p>
      <w:pPr>
        <w:ind w:left="660" w:right="160" w:hanging="4"/>
        <w:spacing w:after="0" w:line="255" w:lineRule="auto"/>
        <w:tabs>
          <w:tab w:leader="none" w:pos="94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effected Designating Member or Designating Members, as applicable; and</w:t>
      </w:r>
    </w:p>
    <w:p>
      <w:pPr>
        <w:spacing w:after="0" w:line="190" w:lineRule="exact"/>
        <w:rPr>
          <w:rFonts w:ascii="Arial" w:cs="Arial" w:eastAsia="Arial" w:hAnsi="Arial"/>
          <w:sz w:val="18"/>
          <w:szCs w:val="18"/>
          <w:color w:val="auto"/>
        </w:rPr>
      </w:pPr>
    </w:p>
    <w:p>
      <w:pPr>
        <w:ind w:left="660" w:right="480" w:firstLine="645"/>
        <w:spacing w:after="0" w:line="277" w:lineRule="auto"/>
        <w:tabs>
          <w:tab w:leader="none" w:pos="197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no amendment of Article 6 that would adversely affect the director election rights of holders of PAGP Class A Shares in any material respect shall be effective without the approval of a majority of the Company’s Independent Directors.</w:t>
      </w:r>
    </w:p>
    <w:p>
      <w:pPr>
        <w:spacing w:after="0" w:line="170" w:lineRule="exact"/>
        <w:rPr>
          <w:sz w:val="20"/>
          <w:szCs w:val="20"/>
          <w:color w:val="auto"/>
        </w:rPr>
      </w:pPr>
    </w:p>
    <w:p>
      <w:pPr>
        <w:ind w:right="620" w:firstLine="656"/>
        <w:spacing w:after="0" w:line="264" w:lineRule="auto"/>
        <w:tabs>
          <w:tab w:leader="none" w:pos="13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firstLine="656"/>
        <w:spacing w:after="0" w:line="277" w:lineRule="auto"/>
        <w:tabs>
          <w:tab w:leader="none" w:pos="130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Board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right="400" w:firstLine="656"/>
        <w:spacing w:after="0" w:line="277" w:lineRule="auto"/>
        <w:tabs>
          <w:tab w:leader="none" w:pos="13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Any modification or amendment to this Agreement or the Certificate made in accordance with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shall be binding on all Members and the Board.</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No Third Party Rights</w:t>
      </w:r>
      <w:r>
        <w:rPr>
          <w:rFonts w:ascii="Arial" w:cs="Arial" w:eastAsia="Arial" w:hAnsi="Arial"/>
          <w:sz w:val="16"/>
          <w:szCs w:val="16"/>
          <w:color w:val="auto"/>
        </w:rPr>
        <w:t xml:space="preserve">. Except for the rights provided to the Initial Designating Members in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and as provided in </w:t>
      </w:r>
      <w:r>
        <w:rPr>
          <w:rFonts w:ascii="Arial" w:cs="Arial" w:eastAsia="Arial" w:hAnsi="Arial"/>
          <w:sz w:val="16"/>
          <w:szCs w:val="16"/>
          <w:u w:val="single" w:color="auto"/>
          <w:color w:val="auto"/>
        </w:rPr>
        <w:t>Article 7</w:t>
      </w:r>
      <w:r>
        <w:rPr>
          <w:rFonts w:ascii="Arial" w:cs="Arial" w:eastAsia="Arial" w:hAnsi="Arial"/>
          <w:sz w:val="16"/>
          <w:szCs w:val="16"/>
          <w:color w:val="auto"/>
        </w:rPr>
        <w:t>, none of the provisions contained in this Agreement shall be for the benefit of or enforceable by any third parties, including creditors of the Company.</w:t>
      </w:r>
    </w:p>
    <w:p>
      <w:pPr>
        <w:spacing w:after="0" w:line="12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Nature of Interest in the Company</w:t>
      </w:r>
      <w:r>
        <w:rPr>
          <w:rFonts w:ascii="Arial" w:cs="Arial" w:eastAsia="Arial" w:hAnsi="Arial"/>
          <w:sz w:val="16"/>
          <w:szCs w:val="16"/>
          <w:color w:val="auto"/>
        </w:rPr>
        <w:t>. A Member’s Company Units shall be personal property for all purposes.</w:t>
      </w:r>
    </w:p>
    <w:p>
      <w:pPr>
        <w:sectPr>
          <w:pgSz w:w="11900" w:h="16874" w:orient="portrait"/>
          <w:cols w:equalWidth="0" w:num="1">
            <w:col w:w="11400"/>
          </w:cols>
          <w:pgMar w:left="240" w:top="125" w:right="259" w:bottom="0" w:gutter="0" w:footer="0" w:header="0"/>
        </w:sectPr>
      </w:pPr>
    </w:p>
    <w:bookmarkStart w:id="56" w:name="page57"/>
    <w:bookmarkEnd w:id="56"/>
    <w:p>
      <w:pPr>
        <w:jc w:val="both"/>
        <w:ind w:right="340" w:firstLine="648"/>
        <w:spacing w:after="0" w:line="34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Binding Agreement</w:t>
      </w:r>
      <w:r>
        <w:rPr>
          <w:rFonts w:ascii="Arial" w:cs="Arial" w:eastAsia="Arial" w:hAnsi="Arial"/>
          <w:sz w:val="16"/>
          <w:szCs w:val="16"/>
          <w:color w:val="auto"/>
        </w:rPr>
        <w:t>.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convenience only and shall not be considered in construing or interpreting any of the terms or provisions hereof.</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Word Meanings</w:t>
      </w:r>
      <w:r>
        <w:rPr>
          <w:rFonts w:ascii="Arial" w:cs="Arial" w:eastAsia="Arial" w:hAnsi="Arial"/>
          <w:sz w:val="18"/>
          <w:szCs w:val="18"/>
          <w:color w:val="auto"/>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together shall constitute one agreement binding on all parties hereto, notwithstanding that all the parties have not signed the same counterpart.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hereto and thereto and supersedes all prior writings or agreements with respect to the subject matter hereof.</w:t>
      </w:r>
    </w:p>
    <w:p>
      <w:pPr>
        <w:spacing w:after="0" w:line="17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u w:val="single" w:color="auto"/>
          <w:color w:val="auto"/>
        </w:rPr>
        <w:t>Partition</w:t>
      </w:r>
      <w:r>
        <w:rPr>
          <w:rFonts w:ascii="Arial" w:cs="Arial" w:eastAsia="Arial" w:hAnsi="Arial"/>
          <w:sz w:val="17"/>
          <w:szCs w:val="17"/>
          <w:color w:val="auto"/>
        </w:rPr>
        <w:t>. The Members agree that the Property is not and will not be suitable for partition. Accordingly, each of the Members hereby irrevocably waives any and all right such Member may have to maintain any action for partition of any of the Property. No Member shall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have any right to any specific assets of the Company upon the liquidation of, or any distribution from, the Company.</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Governing Law; Consent to Jurisdiction and Venue</w:t>
      </w:r>
      <w:r>
        <w:rPr>
          <w:rFonts w:ascii="Arial" w:cs="Arial" w:eastAsia="Arial" w:hAnsi="Arial"/>
          <w:sz w:val="18"/>
          <w:szCs w:val="18"/>
          <w:color w:val="auto"/>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Holdings LLC,</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OXY HOLDING COMPANY (PIPELINE),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A. Stevens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Todd A. Stevens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EMG INVESTMENT, LLC</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EMG Admin, LP, its manager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EMG Admin, LLC, its general partner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Raymond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John T. Raymond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KAFU HOLDINGS, L.P.</w:t>
      </w:r>
    </w:p>
    <w:p>
      <w:pPr>
        <w:sectPr>
          <w:pgSz w:w="11900" w:h="16838" w:orient="portrait"/>
          <w:cols w:equalWidth="0" w:num="1">
            <w:col w:w="11420"/>
          </w:cols>
          <w:pgMar w:left="240" w:top="341" w:right="239" w:bottom="0" w:gutter="0" w:footer="0" w:header="0"/>
        </w:sectPr>
      </w:pPr>
    </w:p>
    <w:bookmarkStart w:id="57" w:name="page58"/>
    <w:bookmarkEnd w:id="57"/>
    <w:tbl>
      <w:tblPr>
        <w:tblLayout w:type="fixed"/>
        <w:tblInd w:w="45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KAFU Holdings, LLC,</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SIGNATURE PAGE FOR AMENDED AND RESTATED</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 FIRST RESERVE XII, LLC</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PAA MANAGEMENT, L.P.</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Management LLC,</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Treasurer</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STROME PAA, L.P.</w:t>
      </w:r>
    </w:p>
    <w:p>
      <w:pPr>
        <w:spacing w:after="0" w:line="23"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Strome Investment Management, LP,</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E Strome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Mark E. Strome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MARK E. STROME LIVING TRUST</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E Strome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Mark E. Strome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Settlor &amp; Trustee</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WINDY, L.L.C.</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David Scott</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W. David Scott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SIGNATURE PAGE FOR AMENDED AND RESTATED</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LYNX HOLDINGS I, LLC</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Raymond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John T. Raymond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Sole Member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KAFU HOLDINGS II, L.P.</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KAFU Holdings, LLC,</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r>
    </w:tbl>
    <w:p>
      <w:pPr>
        <w:sectPr>
          <w:pgSz w:w="11900" w:h="16838" w:orient="portrait"/>
          <w:cols w:equalWidth="0" w:num="1">
            <w:col w:w="10220"/>
          </w:cols>
          <w:pgMar w:left="1440" w:top="125" w:right="239" w:bottom="0" w:gutter="0" w:footer="0" w:header="0"/>
        </w:sectPr>
      </w:pPr>
    </w:p>
    <w:bookmarkStart w:id="58" w:name="page59"/>
    <w:bookmarkEnd w:id="58"/>
    <w:p>
      <w:pPr>
        <w:spacing w:after="0" w:line="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KAYNE ANDERSON MLP INVESTMENT COMPANY</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18"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KAYNE ANDERSON ENERGY DEVELOPMENT COMPANY</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KAYNE ANDERSON MIDSTREAM/ ENERGY FUND, INC.</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SIGNATURE PAGE FOR AMENDED AND RESTATED</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JAY CHERNOSKY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PAUL N. RIDDLE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Paul N. Riddle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RUSSELL T. CLINGMAN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Russell T. Clingman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E. HUMPHREYS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PHILIP J. TRINDER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KIPP PAA TRUST</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Kipp</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Christine Kipp</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SIGNATURE PAGE FOR AMENDED AND RESTATED</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031" w:gutter="0" w:footer="0" w:header="0"/>
        </w:sectPr>
      </w:pPr>
    </w:p>
    <w:bookmarkStart w:id="59" w:name="page60"/>
    <w:bookmarkEnd w:id="59"/>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3.3</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Delaware Limited Partnership</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SEVENTH 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PARTNERSHIP AGREEMENT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October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00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28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280" w:type="dxa"/>
            <w:vAlign w:val="bottom"/>
          </w:tcPr>
          <w:p>
            <w:pPr>
              <w:spacing w:after="0"/>
              <w:rPr>
                <w:sz w:val="20"/>
                <w:szCs w:val="20"/>
                <w:color w:val="auto"/>
              </w:rPr>
            </w:pPr>
            <w:r>
              <w:rPr>
                <w:rFonts w:ascii="Arial" w:cs="Arial" w:eastAsia="Arial" w:hAnsi="Arial"/>
                <w:sz w:val="18"/>
                <w:szCs w:val="18"/>
                <w:color w:val="auto"/>
              </w:rPr>
              <w:t>ARTICLE I</w:t>
            </w:r>
          </w:p>
        </w:tc>
        <w:tc>
          <w:tcPr>
            <w:tcW w:w="900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ARTICLE II</w:t>
            </w:r>
          </w:p>
        </w:tc>
        <w:tc>
          <w:tcPr>
            <w:tcW w:w="9000" w:type="dxa"/>
            <w:vAlign w:val="bottom"/>
          </w:tcPr>
          <w:p>
            <w:pPr>
              <w:ind w:left="240"/>
              <w:spacing w:after="0"/>
              <w:rPr>
                <w:sz w:val="20"/>
                <w:szCs w:val="20"/>
                <w:color w:val="auto"/>
              </w:rPr>
            </w:pPr>
            <w:r>
              <w:rPr>
                <w:rFonts w:ascii="Arial" w:cs="Arial" w:eastAsia="Arial" w:hAnsi="Arial"/>
                <w:sz w:val="18"/>
                <w:szCs w:val="18"/>
                <w:color w:val="auto"/>
              </w:rPr>
              <w:t>ORGANIZATION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2.1</w:t>
            </w:r>
          </w:p>
        </w:tc>
        <w:tc>
          <w:tcPr>
            <w:tcW w:w="9000" w:type="dxa"/>
            <w:vAlign w:val="bottom"/>
          </w:tcPr>
          <w:p>
            <w:pPr>
              <w:ind w:left="240"/>
              <w:spacing w:after="0"/>
              <w:rPr>
                <w:sz w:val="20"/>
                <w:szCs w:val="20"/>
                <w:color w:val="auto"/>
              </w:rPr>
            </w:pPr>
            <w:r>
              <w:rPr>
                <w:rFonts w:ascii="Arial" w:cs="Arial" w:eastAsia="Arial" w:hAnsi="Arial"/>
                <w:sz w:val="18"/>
                <w:szCs w:val="18"/>
                <w:color w:val="auto"/>
              </w:rPr>
              <w:t>Formation of Limited Partnership</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2.2</w:t>
            </w:r>
          </w:p>
        </w:tc>
        <w:tc>
          <w:tcPr>
            <w:tcW w:w="9000" w:type="dxa"/>
            <w:vAlign w:val="bottom"/>
          </w:tcPr>
          <w:p>
            <w:pPr>
              <w:ind w:left="240"/>
              <w:spacing w:after="0"/>
              <w:rPr>
                <w:sz w:val="20"/>
                <w:szCs w:val="20"/>
                <w:color w:val="auto"/>
              </w:rPr>
            </w:pPr>
            <w:r>
              <w:rPr>
                <w:rFonts w:ascii="Arial" w:cs="Arial" w:eastAsia="Arial" w:hAnsi="Arial"/>
                <w:sz w:val="18"/>
                <w:szCs w:val="18"/>
                <w:color w:val="auto"/>
              </w:rPr>
              <w:t>Name of Partnership</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2.3</w:t>
            </w:r>
          </w:p>
        </w:tc>
        <w:tc>
          <w:tcPr>
            <w:tcW w:w="9000" w:type="dxa"/>
            <w:vAlign w:val="bottom"/>
          </w:tcPr>
          <w:p>
            <w:pPr>
              <w:ind w:left="240"/>
              <w:spacing w:after="0"/>
              <w:rPr>
                <w:sz w:val="20"/>
                <w:szCs w:val="20"/>
                <w:color w:val="auto"/>
              </w:rPr>
            </w:pPr>
            <w:r>
              <w:rPr>
                <w:rFonts w:ascii="Arial" w:cs="Arial" w:eastAsia="Arial" w:hAnsi="Arial"/>
                <w:sz w:val="18"/>
                <w:szCs w:val="18"/>
                <w:color w:val="auto"/>
              </w:rPr>
              <w:t>Principal Office; Registered Office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2.4</w:t>
            </w:r>
          </w:p>
        </w:tc>
        <w:tc>
          <w:tcPr>
            <w:tcW w:w="9000" w:type="dxa"/>
            <w:vAlign w:val="bottom"/>
          </w:tcPr>
          <w:p>
            <w:pPr>
              <w:ind w:left="240"/>
              <w:spacing w:after="0"/>
              <w:rPr>
                <w:sz w:val="20"/>
                <w:szCs w:val="20"/>
                <w:color w:val="auto"/>
              </w:rPr>
            </w:pPr>
            <w:r>
              <w:rPr>
                <w:rFonts w:ascii="Arial" w:cs="Arial" w:eastAsia="Arial" w:hAnsi="Arial"/>
                <w:sz w:val="18"/>
                <w:szCs w:val="18"/>
                <w:color w:val="auto"/>
              </w:rPr>
              <w:t>Term of Partnership</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2.5</w:t>
            </w:r>
          </w:p>
        </w:tc>
        <w:tc>
          <w:tcPr>
            <w:tcW w:w="9000" w:type="dxa"/>
            <w:vAlign w:val="bottom"/>
          </w:tcPr>
          <w:p>
            <w:pPr>
              <w:ind w:left="240"/>
              <w:spacing w:after="0"/>
              <w:rPr>
                <w:sz w:val="20"/>
                <w:szCs w:val="20"/>
                <w:color w:val="auto"/>
              </w:rPr>
            </w:pPr>
            <w:r>
              <w:rPr>
                <w:rFonts w:ascii="Arial" w:cs="Arial" w:eastAsia="Arial" w:hAnsi="Arial"/>
                <w:sz w:val="18"/>
                <w:szCs w:val="18"/>
                <w:color w:val="auto"/>
              </w:rPr>
              <w:t>Purpose of Partnership</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2.6</w:t>
            </w:r>
          </w:p>
        </w:tc>
        <w:tc>
          <w:tcPr>
            <w:tcW w:w="9000" w:type="dxa"/>
            <w:vAlign w:val="bottom"/>
          </w:tcPr>
          <w:p>
            <w:pPr>
              <w:ind w:left="240"/>
              <w:spacing w:after="0"/>
              <w:rPr>
                <w:sz w:val="20"/>
                <w:szCs w:val="20"/>
                <w:color w:val="auto"/>
              </w:rPr>
            </w:pPr>
            <w:r>
              <w:rPr>
                <w:rFonts w:ascii="Arial" w:cs="Arial" w:eastAsia="Arial" w:hAnsi="Arial"/>
                <w:sz w:val="18"/>
                <w:szCs w:val="18"/>
                <w:color w:val="auto"/>
              </w:rPr>
              <w:t>Actions by Partnership</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2.7</w:t>
            </w:r>
          </w:p>
        </w:tc>
        <w:tc>
          <w:tcPr>
            <w:tcW w:w="9000" w:type="dxa"/>
            <w:vAlign w:val="bottom"/>
          </w:tcPr>
          <w:p>
            <w:pPr>
              <w:ind w:left="240"/>
              <w:spacing w:after="0"/>
              <w:rPr>
                <w:sz w:val="20"/>
                <w:szCs w:val="20"/>
                <w:color w:val="auto"/>
              </w:rPr>
            </w:pPr>
            <w:r>
              <w:rPr>
                <w:rFonts w:ascii="Arial" w:cs="Arial" w:eastAsia="Arial" w:hAnsi="Arial"/>
                <w:sz w:val="18"/>
                <w:szCs w:val="18"/>
                <w:color w:val="auto"/>
              </w:rPr>
              <w:t>Reliance by Third Parties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ARTICLE III</w:t>
            </w:r>
          </w:p>
        </w:tc>
        <w:tc>
          <w:tcPr>
            <w:tcW w:w="9000" w:type="dxa"/>
            <w:vAlign w:val="bottom"/>
          </w:tcPr>
          <w:p>
            <w:pPr>
              <w:ind w:left="240"/>
              <w:spacing w:after="0"/>
              <w:rPr>
                <w:sz w:val="20"/>
                <w:szCs w:val="20"/>
                <w:color w:val="auto"/>
              </w:rPr>
            </w:pPr>
            <w:r>
              <w:rPr>
                <w:rFonts w:ascii="Arial" w:cs="Arial" w:eastAsia="Arial" w:hAnsi="Arial"/>
                <w:sz w:val="18"/>
                <w:szCs w:val="18"/>
                <w:color w:val="auto"/>
              </w:rPr>
              <w:t>CAPITAL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90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9000" w:type="dxa"/>
            <w:vAlign w:val="bottom"/>
          </w:tcPr>
          <w:p>
            <w:pPr>
              <w:ind w:left="240"/>
              <w:spacing w:after="0"/>
              <w:rPr>
                <w:sz w:val="20"/>
                <w:szCs w:val="20"/>
                <w:color w:val="auto"/>
              </w:rPr>
            </w:pPr>
            <w:r>
              <w:rPr>
                <w:rFonts w:ascii="Arial" w:cs="Arial" w:eastAsia="Arial" w:hAnsi="Arial"/>
                <w:sz w:val="18"/>
                <w:szCs w:val="18"/>
                <w:color w:val="auto"/>
              </w:rPr>
              <w:t>Additional Capital Contributions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3.3</w:t>
            </w:r>
          </w:p>
        </w:tc>
        <w:tc>
          <w:tcPr>
            <w:tcW w:w="9000" w:type="dxa"/>
            <w:vAlign w:val="bottom"/>
          </w:tcPr>
          <w:p>
            <w:pPr>
              <w:ind w:left="240"/>
              <w:spacing w:after="0"/>
              <w:rPr>
                <w:sz w:val="20"/>
                <w:szCs w:val="20"/>
                <w:color w:val="auto"/>
              </w:rPr>
            </w:pPr>
            <w:r>
              <w:rPr>
                <w:rFonts w:ascii="Arial" w:cs="Arial" w:eastAsia="Arial" w:hAnsi="Arial"/>
                <w:sz w:val="18"/>
                <w:szCs w:val="18"/>
                <w:color w:val="auto"/>
              </w:rPr>
              <w:t>Loans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3.4</w:t>
            </w:r>
          </w:p>
        </w:tc>
        <w:tc>
          <w:tcPr>
            <w:tcW w:w="9000" w:type="dxa"/>
            <w:vAlign w:val="bottom"/>
          </w:tcPr>
          <w:p>
            <w:pPr>
              <w:ind w:left="240"/>
              <w:spacing w:after="0"/>
              <w:rPr>
                <w:sz w:val="20"/>
                <w:szCs w:val="20"/>
                <w:color w:val="auto"/>
              </w:rPr>
            </w:pPr>
            <w:r>
              <w:rPr>
                <w:rFonts w:ascii="Arial" w:cs="Arial" w:eastAsia="Arial" w:hAnsi="Arial"/>
                <w:sz w:val="18"/>
                <w:szCs w:val="18"/>
                <w:color w:val="auto"/>
              </w:rPr>
              <w:t>Maintenance of Capital Accounts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3.5</w:t>
            </w:r>
          </w:p>
        </w:tc>
        <w:tc>
          <w:tcPr>
            <w:tcW w:w="9000" w:type="dxa"/>
            <w:vAlign w:val="bottom"/>
          </w:tcPr>
          <w:p>
            <w:pPr>
              <w:ind w:left="240"/>
              <w:spacing w:after="0"/>
              <w:rPr>
                <w:sz w:val="20"/>
                <w:szCs w:val="20"/>
                <w:color w:val="auto"/>
              </w:rPr>
            </w:pPr>
            <w:r>
              <w:rPr>
                <w:rFonts w:ascii="Arial" w:cs="Arial" w:eastAsia="Arial" w:hAnsi="Arial"/>
                <w:sz w:val="18"/>
                <w:szCs w:val="18"/>
                <w:color w:val="auto"/>
              </w:rPr>
              <w:t>Capital Withdrawal Rights, Interest and Priority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3.6</w:t>
            </w:r>
          </w:p>
        </w:tc>
        <w:tc>
          <w:tcPr>
            <w:tcW w:w="9000" w:type="dxa"/>
            <w:vAlign w:val="bottom"/>
          </w:tcPr>
          <w:p>
            <w:pPr>
              <w:ind w:left="240"/>
              <w:spacing w:after="0"/>
              <w:rPr>
                <w:sz w:val="20"/>
                <w:szCs w:val="20"/>
                <w:color w:val="auto"/>
              </w:rPr>
            </w:pPr>
            <w:r>
              <w:rPr>
                <w:rFonts w:ascii="Arial" w:cs="Arial" w:eastAsia="Arial" w:hAnsi="Arial"/>
                <w:sz w:val="18"/>
                <w:szCs w:val="18"/>
                <w:color w:val="auto"/>
              </w:rPr>
              <w:t>Class B Partners Profits Interests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3.7</w:t>
            </w:r>
          </w:p>
        </w:tc>
        <w:tc>
          <w:tcPr>
            <w:tcW w:w="9000" w:type="dxa"/>
            <w:vAlign w:val="bottom"/>
          </w:tcPr>
          <w:p>
            <w:pPr>
              <w:ind w:left="240"/>
              <w:spacing w:after="0"/>
              <w:rPr>
                <w:sz w:val="20"/>
                <w:szCs w:val="20"/>
                <w:color w:val="auto"/>
              </w:rPr>
            </w:pPr>
            <w:r>
              <w:rPr>
                <w:rFonts w:ascii="Arial" w:cs="Arial" w:eastAsia="Arial" w:hAnsi="Arial"/>
                <w:sz w:val="18"/>
                <w:szCs w:val="18"/>
                <w:color w:val="auto"/>
              </w:rPr>
              <w:t>General Partner Interest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3.8</w:t>
            </w:r>
          </w:p>
        </w:tc>
        <w:tc>
          <w:tcPr>
            <w:tcW w:w="9000" w:type="dxa"/>
            <w:vAlign w:val="bottom"/>
          </w:tcPr>
          <w:p>
            <w:pPr>
              <w:ind w:left="240"/>
              <w:spacing w:after="0"/>
              <w:rPr>
                <w:sz w:val="20"/>
                <w:szCs w:val="20"/>
                <w:color w:val="auto"/>
              </w:rPr>
            </w:pPr>
            <w:r>
              <w:rPr>
                <w:rFonts w:ascii="Arial" w:cs="Arial" w:eastAsia="Arial" w:hAnsi="Arial"/>
                <w:sz w:val="18"/>
                <w:szCs w:val="18"/>
                <w:color w:val="auto"/>
              </w:rPr>
              <w:t>Splits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3.9</w:t>
            </w:r>
          </w:p>
        </w:tc>
        <w:tc>
          <w:tcPr>
            <w:tcW w:w="9000" w:type="dxa"/>
            <w:vAlign w:val="bottom"/>
          </w:tcPr>
          <w:p>
            <w:pPr>
              <w:ind w:left="240"/>
              <w:spacing w:after="0"/>
              <w:rPr>
                <w:sz w:val="20"/>
                <w:szCs w:val="20"/>
                <w:color w:val="auto"/>
              </w:rPr>
            </w:pPr>
            <w:r>
              <w:rPr>
                <w:rFonts w:ascii="Arial" w:cs="Arial" w:eastAsia="Arial" w:hAnsi="Arial"/>
                <w:sz w:val="18"/>
                <w:szCs w:val="18"/>
                <w:color w:val="auto"/>
              </w:rPr>
              <w:t>Restrictions on the General Partner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ARTICLE IV</w:t>
            </w:r>
          </w:p>
        </w:tc>
        <w:tc>
          <w:tcPr>
            <w:tcW w:w="9000" w:type="dxa"/>
            <w:vAlign w:val="bottom"/>
          </w:tcPr>
          <w:p>
            <w:pPr>
              <w:ind w:left="240"/>
              <w:spacing w:after="0"/>
              <w:rPr>
                <w:sz w:val="20"/>
                <w:szCs w:val="20"/>
                <w:color w:val="auto"/>
              </w:rPr>
            </w:pPr>
            <w:r>
              <w:rPr>
                <w:rFonts w:ascii="Arial" w:cs="Arial" w:eastAsia="Arial" w:hAnsi="Arial"/>
                <w:sz w:val="18"/>
                <w:szCs w:val="18"/>
                <w:color w:val="auto"/>
              </w:rPr>
              <w:t>DISTRIBUTIONS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9000" w:type="dxa"/>
            <w:vAlign w:val="bottom"/>
          </w:tcPr>
          <w:p>
            <w:pPr>
              <w:ind w:left="240"/>
              <w:spacing w:after="0"/>
              <w:rPr>
                <w:sz w:val="20"/>
                <w:szCs w:val="20"/>
                <w:color w:val="auto"/>
              </w:rPr>
            </w:pPr>
            <w:r>
              <w:rPr>
                <w:rFonts w:ascii="Arial" w:cs="Arial" w:eastAsia="Arial" w:hAnsi="Arial"/>
                <w:sz w:val="18"/>
                <w:szCs w:val="18"/>
                <w:color w:val="auto"/>
              </w:rPr>
              <w:t>Distributions of Available Cash</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4.2</w:t>
            </w:r>
          </w:p>
        </w:tc>
        <w:tc>
          <w:tcPr>
            <w:tcW w:w="9000" w:type="dxa"/>
            <w:vAlign w:val="bottom"/>
          </w:tcPr>
          <w:p>
            <w:pPr>
              <w:ind w:left="240"/>
              <w:spacing w:after="0"/>
              <w:rPr>
                <w:sz w:val="20"/>
                <w:szCs w:val="20"/>
                <w:color w:val="auto"/>
              </w:rPr>
            </w:pPr>
            <w:r>
              <w:rPr>
                <w:rFonts w:ascii="Arial" w:cs="Arial" w:eastAsia="Arial" w:hAnsi="Arial"/>
                <w:sz w:val="18"/>
                <w:szCs w:val="18"/>
                <w:color w:val="auto"/>
              </w:rPr>
              <w:t>Persons Entitled to Distributions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4.3</w:t>
            </w:r>
          </w:p>
        </w:tc>
        <w:tc>
          <w:tcPr>
            <w:tcW w:w="9000" w:type="dxa"/>
            <w:vAlign w:val="bottom"/>
          </w:tcPr>
          <w:p>
            <w:pPr>
              <w:ind w:left="240"/>
              <w:spacing w:after="0"/>
              <w:rPr>
                <w:sz w:val="20"/>
                <w:szCs w:val="20"/>
                <w:color w:val="auto"/>
              </w:rPr>
            </w:pPr>
            <w:r>
              <w:rPr>
                <w:rFonts w:ascii="Arial" w:cs="Arial" w:eastAsia="Arial" w:hAnsi="Arial"/>
                <w:sz w:val="18"/>
                <w:szCs w:val="18"/>
                <w:color w:val="auto"/>
              </w:rPr>
              <w:t>Limitations on Distributions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ARTICLE V</w:t>
            </w:r>
          </w:p>
        </w:tc>
        <w:tc>
          <w:tcPr>
            <w:tcW w:w="9000" w:type="dxa"/>
            <w:vAlign w:val="bottom"/>
          </w:tcPr>
          <w:p>
            <w:pPr>
              <w:ind w:left="240"/>
              <w:spacing w:after="0"/>
              <w:rPr>
                <w:sz w:val="20"/>
                <w:szCs w:val="20"/>
                <w:color w:val="auto"/>
              </w:rPr>
            </w:pPr>
            <w:r>
              <w:rPr>
                <w:rFonts w:ascii="Arial" w:cs="Arial" w:eastAsia="Arial" w:hAnsi="Arial"/>
                <w:sz w:val="18"/>
                <w:szCs w:val="18"/>
                <w:color w:val="auto"/>
              </w:rPr>
              <w:t>ALLOCATIONS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5.1</w:t>
            </w:r>
          </w:p>
        </w:tc>
        <w:tc>
          <w:tcPr>
            <w:tcW w:w="9000" w:type="dxa"/>
            <w:vAlign w:val="bottom"/>
          </w:tcPr>
          <w:p>
            <w:pPr>
              <w:ind w:left="240"/>
              <w:spacing w:after="0"/>
              <w:rPr>
                <w:sz w:val="20"/>
                <w:szCs w:val="20"/>
                <w:color w:val="auto"/>
              </w:rPr>
            </w:pPr>
            <w:r>
              <w:rPr>
                <w:rFonts w:ascii="Arial" w:cs="Arial" w:eastAsia="Arial" w:hAnsi="Arial"/>
                <w:sz w:val="18"/>
                <w:szCs w:val="18"/>
                <w:color w:val="auto"/>
              </w:rPr>
              <w:t>Profits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5.2</w:t>
            </w:r>
          </w:p>
        </w:tc>
        <w:tc>
          <w:tcPr>
            <w:tcW w:w="9000" w:type="dxa"/>
            <w:vAlign w:val="bottom"/>
          </w:tcPr>
          <w:p>
            <w:pPr>
              <w:ind w:left="240"/>
              <w:spacing w:after="0"/>
              <w:rPr>
                <w:sz w:val="20"/>
                <w:szCs w:val="20"/>
                <w:color w:val="auto"/>
              </w:rPr>
            </w:pPr>
            <w:r>
              <w:rPr>
                <w:rFonts w:ascii="Arial" w:cs="Arial" w:eastAsia="Arial" w:hAnsi="Arial"/>
                <w:sz w:val="18"/>
                <w:szCs w:val="18"/>
                <w:color w:val="auto"/>
              </w:rPr>
              <w:t>Losses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5.3</w:t>
            </w:r>
          </w:p>
        </w:tc>
        <w:tc>
          <w:tcPr>
            <w:tcW w:w="9000" w:type="dxa"/>
            <w:vAlign w:val="bottom"/>
          </w:tcPr>
          <w:p>
            <w:pPr>
              <w:ind w:left="240"/>
              <w:spacing w:after="0"/>
              <w:rPr>
                <w:sz w:val="20"/>
                <w:szCs w:val="20"/>
                <w:color w:val="auto"/>
              </w:rPr>
            </w:pPr>
            <w:r>
              <w:rPr>
                <w:rFonts w:ascii="Arial" w:cs="Arial" w:eastAsia="Arial" w:hAnsi="Arial"/>
                <w:sz w:val="18"/>
                <w:szCs w:val="18"/>
                <w:color w:val="auto"/>
              </w:rPr>
              <w:t>Special Allocation to Class B Partners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5.4</w:t>
            </w:r>
          </w:p>
        </w:tc>
        <w:tc>
          <w:tcPr>
            <w:tcW w:w="9000" w:type="dxa"/>
            <w:vAlign w:val="bottom"/>
          </w:tcPr>
          <w:p>
            <w:pPr>
              <w:ind w:left="240"/>
              <w:spacing w:after="0"/>
              <w:rPr>
                <w:sz w:val="20"/>
                <w:szCs w:val="20"/>
                <w:color w:val="auto"/>
              </w:rPr>
            </w:pPr>
            <w:r>
              <w:rPr>
                <w:rFonts w:ascii="Arial" w:cs="Arial" w:eastAsia="Arial" w:hAnsi="Arial"/>
                <w:sz w:val="18"/>
                <w:szCs w:val="18"/>
                <w:color w:val="auto"/>
              </w:rPr>
              <w:t>Regulatory Allocations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5.5</w:t>
            </w:r>
          </w:p>
        </w:tc>
        <w:tc>
          <w:tcPr>
            <w:tcW w:w="9000" w:type="dxa"/>
            <w:vAlign w:val="bottom"/>
          </w:tcPr>
          <w:p>
            <w:pPr>
              <w:ind w:left="240"/>
              <w:spacing w:after="0"/>
              <w:rPr>
                <w:sz w:val="20"/>
                <w:szCs w:val="20"/>
                <w:color w:val="auto"/>
              </w:rPr>
            </w:pPr>
            <w:r>
              <w:rPr>
                <w:rFonts w:ascii="Arial" w:cs="Arial" w:eastAsia="Arial" w:hAnsi="Arial"/>
                <w:sz w:val="18"/>
                <w:szCs w:val="18"/>
                <w:color w:val="auto"/>
              </w:rPr>
              <w:t>Tax Allocations: Code Section 704(c)</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5.6</w:t>
            </w:r>
          </w:p>
        </w:tc>
        <w:tc>
          <w:tcPr>
            <w:tcW w:w="9000" w:type="dxa"/>
            <w:vAlign w:val="bottom"/>
          </w:tcPr>
          <w:p>
            <w:pPr>
              <w:ind w:left="240"/>
              <w:spacing w:after="0"/>
              <w:rPr>
                <w:sz w:val="20"/>
                <w:szCs w:val="20"/>
                <w:color w:val="auto"/>
              </w:rPr>
            </w:pPr>
            <w:r>
              <w:rPr>
                <w:rFonts w:ascii="Arial" w:cs="Arial" w:eastAsia="Arial" w:hAnsi="Arial"/>
                <w:sz w:val="18"/>
                <w:szCs w:val="18"/>
                <w:color w:val="auto"/>
              </w:rPr>
              <w:t>Change in Partnership Interest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5.7</w:t>
            </w:r>
          </w:p>
        </w:tc>
        <w:tc>
          <w:tcPr>
            <w:tcW w:w="9000" w:type="dxa"/>
            <w:vAlign w:val="bottom"/>
          </w:tcPr>
          <w:p>
            <w:pPr>
              <w:ind w:left="240"/>
              <w:spacing w:after="0"/>
              <w:rPr>
                <w:sz w:val="20"/>
                <w:szCs w:val="20"/>
                <w:color w:val="auto"/>
              </w:rPr>
            </w:pPr>
            <w:r>
              <w:rPr>
                <w:rFonts w:ascii="Arial" w:cs="Arial" w:eastAsia="Arial" w:hAnsi="Arial"/>
                <w:sz w:val="18"/>
                <w:szCs w:val="18"/>
                <w:color w:val="auto"/>
              </w:rPr>
              <w:t>Withholding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ARTICLE VI</w:t>
            </w:r>
          </w:p>
        </w:tc>
        <w:tc>
          <w:tcPr>
            <w:tcW w:w="9000" w:type="dxa"/>
            <w:vAlign w:val="bottom"/>
          </w:tcPr>
          <w:p>
            <w:pPr>
              <w:ind w:left="240"/>
              <w:spacing w:after="0"/>
              <w:rPr>
                <w:sz w:val="20"/>
                <w:szCs w:val="20"/>
                <w:color w:val="auto"/>
              </w:rPr>
            </w:pPr>
            <w:r>
              <w:rPr>
                <w:rFonts w:ascii="Arial" w:cs="Arial" w:eastAsia="Arial" w:hAnsi="Arial"/>
                <w:sz w:val="18"/>
                <w:szCs w:val="18"/>
                <w:color w:val="auto"/>
              </w:rPr>
              <w:t>MANAGEMENT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6.1</w:t>
            </w:r>
          </w:p>
        </w:tc>
        <w:tc>
          <w:tcPr>
            <w:tcW w:w="9000" w:type="dxa"/>
            <w:vAlign w:val="bottom"/>
          </w:tcPr>
          <w:p>
            <w:pPr>
              <w:ind w:left="240"/>
              <w:spacing w:after="0"/>
              <w:rPr>
                <w:sz w:val="20"/>
                <w:szCs w:val="20"/>
                <w:color w:val="auto"/>
              </w:rPr>
            </w:pPr>
            <w:r>
              <w:rPr>
                <w:rFonts w:ascii="Arial" w:cs="Arial" w:eastAsia="Arial" w:hAnsi="Arial"/>
                <w:sz w:val="18"/>
                <w:szCs w:val="18"/>
                <w:color w:val="auto"/>
              </w:rPr>
              <w:t>Duties and Powers of the General Partner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6.2</w:t>
            </w:r>
          </w:p>
        </w:tc>
        <w:tc>
          <w:tcPr>
            <w:tcW w:w="9000" w:type="dxa"/>
            <w:vAlign w:val="bottom"/>
          </w:tcPr>
          <w:p>
            <w:pPr>
              <w:ind w:left="240"/>
              <w:spacing w:after="0"/>
              <w:rPr>
                <w:sz w:val="20"/>
                <w:szCs w:val="20"/>
                <w:color w:val="auto"/>
              </w:rPr>
            </w:pPr>
            <w:r>
              <w:rPr>
                <w:rFonts w:ascii="Arial" w:cs="Arial" w:eastAsia="Arial" w:hAnsi="Arial"/>
                <w:sz w:val="18"/>
                <w:szCs w:val="18"/>
                <w:color w:val="auto"/>
              </w:rPr>
              <w:t>Limitation of Liability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6.3</w:t>
            </w:r>
          </w:p>
        </w:tc>
        <w:tc>
          <w:tcPr>
            <w:tcW w:w="900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6.4</w:t>
            </w:r>
          </w:p>
        </w:tc>
        <w:tc>
          <w:tcPr>
            <w:tcW w:w="9000" w:type="dxa"/>
            <w:vAlign w:val="bottom"/>
          </w:tcPr>
          <w:p>
            <w:pPr>
              <w:ind w:left="240"/>
              <w:spacing w:after="0"/>
              <w:rPr>
                <w:sz w:val="20"/>
                <w:szCs w:val="20"/>
                <w:color w:val="auto"/>
              </w:rPr>
            </w:pPr>
            <w:r>
              <w:rPr>
                <w:rFonts w:ascii="Arial" w:cs="Arial" w:eastAsia="Arial" w:hAnsi="Arial"/>
                <w:sz w:val="18"/>
                <w:szCs w:val="18"/>
                <w:color w:val="auto"/>
              </w:rPr>
              <w:t>Rights of Limited Partners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6.5</w:t>
            </w:r>
          </w:p>
        </w:tc>
        <w:tc>
          <w:tcPr>
            <w:tcW w:w="9000" w:type="dxa"/>
            <w:vAlign w:val="bottom"/>
          </w:tcPr>
          <w:p>
            <w:pPr>
              <w:ind w:left="240"/>
              <w:spacing w:after="0"/>
              <w:rPr>
                <w:sz w:val="20"/>
                <w:szCs w:val="20"/>
                <w:color w:val="auto"/>
              </w:rPr>
            </w:pPr>
            <w:r>
              <w:rPr>
                <w:rFonts w:ascii="Arial" w:cs="Arial" w:eastAsia="Arial" w:hAnsi="Arial"/>
                <w:sz w:val="18"/>
                <w:szCs w:val="18"/>
                <w:color w:val="auto"/>
              </w:rPr>
              <w:t>Class B Partners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6.6</w:t>
            </w:r>
          </w:p>
        </w:tc>
        <w:tc>
          <w:tcPr>
            <w:tcW w:w="9000" w:type="dxa"/>
            <w:vAlign w:val="bottom"/>
          </w:tcPr>
          <w:p>
            <w:pPr>
              <w:ind w:left="240"/>
              <w:spacing w:after="0"/>
              <w:rPr>
                <w:sz w:val="20"/>
                <w:szCs w:val="20"/>
                <w:color w:val="auto"/>
              </w:rPr>
            </w:pPr>
            <w:r>
              <w:rPr>
                <w:rFonts w:ascii="Arial" w:cs="Arial" w:eastAsia="Arial" w:hAnsi="Arial"/>
                <w:sz w:val="18"/>
                <w:szCs w:val="18"/>
                <w:color w:val="auto"/>
              </w:rPr>
              <w:t>Actions Requiring Consent of Oxy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32"/>
        </w:trPr>
        <w:tc>
          <w:tcPr>
            <w:tcW w:w="1280" w:type="dxa"/>
            <w:vAlign w:val="bottom"/>
          </w:tcPr>
          <w:p>
            <w:pPr>
              <w:spacing w:after="0"/>
              <w:rPr>
                <w:sz w:val="24"/>
                <w:szCs w:val="24"/>
                <w:color w:val="auto"/>
              </w:rPr>
            </w:pPr>
          </w:p>
        </w:tc>
        <w:tc>
          <w:tcPr>
            <w:tcW w:w="9000" w:type="dxa"/>
            <w:vAlign w:val="bottom"/>
          </w:tcPr>
          <w:p>
            <w:pPr>
              <w:ind w:left="4400"/>
              <w:spacing w:after="0"/>
              <w:rPr>
                <w:sz w:val="20"/>
                <w:szCs w:val="20"/>
                <w:color w:val="auto"/>
              </w:rPr>
            </w:pPr>
            <w:r>
              <w:rPr>
                <w:rFonts w:ascii="Arial" w:cs="Arial" w:eastAsia="Arial" w:hAnsi="Arial"/>
                <w:sz w:val="18"/>
                <w:szCs w:val="18"/>
                <w:color w:val="auto"/>
              </w:rPr>
              <w:t>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90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gridSpan w:val="2"/>
          </w:tcPr>
          <w:p>
            <w:pPr>
              <w:spacing w:after="0"/>
              <w:rPr>
                <w:sz w:val="11"/>
                <w:szCs w:val="11"/>
                <w:color w:val="auto"/>
              </w:rPr>
            </w:pPr>
          </w:p>
        </w:tc>
      </w:tr>
      <w:tr>
        <w:trPr>
          <w:trHeight w:val="766"/>
        </w:trPr>
        <w:tc>
          <w:tcPr>
            <w:tcW w:w="1280" w:type="dxa"/>
            <w:vAlign w:val="bottom"/>
          </w:tcPr>
          <w:p>
            <w:pPr>
              <w:spacing w:after="0"/>
              <w:rPr>
                <w:sz w:val="20"/>
                <w:szCs w:val="20"/>
                <w:color w:val="auto"/>
              </w:rPr>
            </w:pPr>
            <w:r>
              <w:rPr>
                <w:rFonts w:ascii="Arial" w:cs="Arial" w:eastAsia="Arial" w:hAnsi="Arial"/>
                <w:sz w:val="18"/>
                <w:szCs w:val="18"/>
                <w:color w:val="auto"/>
              </w:rPr>
              <w:t>ARTICLE VII</w:t>
            </w:r>
          </w:p>
        </w:tc>
        <w:tc>
          <w:tcPr>
            <w:tcW w:w="9000" w:type="dxa"/>
            <w:vAlign w:val="bottom"/>
          </w:tcPr>
          <w:p>
            <w:pPr>
              <w:ind w:left="240"/>
              <w:spacing w:after="0"/>
              <w:rPr>
                <w:sz w:val="20"/>
                <w:szCs w:val="20"/>
                <w:color w:val="auto"/>
              </w:rPr>
            </w:pPr>
            <w:r>
              <w:rPr>
                <w:rFonts w:ascii="Arial" w:cs="Arial" w:eastAsia="Arial" w:hAnsi="Arial"/>
                <w:sz w:val="18"/>
                <w:szCs w:val="18"/>
                <w:color w:val="auto"/>
              </w:rPr>
              <w:t>TRANSFERS OF PARTNERSHIP INTERESTS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7.1</w:t>
            </w:r>
          </w:p>
        </w:tc>
        <w:tc>
          <w:tcPr>
            <w:tcW w:w="9000" w:type="dxa"/>
            <w:vAlign w:val="bottom"/>
          </w:tcPr>
          <w:p>
            <w:pPr>
              <w:ind w:left="240"/>
              <w:spacing w:after="0"/>
              <w:rPr>
                <w:sz w:val="20"/>
                <w:szCs w:val="20"/>
                <w:color w:val="auto"/>
              </w:rPr>
            </w:pPr>
            <w:r>
              <w:rPr>
                <w:rFonts w:ascii="Arial" w:cs="Arial" w:eastAsia="Arial" w:hAnsi="Arial"/>
                <w:sz w:val="18"/>
                <w:szCs w:val="18"/>
                <w:color w:val="auto"/>
              </w:rPr>
              <w:t>Transfer of Limited Partnership Interests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7.2</w:t>
            </w:r>
          </w:p>
        </w:tc>
        <w:tc>
          <w:tcPr>
            <w:tcW w:w="9000" w:type="dxa"/>
            <w:vAlign w:val="bottom"/>
          </w:tcPr>
          <w:p>
            <w:pPr>
              <w:ind w:left="240"/>
              <w:spacing w:after="0"/>
              <w:rPr>
                <w:sz w:val="20"/>
                <w:szCs w:val="20"/>
                <w:color w:val="auto"/>
              </w:rPr>
            </w:pPr>
            <w:r>
              <w:rPr>
                <w:rFonts w:ascii="Arial" w:cs="Arial" w:eastAsia="Arial" w:hAnsi="Arial"/>
                <w:sz w:val="18"/>
                <w:szCs w:val="18"/>
                <w:color w:val="auto"/>
              </w:rPr>
              <w:t>Permitted Transferees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7.3</w:t>
            </w:r>
          </w:p>
        </w:tc>
        <w:tc>
          <w:tcPr>
            <w:tcW w:w="9000" w:type="dxa"/>
            <w:vAlign w:val="bottom"/>
          </w:tcPr>
          <w:p>
            <w:pPr>
              <w:ind w:left="240"/>
              <w:spacing w:after="0"/>
              <w:rPr>
                <w:sz w:val="20"/>
                <w:szCs w:val="20"/>
                <w:color w:val="auto"/>
              </w:rPr>
            </w:pPr>
            <w:r>
              <w:rPr>
                <w:rFonts w:ascii="Arial" w:cs="Arial" w:eastAsia="Arial" w:hAnsi="Arial"/>
                <w:sz w:val="18"/>
                <w:szCs w:val="18"/>
                <w:color w:val="auto"/>
              </w:rPr>
              <w:t>Substitute Limited Partners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7.4</w:t>
            </w:r>
          </w:p>
        </w:tc>
        <w:tc>
          <w:tcPr>
            <w:tcW w:w="9000" w:type="dxa"/>
            <w:vAlign w:val="bottom"/>
          </w:tcPr>
          <w:p>
            <w:pPr>
              <w:ind w:left="240"/>
              <w:spacing w:after="0"/>
              <w:rPr>
                <w:sz w:val="20"/>
                <w:szCs w:val="20"/>
                <w:color w:val="auto"/>
              </w:rPr>
            </w:pPr>
            <w:r>
              <w:rPr>
                <w:rFonts w:ascii="Arial" w:cs="Arial" w:eastAsia="Arial" w:hAnsi="Arial"/>
                <w:sz w:val="18"/>
                <w:szCs w:val="18"/>
                <w:color w:val="auto"/>
              </w:rPr>
              <w:t>Effect of Admission as a Substitute Limited Partner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21" w:right="19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7.5</w:t>
            </w:r>
          </w:p>
        </w:tc>
        <w:tc>
          <w:tcPr>
            <w:tcW w:w="6980" w:type="dxa"/>
            <w:vAlign w:val="bottom"/>
          </w:tcPr>
          <w:p>
            <w:pPr>
              <w:ind w:left="200"/>
              <w:spacing w:after="0"/>
              <w:rPr>
                <w:sz w:val="20"/>
                <w:szCs w:val="20"/>
                <w:color w:val="auto"/>
              </w:rPr>
            </w:pPr>
            <w:r>
              <w:rPr>
                <w:rFonts w:ascii="Arial" w:cs="Arial" w:eastAsia="Arial" w:hAnsi="Arial"/>
                <w:sz w:val="18"/>
                <w:szCs w:val="18"/>
                <w:color w:val="auto"/>
              </w:rPr>
              <w:t>Consent</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7.6</w:t>
            </w:r>
          </w:p>
        </w:tc>
        <w:tc>
          <w:tcPr>
            <w:tcW w:w="6980" w:type="dxa"/>
            <w:vAlign w:val="bottom"/>
          </w:tcPr>
          <w:p>
            <w:pPr>
              <w:ind w:left="200"/>
              <w:spacing w:after="0"/>
              <w:rPr>
                <w:sz w:val="20"/>
                <w:szCs w:val="20"/>
                <w:color w:val="auto"/>
              </w:rPr>
            </w:pPr>
            <w:r>
              <w:rPr>
                <w:rFonts w:ascii="Arial" w:cs="Arial" w:eastAsia="Arial" w:hAnsi="Arial"/>
                <w:sz w:val="18"/>
                <w:szCs w:val="18"/>
                <w:color w:val="auto"/>
              </w:rPr>
              <w:t>No Dissolution</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7.7</w:t>
            </w:r>
          </w:p>
        </w:tc>
        <w:tc>
          <w:tcPr>
            <w:tcW w:w="6980" w:type="dxa"/>
            <w:vAlign w:val="bottom"/>
          </w:tcPr>
          <w:p>
            <w:pPr>
              <w:ind w:left="200"/>
              <w:spacing w:after="0"/>
              <w:rPr>
                <w:sz w:val="20"/>
                <w:szCs w:val="20"/>
                <w:color w:val="auto"/>
              </w:rPr>
            </w:pPr>
            <w:r>
              <w:rPr>
                <w:rFonts w:ascii="Arial" w:cs="Arial" w:eastAsia="Arial" w:hAnsi="Arial"/>
                <w:sz w:val="18"/>
                <w:szCs w:val="18"/>
                <w:color w:val="auto"/>
              </w:rPr>
              <w:t>Additional Limited Partners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7.8</w:t>
            </w:r>
          </w:p>
        </w:tc>
        <w:tc>
          <w:tcPr>
            <w:tcW w:w="6980" w:type="dxa"/>
            <w:vAlign w:val="bottom"/>
          </w:tcPr>
          <w:p>
            <w:pPr>
              <w:ind w:left="200"/>
              <w:spacing w:after="0"/>
              <w:rPr>
                <w:sz w:val="20"/>
                <w:szCs w:val="20"/>
                <w:color w:val="auto"/>
              </w:rPr>
            </w:pPr>
            <w:r>
              <w:rPr>
                <w:rFonts w:ascii="Arial" w:cs="Arial" w:eastAsia="Arial" w:hAnsi="Arial"/>
                <w:sz w:val="18"/>
                <w:szCs w:val="18"/>
                <w:color w:val="auto"/>
              </w:rPr>
              <w:t>Right of First Refusal</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7.9</w:t>
            </w:r>
          </w:p>
        </w:tc>
        <w:tc>
          <w:tcPr>
            <w:tcW w:w="6980" w:type="dxa"/>
            <w:vAlign w:val="bottom"/>
          </w:tcPr>
          <w:p>
            <w:pPr>
              <w:ind w:left="200"/>
              <w:spacing w:after="0"/>
              <w:rPr>
                <w:sz w:val="20"/>
                <w:szCs w:val="20"/>
                <w:color w:val="auto"/>
              </w:rPr>
            </w:pPr>
            <w:r>
              <w:rPr>
                <w:rFonts w:ascii="Arial" w:cs="Arial" w:eastAsia="Arial" w:hAnsi="Arial"/>
                <w:sz w:val="18"/>
                <w:szCs w:val="18"/>
                <w:color w:val="auto"/>
              </w:rPr>
              <w:t>Exchange of Class A Units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320" w:type="dxa"/>
            <w:vAlign w:val="bottom"/>
          </w:tcPr>
          <w:p>
            <w:pPr>
              <w:ind w:left="540"/>
              <w:spacing w:after="0"/>
              <w:rPr>
                <w:sz w:val="20"/>
                <w:szCs w:val="20"/>
                <w:color w:val="auto"/>
              </w:rPr>
            </w:pPr>
            <w:r>
              <w:rPr>
                <w:rFonts w:ascii="Arial" w:cs="Arial" w:eastAsia="Arial" w:hAnsi="Arial"/>
                <w:sz w:val="18"/>
                <w:szCs w:val="18"/>
                <w:color w:val="auto"/>
              </w:rPr>
              <w:t>7.10</w:t>
            </w:r>
          </w:p>
        </w:tc>
        <w:tc>
          <w:tcPr>
            <w:tcW w:w="6980" w:type="dxa"/>
            <w:vAlign w:val="bottom"/>
          </w:tcPr>
          <w:p>
            <w:pPr>
              <w:ind w:left="200"/>
              <w:spacing w:after="0"/>
              <w:rPr>
                <w:sz w:val="20"/>
                <w:szCs w:val="20"/>
                <w:color w:val="auto"/>
              </w:rPr>
            </w:pPr>
            <w:r>
              <w:rPr>
                <w:rFonts w:ascii="Arial" w:cs="Arial" w:eastAsia="Arial" w:hAnsi="Arial"/>
                <w:sz w:val="18"/>
                <w:szCs w:val="18"/>
                <w:color w:val="auto"/>
              </w:rPr>
              <w:t>Conversion of Class B Units</w:t>
            </w:r>
          </w:p>
        </w:tc>
        <w:tc>
          <w:tcPr>
            <w:tcW w:w="3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ARTICLE VIII</w:t>
            </w:r>
          </w:p>
        </w:tc>
        <w:tc>
          <w:tcPr>
            <w:tcW w:w="6980" w:type="dxa"/>
            <w:vAlign w:val="bottom"/>
          </w:tcPr>
          <w:p>
            <w:pPr>
              <w:ind w:left="200"/>
              <w:spacing w:after="0"/>
              <w:rPr>
                <w:sz w:val="20"/>
                <w:szCs w:val="20"/>
                <w:color w:val="auto"/>
              </w:rPr>
            </w:pPr>
            <w:r>
              <w:rPr>
                <w:rFonts w:ascii="Arial" w:cs="Arial" w:eastAsia="Arial" w:hAnsi="Arial"/>
                <w:sz w:val="18"/>
                <w:szCs w:val="18"/>
                <w:color w:val="auto"/>
              </w:rPr>
              <w:t>DISSOLUTION AND LIQUIDATION</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8.1</w:t>
            </w:r>
          </w:p>
        </w:tc>
        <w:tc>
          <w:tcPr>
            <w:tcW w:w="6980" w:type="dxa"/>
            <w:vAlign w:val="bottom"/>
          </w:tcPr>
          <w:p>
            <w:pPr>
              <w:ind w:left="200"/>
              <w:spacing w:after="0"/>
              <w:rPr>
                <w:sz w:val="20"/>
                <w:szCs w:val="20"/>
                <w:color w:val="auto"/>
              </w:rPr>
            </w:pPr>
            <w:r>
              <w:rPr>
                <w:rFonts w:ascii="Arial" w:cs="Arial" w:eastAsia="Arial" w:hAnsi="Arial"/>
                <w:sz w:val="18"/>
                <w:szCs w:val="18"/>
                <w:color w:val="auto"/>
              </w:rPr>
              <w:t>Dissolution of Partnership</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8.2</w:t>
            </w:r>
          </w:p>
        </w:tc>
        <w:tc>
          <w:tcPr>
            <w:tcW w:w="6980" w:type="dxa"/>
            <w:vAlign w:val="bottom"/>
          </w:tcPr>
          <w:p>
            <w:pPr>
              <w:ind w:left="200"/>
              <w:spacing w:after="0"/>
              <w:rPr>
                <w:sz w:val="20"/>
                <w:szCs w:val="20"/>
                <w:color w:val="auto"/>
              </w:rPr>
            </w:pPr>
            <w:r>
              <w:rPr>
                <w:rFonts w:ascii="Arial" w:cs="Arial" w:eastAsia="Arial" w:hAnsi="Arial"/>
                <w:sz w:val="18"/>
                <w:szCs w:val="18"/>
                <w:color w:val="auto"/>
              </w:rPr>
              <w:t>Final Accounting</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8.3</w:t>
            </w:r>
          </w:p>
        </w:tc>
        <w:tc>
          <w:tcPr>
            <w:tcW w:w="6980" w:type="dxa"/>
            <w:vAlign w:val="bottom"/>
          </w:tcPr>
          <w:p>
            <w:pPr>
              <w:ind w:left="200"/>
              <w:spacing w:after="0"/>
              <w:rPr>
                <w:sz w:val="20"/>
                <w:szCs w:val="20"/>
                <w:color w:val="auto"/>
              </w:rPr>
            </w:pPr>
            <w:r>
              <w:rPr>
                <w:rFonts w:ascii="Arial" w:cs="Arial" w:eastAsia="Arial" w:hAnsi="Arial"/>
                <w:sz w:val="18"/>
                <w:szCs w:val="18"/>
                <w:color w:val="auto"/>
              </w:rPr>
              <w:t>Distributions Following Dissolution and Termination</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8.4</w:t>
            </w:r>
          </w:p>
        </w:tc>
        <w:tc>
          <w:tcPr>
            <w:tcW w:w="6980" w:type="dxa"/>
            <w:vAlign w:val="bottom"/>
          </w:tcPr>
          <w:p>
            <w:pPr>
              <w:ind w:left="200"/>
              <w:spacing w:after="0"/>
              <w:rPr>
                <w:sz w:val="20"/>
                <w:szCs w:val="20"/>
                <w:color w:val="auto"/>
              </w:rPr>
            </w:pPr>
            <w:r>
              <w:rPr>
                <w:rFonts w:ascii="Arial" w:cs="Arial" w:eastAsia="Arial" w:hAnsi="Arial"/>
                <w:sz w:val="18"/>
                <w:szCs w:val="18"/>
                <w:color w:val="auto"/>
              </w:rPr>
              <w:t>Termination of the Partnership</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320" w:type="dxa"/>
            <w:vAlign w:val="bottom"/>
          </w:tcPr>
          <w:p>
            <w:pPr>
              <w:ind w:left="540"/>
              <w:spacing w:after="0"/>
              <w:rPr>
                <w:sz w:val="20"/>
                <w:szCs w:val="20"/>
                <w:color w:val="auto"/>
              </w:rPr>
            </w:pPr>
            <w:r>
              <w:rPr>
                <w:rFonts w:ascii="Arial" w:cs="Arial" w:eastAsia="Arial" w:hAnsi="Arial"/>
                <w:sz w:val="18"/>
                <w:szCs w:val="18"/>
                <w:color w:val="auto"/>
              </w:rPr>
              <w:t>8.5</w:t>
            </w:r>
          </w:p>
        </w:tc>
        <w:tc>
          <w:tcPr>
            <w:tcW w:w="6980" w:type="dxa"/>
            <w:vAlign w:val="bottom"/>
          </w:tcPr>
          <w:p>
            <w:pPr>
              <w:ind w:left="200"/>
              <w:spacing w:after="0"/>
              <w:rPr>
                <w:sz w:val="20"/>
                <w:szCs w:val="20"/>
                <w:color w:val="auto"/>
              </w:rPr>
            </w:pPr>
            <w:r>
              <w:rPr>
                <w:rFonts w:ascii="Arial" w:cs="Arial" w:eastAsia="Arial" w:hAnsi="Arial"/>
                <w:sz w:val="18"/>
                <w:szCs w:val="18"/>
                <w:color w:val="auto"/>
              </w:rPr>
              <w:t>No Action for Dissolution</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ARTICLE IX</w:t>
            </w:r>
          </w:p>
        </w:tc>
        <w:tc>
          <w:tcPr>
            <w:tcW w:w="6980" w:type="dxa"/>
            <w:vAlign w:val="bottom"/>
          </w:tcPr>
          <w:p>
            <w:pPr>
              <w:ind w:left="200"/>
              <w:spacing w:after="0"/>
              <w:rPr>
                <w:sz w:val="20"/>
                <w:szCs w:val="20"/>
                <w:color w:val="auto"/>
              </w:rPr>
            </w:pPr>
            <w:r>
              <w:rPr>
                <w:rFonts w:ascii="Arial" w:cs="Arial" w:eastAsia="Arial" w:hAnsi="Arial"/>
                <w:sz w:val="18"/>
                <w:szCs w:val="18"/>
                <w:color w:val="auto"/>
              </w:rPr>
              <w:t>ACCOUNTING; BOOKS AND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9.1</w:t>
            </w:r>
          </w:p>
        </w:tc>
        <w:tc>
          <w:tcPr>
            <w:tcW w:w="6980" w:type="dxa"/>
            <w:vAlign w:val="bottom"/>
          </w:tcPr>
          <w:p>
            <w:pPr>
              <w:ind w:left="200"/>
              <w:spacing w:after="0"/>
              <w:rPr>
                <w:sz w:val="20"/>
                <w:szCs w:val="20"/>
                <w:color w:val="auto"/>
              </w:rPr>
            </w:pPr>
            <w:r>
              <w:rPr>
                <w:rFonts w:ascii="Arial" w:cs="Arial" w:eastAsia="Arial" w:hAnsi="Arial"/>
                <w:sz w:val="18"/>
                <w:szCs w:val="18"/>
                <w:color w:val="auto"/>
              </w:rPr>
              <w:t>Fiscal Year and Accounting Method</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9.2</w:t>
            </w:r>
          </w:p>
        </w:tc>
        <w:tc>
          <w:tcPr>
            <w:tcW w:w="6980" w:type="dxa"/>
            <w:vAlign w:val="bottom"/>
          </w:tcPr>
          <w:p>
            <w:pPr>
              <w:ind w:left="200"/>
              <w:spacing w:after="0"/>
              <w:rPr>
                <w:sz w:val="20"/>
                <w:szCs w:val="20"/>
                <w:color w:val="auto"/>
              </w:rPr>
            </w:pPr>
            <w:r>
              <w:rPr>
                <w:rFonts w:ascii="Arial" w:cs="Arial" w:eastAsia="Arial" w:hAnsi="Arial"/>
                <w:sz w:val="18"/>
                <w:szCs w:val="18"/>
                <w:color w:val="auto"/>
              </w:rPr>
              <w:t>Books and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9.3</w:t>
            </w:r>
          </w:p>
        </w:tc>
        <w:tc>
          <w:tcPr>
            <w:tcW w:w="6980" w:type="dxa"/>
            <w:vAlign w:val="bottom"/>
          </w:tcPr>
          <w:p>
            <w:pPr>
              <w:ind w:left="200"/>
              <w:spacing w:after="0"/>
              <w:rPr>
                <w:sz w:val="20"/>
                <w:szCs w:val="20"/>
                <w:color w:val="auto"/>
              </w:rPr>
            </w:pPr>
            <w:r>
              <w:rPr>
                <w:rFonts w:ascii="Arial" w:cs="Arial" w:eastAsia="Arial" w:hAnsi="Arial"/>
                <w:sz w:val="18"/>
                <w:szCs w:val="18"/>
                <w:color w:val="auto"/>
              </w:rPr>
              <w:t>Delivery to Partners; Inspection</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9.4</w:t>
            </w:r>
          </w:p>
        </w:tc>
        <w:tc>
          <w:tcPr>
            <w:tcW w:w="698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9.5</w:t>
            </w:r>
          </w:p>
        </w:tc>
        <w:tc>
          <w:tcPr>
            <w:tcW w:w="6980" w:type="dxa"/>
            <w:vAlign w:val="bottom"/>
          </w:tcPr>
          <w:p>
            <w:pPr>
              <w:ind w:left="200"/>
              <w:spacing w:after="0"/>
              <w:rPr>
                <w:sz w:val="20"/>
                <w:szCs w:val="20"/>
                <w:color w:val="auto"/>
              </w:rPr>
            </w:pPr>
            <w:r>
              <w:rPr>
                <w:rFonts w:ascii="Arial" w:cs="Arial" w:eastAsia="Arial" w:hAnsi="Arial"/>
                <w:sz w:val="18"/>
                <w:szCs w:val="18"/>
                <w:color w:val="auto"/>
              </w:rPr>
              <w:t>Filings</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9.6</w:t>
            </w:r>
          </w:p>
        </w:tc>
        <w:tc>
          <w:tcPr>
            <w:tcW w:w="6980" w:type="dxa"/>
            <w:vAlign w:val="bottom"/>
          </w:tcPr>
          <w:p>
            <w:pPr>
              <w:ind w:left="200"/>
              <w:spacing w:after="0"/>
              <w:rPr>
                <w:sz w:val="20"/>
                <w:szCs w:val="20"/>
                <w:color w:val="auto"/>
              </w:rPr>
            </w:pPr>
            <w:r>
              <w:rPr>
                <w:rFonts w:ascii="Arial" w:cs="Arial" w:eastAsia="Arial" w:hAnsi="Arial"/>
                <w:sz w:val="18"/>
                <w:szCs w:val="18"/>
                <w:color w:val="auto"/>
              </w:rPr>
              <w:t>Non-Disclosure</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320" w:type="dxa"/>
            <w:vAlign w:val="bottom"/>
          </w:tcPr>
          <w:p>
            <w:pPr>
              <w:ind w:left="540"/>
              <w:spacing w:after="0"/>
              <w:rPr>
                <w:sz w:val="20"/>
                <w:szCs w:val="20"/>
                <w:color w:val="auto"/>
              </w:rPr>
            </w:pPr>
            <w:r>
              <w:rPr>
                <w:rFonts w:ascii="Arial" w:cs="Arial" w:eastAsia="Arial" w:hAnsi="Arial"/>
                <w:sz w:val="18"/>
                <w:szCs w:val="18"/>
                <w:color w:val="auto"/>
              </w:rPr>
              <w:t>9.7</w:t>
            </w:r>
          </w:p>
        </w:tc>
        <w:tc>
          <w:tcPr>
            <w:tcW w:w="6980" w:type="dxa"/>
            <w:vAlign w:val="bottom"/>
          </w:tcPr>
          <w:p>
            <w:pPr>
              <w:ind w:left="200"/>
              <w:spacing w:after="0"/>
              <w:rPr>
                <w:sz w:val="20"/>
                <w:szCs w:val="20"/>
                <w:color w:val="auto"/>
              </w:rPr>
            </w:pPr>
            <w:r>
              <w:rPr>
                <w:rFonts w:ascii="Arial" w:cs="Arial" w:eastAsia="Arial" w:hAnsi="Arial"/>
                <w:sz w:val="18"/>
                <w:szCs w:val="18"/>
                <w:color w:val="auto"/>
              </w:rPr>
              <w:t>Tax Elections</w:t>
            </w:r>
          </w:p>
        </w:tc>
        <w:tc>
          <w:tcPr>
            <w:tcW w:w="3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ARTICLE X</w:t>
            </w:r>
          </w:p>
        </w:tc>
        <w:tc>
          <w:tcPr>
            <w:tcW w:w="6980" w:type="dxa"/>
            <w:vAlign w:val="bottom"/>
          </w:tcPr>
          <w:p>
            <w:pPr>
              <w:ind w:left="200"/>
              <w:spacing w:after="0"/>
              <w:rPr>
                <w:sz w:val="20"/>
                <w:szCs w:val="20"/>
                <w:color w:val="auto"/>
              </w:rPr>
            </w:pPr>
            <w:r>
              <w:rPr>
                <w:rFonts w:ascii="Arial" w:cs="Arial" w:eastAsia="Arial" w:hAnsi="Arial"/>
                <w:sz w:val="18"/>
                <w:szCs w:val="18"/>
                <w:color w:val="auto"/>
              </w:rPr>
              <w:t>NON-COMPETITION</w:t>
            </w:r>
          </w:p>
        </w:tc>
        <w:tc>
          <w:tcPr>
            <w:tcW w:w="3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10.1</w:t>
            </w:r>
          </w:p>
        </w:tc>
        <w:tc>
          <w:tcPr>
            <w:tcW w:w="6980" w:type="dxa"/>
            <w:vAlign w:val="bottom"/>
          </w:tcPr>
          <w:p>
            <w:pPr>
              <w:ind w:left="200"/>
              <w:spacing w:after="0"/>
              <w:rPr>
                <w:sz w:val="20"/>
                <w:szCs w:val="20"/>
                <w:color w:val="auto"/>
              </w:rPr>
            </w:pPr>
            <w:r>
              <w:rPr>
                <w:rFonts w:ascii="Arial" w:cs="Arial" w:eastAsia="Arial" w:hAnsi="Arial"/>
                <w:sz w:val="18"/>
                <w:szCs w:val="18"/>
                <w:color w:val="auto"/>
              </w:rPr>
              <w:t>Non-Competition</w:t>
            </w:r>
          </w:p>
        </w:tc>
        <w:tc>
          <w:tcPr>
            <w:tcW w:w="3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10.2</w:t>
            </w:r>
          </w:p>
        </w:tc>
        <w:tc>
          <w:tcPr>
            <w:tcW w:w="6980" w:type="dxa"/>
            <w:vAlign w:val="bottom"/>
          </w:tcPr>
          <w:p>
            <w:pPr>
              <w:ind w:left="200"/>
              <w:spacing w:after="0"/>
              <w:rPr>
                <w:sz w:val="20"/>
                <w:szCs w:val="20"/>
                <w:color w:val="auto"/>
              </w:rPr>
            </w:pPr>
            <w:r>
              <w:rPr>
                <w:rFonts w:ascii="Arial" w:cs="Arial" w:eastAsia="Arial" w:hAnsi="Arial"/>
                <w:sz w:val="18"/>
                <w:szCs w:val="18"/>
                <w:color w:val="auto"/>
              </w:rPr>
              <w:t>Damages</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320" w:type="dxa"/>
            <w:vAlign w:val="bottom"/>
          </w:tcPr>
          <w:p>
            <w:pPr>
              <w:ind w:left="540"/>
              <w:spacing w:after="0"/>
              <w:rPr>
                <w:sz w:val="20"/>
                <w:szCs w:val="20"/>
                <w:color w:val="auto"/>
              </w:rPr>
            </w:pPr>
            <w:r>
              <w:rPr>
                <w:rFonts w:ascii="Arial" w:cs="Arial" w:eastAsia="Arial" w:hAnsi="Arial"/>
                <w:sz w:val="18"/>
                <w:szCs w:val="18"/>
                <w:color w:val="auto"/>
              </w:rPr>
              <w:t>10.3</w:t>
            </w:r>
          </w:p>
        </w:tc>
        <w:tc>
          <w:tcPr>
            <w:tcW w:w="6980" w:type="dxa"/>
            <w:vAlign w:val="bottom"/>
          </w:tcPr>
          <w:p>
            <w:pPr>
              <w:ind w:left="200"/>
              <w:spacing w:after="0"/>
              <w:rPr>
                <w:sz w:val="20"/>
                <w:szCs w:val="20"/>
                <w:color w:val="auto"/>
              </w:rPr>
            </w:pPr>
            <w:r>
              <w:rPr>
                <w:rFonts w:ascii="Arial" w:cs="Arial" w:eastAsia="Arial" w:hAnsi="Arial"/>
                <w:sz w:val="18"/>
                <w:szCs w:val="18"/>
                <w:color w:val="auto"/>
              </w:rPr>
              <w:t>Limitations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ARTICLE XI</w:t>
            </w:r>
          </w:p>
        </w:tc>
        <w:tc>
          <w:tcPr>
            <w:tcW w:w="6980" w:type="dxa"/>
            <w:vAlign w:val="bottom"/>
          </w:tcPr>
          <w:p>
            <w:pPr>
              <w:ind w:left="200"/>
              <w:spacing w:after="0"/>
              <w:rPr>
                <w:sz w:val="20"/>
                <w:szCs w:val="20"/>
                <w:color w:val="auto"/>
              </w:rPr>
            </w:pPr>
            <w:r>
              <w:rPr>
                <w:rFonts w:ascii="Arial" w:cs="Arial" w:eastAsia="Arial" w:hAnsi="Arial"/>
                <w:sz w:val="18"/>
                <w:szCs w:val="18"/>
                <w:color w:val="auto"/>
              </w:rPr>
              <w:t>GENERAL PROVISIONS</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11.1</w:t>
            </w:r>
          </w:p>
        </w:tc>
        <w:tc>
          <w:tcPr>
            <w:tcW w:w="6980" w:type="dxa"/>
            <w:vAlign w:val="bottom"/>
          </w:tcPr>
          <w:p>
            <w:pPr>
              <w:ind w:left="200"/>
              <w:spacing w:after="0"/>
              <w:rPr>
                <w:sz w:val="20"/>
                <w:szCs w:val="20"/>
                <w:color w:val="auto"/>
              </w:rPr>
            </w:pPr>
            <w:r>
              <w:rPr>
                <w:rFonts w:ascii="Arial" w:cs="Arial" w:eastAsia="Arial" w:hAnsi="Arial"/>
                <w:sz w:val="18"/>
                <w:szCs w:val="18"/>
                <w:color w:val="auto"/>
              </w:rPr>
              <w:t>Waiver of Default</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11.2</w:t>
            </w:r>
          </w:p>
        </w:tc>
        <w:tc>
          <w:tcPr>
            <w:tcW w:w="6980" w:type="dxa"/>
            <w:vAlign w:val="bottom"/>
          </w:tcPr>
          <w:p>
            <w:pPr>
              <w:ind w:left="200"/>
              <w:spacing w:after="0"/>
              <w:rPr>
                <w:sz w:val="20"/>
                <w:szCs w:val="20"/>
                <w:color w:val="auto"/>
              </w:rPr>
            </w:pPr>
            <w:r>
              <w:rPr>
                <w:rFonts w:ascii="Arial" w:cs="Arial" w:eastAsia="Arial" w:hAnsi="Arial"/>
                <w:sz w:val="18"/>
                <w:szCs w:val="18"/>
                <w:color w:val="auto"/>
              </w:rPr>
              <w:t>Amendment of Partnership Agreement</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11.3</w:t>
            </w:r>
          </w:p>
        </w:tc>
        <w:tc>
          <w:tcPr>
            <w:tcW w:w="6980" w:type="dxa"/>
            <w:vAlign w:val="bottom"/>
          </w:tcPr>
          <w:p>
            <w:pPr>
              <w:ind w:left="200"/>
              <w:spacing w:after="0"/>
              <w:rPr>
                <w:sz w:val="20"/>
                <w:szCs w:val="20"/>
                <w:color w:val="auto"/>
              </w:rPr>
            </w:pPr>
            <w:r>
              <w:rPr>
                <w:rFonts w:ascii="Arial" w:cs="Arial" w:eastAsia="Arial" w:hAnsi="Arial"/>
                <w:sz w:val="18"/>
                <w:szCs w:val="18"/>
                <w:color w:val="auto"/>
              </w:rPr>
              <w:t>No Third Party Rights</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11.4</w:t>
            </w:r>
          </w:p>
        </w:tc>
        <w:tc>
          <w:tcPr>
            <w:tcW w:w="69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11.5</w:t>
            </w:r>
          </w:p>
        </w:tc>
        <w:tc>
          <w:tcPr>
            <w:tcW w:w="6980" w:type="dxa"/>
            <w:vAlign w:val="bottom"/>
          </w:tcPr>
          <w:p>
            <w:pPr>
              <w:ind w:left="200"/>
              <w:spacing w:after="0"/>
              <w:rPr>
                <w:sz w:val="20"/>
                <w:szCs w:val="20"/>
                <w:color w:val="auto"/>
              </w:rPr>
            </w:pPr>
            <w:r>
              <w:rPr>
                <w:rFonts w:ascii="Arial" w:cs="Arial" w:eastAsia="Arial" w:hAnsi="Arial"/>
                <w:sz w:val="18"/>
                <w:szCs w:val="18"/>
                <w:color w:val="auto"/>
              </w:rPr>
              <w:t>Nature of Interest in the Partnership</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11.6</w:t>
            </w:r>
          </w:p>
        </w:tc>
        <w:tc>
          <w:tcPr>
            <w:tcW w:w="6980" w:type="dxa"/>
            <w:vAlign w:val="bottom"/>
          </w:tcPr>
          <w:p>
            <w:pPr>
              <w:ind w:left="200"/>
              <w:spacing w:after="0"/>
              <w:rPr>
                <w:sz w:val="20"/>
                <w:szCs w:val="20"/>
                <w:color w:val="auto"/>
              </w:rPr>
            </w:pPr>
            <w:r>
              <w:rPr>
                <w:rFonts w:ascii="Arial" w:cs="Arial" w:eastAsia="Arial" w:hAnsi="Arial"/>
                <w:sz w:val="18"/>
                <w:szCs w:val="18"/>
                <w:color w:val="auto"/>
              </w:rPr>
              <w:t>Binding Agreement</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11.7</w:t>
            </w:r>
          </w:p>
        </w:tc>
        <w:tc>
          <w:tcPr>
            <w:tcW w:w="6980" w:type="dxa"/>
            <w:vAlign w:val="bottom"/>
          </w:tcPr>
          <w:p>
            <w:pPr>
              <w:ind w:left="200"/>
              <w:spacing w:after="0"/>
              <w:rPr>
                <w:sz w:val="20"/>
                <w:szCs w:val="20"/>
                <w:color w:val="auto"/>
              </w:rPr>
            </w:pPr>
            <w:r>
              <w:rPr>
                <w:rFonts w:ascii="Arial" w:cs="Arial" w:eastAsia="Arial" w:hAnsi="Arial"/>
                <w:sz w:val="18"/>
                <w:szCs w:val="18"/>
                <w:color w:val="auto"/>
              </w:rPr>
              <w:t>Headings</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11.8</w:t>
            </w:r>
          </w:p>
        </w:tc>
        <w:tc>
          <w:tcPr>
            <w:tcW w:w="6980" w:type="dxa"/>
            <w:vAlign w:val="bottom"/>
          </w:tcPr>
          <w:p>
            <w:pPr>
              <w:ind w:left="200"/>
              <w:spacing w:after="0"/>
              <w:rPr>
                <w:sz w:val="20"/>
                <w:szCs w:val="20"/>
                <w:color w:val="auto"/>
              </w:rPr>
            </w:pPr>
            <w:r>
              <w:rPr>
                <w:rFonts w:ascii="Arial" w:cs="Arial" w:eastAsia="Arial" w:hAnsi="Arial"/>
                <w:sz w:val="18"/>
                <w:szCs w:val="18"/>
                <w:color w:val="auto"/>
              </w:rPr>
              <w:t>Word Meanings</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11.9</w:t>
            </w:r>
          </w:p>
        </w:tc>
        <w:tc>
          <w:tcPr>
            <w:tcW w:w="69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11.10</w:t>
            </w:r>
          </w:p>
        </w:tc>
        <w:tc>
          <w:tcPr>
            <w:tcW w:w="69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11.11</w:t>
            </w:r>
          </w:p>
        </w:tc>
        <w:tc>
          <w:tcPr>
            <w:tcW w:w="6980" w:type="dxa"/>
            <w:vAlign w:val="bottom"/>
          </w:tcPr>
          <w:p>
            <w:pPr>
              <w:ind w:left="200"/>
              <w:spacing w:after="0"/>
              <w:rPr>
                <w:sz w:val="20"/>
                <w:szCs w:val="20"/>
                <w:color w:val="auto"/>
              </w:rPr>
            </w:pPr>
            <w:r>
              <w:rPr>
                <w:rFonts w:ascii="Arial" w:cs="Arial" w:eastAsia="Arial" w:hAnsi="Arial"/>
                <w:sz w:val="18"/>
                <w:szCs w:val="18"/>
                <w:color w:val="auto"/>
              </w:rPr>
              <w:t>Partition</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540"/>
              <w:spacing w:after="0"/>
              <w:rPr>
                <w:sz w:val="20"/>
                <w:szCs w:val="20"/>
                <w:color w:val="auto"/>
              </w:rPr>
            </w:pPr>
            <w:r>
              <w:rPr>
                <w:rFonts w:ascii="Arial" w:cs="Arial" w:eastAsia="Arial" w:hAnsi="Arial"/>
                <w:sz w:val="18"/>
                <w:szCs w:val="18"/>
                <w:color w:val="auto"/>
              </w:rPr>
              <w:t>11.12</w:t>
            </w:r>
          </w:p>
        </w:tc>
        <w:tc>
          <w:tcPr>
            <w:tcW w:w="6980" w:type="dxa"/>
            <w:vAlign w:val="bottom"/>
          </w:tcPr>
          <w:p>
            <w:pPr>
              <w:ind w:left="200"/>
              <w:spacing w:after="0"/>
              <w:rPr>
                <w:sz w:val="20"/>
                <w:szCs w:val="20"/>
                <w:color w:val="auto"/>
              </w:rPr>
            </w:pPr>
            <w:r>
              <w:rPr>
                <w:rFonts w:ascii="Arial" w:cs="Arial" w:eastAsia="Arial" w:hAnsi="Arial"/>
                <w:sz w:val="18"/>
                <w:szCs w:val="18"/>
                <w:color w:val="auto"/>
              </w:rPr>
              <w:t>Governing Law; Consent to Jurisdiction and Venue</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320" w:type="dxa"/>
            <w:vAlign w:val="bottom"/>
          </w:tcPr>
          <w:p>
            <w:pPr>
              <w:ind w:left="540"/>
              <w:spacing w:after="0"/>
              <w:rPr>
                <w:sz w:val="20"/>
                <w:szCs w:val="20"/>
                <w:color w:val="auto"/>
              </w:rPr>
            </w:pPr>
            <w:r>
              <w:rPr>
                <w:rFonts w:ascii="Arial" w:cs="Arial" w:eastAsia="Arial" w:hAnsi="Arial"/>
                <w:sz w:val="18"/>
                <w:szCs w:val="18"/>
                <w:color w:val="auto"/>
              </w:rPr>
              <w:t>11.13</w:t>
            </w:r>
          </w:p>
        </w:tc>
        <w:tc>
          <w:tcPr>
            <w:tcW w:w="6980" w:type="dxa"/>
            <w:vAlign w:val="bottom"/>
          </w:tcPr>
          <w:p>
            <w:pPr>
              <w:ind w:left="200"/>
              <w:spacing w:after="0"/>
              <w:rPr>
                <w:sz w:val="20"/>
                <w:szCs w:val="20"/>
                <w:color w:val="auto"/>
              </w:rPr>
            </w:pPr>
            <w:r>
              <w:rPr>
                <w:rFonts w:ascii="Arial" w:cs="Arial" w:eastAsia="Arial" w:hAnsi="Arial"/>
                <w:sz w:val="18"/>
                <w:szCs w:val="18"/>
                <w:color w:val="auto"/>
              </w:rPr>
              <w:t>Special Notices</w:t>
            </w:r>
          </w:p>
        </w:tc>
        <w:tc>
          <w:tcPr>
            <w:tcW w:w="31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PARTNERSHIP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11" w:lineRule="exact"/>
        <w:rPr>
          <w:sz w:val="20"/>
          <w:szCs w:val="20"/>
          <w:color w:val="auto"/>
        </w:rPr>
      </w:pPr>
    </w:p>
    <w:p>
      <w:pPr>
        <w:ind w:right="240" w:firstLine="648"/>
        <w:spacing w:after="0" w:line="242" w:lineRule="auto"/>
        <w:rPr>
          <w:sz w:val="20"/>
          <w:szCs w:val="20"/>
          <w:color w:val="auto"/>
        </w:rPr>
      </w:pPr>
      <w:r>
        <w:rPr>
          <w:rFonts w:ascii="Arial" w:cs="Arial" w:eastAsia="Arial" w:hAnsi="Arial"/>
          <w:sz w:val="18"/>
          <w:szCs w:val="18"/>
          <w:color w:val="auto"/>
        </w:rPr>
        <w:t>THIS SEVENTH AMENDED AND RESTATED LIMITED PARTNERSHIP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Plains AAP,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is made and entered into as of this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October, 2013 by Plains All American GP LLC, a Delaware limited liability company, as the general partner, and, pursuant to </w:t>
      </w:r>
      <w:r>
        <w:rPr>
          <w:rFonts w:ascii="Arial" w:cs="Arial" w:eastAsia="Arial" w:hAnsi="Arial"/>
          <w:sz w:val="18"/>
          <w:szCs w:val="18"/>
          <w:u w:val="single" w:color="auto"/>
          <w:color w:val="auto"/>
        </w:rPr>
        <w:t>Section 11.2(d)</w:t>
      </w:r>
      <w:r>
        <w:rPr>
          <w:rFonts w:ascii="Arial" w:cs="Arial" w:eastAsia="Arial" w:hAnsi="Arial"/>
          <w:sz w:val="18"/>
          <w:szCs w:val="18"/>
          <w:color w:val="auto"/>
        </w:rPr>
        <w:t xml:space="preserve"> of the Sixth Amended and Restated Limited Partnership Agreement dated as of December 23, 2010, by and among the General Partner and the Limited Partners of the Partnership (the “</w:t>
      </w:r>
      <w:r>
        <w:rPr>
          <w:rFonts w:ascii="Arial" w:cs="Arial" w:eastAsia="Arial" w:hAnsi="Arial"/>
          <w:sz w:val="18"/>
          <w:szCs w:val="18"/>
          <w:b w:val="1"/>
          <w:bCs w:val="1"/>
          <w:i w:val="1"/>
          <w:iCs w:val="1"/>
          <w:color w:val="auto"/>
        </w:rPr>
        <w:t>Sixth A&amp;R Limited Partnership Agreement</w:t>
      </w:r>
      <w:r>
        <w:rPr>
          <w:rFonts w:ascii="Arial" w:cs="Arial" w:eastAsia="Arial" w:hAnsi="Arial"/>
          <w:sz w:val="18"/>
          <w:szCs w:val="18"/>
          <w:color w:val="auto"/>
        </w:rPr>
        <w:t xml:space="preserve">”), is binding on the Persons listed as Limited Partners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schedule may be amended or supplemented from time to time in accordance herewith.</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amends and restates in its entirety the Sixth A&amp;R Limited Partnership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Acceptance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Revised Uniform Limited Partnership Act, as amended from time to time.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Capital Account Deficit</w:t>
      </w:r>
      <w:r>
        <w:rPr>
          <w:rFonts w:ascii="Arial" w:cs="Arial" w:eastAsia="Arial" w:hAnsi="Arial"/>
          <w:sz w:val="18"/>
          <w:szCs w:val="18"/>
          <w:color w:val="auto"/>
        </w:rPr>
        <w:t>” means, with respect to a Partner, the deficit balance, if any, in such Partner’s Capital Account as of the end of the relevant Taxable Year, after giving effect to the following adjustments:</w:t>
      </w:r>
    </w:p>
    <w:p>
      <w:pPr>
        <w:spacing w:after="0" w:line="170" w:lineRule="exact"/>
        <w:rPr>
          <w:sz w:val="20"/>
          <w:szCs w:val="20"/>
          <w:color w:val="auto"/>
        </w:rPr>
      </w:pPr>
    </w:p>
    <w:p>
      <w:pPr>
        <w:ind w:left="660" w:right="40" w:firstLine="645"/>
        <w:spacing w:after="0" w:line="308" w:lineRule="auto"/>
        <w:tabs>
          <w:tab w:leader="none" w:pos="195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Credit to such Capital Account any amounts which such Partner is obligated to restore pursuant to any provision of this Agreement or is deemed to be obligated to restore pursuant to Regulation Sections 1.704-1(b)(2)(ii)(c), 1.704-2(g)(1) and 1.704-2(i)(5); and</w:t>
      </w:r>
    </w:p>
    <w:p>
      <w:pPr>
        <w:sectPr>
          <w:pgSz w:w="11900" w:h="16838" w:orient="portrait"/>
          <w:cols w:equalWidth="0" w:num="1">
            <w:col w:w="11420"/>
          </w:cols>
          <w:pgMar w:left="240" w:top="125" w:right="239" w:bottom="0" w:gutter="0" w:footer="0" w:header="0"/>
        </w:sectPr>
      </w:pPr>
    </w:p>
    <w:bookmarkStart w:id="61" w:name="page62"/>
    <w:bookmarkEnd w:id="61"/>
    <w:p>
      <w:pPr>
        <w:ind w:left="660" w:right="420" w:firstLine="645"/>
        <w:spacing w:after="0" w:line="277" w:lineRule="auto"/>
        <w:tabs>
          <w:tab w:leader="none" w:pos="196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Regulation Sections 1.704-1(b)(2)(ii)(d)(4), 1.704-1(b)(2)(ii)(d)(5), and 1.704-1(b)(2)(ii)(d)(6).</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Agreement</w:t>
      </w:r>
      <w:r>
        <w:rPr>
          <w:rFonts w:ascii="Arial" w:cs="Arial" w:eastAsia="Arial" w:hAnsi="Arial"/>
          <w:sz w:val="18"/>
          <w:szCs w:val="18"/>
          <w:color w:val="auto"/>
        </w:rPr>
        <w:t>” means that certain Administrative Agreement, dated as of October 21, 2013, among Holdings GP, PAGP, the MLP, the General Partner, PAA GP and the Partnership, as such may be amended, modified, supplemented or restated from time to time in accordance with the terms thereof.</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specified Person, any other Person that directly, or indirectly through one or more intermediaries, controls, is controlled by, or is under common control with, such specified Person. As used herein, the term “control” means the possession,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direct or indirect, of the power to direct or cause the direction of the management and policies of a Person, whether through ownership of voting securities, by contract or otherwise; provided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73" w:lineRule="exact"/>
        <w:rPr>
          <w:sz w:val="20"/>
          <w:szCs w:val="20"/>
          <w:color w:val="auto"/>
        </w:rPr>
      </w:pPr>
    </w:p>
    <w:p>
      <w:pPr>
        <w:ind w:right="40" w:firstLine="656"/>
        <w:spacing w:after="0" w:line="286" w:lineRule="auto"/>
        <w:tabs>
          <w:tab w:leader="none" w:pos="129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individual who is an officer or director of Holdings GP or any Group Member (excluding the Chief Executive Officer and Chairman of the Board) shall not be considered to be an Affiliate of Holdings GP or any Group Member by virtue of such Person’s status as an officer or director and the possession of the powers that are within the scope of the designated or delegated authority of such officer or director;</w:t>
      </w:r>
    </w:p>
    <w:p>
      <w:pPr>
        <w:spacing w:after="0" w:line="165" w:lineRule="exact"/>
        <w:rPr>
          <w:rFonts w:ascii="Arial" w:cs="Arial" w:eastAsia="Arial" w:hAnsi="Arial"/>
          <w:sz w:val="17"/>
          <w:szCs w:val="17"/>
          <w:color w:val="auto"/>
        </w:rPr>
      </w:pPr>
    </w:p>
    <w:p>
      <w:pPr>
        <w:ind w:right="240" w:firstLine="656"/>
        <w:spacing w:after="0" w:line="264" w:lineRule="auto"/>
        <w:tabs>
          <w:tab w:leader="none" w:pos="13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number of outstanding Holdings GP Units shall not be considered to be an Affiliate of Holdings GP or any Group Member by virtue of the ownership by such Person (and Affiliate Group, if applicable) of such Holdings GP Units; and</w:t>
      </w:r>
    </w:p>
    <w:p>
      <w:pPr>
        <w:spacing w:after="0" w:line="181" w:lineRule="exact"/>
        <w:rPr>
          <w:rFonts w:ascii="Arial" w:cs="Arial" w:eastAsia="Arial" w:hAnsi="Arial"/>
          <w:sz w:val="18"/>
          <w:szCs w:val="18"/>
          <w:color w:val="auto"/>
        </w:rPr>
      </w:pPr>
    </w:p>
    <w:p>
      <w:pPr>
        <w:ind w:right="80" w:firstLine="656"/>
        <w:spacing w:after="0" w:line="264" w:lineRule="auto"/>
        <w:tabs>
          <w:tab w:leader="none" w:pos="130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Partnership Interests held by all Partners, shall not be considered to be an affiliate of Holdings GP or any Group Member by virtue of the ownership by such Person (and Affiliate Group, if applicable) of such Partnership Interests.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avoidance of doubt, for purposes of this Agreement, as of the date hereof (but subject to redetermination upon changed circumstances)</w:t>
      </w:r>
    </w:p>
    <w:p>
      <w:pPr>
        <w:spacing w:after="0" w:line="46" w:lineRule="exact"/>
        <w:rPr>
          <w:sz w:val="20"/>
          <w:szCs w:val="20"/>
          <w:color w:val="auto"/>
        </w:rPr>
      </w:pPr>
    </w:p>
    <w:p>
      <w:pPr>
        <w:ind w:right="200" w:firstLine="8"/>
        <w:spacing w:after="0" w:line="255" w:lineRule="auto"/>
        <w:tabs>
          <w:tab w:leader="none" w:pos="21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of KAFU Holdings, L.P., KA First Reserve XII, LLC, Kayne Anderson Energy Development Company, Kayne Anderson Midstream/Energy Fund, Inc. and KAFU Holdings II, L.P. is an Affiliate of each other, and (ii) each of EMG Investment, LLC and Lynx Holdings I, LLC is an Affiliate of the other.</w:t>
      </w:r>
    </w:p>
    <w:p>
      <w:pPr>
        <w:spacing w:after="0" w:line="1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 Group</w:t>
      </w:r>
      <w:r>
        <w:rPr>
          <w:rFonts w:ascii="Arial" w:cs="Arial" w:eastAsia="Arial" w:hAnsi="Arial"/>
          <w:sz w:val="18"/>
          <w:szCs w:val="18"/>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beneficially own, directly or indirectly, Partnership Interests.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Value</w:t>
      </w:r>
      <w:r>
        <w:rPr>
          <w:rFonts w:ascii="Arial" w:cs="Arial" w:eastAsia="Arial" w:hAnsi="Arial"/>
          <w:sz w:val="18"/>
          <w:szCs w:val="18"/>
          <w:color w:val="auto"/>
        </w:rPr>
        <w:t xml:space="preserve">” means, with respect to any Partnership Group Interest subject to the right of first refusal contained in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(i) the value that would be received for such Partnership Group Interest in the event such Partnership Group Interest were exchanged for PAGP Class A Shares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and promptly sold at a price determined relative to the trailing 30-day volume weighted average price of a PAGP Class A Share or (ii) in the event the PAGP Class A Shares are not then publicly traded, the value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means this Seventh Amended and Restated Limited Partnership Agreement, as amended from time to time in accordance with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Debt Service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Available Cash</w:t>
      </w:r>
      <w:r>
        <w:rPr>
          <w:rFonts w:ascii="Arial" w:cs="Arial" w:eastAsia="Arial" w:hAnsi="Arial"/>
          <w:sz w:val="16"/>
          <w:szCs w:val="16"/>
          <w:color w:val="auto"/>
        </w:rPr>
        <w:t>” means, with respect to a fiscal quarter, all cash and cash equivalents of the Partnership at the end of such quarter (other than Net Capital Transaction Proceeds) less the amount of cash reserves that is necessary or appropriate in the reasonable discretion of the General Partner to</w:t>
      </w:r>
    </w:p>
    <w:p>
      <w:pPr>
        <w:ind w:right="40" w:firstLine="8"/>
        <w:spacing w:after="0" w:line="287" w:lineRule="auto"/>
        <w:tabs>
          <w:tab w:leader="none" w:pos="24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provide for the proper conduct of the business of the Partnership (including reserves for future capital expenditures and for anticipated future credit needs of the Partnership) subsequent to such quarter or (b) comply with applicable law or any loan agreement, security agreement, mortgage, debt instrument or other agreement or obligation to which the Partnership is a party or by which it is bound or its assets or Property is subject;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all cash and cash equivalents expected to be received (including distributions declared by the MLP but not yet paid), directly or indirectly from the MLP in respect of such quarter or cash reserves established, increased or reduced after the expiration of such quarter (including receipt of any Distribution Loan Proceeds) but on or before the date of determination of Available Cash with respect to such quarter shall be deemed to have been received, made, established, increased or reduced, for purposes of determining Available Cash, during such quarter if the General Partner so determines in its reasonable discretion. For the avoidance of doubt, loan proceeds other than Distribution Loan Proceeds will not be included in Available Cash.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General Partner.</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a Sunday or other day on which banks are required or authorized by law to be closed in Houston, Texas or New York, New York.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Call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7.9(g)</w:t>
      </w:r>
      <w:r>
        <w:rPr>
          <w:rFonts w:ascii="Arial" w:cs="Arial" w:eastAsia="Arial" w:hAnsi="Arial"/>
          <w:sz w:val="18"/>
          <w:szCs w:val="18"/>
          <w:color w:val="auto"/>
        </w:rPr>
        <w:t>.</w:t>
      </w:r>
    </w:p>
    <w:p>
      <w:pPr>
        <w:sectPr>
          <w:pgSz w:w="11900" w:h="16838" w:orient="portrait"/>
          <w:cols w:equalWidth="0" w:num="1">
            <w:col w:w="11380"/>
          </w:cols>
          <w:pgMar w:left="240" w:top="125" w:right="279" w:bottom="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Call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7.9(g)</w:t>
      </w:r>
      <w:r>
        <w:rPr>
          <w:rFonts w:ascii="Arial" w:cs="Arial" w:eastAsia="Arial" w:hAnsi="Arial"/>
          <w:sz w:val="18"/>
          <w:szCs w:val="18"/>
          <w:color w:val="auto"/>
        </w:rPr>
        <w:t>.</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with respect to any Partner, a separate account established by the Partnership and maintained for each Partner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with respect to any Partner, the amount of money, if any, and the initial Gross Asset Value of any Property (other than money), if any, contributed to the Partnership with respect to the interests purchased by such Partner pursuant to the terms of this Agreement, in return for which the Partner contributing such capital shall receive a Partnership Interest.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Carryover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7.9(a)</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Cash Election Amount</w:t>
      </w:r>
      <w:r>
        <w:rPr>
          <w:rFonts w:ascii="Arial" w:cs="Arial" w:eastAsia="Arial" w:hAnsi="Arial"/>
          <w:sz w:val="17"/>
          <w:szCs w:val="17"/>
          <w:color w:val="auto"/>
        </w:rPr>
        <w:t>” means with respect to a particular Exchange, an amount of cash equal to the value of the PAGP Class A Shares that would be received in such Exchange as of the date of receipt by the Partnership of the Exchange Notice with respect to such Exchange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Section 7.9 (the “</w:t>
      </w:r>
      <w:r>
        <w:rPr>
          <w:rFonts w:ascii="Arial" w:cs="Arial" w:eastAsia="Arial" w:hAnsi="Arial"/>
          <w:sz w:val="18"/>
          <w:szCs w:val="18"/>
          <w:b w:val="1"/>
          <w:bCs w:val="1"/>
          <w:i w:val="1"/>
          <w:iCs w:val="1"/>
          <w:color w:val="auto"/>
        </w:rPr>
        <w:t>Valuation Date</w:t>
      </w:r>
      <w:r>
        <w:rPr>
          <w:rFonts w:ascii="Arial" w:cs="Arial" w:eastAsia="Arial" w:hAnsi="Arial"/>
          <w:sz w:val="18"/>
          <w:szCs w:val="18"/>
          <w:color w:val="auto"/>
        </w:rPr>
        <w:t>”), decreased by any distributions received by the Exchanging Partner with respect to the Class A Units that are the subject of the Exchange following the date of receipt by the Partnership of the Exchange Notice where the Record Date for such distribution was after the date of receipt of such notice. For this purpose, the value of a PAGP Class A Share shall equal (i) the volume weighted average price of a PAGP Class A Share for the 10 trading days ending on the trading day prior to the Valuation Date or (ii) in the event the PAGP Class A Shares are not then publicly traded, the value, as reasonably determined by the General Partner in good faith,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Limited Partnership of the Partnership filed with the Secretary of State of Delaware, as amended or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Partner</w:t>
      </w:r>
      <w:r>
        <w:rPr>
          <w:rFonts w:ascii="Arial" w:cs="Arial" w:eastAsia="Arial" w:hAnsi="Arial"/>
          <w:sz w:val="18"/>
          <w:szCs w:val="18"/>
          <w:color w:val="auto"/>
        </w:rPr>
        <w:t>” means a Limited Partner all or any portion of whose Limited Partnership Interest is evidenced by Class A Units.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w:t>
      </w:r>
      <w:r>
        <w:rPr>
          <w:rFonts w:ascii="Arial" w:cs="Arial" w:eastAsia="Arial" w:hAnsi="Arial"/>
          <w:sz w:val="18"/>
          <w:szCs w:val="18"/>
          <w:color w:val="auto"/>
        </w:rPr>
        <w:t>” means a Partnership Interest representing a fractional part of the Partnership Interests of all Limited Partners, and having the rights and obligations specified with respect to Class A Units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Partner</w:t>
      </w:r>
      <w:r>
        <w:rPr>
          <w:rFonts w:ascii="Arial" w:cs="Arial" w:eastAsia="Arial" w:hAnsi="Arial"/>
          <w:sz w:val="18"/>
          <w:szCs w:val="18"/>
          <w:color w:val="auto"/>
        </w:rPr>
        <w:t>” means a Limited Partner all or any portion of whose Limited Partnership Interest is evidenced by Class B Units.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Restricted Unit Agreement</w:t>
      </w:r>
      <w:r>
        <w:rPr>
          <w:rFonts w:ascii="Arial" w:cs="Arial" w:eastAsia="Arial" w:hAnsi="Arial"/>
          <w:sz w:val="18"/>
          <w:szCs w:val="18"/>
          <w:color w:val="auto"/>
        </w:rPr>
        <w:t>” means an agreement, substantially in the form of Exhibit A hereto, between the Partnership and any Limited Partner that is issued Class B Units, as any such agreement may be amended, modified, supplemented or restated from time to time in accordance with the terms thereof.</w:t>
      </w:r>
    </w:p>
    <w:p>
      <w:pPr>
        <w:spacing w:after="0" w:line="18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Class B Unit</w:t>
      </w:r>
      <w:r>
        <w:rPr>
          <w:rFonts w:ascii="Arial" w:cs="Arial" w:eastAsia="Arial" w:hAnsi="Arial"/>
          <w:sz w:val="16"/>
          <w:szCs w:val="16"/>
          <w:color w:val="auto"/>
        </w:rPr>
        <w:t>” means a Partnership Interest representing a fractional part of the Partnership Interests of all Limited Partners, and having the rights and obligations specified with respect to Class B Units in this Agreement and the Class B Restricted Unit Agreement pursuant to which it was issued.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means the Contribution Agreement, dated as of October 21, 2013, by and among Holdings GP, PAGP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Percentage</w:t>
      </w:r>
      <w:r>
        <w:rPr>
          <w:rFonts w:ascii="Arial" w:cs="Arial" w:eastAsia="Arial" w:hAnsi="Arial"/>
          <w:sz w:val="18"/>
          <w:szCs w:val="18"/>
          <w:color w:val="auto"/>
        </w:rPr>
        <w:t xml:space="preserve">” means in respect of a Capital Contribution required to be made pursuant to </w:t>
      </w:r>
      <w:r>
        <w:rPr>
          <w:rFonts w:ascii="Arial" w:cs="Arial" w:eastAsia="Arial" w:hAnsi="Arial"/>
          <w:sz w:val="18"/>
          <w:szCs w:val="18"/>
          <w:u w:val="single" w:color="auto"/>
          <w:color w:val="auto"/>
        </w:rPr>
        <w:t>Section 3.1(b)</w:t>
      </w:r>
      <w:r>
        <w:rPr>
          <w:rFonts w:ascii="Arial" w:cs="Arial" w:eastAsia="Arial" w:hAnsi="Arial"/>
          <w:sz w:val="18"/>
          <w:szCs w:val="18"/>
          <w:color w:val="auto"/>
        </w:rPr>
        <w:t>, (i) in the case of a Class A Partner, 100% times a fraction, the numerator of which is the number of such Class A Partner’s Class A Units at such time, and the denominator of which is the sum of (x) the number of outstanding Class A Units at such time and (y) the product of the Conversion Factor and the aggregate number of Earned Units and Vested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Units outstanding at such time, and (ii) in the case of a Class B Partner, 100% times a fraction, the numerator of which is the product of the Conversion Factor and the aggregate number of such Class B Partner’s Earned Units and Vested Units at such time, and the denominator of which is the sum of (x) the number of outstanding Class A Units at such time and (y) the product of the Conversion Factor and the aggregate number of Earned Units and Vested Units outstanding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7.10(c)</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Factor</w:t>
      </w:r>
      <w:r>
        <w:rPr>
          <w:rFonts w:ascii="Arial" w:cs="Arial" w:eastAsia="Arial" w:hAnsi="Arial"/>
          <w:sz w:val="18"/>
          <w:szCs w:val="18"/>
          <w:color w:val="auto"/>
        </w:rPr>
        <w:t xml:space="preserve">” means, as of a particular time, a fraction, the numerator of which is the regular quarterly cash distribution, if any, paid with respect to an Earned Unit or Vested Unit for the most recent quarter, and the denominator of which is the regular quarterly cash distribution paid with respect to a Class A Unit for such quarter (excluding, for this purpose, any distribution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paid with respect to a Class A Unit for such quarter).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Converted Class A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Converting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Cumulative Carryover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Depreciation</w:t>
      </w:r>
      <w:r>
        <w:rPr>
          <w:rFonts w:ascii="Arial" w:cs="Arial" w:eastAsia="Arial" w:hAnsi="Arial"/>
          <w:sz w:val="16"/>
          <w:szCs w:val="16"/>
          <w:color w:val="auto"/>
        </w:rPr>
        <w:t xml:space="preserve">” means, for each Taxable Year or other period, an amount equal to the depreciation, amortization or other cost recovery deduction allowable with respect to an asset for such Taxable Year, except that if the Gross Asset Value of an asset differs from its adjusted basis for federal income tax purposes at the beginning of such Taxable Year, Depreciation shall be an amount which bears the same ratio to such beginning Gross Asset Value as the federal income tax depreciation, amortization or other cost recovery deduction for such Taxable Year bears to such beginning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adjusted basis for federal income tax purposes of an asset at the beginning of such Taxable Year is zero, Depreciation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asset shall be determined with reference to such beginning Gross Asset Value using any reasonable method selected by the General Partner.</w:t>
      </w:r>
    </w:p>
    <w:p>
      <w:pPr>
        <w:spacing w:after="0" w:line="16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Loan</w:t>
      </w:r>
      <w:r>
        <w:rPr>
          <w:rFonts w:ascii="Arial" w:cs="Arial" w:eastAsia="Arial" w:hAnsi="Arial"/>
          <w:sz w:val="18"/>
          <w:szCs w:val="18"/>
          <w:color w:val="auto"/>
        </w:rPr>
        <w:t xml:space="preserve">” means a loan to the Partnership, the proceeds of which are intended for inclusion in Available Cash;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proceeds of a loan are used for any purposes other than a distribution to the Class A Partners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only the portion of such loan distributed to the Class A Partners shall be deemed to be a “Distribution Loan.”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Loan Proceeds</w:t>
      </w:r>
      <w:r>
        <w:rPr>
          <w:rFonts w:ascii="Arial" w:cs="Arial" w:eastAsia="Arial" w:hAnsi="Arial"/>
          <w:sz w:val="18"/>
          <w:szCs w:val="18"/>
          <w:color w:val="auto"/>
        </w:rPr>
        <w:t>” means the proceeds of a Distribution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Threshold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Earned Unit</w:t>
      </w:r>
      <w:r>
        <w:rPr>
          <w:rFonts w:ascii="Arial" w:cs="Arial" w:eastAsia="Arial" w:hAnsi="Arial"/>
          <w:sz w:val="18"/>
          <w:szCs w:val="18"/>
          <w:color w:val="auto"/>
        </w:rPr>
        <w:t>” means a Class B Unit that constitutes an “Earned Unit” under the Class B Restricted Unit Agreement pursuant to which such Class B Unit was issued.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Exchanging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each of the owners of Holdings GP Units as of the date of this Agreement, in each case for so long as they continue to own any Holdings GP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Refusal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Reserve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means Plains All American GP LLC, a Delaware limited liability company, any permitted successor thereto, and any Persons hereafter admitted as an additional general partner, each in its capacity as a general partner of the Partnership, in each case in accordance with the terms hereof.</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General Partnership Interest</w:t>
      </w:r>
      <w:r>
        <w:rPr>
          <w:rFonts w:ascii="Arial" w:cs="Arial" w:eastAsia="Arial" w:hAnsi="Arial"/>
          <w:sz w:val="16"/>
          <w:szCs w:val="16"/>
          <w:color w:val="auto"/>
        </w:rPr>
        <w:t>” means the management and ownership interest of the General Partner in the Partnership (in its capacity as a general partner and without reference to any Limited Partnership Interest held by it) and includes any and all rights, powers and benefits to which the General Partner is entitled as provided in this Agreement, together with all obligations of the General Partner to comply with the terms and provisions of this Agreement.</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Gross Asset Value</w:t>
      </w:r>
      <w:r>
        <w:rPr>
          <w:rFonts w:ascii="Arial" w:cs="Arial" w:eastAsia="Arial" w:hAnsi="Arial"/>
          <w:sz w:val="18"/>
          <w:szCs w:val="18"/>
          <w:color w:val="auto"/>
        </w:rPr>
        <w:t xml:space="preserve">” means with respect to any asset, the asset’s adjusted basis for federal income tax purposes, except as follows and as otherwise provided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70" w:lineRule="exact"/>
        <w:rPr>
          <w:sz w:val="20"/>
          <w:szCs w:val="20"/>
          <w:color w:val="auto"/>
        </w:rPr>
      </w:pPr>
    </w:p>
    <w:p>
      <w:pPr>
        <w:ind w:left="660" w:right="200" w:firstLine="645"/>
        <w:spacing w:after="0" w:line="286" w:lineRule="auto"/>
        <w:tabs>
          <w:tab w:leader="none" w:pos="195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The initial Gross Asset Value of any asset contributed by a Partner to the Partnership shall be the gross fair market value of such asset, as reasonably determined by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initial Gross Asset Values of the assets contributed to the Partnership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hereof shall be as set forth in such section or the schedule referred to therein;</w:t>
      </w:r>
    </w:p>
    <w:p>
      <w:pPr>
        <w:spacing w:after="0" w:line="165" w:lineRule="exact"/>
        <w:rPr>
          <w:rFonts w:ascii="Arial" w:cs="Arial" w:eastAsia="Arial" w:hAnsi="Arial"/>
          <w:sz w:val="17"/>
          <w:szCs w:val="17"/>
          <w:color w:val="auto"/>
        </w:rPr>
      </w:pPr>
    </w:p>
    <w:p>
      <w:pPr>
        <w:ind w:left="660" w:right="200" w:firstLine="645"/>
        <w:spacing w:after="0" w:line="277" w:lineRule="auto"/>
        <w:tabs>
          <w:tab w:leader="none" w:pos="19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Gross Asset Values of all Partnership assets shall be adjusted to equal their respective gross fair market values (taking Code Section 7701(g) into account), as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reasonably determined by the General Partner as of the following times: (i) the acquisition of an additional interest in the Partnership by any new or existing Partner in exchange for more than a de minimis Capital Contribution; (ii) the distribution by the Partnership to a Partner of more than a de</w:t>
      </w:r>
    </w:p>
    <w:p>
      <w:pPr>
        <w:sectPr>
          <w:pgSz w:w="11900" w:h="16838" w:orient="portrait"/>
          <w:cols w:equalWidth="0" w:num="1">
            <w:col w:w="11380"/>
          </w:cols>
          <w:pgMar w:left="240" w:top="125" w:right="279" w:bottom="0" w:gutter="0" w:footer="0" w:header="0"/>
        </w:sectPr>
      </w:pPr>
    </w:p>
    <w:bookmarkStart w:id="64" w:name="page65"/>
    <w:bookmarkEnd w:id="64"/>
    <w:p>
      <w:pPr>
        <w:ind w:left="660"/>
        <w:spacing w:after="0"/>
        <w:rPr>
          <w:sz w:val="20"/>
          <w:szCs w:val="20"/>
          <w:color w:val="auto"/>
        </w:rPr>
      </w:pPr>
      <w:r>
        <w:rPr>
          <w:rFonts w:ascii="Arial" w:cs="Arial" w:eastAsia="Arial" w:hAnsi="Arial"/>
          <w:sz w:val="16"/>
          <w:szCs w:val="16"/>
          <w:color w:val="auto"/>
        </w:rPr>
        <w:t>minimis amount of Partnership property as consideration for an interest in the Partnership; (iii) the issuance by the Partnership of Class B Units; and</w:t>
      </w:r>
    </w:p>
    <w:p>
      <w:pPr>
        <w:spacing w:after="0" w:line="46" w:lineRule="exact"/>
        <w:rPr>
          <w:sz w:val="20"/>
          <w:szCs w:val="20"/>
          <w:color w:val="auto"/>
        </w:rPr>
      </w:pPr>
    </w:p>
    <w:p>
      <w:pPr>
        <w:ind w:left="960" w:hanging="304"/>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liquidation of the Partnership within the meaning of Regulation Section 1.704-1(b)(2)(ii)(g); and</w:t>
      </w:r>
    </w:p>
    <w:p>
      <w:pPr>
        <w:spacing w:after="0" w:line="210" w:lineRule="exact"/>
        <w:rPr>
          <w:rFonts w:ascii="Arial" w:cs="Arial" w:eastAsia="Arial" w:hAnsi="Arial"/>
          <w:sz w:val="18"/>
          <w:szCs w:val="18"/>
          <w:color w:val="auto"/>
        </w:rPr>
      </w:pPr>
    </w:p>
    <w:p>
      <w:pPr>
        <w:ind w:left="660" w:right="140" w:firstLine="645"/>
        <w:spacing w:after="0" w:line="342" w:lineRule="auto"/>
        <w:tabs>
          <w:tab w:leader="none" w:pos="196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Gross Asset Value of any item of Partnership assets distributed to any Partner shall be adjusted to equal the gross fair market value (taking Code Section 7701(g) into account) of such asset on the date of distribution as reasonably determined by the General Partner.</w:t>
      </w:r>
    </w:p>
    <w:p>
      <w:pPr>
        <w:spacing w:after="0" w:line="124"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If the Gross Asset Value of an asset has been determined or adjusted pursuant to subparagraph (b), such Gross Asset Value shall thereafter be adjusted by the Depreciation taken into account with respect to such asset, for purposes of computing Profits and Losses.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Holdings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w:t>
      </w:r>
      <w:r>
        <w:rPr>
          <w:rFonts w:ascii="Arial" w:cs="Arial" w:eastAsia="Arial" w:hAnsi="Arial"/>
          <w:sz w:val="18"/>
          <w:szCs w:val="18"/>
          <w:color w:val="auto"/>
        </w:rPr>
        <w:t>” means PAA GP Holdings LLC, a Delaware limited liability company and the general partner of PAGP.</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 Unit</w:t>
      </w:r>
      <w:r>
        <w:rPr>
          <w:rFonts w:ascii="Arial" w:cs="Arial" w:eastAsia="Arial" w:hAnsi="Arial"/>
          <w:sz w:val="18"/>
          <w:szCs w:val="18"/>
          <w:color w:val="auto"/>
        </w:rPr>
        <w:t>” means the Units representing a fractional part of the membership interest in Holdings GP, having the rights and obligations specified in the Holdings GP LLC Agreement.</w:t>
      </w:r>
    </w:p>
    <w:p>
      <w:pPr>
        <w:spacing w:after="0" w:line="1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Holdings GP LLC Agreement</w:t>
      </w:r>
      <w:r>
        <w:rPr>
          <w:rFonts w:ascii="Arial" w:cs="Arial" w:eastAsia="Arial" w:hAnsi="Arial"/>
          <w:sz w:val="17"/>
          <w:szCs w:val="17"/>
          <w:color w:val="auto"/>
        </w:rPr>
        <w:t>” means the Amended and Restated Limited Liability Company Agreement of Holdings GP, dated as of October 21, 2013, and as such may be further amended, modified, supplemented or restated from time to time in accordance with the terms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Holdings Group</w:t>
      </w:r>
      <w:r>
        <w:rPr>
          <w:rFonts w:ascii="Arial" w:cs="Arial" w:eastAsia="Arial" w:hAnsi="Arial"/>
          <w:sz w:val="17"/>
          <w:szCs w:val="17"/>
          <w:color w:val="auto"/>
        </w:rPr>
        <w:t>” means Holdings GP and its Subsidiaries treated as a single consolidated entity, but excluding the MLP and its Subsidiaries.</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means (a) the General Partner, (b) any Existing Owner, (c) any Qualifying Interest Holder, (d) any Person who is or was an Affiliate of the General Partner, any Existing Owner or any Qualifying Interest Holder, (e) any Person who is or was a managing member, manager, general partner, director, officer, fiduciary, agent or trustee of any Group Member, the General Partner, any Existing Owner or any Qualifying Interest Holder or any Affiliate of any Group Member, the General Partner, any Existing Owner or any Qualifying Interest Holder, (f) any Person who is or was serving at the request of the General Partner, any Existing Owner or any Qualifying Interest Holder or any Affiliate of the General Partner, any Existing Owner or any Qualifying Interest Holder as a member, manager, partner, director, officer, fiduciary, agent or trustee of another Person in furtherance of the 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the General Partner designates as an “Indemnitee” for purposes of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Grant Date Partnership Capital</w:t>
      </w:r>
      <w:r>
        <w:rPr>
          <w:rFonts w:ascii="Arial" w:cs="Arial" w:eastAsia="Arial" w:hAnsi="Arial"/>
          <w:sz w:val="18"/>
          <w:szCs w:val="18"/>
          <w:color w:val="auto"/>
        </w:rPr>
        <w:t xml:space="preserve">” means, with respect to the Class B Partners, the amount of $3,200,000,000, which amount is equal to the aggregate Capital Account balances of the Class A Partners. Initial Grant Date Partnership Capital shall be reduced by the amount of any Distribution Loan Proceeds distributed under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and then increased by the principal amount of any Distribution Loan assumed or paid by any entity that directly or indirectly owns the Class A Units.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Investments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initial offering and sale of the PAGP Class A Shares to the public.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w:t>
      </w:r>
      <w:r>
        <w:rPr>
          <w:rFonts w:ascii="Arial" w:cs="Arial" w:eastAsia="Arial" w:hAnsi="Arial"/>
          <w:sz w:val="18"/>
          <w:szCs w:val="18"/>
          <w:color w:val="auto"/>
        </w:rPr>
        <w:t xml:space="preserve">” means, unless the context otherwise requires, each Class A Partner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each holder of a Class B Unit and each additional Person that becomes a Class A Partner or a Class B Partner pursuant to the terms of this Agreement and that is shown as such on the books and records of the Partnership, in each case, in such Person’s capacity as a limited partner of the Partnership.</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Limited Partnership Interest</w:t>
      </w:r>
      <w:r>
        <w:rPr>
          <w:rFonts w:ascii="Arial" w:cs="Arial" w:eastAsia="Arial" w:hAnsi="Arial"/>
          <w:sz w:val="16"/>
          <w:szCs w:val="16"/>
          <w:color w:val="auto"/>
        </w:rPr>
        <w:t>” means the ownership interest of a Limited Partner in the Partnership, which may be evidenced by Class A Units, Class B Units or any other Partnership Security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Liquidating 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has the meaning set forth in the definition of “Profits” and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Group</w:t>
      </w:r>
      <w:r>
        <w:rPr>
          <w:rFonts w:ascii="Arial" w:cs="Arial" w:eastAsia="Arial" w:hAnsi="Arial"/>
          <w:sz w:val="18"/>
          <w:szCs w:val="18"/>
          <w:color w:val="auto"/>
        </w:rPr>
        <w:t>” means the MLP and its Subsidiaries.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Partnership Agreement</w:t>
      </w:r>
      <w:r>
        <w:rPr>
          <w:rFonts w:ascii="Arial" w:cs="Arial" w:eastAsia="Arial" w:hAnsi="Arial"/>
          <w:sz w:val="18"/>
          <w:szCs w:val="18"/>
          <w:color w:val="auto"/>
        </w:rPr>
        <w:t>” means the Fourth Amended and Restated Agreement of Limited Partnership of the MLP, dated as of May 17, 2012, as amended on October 1, 2012, and as such may be further amended, modified, supplemented or restated from time to time in accordance with the terms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Exchange Act or any successor to such statute.</w:t>
      </w:r>
    </w:p>
    <w:p>
      <w:pPr>
        <w:spacing w:after="0" w:line="24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Capital Transaction Proceeds</w:t>
      </w:r>
      <w:r>
        <w:rPr>
          <w:rFonts w:ascii="Arial" w:cs="Arial" w:eastAsia="Arial" w:hAnsi="Arial"/>
          <w:sz w:val="18"/>
          <w:szCs w:val="18"/>
          <w:color w:val="auto"/>
        </w:rPr>
        <w:t>” means the cash, notes, equity interests and any other consideration derived from the sale or other disposition of all or a portion of the Partnership’s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Non-Purchasing Partner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Non-Qualifying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65" w:name="page66"/>
    <w:bookmarkEnd w:id="6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Non-Selling Partner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means a writing, containing the information required by this Agreement to be communicated to a party, and shall be deemed to have been received (a) when personally delivered or sent by telecopy, (b) one day following delivery by overnight delivery courier, with all delivery charges pre-paid, or</w:t>
      </w:r>
    </w:p>
    <w:p>
      <w:pPr>
        <w:ind w:firstLine="8"/>
        <w:spacing w:after="0" w:line="261" w:lineRule="auto"/>
        <w:tabs>
          <w:tab w:leader="none" w:pos="24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on the third Business Day following the date on which it was sent by United States mail, postage prepaid, to such party at the address or fax number, as the case may be, of such party as shown on the records of the Partnership.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Optioned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w:t>
      </w:r>
      <w:r>
        <w:rPr>
          <w:rFonts w:ascii="Arial" w:cs="Arial" w:eastAsia="Arial" w:hAnsi="Arial"/>
          <w:sz w:val="18"/>
          <w:szCs w:val="18"/>
          <w:color w:val="auto"/>
        </w:rPr>
        <w:t>” shall mean PAA GP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the Class A shares representing limited partnership interests in PAGP, having the rights and obligations specified in the PAGP LP Agreement.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B Shares</w:t>
      </w:r>
      <w:r>
        <w:rPr>
          <w:rFonts w:ascii="Arial" w:cs="Arial" w:eastAsia="Arial" w:hAnsi="Arial"/>
          <w:sz w:val="18"/>
          <w:szCs w:val="18"/>
          <w:color w:val="auto"/>
        </w:rPr>
        <w:t>” means the Class B shares representing limited partnership interests in PAGP, having the rights and obligations specified in the PAGP LP Agreement.</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LP Agreement</w:t>
      </w:r>
      <w:r>
        <w:rPr>
          <w:rFonts w:ascii="Arial" w:cs="Arial" w:eastAsia="Arial" w:hAnsi="Arial"/>
          <w:sz w:val="18"/>
          <w:szCs w:val="18"/>
          <w:color w:val="auto"/>
        </w:rPr>
        <w:t>” means the Amended and Restated Agreement of Limited Partnership of PAGP, dated as of October 21, 2013, and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w:t>
      </w:r>
      <w:r>
        <w:rPr>
          <w:rFonts w:ascii="Arial" w:cs="Arial" w:eastAsia="Arial" w:hAnsi="Arial"/>
          <w:sz w:val="16"/>
          <w:szCs w:val="16"/>
          <w:color w:val="auto"/>
        </w:rPr>
        <w:t>” means the General Partner or any of the Limited Partners, and “</w:t>
      </w:r>
      <w:r>
        <w:rPr>
          <w:rFonts w:ascii="Arial" w:cs="Arial" w:eastAsia="Arial" w:hAnsi="Arial"/>
          <w:sz w:val="16"/>
          <w:szCs w:val="16"/>
          <w:b w:val="1"/>
          <w:bCs w:val="1"/>
          <w:i w:val="1"/>
          <w:iCs w:val="1"/>
          <w:color w:val="auto"/>
        </w:rPr>
        <w:t>Partners</w:t>
      </w:r>
      <w:r>
        <w:rPr>
          <w:rFonts w:ascii="Arial" w:cs="Arial" w:eastAsia="Arial" w:hAnsi="Arial"/>
          <w:sz w:val="16"/>
          <w:szCs w:val="16"/>
          <w:color w:val="auto"/>
        </w:rPr>
        <w:t>” means the General Partner and all of the Limited Partners.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shall have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Group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Interest</w:t>
      </w:r>
      <w:r>
        <w:rPr>
          <w:rFonts w:ascii="Arial" w:cs="Arial" w:eastAsia="Arial" w:hAnsi="Arial"/>
          <w:sz w:val="18"/>
          <w:szCs w:val="18"/>
          <w:color w:val="auto"/>
        </w:rPr>
        <w:t>” means a Limited Partnership Interest or a General Partnership Interest, which refers to all of a Partner’s rights and interests in the Partnership in such Partner’s capacity as a Partner,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Security</w:t>
      </w:r>
      <w:r>
        <w:rPr>
          <w:rFonts w:ascii="Arial" w:cs="Arial" w:eastAsia="Arial" w:hAnsi="Arial"/>
          <w:sz w:val="18"/>
          <w:szCs w:val="18"/>
          <w:color w:val="auto"/>
        </w:rPr>
        <w:t>” means any class or series of equity interest in the Partnership (but excluding any options, rights, warrants and appreciation rights relating to an equity interest in the Partnership), including without limitation, Class A Units and Class B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w:t>
      </w:r>
    </w:p>
    <w:p>
      <w:pPr>
        <w:spacing w:after="0" w:line="225" w:lineRule="exact"/>
        <w:rPr>
          <w:sz w:val="20"/>
          <w:szCs w:val="20"/>
          <w:color w:val="auto"/>
        </w:rPr>
      </w:pPr>
    </w:p>
    <w:p>
      <w:pPr>
        <w:ind w:left="660" w:right="20" w:firstLine="645"/>
        <w:spacing w:after="0" w:line="297" w:lineRule="auto"/>
        <w:tabs>
          <w:tab w:leader="none" w:pos="195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Arial" w:cs="Arial" w:eastAsia="Arial" w:hAnsi="Arial"/>
          <w:sz w:val="16"/>
          <w:szCs w:val="16"/>
          <w:i w:val="1"/>
          <w:iCs w:val="1"/>
          <w:color w:val="auto"/>
        </w:rPr>
        <w:t>provided</w:t>
      </w:r>
      <w:r>
        <w:rPr>
          <w:rFonts w:ascii="Arial" w:cs="Arial" w:eastAsia="Arial" w:hAnsi="Arial"/>
          <w:sz w:val="16"/>
          <w:szCs w:val="16"/>
          <w:color w:val="auto"/>
        </w:rPr>
        <w:t>, that in any of clauses (i), (ii) or (iii), the Partner transferring such Partnership Group Interest retains exclusive power to exercise all rights under this Agreement;</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Transfer of a Partnership Group Interest by any Partner to the Partnership;</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96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a Transfer by a Partner to any Affiliate of such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transfer shall be a Permitted Transfer only so long as such Partnership Group Interest or is held by such Affiliate or is otherwise transferred in another Permitted Transfer;</w:t>
      </w:r>
    </w:p>
    <w:p>
      <w:pPr>
        <w:spacing w:after="0" w:line="181" w:lineRule="exact"/>
        <w:rPr>
          <w:rFonts w:ascii="Arial" w:cs="Arial" w:eastAsia="Arial" w:hAnsi="Arial"/>
          <w:sz w:val="18"/>
          <w:szCs w:val="18"/>
          <w:color w:val="auto"/>
        </w:rPr>
      </w:pPr>
    </w:p>
    <w:p>
      <w:pPr>
        <w:ind w:left="660" w:right="280" w:firstLine="645"/>
        <w:spacing w:after="0" w:line="277" w:lineRule="auto"/>
        <w:tabs>
          <w:tab w:leader="none" w:pos="19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 respect to Class B Units, a Transfer permitted under the applicable Class B Restricted Unit Agreement and any Transfer of Vested Units in accordance with applicable securities laws;</w:t>
      </w:r>
    </w:p>
    <w:p>
      <w:pPr>
        <w:spacing w:after="0" w:line="170" w:lineRule="exact"/>
        <w:rPr>
          <w:rFonts w:ascii="Arial" w:cs="Arial" w:eastAsia="Arial" w:hAnsi="Arial"/>
          <w:sz w:val="18"/>
          <w:szCs w:val="18"/>
          <w:color w:val="auto"/>
        </w:rPr>
      </w:pPr>
    </w:p>
    <w:p>
      <w:pPr>
        <w:jc w:val="both"/>
        <w:ind w:left="660" w:right="40" w:firstLine="645"/>
        <w:spacing w:after="0" w:line="264" w:lineRule="auto"/>
        <w:tabs>
          <w:tab w:leader="none" w:pos="196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a Transfer by either of EMG or Kayne Anderson to one of its members or partners,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transferee agrees as a condition to such Transfer to effect, and actually effects, a substantially concurrent Exchange of such Partnership Group Interest;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 Transfer in accordance with the provisions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Permitted Transfer shall be effective unless and until the transferee of the Partnership Group Interest or Class B Units so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complies with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Except in the case of a Permitted Transfer pursuant to clause (a) and (b) above, and subject to compliance with Section 7.3, a Permitted Transferee of the Partnership Group Interest or Class B Units subject to a Permitted Transfer shall become a substitute Limited Partner as described in </w:t>
      </w:r>
      <w:r>
        <w:rPr>
          <w:rFonts w:ascii="Arial" w:cs="Arial" w:eastAsia="Arial" w:hAnsi="Arial"/>
          <w:sz w:val="16"/>
          <w:szCs w:val="16"/>
          <w:u w:val="single" w:color="auto"/>
          <w:color w:val="auto"/>
        </w:rPr>
        <w:t>Section 7.4</w:t>
      </w:r>
      <w:r>
        <w:rPr>
          <w:rFonts w:ascii="Arial" w:cs="Arial" w:eastAsia="Arial" w:hAnsi="Arial"/>
          <w:sz w:val="16"/>
          <w:szCs w:val="16"/>
          <w:color w:val="auto"/>
        </w:rPr>
        <w:t>. No Permitted Transfer shall conflict with or result in any violation of any judgment, order, decree, statute, law, ordinance,</w:t>
      </w:r>
    </w:p>
    <w:p>
      <w:pPr>
        <w:sectPr>
          <w:pgSz w:w="11900" w:h="16838" w:orient="portrait"/>
          <w:cols w:equalWidth="0" w:num="1">
            <w:col w:w="11420"/>
          </w:cols>
          <w:pgMar w:left="240" w:top="584" w:right="239" w:bottom="0" w:gutter="0" w:footer="0" w:header="0"/>
        </w:sectPr>
      </w:pPr>
    </w:p>
    <w:bookmarkStart w:id="66" w:name="page67"/>
    <w:bookmarkEnd w:id="66"/>
    <w:p>
      <w:pPr>
        <w:ind w:right="240"/>
        <w:spacing w:after="0" w:line="308" w:lineRule="auto"/>
        <w:rPr>
          <w:sz w:val="20"/>
          <w:szCs w:val="20"/>
          <w:color w:val="auto"/>
        </w:rPr>
      </w:pPr>
      <w:r>
        <w:rPr>
          <w:rFonts w:ascii="Arial" w:cs="Arial" w:eastAsia="Arial" w:hAnsi="Arial"/>
          <w:sz w:val="17"/>
          <w:szCs w:val="17"/>
          <w:color w:val="auto"/>
        </w:rPr>
        <w:t>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means any Person who shall have acquired a Partnership Group Interest or Class B Units pursuant to a Permitted Transfer.</w:t>
      </w:r>
    </w:p>
    <w:p>
      <w:pPr>
        <w:spacing w:after="0" w:line="2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AAP Credit Facility</w:t>
      </w:r>
      <w:r>
        <w:rPr>
          <w:rFonts w:ascii="Arial" w:cs="Arial" w:eastAsia="Arial" w:hAnsi="Arial"/>
          <w:sz w:val="18"/>
          <w:szCs w:val="18"/>
          <w:color w:val="auto"/>
        </w:rPr>
        <w:t>” means the Second Amended and Restated Credit Agreement, dated as of September 26, 2013, among AAP, the Lenders (as defined therein) and Citibank, N.A., as Administrative Agent (as defined therein) , as such may be further amended, modified, supplemented or restated from time to time in accordance with the terms thereof.</w:t>
      </w:r>
    </w:p>
    <w:p>
      <w:pPr>
        <w:spacing w:after="0" w:line="18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Profits</w:t>
      </w:r>
      <w:r>
        <w:rPr>
          <w:rFonts w:ascii="Arial" w:cs="Arial" w:eastAsia="Arial" w:hAnsi="Arial"/>
          <w:sz w:val="17"/>
          <w:szCs w:val="17"/>
          <w:color w:val="auto"/>
        </w:rPr>
        <w:t>” and “</w:t>
      </w:r>
      <w:r>
        <w:rPr>
          <w:rFonts w:ascii="Arial" w:cs="Arial" w:eastAsia="Arial" w:hAnsi="Arial"/>
          <w:sz w:val="17"/>
          <w:szCs w:val="17"/>
          <w:b w:val="1"/>
          <w:bCs w:val="1"/>
          <w:i w:val="1"/>
          <w:iCs w:val="1"/>
          <w:color w:val="auto"/>
        </w:rPr>
        <w:t>Losses</w:t>
      </w:r>
      <w:r>
        <w:rPr>
          <w:rFonts w:ascii="Arial" w:cs="Arial" w:eastAsia="Arial" w:hAnsi="Arial"/>
          <w:sz w:val="17"/>
          <w:szCs w:val="17"/>
          <w:color w:val="auto"/>
        </w:rPr>
        <w:t>” means, for each Taxable Year, an amount equal to the Partnership’s net taxable income or loss for a taxable year, determined in accordance with Section 703(a) of the Code (for this purpose, all items of income, gain, loss or deduction required to be stated separately pursuant to Section 703(a)(1) of the Code shall be included in computing such taxable income or loss), with the following adjustments:</w:t>
      </w:r>
    </w:p>
    <w:p>
      <w:pPr>
        <w:spacing w:after="0" w:line="166" w:lineRule="exact"/>
        <w:rPr>
          <w:sz w:val="20"/>
          <w:szCs w:val="20"/>
          <w:color w:val="auto"/>
        </w:rPr>
      </w:pPr>
    </w:p>
    <w:p>
      <w:pPr>
        <w:ind w:left="660" w:firstLine="645"/>
        <w:spacing w:after="0" w:line="277" w:lineRule="auto"/>
        <w:tabs>
          <w:tab w:leader="none" w:pos="195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income of the Partnership that is exempt from federal income tax and not otherwise taken into account in computing Profits or Losses shall be added to such taxable income or loss;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Any expenditures of the Partnership described in Section 705(a)(2)(B) of the Code or treated as Code Section 705(a)(2)</w:t>
      </w:r>
    </w:p>
    <w:p>
      <w:pPr>
        <w:spacing w:after="0" w:line="34" w:lineRule="exact"/>
        <w:rPr>
          <w:rFonts w:ascii="Arial" w:cs="Arial" w:eastAsia="Arial" w:hAnsi="Arial"/>
          <w:sz w:val="17"/>
          <w:szCs w:val="17"/>
          <w:color w:val="auto"/>
        </w:rPr>
      </w:pPr>
    </w:p>
    <w:p>
      <w:pPr>
        <w:ind w:left="660" w:right="180" w:hanging="4"/>
        <w:spacing w:after="0" w:line="261" w:lineRule="auto"/>
        <w:tabs>
          <w:tab w:leader="none" w:pos="94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expenditures pursuant to Regulation Section 1.704-1(b)(2)(iv)(i), and not otherwise taken into account in computing Profits or Losses, shall be subtracted from such taxable income or loss;</w:t>
      </w:r>
    </w:p>
    <w:p>
      <w:pPr>
        <w:spacing w:after="0" w:line="183" w:lineRule="exact"/>
        <w:rPr>
          <w:rFonts w:ascii="Arial" w:cs="Arial" w:eastAsia="Arial" w:hAnsi="Arial"/>
          <w:sz w:val="18"/>
          <w:szCs w:val="18"/>
          <w:color w:val="auto"/>
        </w:rPr>
      </w:pPr>
    </w:p>
    <w:p>
      <w:pPr>
        <w:ind w:left="660" w:right="100" w:firstLine="645"/>
        <w:spacing w:after="0" w:line="259" w:lineRule="auto"/>
        <w:tabs>
          <w:tab w:leader="none" w:pos="196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event the Gross Asset Value of any Partnership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spacing w:after="0" w:line="186" w:lineRule="exact"/>
        <w:rPr>
          <w:rFonts w:ascii="Arial" w:cs="Arial" w:eastAsia="Arial" w:hAnsi="Arial"/>
          <w:sz w:val="18"/>
          <w:szCs w:val="18"/>
          <w:color w:val="auto"/>
        </w:rPr>
      </w:pPr>
    </w:p>
    <w:p>
      <w:pPr>
        <w:ind w:left="660" w:right="280" w:firstLine="645"/>
        <w:spacing w:after="0" w:line="264" w:lineRule="auto"/>
        <w:tabs>
          <w:tab w:leader="none" w:pos="196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81" w:lineRule="exact"/>
        <w:rPr>
          <w:rFonts w:ascii="Arial" w:cs="Arial" w:eastAsia="Arial" w:hAnsi="Arial"/>
          <w:sz w:val="18"/>
          <w:szCs w:val="18"/>
          <w:color w:val="auto"/>
        </w:rPr>
      </w:pPr>
    </w:p>
    <w:p>
      <w:pPr>
        <w:ind w:left="660" w:right="100" w:firstLine="645"/>
        <w:spacing w:after="0" w:line="342" w:lineRule="auto"/>
        <w:tabs>
          <w:tab w:leader="none" w:pos="196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In lieu of the depreciation, amortization, and other cost recovery deductions taken into account in computing such taxable income or loss, there shall be taken into account Depreciation for such Taxable Year, computed in accordance with the definition of Depreciation;</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extent an adjustment to the adjusted tax basis of any Partnership asset pursuant to Code Section 734(b) or Code</w:t>
      </w:r>
    </w:p>
    <w:p>
      <w:pPr>
        <w:spacing w:after="0" w:line="35" w:lineRule="exact"/>
        <w:rPr>
          <w:sz w:val="20"/>
          <w:szCs w:val="20"/>
          <w:color w:val="auto"/>
        </w:rPr>
      </w:pPr>
    </w:p>
    <w:p>
      <w:pPr>
        <w:ind w:left="660" w:right="60"/>
        <w:spacing w:after="0" w:line="254" w:lineRule="auto"/>
        <w:rPr>
          <w:sz w:val="20"/>
          <w:szCs w:val="20"/>
          <w:color w:val="auto"/>
        </w:rPr>
      </w:pPr>
      <w:r>
        <w:rPr>
          <w:rFonts w:ascii="Arial" w:cs="Arial" w:eastAsia="Arial" w:hAnsi="Arial"/>
          <w:sz w:val="18"/>
          <w:szCs w:val="18"/>
          <w:color w:val="auto"/>
        </w:rPr>
        <w:t>Section 743(b) is required, pursuant to Regulation Sections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such basis) from the disposition of such asset and shall be taken into account for purposes of computing Profits or Losses; and</w:t>
      </w:r>
    </w:p>
    <w:p>
      <w:pPr>
        <w:spacing w:after="0" w:line="190" w:lineRule="exact"/>
        <w:rPr>
          <w:sz w:val="20"/>
          <w:szCs w:val="20"/>
          <w:color w:val="auto"/>
        </w:rPr>
      </w:pPr>
    </w:p>
    <w:p>
      <w:pPr>
        <w:ind w:left="5620" w:right="2540" w:hanging="4315"/>
        <w:spacing w:after="0" w:line="528" w:lineRule="auto"/>
        <w:tabs>
          <w:tab w:leader="none" w:pos="196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Profits and Losses shall not include any items specially allocated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Partnership may own or otherwise have an interest in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Pubco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7.9(h)</w:t>
      </w:r>
      <w:r>
        <w:rPr>
          <w:rFonts w:ascii="Arial" w:cs="Arial" w:eastAsia="Arial" w:hAnsi="Arial"/>
          <w:sz w:val="18"/>
          <w:szCs w:val="18"/>
          <w:color w:val="auto"/>
        </w:rPr>
        <w:t>.</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 (as such term is defined in the Holdings GP LLC Agreement).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the date established by Holdings GP for determining the identity of holders of PAGP Class A Shares entitled to receive any cash distribution made in accordance with the PAGP LP Agreement.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 by PAGP with the United States Securities and Exchange Commission under the Securities Act of 1933, as amended, to register the offering and sale of the Class A Shares in the Initial Offering.</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Regulations</w:t>
      </w:r>
      <w:r>
        <w:rPr>
          <w:rFonts w:ascii="Arial" w:cs="Arial" w:eastAsia="Arial" w:hAnsi="Arial"/>
          <w:sz w:val="18"/>
          <w:szCs w:val="18"/>
          <w:color w:val="auto"/>
        </w:rPr>
        <w:t>” means the regulations, including temporary regulations, promulgated by the United States Department of Treasury with respect to the Code, as such regulations are amended from time to time, or corresponding provisions of future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Allocations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Revocation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Partner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Sixth A&amp;R Limited Partnership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Grant Date</w:t>
      </w:r>
      <w:r>
        <w:rPr>
          <w:rFonts w:ascii="Arial" w:cs="Arial" w:eastAsia="Arial" w:hAnsi="Arial"/>
          <w:sz w:val="18"/>
          <w:szCs w:val="18"/>
          <w:color w:val="auto"/>
        </w:rPr>
        <w:t>” means any date on which any Class B Units are granted following the date of the initial grant of Class B Units (as set forth in the books and records of the Partnership).</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Subsequent Grant Date Partnership Capital</w:t>
      </w:r>
      <w:r>
        <w:rPr>
          <w:rFonts w:ascii="Arial" w:cs="Arial" w:eastAsia="Arial" w:hAnsi="Arial"/>
          <w:sz w:val="16"/>
          <w:szCs w:val="16"/>
          <w:color w:val="auto"/>
        </w:rPr>
        <w:t xml:space="preserve">” means, with respect to any Subsequent Grant Date, an amount equal to the aggregate Capital Account balances as of such date of the Class A Partners and the Class B Partners, which amount shall be determined by the General Partner in good faith and reflected on a schedule maintained by the General Partner. Each Subsequent Grant Date Partnership Capital shall be reduced by the amount of any Distribution Loan Proceeds distributed under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after the date of the such Subsequent Grant Date and increased by the principal amount of any Distribution Loan assumed or paid by any entity that directly or indirectly owns the Class A Units after the date of such Subsequent Grant Date.</w:t>
      </w:r>
    </w:p>
    <w:p>
      <w:pPr>
        <w:spacing w:after="0" w:line="15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 Person, any corporation, partnership, association or other business entity of which (i) if a corporation, a majority of the total voting power of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with respect to the Partnership, each of PAA GP and the MLP, and each of their respective Subsidiaries, shall be a Subsidiary of the Partnership.</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Taxable Year</w:t>
      </w:r>
      <w:r>
        <w:rPr>
          <w:rFonts w:ascii="Arial" w:cs="Arial" w:eastAsia="Arial" w:hAnsi="Arial"/>
          <w:sz w:val="18"/>
          <w:szCs w:val="18"/>
          <w:color w:val="auto"/>
        </w:rPr>
        <w:t>” shall mean the calendar year.</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Transferred</w:t>
      </w:r>
      <w:r>
        <w:rPr>
          <w:rFonts w:ascii="Arial" w:cs="Arial" w:eastAsia="Arial" w:hAnsi="Arial"/>
          <w:sz w:val="16"/>
          <w:szCs w:val="16"/>
          <w:color w:val="auto"/>
        </w:rPr>
        <w:t>” means to give, sell, exchange, assign, transfer, pledge, mortgage, hypothecate, bequeath, devise or otherwise dispose of or subject to any Encumbrance, voluntarily or involuntarily, by operation of law or otherwise. When referring to Partnership Group Interests or Class B Units,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the Transfer of such Partnership Group Interests or Class B Units whether of record, beneficially, by participation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Trigger Date</w:t>
      </w:r>
      <w:r>
        <w:rPr>
          <w:rFonts w:ascii="Arial" w:cs="Arial" w:eastAsia="Arial" w:hAnsi="Arial"/>
          <w:sz w:val="18"/>
          <w:szCs w:val="18"/>
          <w:color w:val="auto"/>
        </w:rPr>
        <w:t>” shall have the meaning given such term in the Holdings GP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Unapplied Cumulative Carryover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Unit</w:t>
      </w:r>
      <w:r>
        <w:rPr>
          <w:rFonts w:ascii="Arial" w:cs="Arial" w:eastAsia="Arial" w:hAnsi="Arial"/>
          <w:sz w:val="18"/>
          <w:szCs w:val="18"/>
          <w:color w:val="auto"/>
        </w:rPr>
        <w:t>” means a Class B Unit that constitutes a “Vested Unit” under the Class B Restricted Unit Agreement pursuant to which such Class B Unit was issued.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Formation of Limited Partnership</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General Partner has previously formed the Partnership as a limited partnership pursuant to the provisions of the Act and the parties hereto hereby agree to amend and restate the Sixth A&amp;R Limited Partnership Agreement in its entirety. The parties hereto acknowledge that they intend that the Partnership be taxed as a partnership and not as an association taxable as a corporation for federal income tax purposes. No election may be made to treat the Partnership as other than a partnership for federal income tax purposes.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Name of Partnership</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name of the Partnership is Plains AAP, L.P. or such other name as the General Partner may hereafter adopt from time to time. The General Partner shall execute and file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proper offices such certificates as may be required by any assumed name act or similar law in effect in the jurisdictions in which the Partnership may elect to conduct business.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Principal Office; Registered Office</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principal office address of the Partnership is located at 333 Clay Street, Suite 1600, Houston, Texas 77002, or such other place as the General Partner designates from time to time. The registered office address and the name of the registered agent of the Partnership for service of process on the Partnership in the State of Delaware is as stated in the Certificate or as designated from time to time by the General Partner.</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Term of Partnership</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The term of the Partnership commenced on May 21, 2001 and shall continue until dissolved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The legal existence of the Partnership as a separate legal entity continues until the cancellation of the Certificate.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Purpose of Partnership</w:t>
      </w:r>
    </w:p>
    <w:p>
      <w:pPr>
        <w:sectPr>
          <w:pgSz w:w="11900" w:h="16838" w:orient="portrait"/>
          <w:cols w:equalWidth="0" w:num="1">
            <w:col w:w="11400"/>
          </w:cols>
          <w:pgMar w:left="240" w:top="125" w:right="259" w:bottom="0" w:gutter="0" w:footer="0" w:header="0"/>
        </w:sectPr>
      </w:pPr>
    </w:p>
    <w:bookmarkStart w:id="68" w:name="page69"/>
    <w:bookmarkEnd w:id="68"/>
    <w:p>
      <w:pPr>
        <w:spacing w:after="0" w:line="1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Partnership is formed for the object and purpose of, and the nature of the business to be conducted and promoted by the Partnership is (a) acting as the sole member of the limited liability company that acts as the general partner of the MLP pursuant to the MLP Agreement, (b) holding partnership interests and the incentive distribution rights in the MLP, (c) engaging directly or indirectly in any business activity that is approved by the General Partner and that lawfully may be conducted by a limited partnership organized pursuant to the Act and (d) engaging in any and all activities necessary or incidental to the foregoing.</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color w:val="auto"/>
        </w:rPr>
        <w:t>Actions by Partnership</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Partnership may execute, deliver and perform all contracts, agreements and other undertakings and engage in all activities and transactions as may in the opinion of the General Partner be necessary or advisable to carry out its objects.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Reliance by Third Parties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Persons dealing with the Partnership are entitled to rely conclusively upon the power and authority of the General Partner as herein set forth.</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Capital Contributions</w:t>
      </w:r>
    </w:p>
    <w:p>
      <w:pPr>
        <w:spacing w:after="0" w:line="229" w:lineRule="exact"/>
        <w:rPr>
          <w:sz w:val="20"/>
          <w:szCs w:val="20"/>
          <w:color w:val="auto"/>
        </w:rPr>
      </w:pPr>
    </w:p>
    <w:p>
      <w:pPr>
        <w:ind w:right="80" w:firstLine="656"/>
        <w:spacing w:after="0" w:line="264" w:lineRule="auto"/>
        <w:tabs>
          <w:tab w:leader="none" w:pos="129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As of the date hereof, there are 606,029,773 Class A Units outstanding and 48,642,833 Class B Units outstanding.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sets forth the ownership of outstanding Class A Units and Class B Units, and may be amended from time to time by the Partnership to reflect the issuance of additional Class A Units or Class B Units.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59" w:lineRule="auto"/>
        <w:tabs>
          <w:tab w:leader="none" w:pos="130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If requested and to the extent not funded with borrowings under the Plains AAP Credit Facility or otherwise, each Limited Partner agrees to make Capital Contributions in proportion to such Limited Partner’s Contribution Percentage to fund the Partnership’s capital contribution necessary to maintain its indirect ownership of a 2.0% general partner interest in the MLP upon issuances of equity by the MLP pursuant to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of the MLP Partnership Agreement.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Additional Capital Contributions</w:t>
      </w:r>
    </w:p>
    <w:p>
      <w:pPr>
        <w:spacing w:after="0" w:line="229"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No Partner shall be required to make any additional Capital Contribution other than as required under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64" w:lineRule="auto"/>
        <w:tabs>
          <w:tab w:leader="none" w:pos="13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Subject to the restrictions contained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Class B Restricted Unit Agreement, the Partnership may issue additional Partnership Interests to any Person with the approval of the General Partner. The names, addresses and Capital Contributions of the Partners shall be reflected in the books and records of the Partnership.</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color w:val="auto"/>
        </w:rPr>
        <w:t>Loans</w:t>
      </w:r>
    </w:p>
    <w:p>
      <w:pPr>
        <w:spacing w:after="0" w:line="229" w:lineRule="exact"/>
        <w:rPr>
          <w:sz w:val="20"/>
          <w:szCs w:val="20"/>
          <w:color w:val="auto"/>
        </w:rPr>
      </w:pPr>
    </w:p>
    <w:p>
      <w:pPr>
        <w:ind w:right="120" w:firstLine="656"/>
        <w:spacing w:after="0" w:line="264" w:lineRule="auto"/>
        <w:tabs>
          <w:tab w:leader="none" w:pos="129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Partner shall be obligated to loan funds to the Partnership. Loans by a Partner to the Partnership shall not be considered Capital Contributions. The amount of any such loan shall be a debt of the Partnership owed to such Partner in accordance with the terms and conditions upon which such loan is made.</w:t>
      </w:r>
    </w:p>
    <w:p>
      <w:pPr>
        <w:spacing w:after="0" w:line="181" w:lineRule="exact"/>
        <w:rPr>
          <w:rFonts w:ascii="Arial" w:cs="Arial" w:eastAsia="Arial" w:hAnsi="Arial"/>
          <w:sz w:val="18"/>
          <w:szCs w:val="18"/>
          <w:color w:val="auto"/>
        </w:rPr>
      </w:pPr>
    </w:p>
    <w:p>
      <w:pPr>
        <w:ind w:right="220" w:firstLine="656"/>
        <w:spacing w:after="0" w:line="264" w:lineRule="auto"/>
        <w:tabs>
          <w:tab w:leader="none" w:pos="130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Partner may (but shall not be obligated to) guarantee a loan made to the Partnership. If a Partner guarantees a loan made to the Partnership and is required to make payment pursuant to such guarantee to the maker of the loan, then the amounts so paid to the maker of the loan shall be treated as a loan by such Partner to the Partnership and not as an additional Capital Contribution.</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Maintenance of Capital Accounts</w:t>
      </w:r>
    </w:p>
    <w:p>
      <w:pPr>
        <w:spacing w:after="0" w:line="229" w:lineRule="exact"/>
        <w:rPr>
          <w:sz w:val="20"/>
          <w:szCs w:val="20"/>
          <w:color w:val="auto"/>
        </w:rPr>
      </w:pPr>
    </w:p>
    <w:p>
      <w:pPr>
        <w:ind w:right="180" w:firstLine="656"/>
        <w:spacing w:after="0" w:line="277" w:lineRule="auto"/>
        <w:tabs>
          <w:tab w:leader="none" w:pos="129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Partnership shall maintain for each Partner a separate Capital Account with respect to the Limited Partnership Interest owned by such Partner in accordance with the following provisions:</w:t>
      </w:r>
    </w:p>
    <w:p>
      <w:pPr>
        <w:spacing w:after="0" w:line="170" w:lineRule="exact"/>
        <w:rPr>
          <w:rFonts w:ascii="Arial" w:cs="Arial" w:eastAsia="Arial" w:hAnsi="Arial"/>
          <w:sz w:val="18"/>
          <w:szCs w:val="18"/>
          <w:color w:val="auto"/>
        </w:rPr>
      </w:pPr>
    </w:p>
    <w:p>
      <w:pPr>
        <w:ind w:left="660" w:right="40" w:firstLine="645"/>
        <w:spacing w:after="0" w:line="255" w:lineRule="auto"/>
        <w:tabs>
          <w:tab w:leader="none" w:pos="197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To each Partner’s Capital Account there shall be credited (A) such Partner’s Capital Contributions, (B) such Partner’s share of Profits and items of income and gain allocated to such Partner pursuant to </w:t>
      </w:r>
      <w:r>
        <w:rPr>
          <w:rFonts w:ascii="Arial" w:cs="Arial" w:eastAsia="Arial" w:hAnsi="Arial"/>
          <w:sz w:val="18"/>
          <w:szCs w:val="18"/>
          <w:u w:val="single" w:color="auto"/>
          <w:color w:val="auto"/>
        </w:rPr>
        <w:t>Sections 5.3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and (C) the amount of any Partnership liabilities assumed by such Partner or which are secured by any Property distributed to such Partner. The principal amount of a promissory note which is not readily traded on an established securities market and which is contributed to the Partnership by the maker of the note (or a Partner related to the maker of the note within the meaning of Regulation Section 1.704-1(b)(2)(ii)(c)) shall not be included in the Capital Account of any Partner until the Partnership makes a taxable disposition of the note or until (and only to the extent) principal payments are made on the note, all in accordance with Regulation Section 1.704-1(b)(2)(iv)(d)(2);</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firstLine="645"/>
        <w:spacing w:after="0" w:line="257" w:lineRule="auto"/>
        <w:tabs>
          <w:tab w:leader="none" w:pos="19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To each Partner’s Capital Account there shall be debited (A) the amount of money and the Gross Asset Value of any Property distributed or treated as an advance distribution to such Partner pursuant to any provision of this Agreement (including without limitation any distributions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(B) such Partner’s share of Losses and items of loss and deduction allocated to such Partner pursuant to </w:t>
      </w:r>
      <w:r>
        <w:rPr>
          <w:rFonts w:ascii="Arial" w:cs="Arial" w:eastAsia="Arial" w:hAnsi="Arial"/>
          <w:sz w:val="18"/>
          <w:szCs w:val="18"/>
          <w:u w:val="single" w:color="auto"/>
          <w:color w:val="auto"/>
        </w:rPr>
        <w:t>Section 5.4</w:t>
      </w:r>
      <w:r>
        <w:rPr>
          <w:rFonts w:ascii="Arial" w:cs="Arial" w:eastAsia="Arial" w:hAnsi="Arial"/>
          <w:sz w:val="18"/>
          <w:szCs w:val="18"/>
          <w:color w:val="auto"/>
        </w:rPr>
        <w:t>, and (C) the amount of any liabilities of such Partner assumed by the Partnership or which are secured by any Property contributed by such Partner to the Partnership;</w:t>
      </w:r>
    </w:p>
    <w:p>
      <w:pPr>
        <w:spacing w:after="0" w:line="188" w:lineRule="exact"/>
        <w:rPr>
          <w:rFonts w:ascii="Arial" w:cs="Arial" w:eastAsia="Arial" w:hAnsi="Arial"/>
          <w:sz w:val="18"/>
          <w:szCs w:val="18"/>
          <w:color w:val="auto"/>
        </w:rPr>
      </w:pPr>
    </w:p>
    <w:p>
      <w:pPr>
        <w:ind w:left="660" w:right="200" w:firstLine="645"/>
        <w:spacing w:after="0" w:line="308" w:lineRule="auto"/>
        <w:tabs>
          <w:tab w:leader="none" w:pos="199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the event Partnership Interests are Transferred in accordance with the terms of this Agreement, the transferee shall succeed to the Capital Account of the transferor to the extent such Capital Account relates to the Transferred Partnership Interests; and</w:t>
      </w:r>
    </w:p>
    <w:p>
      <w:pPr>
        <w:sectPr>
          <w:pgSz w:w="11900" w:h="16953" w:orient="portrait"/>
          <w:cols w:equalWidth="0" w:num="1">
            <w:col w:w="11420"/>
          </w:cols>
          <w:pgMar w:left="240" w:top="125" w:right="239" w:bottom="0" w:gutter="0" w:footer="0" w:header="0"/>
        </w:sectPr>
      </w:pPr>
    </w:p>
    <w:bookmarkStart w:id="69" w:name="page70"/>
    <w:bookmarkEnd w:id="69"/>
    <w:p>
      <w:pPr>
        <w:ind w:left="660" w:right="640" w:firstLine="645"/>
        <w:spacing w:after="0" w:line="277" w:lineRule="auto"/>
        <w:tabs>
          <w:tab w:leader="none" w:pos="197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In determining the amount of any liability for purposes of </w:t>
      </w:r>
      <w:r>
        <w:rPr>
          <w:rFonts w:ascii="Arial" w:cs="Arial" w:eastAsia="Arial" w:hAnsi="Arial"/>
          <w:sz w:val="18"/>
          <w:szCs w:val="18"/>
          <w:u w:val="single" w:color="auto"/>
          <w:color w:val="auto"/>
        </w:rPr>
        <w:t>Sections 3.4(a)(i)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there shall be taken into account Code Section 752(c) and any other applicable provisions of the Code and Regulations.</w:t>
      </w:r>
    </w:p>
    <w:p>
      <w:pPr>
        <w:spacing w:after="0" w:line="170" w:lineRule="exact"/>
        <w:rPr>
          <w:rFonts w:ascii="Arial" w:cs="Arial" w:eastAsia="Arial" w:hAnsi="Arial"/>
          <w:sz w:val="18"/>
          <w:szCs w:val="18"/>
          <w:color w:val="auto"/>
        </w:rPr>
      </w:pPr>
    </w:p>
    <w:p>
      <w:pPr>
        <w:ind w:right="40" w:firstLine="656"/>
        <w:spacing w:after="0" w:line="273" w:lineRule="auto"/>
        <w:tabs>
          <w:tab w:leader="none" w:pos="130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The foregoing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the other provisions of this Agreement relating to the maintenance of Capital Accounts are intended to comply with Regulation Section 1.704-1(b) and, to the greatest extent practicable, shall be interpreted and applied in a manner consistent with such Regulation. The General Partner in its discretion, and to the extent otherwise consistent with the terms of this Agreement, shall (i) make any adjustments that are necessary or appropriate to maintain equality between the Capital Accounts of the Partners and the amount of capital reflected on the Partnership’s balance sheet, as computed for book purposes, in accordance with Regulation Section 1.704-1(b)(2)(iv)(q), and (ii) make any appropriate modifications in the event unanticipated events might otherwise cause this Agreement not to comply with Regulation Section 1.704-1(b).</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color w:val="auto"/>
        </w:rPr>
        <w:t>Capital Withdrawal Rights, Interest and Priority</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Except as expressly provided in this Agreement, no Partner shall be entitled to (a) withdraw or reduce such Partner’s Capital Contribution or to receive any distributions from the Partnership, or (b) receive or be credited with any interest on the balance of such Partner’s Capital Contribution at any time.</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Class B Partners Profits Interests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Class B Units have been, and may in the future be, issued for zero consideration in order to provide additional incentives for the Class B Partners to build value for the Partnership and achieve its business goals. Each Class B Unit represents an interest in the Partnership of the nature commonly referred to as a “profits interest” (as described in Revenue Procedure 93-27, 1993-2 C.B. 343 and Revenue Procedure 2001-43, 2001-2 C.B. 191), and represents an interest in future Partnership profits and losses from operations, current distributions from operations, and an interest in future appreciation or depreciation in the Partnership asset values as set forth in this Agreement, but which does not represent an interest in Initial Grant Date Partnership Capital or Subsequent Grant Date Partnership Capital (as applicable) as determined on the date such Class B Unit is or was issued.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color w:val="auto"/>
        </w:rPr>
        <w:t>General Partner Interest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General Partner Interest is a non-economic interest and does not include any rights to profits or losses or any rights to receive distributions from operations or upon the liquidation or winding-up of the Partnership.</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b w:val="1"/>
          <w:bCs w:val="1"/>
          <w:color w:val="auto"/>
        </w:rPr>
        <w:t>Splits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distribution, subdivision or combination of the Class A Units shall be accompanied by a simultaneous and proportionate distribution, subdivision or combination of the Class B Units pursuant to this Agreement, the General Partner Units pursuant to the Holdings GP LLC Agreement, and the PAGP Class A Shares and PAGP Class B shares pursuant to the PAGP LP Agreement, and vice versa. This provision shall not be amended unless corresponding changes are made the Holdings GP LLC Agreement and the PAGP LP Agreement.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b w:val="1"/>
          <w:bCs w:val="1"/>
          <w:color w:val="auto"/>
        </w:rPr>
        <w:t>Restrictions on the General Partner</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Prior to the Trigger Date, without the prior written consent of the holders of at least two-thirds of the outstanding Class A Units, (i) the General Partner may not withdraw as the general partner of the Partnership, (ii) the General Partner may not Transfer the General Partner Interest and (iii) no Person shall be admitted as an additional general partner of the Partnership.</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Distributions of Available Cash</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 amount equal to 100% of Available Cash with respect to each fiscal quarter of the Partnership shall be distributed to the Partners within forty-five days after the end of such quarter as follows:</w:t>
      </w:r>
    </w:p>
    <w:p>
      <w:pPr>
        <w:spacing w:after="0" w:line="170" w:lineRule="exact"/>
        <w:rPr>
          <w:sz w:val="20"/>
          <w:szCs w:val="20"/>
          <w:color w:val="auto"/>
        </w:rPr>
      </w:pPr>
    </w:p>
    <w:p>
      <w:pPr>
        <w:ind w:right="540" w:firstLine="656"/>
        <w:spacing w:after="0" w:line="342" w:lineRule="auto"/>
        <w:tabs>
          <w:tab w:leader="none" w:pos="129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first, to the Class A Partners, pro rata based on the number of Class A Units held, an amount equal to any Distribution Loan Proceeds included in Available Cash for such quarter (which amount may be distributed separately from and prior to distribution of other Available Cash);</w:t>
      </w:r>
    </w:p>
    <w:p>
      <w:pPr>
        <w:spacing w:after="0" w:line="123" w:lineRule="exact"/>
        <w:rPr>
          <w:rFonts w:ascii="Arial" w:cs="Arial" w:eastAsia="Arial" w:hAnsi="Arial"/>
          <w:sz w:val="16"/>
          <w:szCs w:val="16"/>
          <w:color w:val="auto"/>
        </w:rPr>
      </w:pPr>
    </w:p>
    <w:p>
      <w:pPr>
        <w:ind w:right="600" w:firstLine="656"/>
        <w:spacing w:after="0" w:line="308" w:lineRule="auto"/>
        <w:tabs>
          <w:tab w:leader="none" w:pos="130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second, to the Class A Partners, pro rata based on the number of Class A Units held, until the aggregate amount of distributions paid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in respect of such quarter equals the Distribution Threshold Amount for such quarter; and</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thereafter, to the Class A Partners and the Class B Partners, pro rata based on the number of Class A Units, Earned Units and/or Vested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Units held.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the following terms have the meanings set forth below:</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Carryover Amount</w:t>
      </w:r>
      <w:r>
        <w:rPr>
          <w:rFonts w:ascii="Arial" w:cs="Arial" w:eastAsia="Arial" w:hAnsi="Arial"/>
          <w:sz w:val="18"/>
          <w:szCs w:val="18"/>
          <w:color w:val="auto"/>
        </w:rPr>
        <w:t>” means, with respect to a particular fiscal quarter, an amount of the Cumulative Carryover Amount equal to the lesser of (i) the Unapplied Cumulative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Carryover Amount for such quarter and (ii) the amount, if any, by which $11 million exceeds the Applicable Debt Service Amount for such quarter.</w:t>
      </w:r>
    </w:p>
    <w:p>
      <w:pPr>
        <w:sectPr>
          <w:pgSz w:w="11900" w:h="16838" w:orient="portrait"/>
          <w:cols w:equalWidth="0" w:num="1">
            <w:col w:w="11420"/>
          </w:cols>
          <w:pgMar w:left="240" w:top="341" w:right="239" w:bottom="44" w:gutter="0" w:footer="0" w:header="0"/>
        </w:sectPr>
      </w:pPr>
    </w:p>
    <w:bookmarkStart w:id="70" w:name="page71"/>
    <w:bookmarkEnd w:id="70"/>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Debt Service Amount</w:t>
      </w:r>
      <w:r>
        <w:rPr>
          <w:rFonts w:ascii="Arial" w:cs="Arial" w:eastAsia="Arial" w:hAnsi="Arial"/>
          <w:sz w:val="16"/>
          <w:szCs w:val="16"/>
          <w:color w:val="auto"/>
        </w:rPr>
        <w:t xml:space="preserve">” means, with respect to any fiscal quarter, the aggregate amount, if any, of principal, interest, fees and related expenses in respect of any Distribution Loan or Distribution Loans (i) paid by the Partnership or any of its Subsidiaries during such quarter for which no reserve had previously been established or (ii) for which a reserve is established by the Partnership during such quarter that reduces Available Cash for such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notwithstanding the foregoing, the “Applicable Debt Service Amount” shall not include that portion of any such payment that is funded with the proceeds of indebtedness incurred by the Partnership or any of its Subsidiaries (it being understood that any such indebtedness shall constitute a Distribution Loan) and (y) for the avoidance of doubt, any payment of principal, interest, fees or related expenses in respect of any Distribution Loan that is made by any Person other than the Partnership or any of its Subsidiaries shall not constitute “Applicable Debt Service Amount.”</w:t>
      </w:r>
    </w:p>
    <w:p>
      <w:pPr>
        <w:spacing w:after="0" w:line="1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Carryover Amount</w:t>
      </w:r>
      <w:r>
        <w:rPr>
          <w:rFonts w:ascii="Arial" w:cs="Arial" w:eastAsia="Arial" w:hAnsi="Arial"/>
          <w:sz w:val="18"/>
          <w:szCs w:val="18"/>
          <w:color w:val="auto"/>
        </w:rPr>
        <w:t>” means, for any particular fiscal quarter, the aggregate amount by which the Applicable Debt Service Amount for such quarter exceeds $11.0 million.</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Cumulative Carryover Amount</w:t>
      </w:r>
      <w:r>
        <w:rPr>
          <w:rFonts w:ascii="Arial" w:cs="Arial" w:eastAsia="Arial" w:hAnsi="Arial"/>
          <w:sz w:val="18"/>
          <w:szCs w:val="18"/>
          <w:color w:val="auto"/>
        </w:rPr>
        <w:t>” means, as of any particular fiscal quarter, an amount equal to the aggregate Carryover Amounts, if any, for all preceding fiscal quarters.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Threshold Amount</w:t>
      </w:r>
      <w:r>
        <w:rPr>
          <w:rFonts w:ascii="Arial" w:cs="Arial" w:eastAsia="Arial" w:hAnsi="Arial"/>
          <w:sz w:val="18"/>
          <w:szCs w:val="18"/>
          <w:color w:val="auto"/>
        </w:rPr>
        <w:t>” means, with respect to any fiscal quarter, the amount by which (a) $11.0 million exceeds (b) the sum of (i) the Applicable Debt Service Amount for such quarter plus (ii) the Applicable Carryover Amount for such quarter.</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Unapplied Cumulative Carryover Amount</w:t>
      </w:r>
      <w:r>
        <w:rPr>
          <w:rFonts w:ascii="Arial" w:cs="Arial" w:eastAsia="Arial" w:hAnsi="Arial"/>
          <w:sz w:val="17"/>
          <w:szCs w:val="17"/>
          <w:color w:val="auto"/>
        </w:rPr>
        <w:t>” means, as of any particular fiscal quarter, that portion of the Cumulative Carryover Amount, if any, not previously included in the calculation of the Distribution Threshold Amount for any prior quarter. For the avoidance of doubt, with respect to any fiscal quarter, the aggregate amount of the Cumulative Carryover Amount that has been included in the calculation of the Distribution Threshold Amount for all preceding fiscal quarters shall equal the aggregate Applicable Carryover Amounts for all such fiscal quarters.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Persons Entitled to Distributions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Except as provided below, all distributions of Available Cash to Partners for a fiscal quarter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made to the Partners shown on the records of the Partnership to be entitled thereto as of the Record Date with respect to such quarter. For the avoidance of doubt, no distribution shall be paid with respect to any outstanding Class B Unit that is not either an Earned Unit or a Vested Unit.</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With respect to the fiscal quarter ending on September 30, 2013, distributions shall be made to the Partners shown on the records of the Partnership to be entitled thereto as of the last day of such quarter. With respect to the fiscal quarter ending on December 31, 2013, distributions in respect thereof shall be prorated as of the date of the consummation of the IPO, with the Partners shown on the records of the Partnership immediately prior to such date being entitled to any such distributions attributable to the period (based on the number of days)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between the beginning of such quarter and the date of the consummation of the IPO), and with respect to the portion of such fiscal quarter occurring on or after the consummation of the IPO, to the Partners shown on the records of the Partnership to be entitled thereto as of the Record Date with respect to such quarter. In each such case, the Distribution Threshold Amount shall be calculated on a prorated basis for the applicable portion of such fiscal quarter.</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Limitations on Distributions</w:t>
      </w:r>
    </w:p>
    <w:p>
      <w:pPr>
        <w:spacing w:after="0" w:line="229" w:lineRule="exact"/>
        <w:rPr>
          <w:sz w:val="20"/>
          <w:szCs w:val="20"/>
          <w:color w:val="auto"/>
        </w:rPr>
      </w:pPr>
    </w:p>
    <w:p>
      <w:pPr>
        <w:ind w:left="1300" w:hanging="64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no distributions shall be made except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280" w:firstLine="656"/>
        <w:spacing w:after="0" w:line="277" w:lineRule="auto"/>
        <w:tabs>
          <w:tab w:leader="none" w:pos="13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no distribution hereunder shall be permitted if such distribution would violate Section 17-607 of the Act or other applicable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Profits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8.3</w:t>
      </w:r>
      <w:r>
        <w:rPr>
          <w:rFonts w:ascii="Arial" w:cs="Arial" w:eastAsia="Arial" w:hAnsi="Arial"/>
          <w:sz w:val="18"/>
          <w:szCs w:val="18"/>
          <w:color w:val="auto"/>
        </w:rPr>
        <w:t>, Profits for any Taxable Year shall be allocated:</w:t>
      </w:r>
    </w:p>
    <w:p>
      <w:pPr>
        <w:spacing w:after="0" w:line="225"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first, to the Partners in the amount of and in proportion to the Losses which have previously been allocated pursuant to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Partners;</w:t>
      </w:r>
    </w:p>
    <w:p>
      <w:pPr>
        <w:spacing w:after="0" w:line="210" w:lineRule="exact"/>
        <w:rPr>
          <w:rFonts w:ascii="Arial" w:cs="Arial" w:eastAsia="Arial" w:hAnsi="Arial"/>
          <w:sz w:val="16"/>
          <w:szCs w:val="16"/>
          <w:color w:val="auto"/>
        </w:rPr>
      </w:pPr>
    </w:p>
    <w:p>
      <w:pPr>
        <w:ind w:right="940" w:firstLine="656"/>
        <w:spacing w:after="0" w:line="277" w:lineRule="auto"/>
        <w:tabs>
          <w:tab w:leader="none" w:pos="130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second, to the Class A Partners in the amount and in proportion to the Losses which have previously been allocated pursuant to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to such Partners;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third, any remaining Profits shall be allocated to the Class A Partners pro rata based on the number of Class A Units held.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4"/>
          <w:szCs w:val="14"/>
          <w:b w:val="1"/>
          <w:bCs w:val="1"/>
          <w:color w:val="auto"/>
        </w:rPr>
        <w:t>Losses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8.3</w:t>
      </w:r>
      <w:r>
        <w:rPr>
          <w:rFonts w:ascii="Arial" w:cs="Arial" w:eastAsia="Arial" w:hAnsi="Arial"/>
          <w:sz w:val="18"/>
          <w:szCs w:val="18"/>
          <w:color w:val="auto"/>
        </w:rPr>
        <w:t>, Losses for any Taxable Year shall be allocated:</w:t>
      </w:r>
    </w:p>
    <w:p>
      <w:pPr>
        <w:spacing w:after="0" w:line="225" w:lineRule="exact"/>
        <w:rPr>
          <w:sz w:val="20"/>
          <w:szCs w:val="20"/>
          <w:color w:val="auto"/>
        </w:rPr>
      </w:pPr>
    </w:p>
    <w:p>
      <w:pPr>
        <w:ind w:left="1300" w:hanging="644"/>
        <w:spacing w:after="0"/>
        <w:tabs>
          <w:tab w:leader="none" w:pos="13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first, to Class A Partners in proportion to and to the extent of the Profits which have previously been allocated pursuant to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Partners;</w:t>
      </w:r>
    </w:p>
    <w:p>
      <w:pPr>
        <w:spacing w:after="0" w:line="210" w:lineRule="exact"/>
        <w:rPr>
          <w:rFonts w:ascii="Arial" w:cs="Arial" w:eastAsia="Arial" w:hAnsi="Arial"/>
          <w:sz w:val="16"/>
          <w:szCs w:val="16"/>
          <w:color w:val="auto"/>
        </w:rPr>
      </w:pPr>
    </w:p>
    <w:p>
      <w:pPr>
        <w:ind w:right="260" w:firstLine="656"/>
        <w:spacing w:after="0" w:line="277" w:lineRule="auto"/>
        <w:tabs>
          <w:tab w:leader="none" w:pos="130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second, to the Class A Partners pro rata based on the number of Class A Units 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Partner shall be allocated any Loss pursuant to this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which would result in a negative Capital Account balance for such Partner;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third, to Partners in proportion to and to the extent of their positive Capital Account balances until such Capital Account balances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reduced to zero.</w:t>
      </w:r>
    </w:p>
    <w:p>
      <w:pPr>
        <w:sectPr>
          <w:pgSz w:w="11900" w:h="16838" w:orient="portrait"/>
          <w:cols w:equalWidth="0" w:num="1">
            <w:col w:w="11400"/>
          </w:cols>
          <w:pgMar w:left="240" w:top="125" w:right="259" w:bottom="0" w:gutter="0" w:footer="0" w:header="0"/>
        </w:sectPr>
      </w:pPr>
    </w:p>
    <w:bookmarkStart w:id="71" w:name="page72"/>
    <w:bookmarkEnd w:id="71"/>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Special Allocation to Class B Partners</w:t>
      </w:r>
    </w:p>
    <w:p>
      <w:pPr>
        <w:spacing w:after="0" w:line="229" w:lineRule="exact"/>
        <w:rPr>
          <w:sz w:val="20"/>
          <w:szCs w:val="20"/>
          <w:color w:val="auto"/>
        </w:rPr>
      </w:pPr>
    </w:p>
    <w:p>
      <w:pPr>
        <w:ind w:right="1020" w:firstLine="648"/>
        <w:spacing w:after="0" w:line="342" w:lineRule="auto"/>
        <w:rPr>
          <w:sz w:val="20"/>
          <w:szCs w:val="20"/>
          <w:color w:val="auto"/>
        </w:rPr>
      </w:pPr>
      <w:r>
        <w:rPr>
          <w:rFonts w:ascii="Arial" w:cs="Arial" w:eastAsia="Arial" w:hAnsi="Arial"/>
          <w:sz w:val="16"/>
          <w:szCs w:val="16"/>
          <w:color w:val="auto"/>
        </w:rPr>
        <w:t xml:space="preserve">For any Taxable Year, gross income in an amount equal to any distributions of Available Cash made to the Class B Partners pursuant to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shall be allocated to the Class B Partners, pro rata, based on the number of Class B Units held by such Class B Partners.</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Regulatory Allocations</w:t>
      </w:r>
    </w:p>
    <w:p>
      <w:pPr>
        <w:spacing w:after="0" w:line="229" w:lineRule="exact"/>
        <w:rPr>
          <w:sz w:val="20"/>
          <w:szCs w:val="20"/>
          <w:color w:val="auto"/>
        </w:rPr>
      </w:pPr>
    </w:p>
    <w:p>
      <w:pPr>
        <w:jc w:val="both"/>
        <w:ind w:right="40" w:firstLine="656"/>
        <w:spacing w:after="0" w:line="259" w:lineRule="auto"/>
        <w:tabs>
          <w:tab w:leader="none" w:pos="1294"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Gross Income Allocation</w:t>
      </w:r>
      <w:r>
        <w:rPr>
          <w:rFonts w:ascii="Arial" w:cs="Arial" w:eastAsia="Arial" w:hAnsi="Arial"/>
          <w:sz w:val="18"/>
          <w:szCs w:val="18"/>
          <w:color w:val="auto"/>
        </w:rPr>
        <w:t xml:space="preserve">. In the event any Partner has an Adjusted Capital Account Deficit at the end of any Taxable Year, such Partner shall be specially allocated items of Partnership income and gain in the amount of such deficit balance as quickly as possible;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allocation pursuant to this </w:t>
      </w:r>
      <w:r>
        <w:rPr>
          <w:rFonts w:ascii="Arial" w:cs="Arial" w:eastAsia="Arial" w:hAnsi="Arial"/>
          <w:sz w:val="18"/>
          <w:szCs w:val="18"/>
          <w:u w:val="single" w:color="auto"/>
          <w:color w:val="auto"/>
        </w:rPr>
        <w:t>Section 5.4(a)</w:t>
      </w:r>
      <w:r>
        <w:rPr>
          <w:rFonts w:ascii="Arial" w:cs="Arial" w:eastAsia="Arial" w:hAnsi="Arial"/>
          <w:sz w:val="18"/>
          <w:szCs w:val="18"/>
          <w:color w:val="auto"/>
        </w:rPr>
        <w:t xml:space="preserve"> shall be made only if and to the extent that such Partner would have an Adjusted Capital Account Deficit balance after all other allocations provided for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have been made.</w:t>
      </w:r>
    </w:p>
    <w:p>
      <w:pPr>
        <w:spacing w:after="0" w:line="186" w:lineRule="exact"/>
        <w:rPr>
          <w:rFonts w:ascii="Arial" w:cs="Arial" w:eastAsia="Arial" w:hAnsi="Arial"/>
          <w:sz w:val="18"/>
          <w:szCs w:val="18"/>
          <w:color w:val="auto"/>
        </w:rPr>
      </w:pPr>
    </w:p>
    <w:p>
      <w:pPr>
        <w:ind w:right="40" w:firstLine="656"/>
        <w:spacing w:after="0" w:line="276" w:lineRule="auto"/>
        <w:tabs>
          <w:tab w:leader="none" w:pos="1304"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Qualified Income Offset</w:t>
      </w:r>
      <w:r>
        <w:rPr>
          <w:rFonts w:ascii="Arial" w:cs="Arial" w:eastAsia="Arial" w:hAnsi="Arial"/>
          <w:sz w:val="17"/>
          <w:szCs w:val="17"/>
          <w:color w:val="auto"/>
        </w:rPr>
        <w:t xml:space="preserve">. In the event any Partner unexpectedly receives any adjustments, allocations or distributions described in Regulation Sections 1.704-1(b)(2)(ii)(d)(4), 1.704-1(b)(2)(ii)(d)(5) or 1.704-1(b)(2)(ii)(d)(6), items of Partnership income and gain shall be specially allocated to such Partner in an amount and manner sufficient to eliminate, to the extent required by the Regulations, the Adjusted Capital Account Deficit of such Partner as quickly as possible,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allocation pursuant to this </w:t>
      </w:r>
      <w:r>
        <w:rPr>
          <w:rFonts w:ascii="Arial" w:cs="Arial" w:eastAsia="Arial" w:hAnsi="Arial"/>
          <w:sz w:val="17"/>
          <w:szCs w:val="17"/>
          <w:u w:val="single" w:color="auto"/>
          <w:color w:val="auto"/>
        </w:rPr>
        <w:t>Section 5.4(b)</w:t>
      </w:r>
      <w:r>
        <w:rPr>
          <w:rFonts w:ascii="Arial" w:cs="Arial" w:eastAsia="Arial" w:hAnsi="Arial"/>
          <w:sz w:val="17"/>
          <w:szCs w:val="17"/>
          <w:color w:val="auto"/>
        </w:rPr>
        <w:t xml:space="preserve"> shall be made only if and to the extent that such Partner would have an Adjusted Capital Account Deficit after all other allocations provided for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have been made.</w:t>
      </w:r>
    </w:p>
    <w:p>
      <w:pPr>
        <w:spacing w:after="0" w:line="172" w:lineRule="exact"/>
        <w:rPr>
          <w:rFonts w:ascii="Arial" w:cs="Arial" w:eastAsia="Arial" w:hAnsi="Arial"/>
          <w:sz w:val="17"/>
          <w:szCs w:val="17"/>
          <w:color w:val="auto"/>
        </w:rPr>
      </w:pPr>
    </w:p>
    <w:p>
      <w:pPr>
        <w:ind w:right="160" w:firstLine="656"/>
        <w:spacing w:after="0" w:line="291" w:lineRule="auto"/>
        <w:tabs>
          <w:tab w:leader="none" w:pos="1307"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Curative Allocations</w:t>
      </w:r>
      <w:r>
        <w:rPr>
          <w:rFonts w:ascii="Arial" w:cs="Arial" w:eastAsia="Arial" w:hAnsi="Arial"/>
          <w:sz w:val="16"/>
          <w:szCs w:val="16"/>
          <w:color w:val="auto"/>
        </w:rPr>
        <w:t xml:space="preserve">. The allocations set forth in </w:t>
      </w:r>
      <w:r>
        <w:rPr>
          <w:rFonts w:ascii="Arial" w:cs="Arial" w:eastAsia="Arial" w:hAnsi="Arial"/>
          <w:sz w:val="16"/>
          <w:szCs w:val="16"/>
          <w:u w:val="single" w:color="auto"/>
          <w:color w:val="auto"/>
        </w:rPr>
        <w:t>Sections 5.4(a)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hereof (the “</w:t>
      </w:r>
      <w:r>
        <w:rPr>
          <w:rFonts w:ascii="Arial" w:cs="Arial" w:eastAsia="Arial" w:hAnsi="Arial"/>
          <w:sz w:val="16"/>
          <w:szCs w:val="16"/>
          <w:b w:val="1"/>
          <w:bCs w:val="1"/>
          <w:i w:val="1"/>
          <w:iCs w:val="1"/>
          <w:color w:val="auto"/>
        </w:rPr>
        <w:t>Regulatory Allocations</w:t>
      </w:r>
      <w:r>
        <w:rPr>
          <w:rFonts w:ascii="Arial" w:cs="Arial" w:eastAsia="Arial" w:hAnsi="Arial"/>
          <w:sz w:val="16"/>
          <w:szCs w:val="16"/>
          <w:color w:val="auto"/>
        </w:rPr>
        <w:t xml:space="preserve">”) are intended to comply with certain requirements of the Regulations. It is the intent of the Partners that, to the extent possible, all Regulatory Allocations shall be offset either with other Regulatory Allocations or with special allocations of other items of Partnership income, gain, loss or deduction pursuant to this </w:t>
      </w:r>
      <w:r>
        <w:rPr>
          <w:rFonts w:ascii="Arial" w:cs="Arial" w:eastAsia="Arial" w:hAnsi="Arial"/>
          <w:sz w:val="16"/>
          <w:szCs w:val="16"/>
          <w:u w:val="single" w:color="auto"/>
          <w:color w:val="auto"/>
        </w:rPr>
        <w:t>Section 5.4(c)</w:t>
      </w:r>
      <w:r>
        <w:rPr>
          <w:rFonts w:ascii="Arial" w:cs="Arial" w:eastAsia="Arial" w:hAnsi="Arial"/>
          <w:sz w:val="16"/>
          <w:szCs w:val="16"/>
          <w:color w:val="auto"/>
        </w:rPr>
        <w:t xml:space="preserve">. Therefore, notwithstanding any other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the Regulatory Allocations), the General Partner shall make such offsetting special allocations of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this Agreement and all such items were allocated pursuant to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without regard to the Regulatory Allocations.</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b w:val="1"/>
          <w:bCs w:val="1"/>
          <w:color w:val="auto"/>
        </w:rPr>
        <w:t>Tax Allocations: Code Section 704(c)</w:t>
      </w:r>
    </w:p>
    <w:p>
      <w:pPr>
        <w:spacing w:after="0" w:line="229" w:lineRule="exact"/>
        <w:rPr>
          <w:sz w:val="20"/>
          <w:szCs w:val="20"/>
          <w:color w:val="auto"/>
        </w:rPr>
      </w:pPr>
    </w:p>
    <w:p>
      <w:pPr>
        <w:ind w:right="240" w:firstLine="656"/>
        <w:spacing w:after="0" w:line="291" w:lineRule="auto"/>
        <w:tabs>
          <w:tab w:leader="none" w:pos="129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herein, for federal income tax purposes, (i) each item of income, gain, loss and deduction shall be allocated among the Partners in the same manner as its correlative item of “book” income, gain, loss or deduction is allocated pursuant to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w:t>
      </w:r>
      <w:r>
        <w:rPr>
          <w:rFonts w:ascii="Arial" w:cs="Arial" w:eastAsia="Arial" w:hAnsi="Arial"/>
          <w:sz w:val="16"/>
          <w:szCs w:val="16"/>
          <w:color w:val="auto"/>
        </w:rPr>
        <w:t>, and</w:t>
      </w:r>
    </w:p>
    <w:p>
      <w:pPr>
        <w:ind w:right="660" w:firstLine="8"/>
        <w:spacing w:after="0" w:line="261" w:lineRule="auto"/>
        <w:tabs>
          <w:tab w:leader="none" w:pos="2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each tax credit shall be allocated to the Partners in the same manner as the receipt or expenditure giving rise to such credit is allocated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400" w:firstLine="656"/>
        <w:spacing w:after="0" w:line="308" w:lineRule="auto"/>
        <w:tabs>
          <w:tab w:leader="none" w:pos="1304" w:val="left"/>
        </w:tabs>
        <w:numPr>
          <w:ilvl w:val="1"/>
          <w:numId w:val="164"/>
        </w:numPr>
        <w:rPr>
          <w:rFonts w:ascii="Arial" w:cs="Arial" w:eastAsia="Arial" w:hAnsi="Arial"/>
          <w:sz w:val="17"/>
          <w:szCs w:val="17"/>
          <w:color w:val="auto"/>
        </w:rPr>
      </w:pPr>
      <w:r>
        <w:rPr>
          <w:rFonts w:ascii="Arial" w:cs="Arial" w:eastAsia="Arial" w:hAnsi="Arial"/>
          <w:sz w:val="17"/>
          <w:szCs w:val="17"/>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variation between the adjusted basis of such Property to the Partnership for federal income tax purposes and its initial Gross Asset Value (computed in accordance with the definition herein of “</w:t>
      </w:r>
      <w:r>
        <w:rPr>
          <w:rFonts w:ascii="Arial" w:cs="Arial" w:eastAsia="Arial" w:hAnsi="Arial"/>
          <w:sz w:val="18"/>
          <w:szCs w:val="18"/>
          <w:b w:val="1"/>
          <w:bCs w:val="1"/>
          <w:i w:val="1"/>
          <w:iCs w:val="1"/>
          <w:color w:val="auto"/>
        </w:rPr>
        <w:t>Gross Asset Value</w:t>
      </w:r>
      <w:r>
        <w:rPr>
          <w:rFonts w:ascii="Arial" w:cs="Arial" w:eastAsia="Arial" w:hAnsi="Arial"/>
          <w:sz w:val="18"/>
          <w:szCs w:val="18"/>
          <w:color w:val="auto"/>
        </w:rPr>
        <w:t>”).</w:t>
      </w:r>
    </w:p>
    <w:p>
      <w:pPr>
        <w:spacing w:after="0" w:line="170" w:lineRule="exact"/>
        <w:rPr>
          <w:sz w:val="20"/>
          <w:szCs w:val="20"/>
          <w:color w:val="auto"/>
        </w:rPr>
      </w:pPr>
    </w:p>
    <w:p>
      <w:pPr>
        <w:jc w:val="both"/>
        <w:ind w:right="60" w:firstLine="656"/>
        <w:spacing w:after="0" w:line="312" w:lineRule="auto"/>
        <w:tabs>
          <w:tab w:leader="none" w:pos="130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event the Gross Asset Value of any Partnership asset is adjusted pursuant to subparagraph (b) of the definition herein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146" w:lineRule="exact"/>
        <w:rPr>
          <w:rFonts w:ascii="Arial" w:cs="Arial" w:eastAsia="Arial" w:hAnsi="Arial"/>
          <w:sz w:val="16"/>
          <w:szCs w:val="16"/>
          <w:color w:val="auto"/>
        </w:rPr>
      </w:pPr>
    </w:p>
    <w:p>
      <w:pPr>
        <w:ind w:right="60" w:firstLine="656"/>
        <w:spacing w:after="0" w:line="272" w:lineRule="auto"/>
        <w:tabs>
          <w:tab w:leader="none" w:pos="130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Any elections or other decisions relating to such allocations shall be made by the General Partner in any manner that reasonably reflects the purpose and intention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Partnership, in the discretion of the General Partner, may make, or not make, “curative” or “remedial” allocations (within the meaning of the Regulations under Code Section 704(c)) including, but not limited to, “curative” allocations which offset the effect of the “ceiling rule” for a prior Taxable Year (within the meaning of Regulation Section 1.704-3(c)(3)(ii)) and “curative” allocations from disposition of contributed property (within the meaning of Regulation Section 1.704-3(c)(3)(iii)(B)). Allocations pursuant to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are solely for purposes of federal, state, and local taxes and shall not affect, or in any way be taken into account in computing, any Partner’s Capital Account or share of Profits, Losses, other items, or distributions pursuant to any provision of this Agreement.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color w:val="auto"/>
        </w:rPr>
        <w:t>Change in Partnership Interest</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 the event that the Partners’ interests in the Partnership change during a Taxable Year, allocations shall be made taking into account the Partners’ varying interests for such Taxable Year, determined on a daily, monthly or other basis as determined by the General Partner, using any permissible method under Code Section 706 and the Regulations thereunder.</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b w:val="1"/>
          <w:bCs w:val="1"/>
          <w:color w:val="auto"/>
        </w:rPr>
        <w:t>Withholding</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Each Partner hereby authorizes the Partnership to withhold from income or distributions allocable to such Partner and to pay over any taxes payable by the Partnership or any of its Affiliates as a result of such Partner’s participation in the Partnership; if and to the extent that the Partnership shall be required to withhold any such taxes, such Partner shall be deemed for all purposes of this Agreement to have received a distribution from the Partnership as of the time such withholding is required to be paid, which distribution shall be deemed to be a distribution to such Partner to the extent that the Partner is then entitled to receive a distribution. To the extent that the aggregate of such distributions in respect of a Partner for any period exceeds the distributions to which such Partner is entitled for such period, the amount of such excess shall be considered a demand loan from the Partnership to such Partner, with interest at the rate of interest per annum that Citibank, N.A., or any successor entity thereto, announces from time to time as its prime lending rate, which interest shall be treated as an item of Partnership income, until discharged by such Partner by repayment, which may be made in the sole discretion of the General Partner out of</w:t>
      </w:r>
    </w:p>
    <w:p>
      <w:pPr>
        <w:sectPr>
          <w:pgSz w:w="11900" w:h="16933" w:orient="portrait"/>
          <w:cols w:equalWidth="0" w:num="1">
            <w:col w:w="11420"/>
          </w:cols>
          <w:pgMar w:left="240" w:top="341" w:right="239" w:bottom="0" w:gutter="0" w:footer="0" w:header="0"/>
        </w:sectPr>
      </w:pPr>
    </w:p>
    <w:bookmarkStart w:id="72" w:name="page73"/>
    <w:bookmarkEnd w:id="72"/>
    <w:p>
      <w:pPr>
        <w:spacing w:after="0" w:line="1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distributions to which such Partner would otherwise be subsequently entitled. The withholdings referred to in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shall be made at the maximum applicable statutory rate under applicable tax law unless the General Partner shall have received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an opinion of counsel or other evidence, satisfactory to the General Partner, to the effect that a lower rate is applicable, or that no withholding is applicable.</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Duties and Powers of the General Partner</w:t>
      </w:r>
    </w:p>
    <w:p>
      <w:pPr>
        <w:spacing w:after="0" w:line="229" w:lineRule="exact"/>
        <w:rPr>
          <w:sz w:val="20"/>
          <w:szCs w:val="20"/>
          <w:color w:val="auto"/>
        </w:rPr>
      </w:pPr>
    </w:p>
    <w:p>
      <w:pPr>
        <w:ind w:right="100" w:firstLine="656"/>
        <w:spacing w:after="0" w:line="272" w:lineRule="auto"/>
        <w:tabs>
          <w:tab w:leader="none" w:pos="129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business and affairs of the Partnership shall be managed by the General Partner. Except for situations in which the approval of the Limited Partners is expressly required by this Agreement or by nonwaivable provisions of applicable law, the General Partner shall have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Without limiting the generality of the foregoing, the General Partner has full power and authority to execute, deliver and perform such contracts, agreements and other undertakings on behalf of the Partnership, without the consent or approval of any other Partner, and to engage in all activities and transactions, as it may deem necessary or advisable for, or as may be incidental to, the conduct of the business and affairs of the Partnership.</w:t>
      </w:r>
    </w:p>
    <w:p>
      <w:pPr>
        <w:spacing w:after="0" w:line="177" w:lineRule="exact"/>
        <w:rPr>
          <w:rFonts w:ascii="Arial" w:cs="Arial" w:eastAsia="Arial" w:hAnsi="Arial"/>
          <w:sz w:val="17"/>
          <w:szCs w:val="17"/>
          <w:color w:val="auto"/>
        </w:rPr>
      </w:pPr>
    </w:p>
    <w:p>
      <w:pPr>
        <w:ind w:firstLine="656"/>
        <w:spacing w:after="0" w:line="255" w:lineRule="auto"/>
        <w:tabs>
          <w:tab w:leader="none" w:pos="130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Each Limited Partner agrees to cooperate with the General Partner and to execute and deliver such documents, agreements and instruments, and do all such further acts, as deemed necessary or advisable by the General Partner to give effect to the exercise of the General Partner’s powers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 Without limiting the foregoing, each Limited Partner hereby irrevocably appoints the General Partner as its proxy and attorney-in-fact (with full power of substitution and resubstitution) to vote or act by written consent with respect to its Partnership Interest as a Limited Partner as determined by the General Partner on all matters requiring the vote, approval or consent of the Limited Partners. The Partners acknowledge that such proxy is coupled with an interest and is irrevocable.</w:t>
      </w:r>
    </w:p>
    <w:p>
      <w:pPr>
        <w:spacing w:after="0" w:line="193" w:lineRule="exact"/>
        <w:rPr>
          <w:rFonts w:ascii="Arial" w:cs="Arial" w:eastAsia="Arial" w:hAnsi="Arial"/>
          <w:sz w:val="18"/>
          <w:szCs w:val="18"/>
          <w:color w:val="auto"/>
        </w:rPr>
      </w:pPr>
    </w:p>
    <w:p>
      <w:pPr>
        <w:ind w:right="140" w:firstLine="656"/>
        <w:spacing w:after="0" w:line="264" w:lineRule="auto"/>
        <w:tabs>
          <w:tab w:leader="none" w:pos="130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General Partner is the tax matters partner for purposes of Section 6231 of the Code and analogous provisions of state law. The tax matters partner has the exclusive authority and discretion to make any elections required or permitted to be made by the Partnership under any provisions of the Code or any other applicable laws.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b w:val="1"/>
          <w:bCs w:val="1"/>
          <w:color w:val="auto"/>
        </w:rPr>
        <w:t>Limitation of Liability</w:t>
      </w:r>
    </w:p>
    <w:p>
      <w:pPr>
        <w:spacing w:after="0" w:line="229" w:lineRule="exact"/>
        <w:rPr>
          <w:sz w:val="20"/>
          <w:szCs w:val="20"/>
          <w:color w:val="auto"/>
        </w:rPr>
      </w:pPr>
    </w:p>
    <w:p>
      <w:pPr>
        <w:ind w:firstLine="656"/>
        <w:spacing w:after="0" w:line="293" w:lineRule="auto"/>
        <w:tabs>
          <w:tab w:leader="none" w:pos="129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no Indemnitee shall be liable for monetary damages to the Partnership or the Limited Partners or any other Persons who have acquired interests in Partnership Interests for losses sustained or liabilities incurred as a result of any act or omission of an Indemnitee in connection with the conduct of the business or affairs of the Partnership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Partnership’s debts, obligations, and liabilities, whether arising in contract, tort or otherwise, shall be solely the debts, obligations and liabilities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of the Partnership, and no Indemnitee shall be personally responsible for any such debt, obligation or liability of the Partnership solely by reason of being an Indemnitee. No Partner shall be responsible for any debts, obligations or liabilities, whether arising in contract, tort or otherwise, of any other Partner. The provisions of this Agreement, to the extent that they restrict, eliminate or otherwise modify the duties and liabilities, including fiduciary duties, of any Indemnitee otherwise existing at law or in equity, are agreed by the Partners to replace such duties and liabilities of such Indemnitee. To the fullest extent permitted by law, in connection with any action or inaction of, or determination made by, any Indemnitee with respect to any matter relating to the Partnership, it shall be presumed that the Indemnitee acted in a manner that satisfied the contractual standards set forth in this Agreement, and in any proceeding brought by any Partner or by or on behalf of such Partner or any other Partner or the Partnership challenging any such action or inaction of, or determination made by, any Indemnitee, the Person bringing or prosecuting such proceeding shall have the burden of overcoming such presumption.</w:t>
      </w:r>
    </w:p>
    <w:p>
      <w:pPr>
        <w:spacing w:after="0" w:line="166" w:lineRule="exact"/>
        <w:rPr>
          <w:sz w:val="20"/>
          <w:szCs w:val="20"/>
          <w:color w:val="auto"/>
        </w:rPr>
      </w:pPr>
    </w:p>
    <w:p>
      <w:pPr>
        <w:ind w:right="60" w:firstLine="656"/>
        <w:spacing w:after="0" w:line="264" w:lineRule="auto"/>
        <w:tabs>
          <w:tab w:leader="none" w:pos="130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180" w:firstLine="656"/>
        <w:spacing w:after="0" w:line="279" w:lineRule="auto"/>
        <w:tabs>
          <w:tab w:leader="none" w:pos="130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ind w:right="60" w:firstLine="656"/>
        <w:spacing w:after="0" w:line="291" w:lineRule="auto"/>
        <w:tabs>
          <w:tab w:leader="none" w:pos="129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except as required by the Act, to the fullest extent permitted by law but subject to the limitations expressly provided in this Agreement, the Partnership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Partnership and with respect to any criminal proceeding, had no reason to believe his, her or its conduct was unlawful.</w:t>
      </w:r>
    </w:p>
    <w:p>
      <w:pPr>
        <w:spacing w:after="0" w:line="167" w:lineRule="exact"/>
        <w:rPr>
          <w:rFonts w:ascii="Arial" w:cs="Arial" w:eastAsia="Arial" w:hAnsi="Arial"/>
          <w:sz w:val="16"/>
          <w:szCs w:val="16"/>
          <w:color w:val="auto"/>
        </w:rPr>
      </w:pPr>
    </w:p>
    <w:p>
      <w:pPr>
        <w:ind w:firstLine="656"/>
        <w:spacing w:after="0" w:line="342" w:lineRule="auto"/>
        <w:tabs>
          <w:tab w:leader="none" w:pos="130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Expenses incurred by an Indemnitee in defending any claim, demand, action, suit or proceeding subject to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shall, from time to time, be advanced by the Partnership prior to the final disposition of such claim, demand, action, suit or proceeding upon receipt by the Partnership of an</w:t>
      </w:r>
    </w:p>
    <w:p>
      <w:pPr>
        <w:sectPr>
          <w:pgSz w:w="11900" w:h="16975" w:orient="portrait"/>
          <w:cols w:equalWidth="0" w:num="1">
            <w:col w:w="11380"/>
          </w:cols>
          <w:pgMar w:left="240" w:top="125" w:right="279" w:bottom="0" w:gutter="0" w:footer="0" w:header="0"/>
        </w:sectPr>
      </w:pPr>
    </w:p>
    <w:bookmarkStart w:id="73" w:name="page74"/>
    <w:bookmarkEnd w:id="73"/>
    <w:p>
      <w:pPr>
        <w:ind w:right="380"/>
        <w:spacing w:after="0" w:line="277" w:lineRule="auto"/>
        <w:rPr>
          <w:sz w:val="20"/>
          <w:szCs w:val="20"/>
          <w:color w:val="auto"/>
        </w:rPr>
      </w:pPr>
      <w:r>
        <w:rPr>
          <w:rFonts w:ascii="Arial" w:cs="Arial" w:eastAsia="Arial" w:hAnsi="Arial"/>
          <w:sz w:val="18"/>
          <w:szCs w:val="18"/>
          <w:color w:val="auto"/>
        </w:rPr>
        <w:t xml:space="preserve">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7" w:lineRule="auto"/>
        <w:tabs>
          <w:tab w:leader="none" w:pos="13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indemnification provided by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The Partnership shall not be required to indemnify any Partner in connection with any losses, claims, demands, actions, disputes, suits or proceedings, of any Partner against any other Partner.</w:t>
      </w:r>
    </w:p>
    <w:p>
      <w:pPr>
        <w:spacing w:after="0" w:line="188" w:lineRule="exact"/>
        <w:rPr>
          <w:rFonts w:ascii="Arial" w:cs="Arial" w:eastAsia="Arial" w:hAnsi="Arial"/>
          <w:sz w:val="18"/>
          <w:szCs w:val="18"/>
          <w:color w:val="auto"/>
        </w:rPr>
      </w:pPr>
    </w:p>
    <w:p>
      <w:pPr>
        <w:ind w:right="140" w:firstLine="656"/>
        <w:spacing w:after="0" w:line="277" w:lineRule="auto"/>
        <w:tabs>
          <w:tab w:leader="none" w:pos="130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Partnership may purchase and maintain directors and officers insurance or similar coverage for the directors or officers of the General Partner in such amounts and with such deductibles or self-insured retentions as determined by the Board.</w:t>
      </w:r>
    </w:p>
    <w:p>
      <w:pPr>
        <w:spacing w:after="0" w:line="170" w:lineRule="exact"/>
        <w:rPr>
          <w:rFonts w:ascii="Arial" w:cs="Arial" w:eastAsia="Arial" w:hAnsi="Arial"/>
          <w:sz w:val="18"/>
          <w:szCs w:val="18"/>
          <w:color w:val="auto"/>
        </w:rPr>
      </w:pPr>
    </w:p>
    <w:p>
      <w:pPr>
        <w:ind w:right="200" w:firstLine="656"/>
        <w:spacing w:after="0" w:line="277" w:lineRule="auto"/>
        <w:tabs>
          <w:tab w:leader="none" w:pos="13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Partnership, and the Partners shall not be subject to personal liability by reason of the indemnification provisions under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140" w:firstLine="656"/>
        <w:spacing w:after="0" w:line="286" w:lineRule="auto"/>
        <w:tabs>
          <w:tab w:leader="none" w:pos="130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5" w:lineRule="exact"/>
        <w:rPr>
          <w:rFonts w:ascii="Arial" w:cs="Arial" w:eastAsia="Arial" w:hAnsi="Arial"/>
          <w:sz w:val="17"/>
          <w:szCs w:val="17"/>
          <w:color w:val="auto"/>
        </w:rPr>
      </w:pPr>
    </w:p>
    <w:p>
      <w:pPr>
        <w:ind w:right="420" w:firstLine="656"/>
        <w:spacing w:after="0" w:line="308" w:lineRule="auto"/>
        <w:tabs>
          <w:tab w:leader="none" w:pos="131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6" w:lineRule="exact"/>
        <w:rPr>
          <w:rFonts w:ascii="Arial" w:cs="Arial" w:eastAsia="Arial" w:hAnsi="Arial"/>
          <w:sz w:val="17"/>
          <w:szCs w:val="17"/>
          <w:color w:val="auto"/>
        </w:rPr>
      </w:pPr>
    </w:p>
    <w:p>
      <w:pPr>
        <w:ind w:firstLine="656"/>
        <w:spacing w:after="0" w:line="257" w:lineRule="auto"/>
        <w:tabs>
          <w:tab w:leader="none" w:pos="130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Partnership or any Affiliate of the Partnership, nor the obligations of the Partnership or such Affiliate to indemnify any such Indemnitee under and in accordance with the provisions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Rights of Limited Partners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The Limited Partners will not be personally liable for any obligations of the Partnership nor will they have any obligation to make contributions to the Partnership in excess of their respective Capital Contributions required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have any liability for the repayment or discharge of the debts and obligations of the Partnership except to the extent provided herein or as required by law. The Limited Partners in their capacities as such shall take no part in the management, control or operation of the Partnership’s business and shall have no power to bind the Partnership and no right or authority to act for the Partnership or to vote on matters other than the matters set forth in this Agreement or as required by applicable law.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b w:val="1"/>
          <w:bCs w:val="1"/>
          <w:color w:val="auto"/>
        </w:rPr>
        <w:t>Class B Partners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as expressly provided in this Agreement, the Class B Partners, in their capacities as such, shall have no voting rights or rights to participate in the management of the Partnership.</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color w:val="auto"/>
        </w:rPr>
        <w:t>Actions Requiring Consent of Oxy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Until Oxy and its Affiliates (i) do not have a Qualifying Interest (as such term is defined in the Holdings GP LLC Agreement) of at least 5% and</w:t>
      </w:r>
    </w:p>
    <w:p>
      <w:pPr>
        <w:spacing w:after="0" w:line="35" w:lineRule="exact"/>
        <w:rPr>
          <w:sz w:val="20"/>
          <w:szCs w:val="20"/>
          <w:color w:val="auto"/>
        </w:rPr>
      </w:pPr>
    </w:p>
    <w:p>
      <w:pPr>
        <w:ind w:right="120" w:firstLine="8"/>
        <w:spacing w:after="0" w:line="281" w:lineRule="auto"/>
        <w:tabs>
          <w:tab w:leader="none" w:pos="26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beneficially own less than 5% of the outstanding Shares (as such term is defined in the PAGP LP Agreement), without the prior written consent of Oxy, the Partnership shall not, and shall not permit or cause any of its Subsidiaries (including the MLP) to, become a “retailer” (as defined under Section 613A(d)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 of the Code) or a “refiner” (as defined under Section 613A(d)(4) of the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TRANSFERS OF PARTNERSHIP INTERESTS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Transfer of Limited Partnership Interests</w:t>
      </w:r>
    </w:p>
    <w:p>
      <w:pPr>
        <w:spacing w:after="0" w:line="229"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 Limited Partner may Transfer all or any part of such Partner’s Partnership Interest or Partnership Group Interest to any Person except:</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to a Permitted Transferee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7.9</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any such Transfer under (i)-(iv) above shall comply with the terms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7.1(b)</w:t>
      </w:r>
      <w:r>
        <w:rPr>
          <w:rFonts w:ascii="Arial" w:cs="Arial" w:eastAsia="Arial" w:hAnsi="Arial"/>
          <w:sz w:val="18"/>
          <w:szCs w:val="18"/>
          <w:color w:val="auto"/>
        </w:rPr>
        <w:t>. Any purported Transfer of all or any portion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Partnership Interest or Partnership Group Interest in violation of the terms of this Agreement shall be null and void and of no force and effect. Except upon a Transfer of all of a Limited Partner’s Partnership Interest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no Limited Partner shall have the right to withdraw as a Partner of the Partnership.</w:t>
      </w:r>
    </w:p>
    <w:p>
      <w:pPr>
        <w:sectPr>
          <w:pgSz w:w="11900" w:h="16838" w:orient="portrait"/>
          <w:cols w:equalWidth="0" w:num="1">
            <w:col w:w="11420"/>
          </w:cols>
          <w:pgMar w:left="240" w:top="125" w:right="239" w:bottom="0" w:gutter="0" w:footer="0" w:header="0"/>
        </w:sectPr>
      </w:pPr>
    </w:p>
    <w:bookmarkStart w:id="74" w:name="page75"/>
    <w:bookmarkEnd w:id="74"/>
    <w:p>
      <w:pPr>
        <w:spacing w:after="0" w:line="114" w:lineRule="exact"/>
        <w:rPr>
          <w:sz w:val="20"/>
          <w:szCs w:val="20"/>
          <w:color w:val="auto"/>
        </w:rPr>
      </w:pPr>
    </w:p>
    <w:p>
      <w:pPr>
        <w:ind w:left="1320" w:hanging="664"/>
        <w:spacing w:after="0"/>
        <w:tabs>
          <w:tab w:leader="none" w:pos="13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As a condition to a Transfer by a Class A Partner of any Class A Units to a transferee as permitted under </w:t>
      </w:r>
      <w:r>
        <w:rPr>
          <w:rFonts w:ascii="Arial" w:cs="Arial" w:eastAsia="Arial" w:hAnsi="Arial"/>
          <w:sz w:val="17"/>
          <w:szCs w:val="17"/>
          <w:u w:val="single" w:color="auto"/>
          <w:color w:val="auto"/>
        </w:rPr>
        <w:t>Section 7.1(a)(i)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Transfer</w:t>
      </w:r>
      <w:r>
        <w:rPr>
          <w:rFonts w:ascii="Arial" w:cs="Arial" w:eastAsia="Arial" w:hAnsi="Arial"/>
          <w:sz w:val="18"/>
          <w:szCs w:val="18"/>
          <w:color w:val="auto"/>
        </w:rPr>
        <w:t>”), such Class A Partner shall simultaneously Transfer to such transferee the same number of PAGP Class B Shares and the same number of Holdings GP Units (each group of one Class A Unit, one PAGP Class B Share and one Holdings GP Unit collectively being referred to herein as a “</w:t>
      </w:r>
      <w:r>
        <w:rPr>
          <w:rFonts w:ascii="Arial" w:cs="Arial" w:eastAsia="Arial" w:hAnsi="Arial"/>
          <w:sz w:val="18"/>
          <w:szCs w:val="18"/>
          <w:b w:val="1"/>
          <w:bCs w:val="1"/>
          <w:i w:val="1"/>
          <w:iCs w:val="1"/>
          <w:color w:val="auto"/>
        </w:rPr>
        <w:t>Partnership Group Interest</w:t>
      </w:r>
      <w:r>
        <w:rPr>
          <w:rFonts w:ascii="Arial" w:cs="Arial" w:eastAsia="Arial" w:hAnsi="Arial"/>
          <w:sz w:val="18"/>
          <w:szCs w:val="18"/>
          <w:color w:val="auto"/>
        </w:rPr>
        <w:t xml:space="preserve">”). For the avoidance of doubt, it is intended that the Class A Units may only be Transferred together with the same number of PAGP Class B Shares and the same number of Holdings GP Units (subject to the last sentence of this </w:t>
      </w:r>
      <w:r>
        <w:rPr>
          <w:rFonts w:ascii="Arial" w:cs="Arial" w:eastAsia="Arial" w:hAnsi="Arial"/>
          <w:sz w:val="18"/>
          <w:szCs w:val="18"/>
          <w:u w:val="single" w:color="auto"/>
          <w:color w:val="auto"/>
        </w:rPr>
        <w:t>Section 7.1(b)</w:t>
      </w:r>
      <w:r>
        <w:rPr>
          <w:rFonts w:ascii="Arial" w:cs="Arial" w:eastAsia="Arial" w:hAnsi="Arial"/>
          <w:sz w:val="18"/>
          <w:szCs w:val="18"/>
          <w:color w:val="auto"/>
        </w:rPr>
        <w:t>), and that if for any reason the Transfer of such PAGP Class B Shares and Holdings GP Units does not occur simultaneously with the Partnership Transfer, then the Partnership Transfer shall be null and void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and of no force and effect. Notwithstanding any other provision of this Agreement, Converted Class A Units may be Transferred without a simultaneous Transfer of Holdings GP Units.</w:t>
      </w:r>
    </w:p>
    <w:p>
      <w:pPr>
        <w:spacing w:after="0" w:line="170" w:lineRule="exact"/>
        <w:rPr>
          <w:sz w:val="20"/>
          <w:szCs w:val="20"/>
          <w:color w:val="auto"/>
        </w:rPr>
      </w:pPr>
    </w:p>
    <w:p>
      <w:pPr>
        <w:ind w:right="440" w:firstLine="656"/>
        <w:spacing w:after="0" w:line="277" w:lineRule="auto"/>
        <w:tabs>
          <w:tab w:leader="none" w:pos="130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Limited Partner may pledge, mortgage or otherwise subject its Partnership Group Interests or Class B Units to any voluntary Encumbrance.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Permitted Transferees</w:t>
      </w:r>
    </w:p>
    <w:p>
      <w:pPr>
        <w:spacing w:after="0" w:line="229" w:lineRule="exact"/>
        <w:rPr>
          <w:sz w:val="20"/>
          <w:szCs w:val="20"/>
          <w:color w:val="auto"/>
        </w:rPr>
      </w:pPr>
    </w:p>
    <w:p>
      <w:pPr>
        <w:ind w:firstLine="656"/>
        <w:spacing w:after="0" w:line="267" w:lineRule="auto"/>
        <w:tabs>
          <w:tab w:leader="none" w:pos="129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each Limited Partner shall, subject to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have the right to Transfer (but not to substitute the transferee as a substitute Partner in such Partner’s place, except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by a written instrument, all or any part of a Limited Partner’s Partnership Group Interest or Class B Units to a Permitted Transferee. Notwithstanding the previous sentence, if the Permitted Transferee is such because it was an Affiliate of the transferring Limited Partner at the time of such Transfer or the Transfer was a Permitted Transfer under clause (a) of the definition herein of “Permitted Transfer” and, at any time after such Transfer, such Permitted Transferee ceases to be an Affiliate of such Limited Partner or such Transfer or such Permitted Transferee ceases to qualify under such clause (a) (a “</w:t>
      </w:r>
      <w:r>
        <w:rPr>
          <w:rFonts w:ascii="Arial" w:cs="Arial" w:eastAsia="Arial" w:hAnsi="Arial"/>
          <w:sz w:val="17"/>
          <w:szCs w:val="17"/>
          <w:b w:val="1"/>
          <w:bCs w:val="1"/>
          <w:i w:val="1"/>
          <w:iCs w:val="1"/>
          <w:color w:val="auto"/>
        </w:rPr>
        <w:t>Non-Qualifying Transferee</w:t>
      </w:r>
      <w:r>
        <w:rPr>
          <w:rFonts w:ascii="Arial" w:cs="Arial" w:eastAsia="Arial" w:hAnsi="Arial"/>
          <w:sz w:val="17"/>
          <w:szCs w:val="17"/>
          <w:color w:val="auto"/>
        </w:rPr>
        <w:t xml:space="preserve">”), such Transfer shall be deemed to not be a Permitted Transfer and shall be subject to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such transferring Limited Partner or such transferring Limited Partner’s legal representative shall deliver the First Refusal Notice promptly after the time when such transferee ceases to be an Affiliate of such transferring Limited Partner or such Transfer or such Permitted Transferee ceases to qualify under clause (a) of the definition herein of “Permitted Transfer”, and such transferring Limited Partner shall otherwise comply with the terms of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with respect to such Transfer;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purchase price for such Transfer for purposes of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shall be the Agreed Value of the Partnership Group Interests subject to the Transfer as of the close of business on the date the transferee ceased to be an Affiliate of such transferring Limited Partner or such Transfer or such Permitted Transferee ceases to qualify under clause (a) of the definition herein of “Permitted Transfer” (such date, the “</w:t>
      </w:r>
      <w:r>
        <w:rPr>
          <w:rFonts w:ascii="Arial" w:cs="Arial" w:eastAsia="Arial" w:hAnsi="Arial"/>
          <w:sz w:val="17"/>
          <w:szCs w:val="17"/>
          <w:b w:val="1"/>
          <w:bCs w:val="1"/>
          <w:i w:val="1"/>
          <w:iCs w:val="1"/>
          <w:color w:val="auto"/>
        </w:rPr>
        <w:t>Non-Qualifying Date”</w:t>
      </w:r>
      <w:r>
        <w:rPr>
          <w:rFonts w:ascii="Arial" w:cs="Arial" w:eastAsia="Arial" w:hAnsi="Arial"/>
          <w:sz w:val="17"/>
          <w:szCs w:val="17"/>
          <w:color w:val="auto"/>
        </w:rPr>
        <w:t xml:space="preserve">). In the event the Non-Qualifying Date is not a Business Day, the Non-Qualifying Date shall be deemed to have occurred on the first Business Day following such original Non-Qualifying Date. If such transferring Limited Partner fails to comply with all the terms of </w:t>
      </w:r>
      <w:r>
        <w:rPr>
          <w:rFonts w:ascii="Arial" w:cs="Arial" w:eastAsia="Arial" w:hAnsi="Arial"/>
          <w:sz w:val="17"/>
          <w:szCs w:val="17"/>
          <w:u w:val="single" w:color="auto"/>
          <w:color w:val="auto"/>
        </w:rPr>
        <w:t>Section 7.8</w:t>
      </w:r>
      <w:r>
        <w:rPr>
          <w:rFonts w:ascii="Arial" w:cs="Arial" w:eastAsia="Arial" w:hAnsi="Arial"/>
          <w:sz w:val="17"/>
          <w:szCs w:val="17"/>
          <w:color w:val="auto"/>
        </w:rPr>
        <w:t>, such Transfer shall be null and void and of no force and effect. No Non-Qualifying Transferee shall be entitled to receive any distributions from the Partnership with respect to any period on or after the Non-Qualifying Date and any distributions made in respect of the Partnership Interests with respect to any period on or after the Non-Qualifying Date and held by such Non-Qualifying Transferee shall be paid to the Limited Partner who attempted to transfer such Partnership Group Interests or otherwise to the rightful owner thereof as reasonably determined by the General Partner.</w:t>
      </w:r>
    </w:p>
    <w:p>
      <w:pPr>
        <w:spacing w:after="0" w:line="189" w:lineRule="exact"/>
        <w:rPr>
          <w:rFonts w:ascii="Arial" w:cs="Arial" w:eastAsia="Arial" w:hAnsi="Arial"/>
          <w:sz w:val="17"/>
          <w:szCs w:val="17"/>
          <w:color w:val="auto"/>
        </w:rPr>
      </w:pPr>
    </w:p>
    <w:p>
      <w:pPr>
        <w:ind w:right="40" w:firstLine="656"/>
        <w:spacing w:after="0" w:line="257" w:lineRule="auto"/>
        <w:tabs>
          <w:tab w:leader="none" w:pos="130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Unless and until admitted as a substitute Limited Partner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a transferee of a Limited Partner’s Partnership Group Interests or Class B Units, in whole or in part, shall be an assignee with respect to the Transferred Partnership Interest comprising the Transferred part of such Partnership Group Interests or Class B Units and shall not be entitled to become, or to exercise the rights of, a Limited Partner, including the right to vote, the right to require any information or accounting of the Partnership’s business, or the right to inspect the Partnership’s books and records. Such transferee shall only be entitled to receive, to the extent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 xml:space="preserve">of the Partnership Interests Transferred to such transferee, the share of distributions and profits to which the transferor would otherwise be entitled with respect to the Transferred Partnership Interest. Subject to the provisions of </w:t>
      </w:r>
      <w:r>
        <w:rPr>
          <w:rFonts w:ascii="Arial" w:cs="Arial" w:eastAsia="Arial" w:hAnsi="Arial"/>
          <w:sz w:val="16"/>
          <w:szCs w:val="16"/>
          <w:u w:val="single" w:color="auto"/>
          <w:color w:val="auto"/>
        </w:rPr>
        <w:t>Section 6.1(b)</w:t>
      </w:r>
      <w:r>
        <w:rPr>
          <w:rFonts w:ascii="Arial" w:cs="Arial" w:eastAsia="Arial" w:hAnsi="Arial"/>
          <w:sz w:val="16"/>
          <w:szCs w:val="16"/>
          <w:color w:val="auto"/>
        </w:rPr>
        <w:t>, the transferor shall have the right to vote such Transferred Partnership Interest until the transferee is admitted to the Partnership as a substitute Limited Partner with respect to the Transferred Partnership Interest.</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Substitute Limited Partners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transferee of all or part of a Limited Partner’s Partnership Interest shall become a substitute Limited Partner in place of the transferor unless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until:</w:t>
      </w:r>
    </w:p>
    <w:p>
      <w:pPr>
        <w:spacing w:after="0" w:line="211"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General Partner accepting and adopting, and agreeing to be bound by, the terms and provisions of the Certificate and this Agreement; and</w:t>
      </w:r>
    </w:p>
    <w:p>
      <w:pPr>
        <w:spacing w:after="0" w:line="170" w:lineRule="exact"/>
        <w:rPr>
          <w:rFonts w:ascii="Arial" w:cs="Arial" w:eastAsia="Arial" w:hAnsi="Arial"/>
          <w:sz w:val="18"/>
          <w:szCs w:val="18"/>
          <w:color w:val="auto"/>
        </w:rPr>
      </w:pPr>
    </w:p>
    <w:p>
      <w:pPr>
        <w:ind w:right="540" w:firstLine="656"/>
        <w:spacing w:after="0" w:line="277" w:lineRule="auto"/>
        <w:tabs>
          <w:tab w:leader="none" w:pos="130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transferee has caused to be paid all reasonable expenses of the Partnership in connection with the admission of the transferee as a substitute Limited Partner.</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Upon satisfaction of all the foregoing conditions with respect to a particular transferee, the General Partner shall cause the books and records of the Partnership to reflect the admission of the transferee as a substitute Limited Partner to the extent of the Transferred Partnership Interest held by such transferee.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Effect of Admission as a Substitute Limited Partner</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 transferee who has become a substitute Limited Partner has, to the extent of the Transferred Partnership Interest, all the rights, powers and benefits of, and is subject to the obligations, restrictions and liabilities of a Partner under, the Certificate, this Agreement and the Act. Upon admission of a transferee as a substitute Limited Partner, the transferor of the Partnership Interest so held by the substitute Limited Partner shall cease to be a Partner of the Partnership</w:t>
      </w:r>
    </w:p>
    <w:p>
      <w:pPr>
        <w:sectPr>
          <w:pgSz w:w="11900" w:h="16952" w:orient="portrait"/>
          <w:cols w:equalWidth="0" w:num="1">
            <w:col w:w="11420"/>
          </w:cols>
          <w:pgMar w:left="240" w:top="125" w:right="239" w:bottom="0" w:gutter="0" w:footer="0" w:header="0"/>
        </w:sectPr>
      </w:pPr>
    </w:p>
    <w:bookmarkStart w:id="75" w:name="page76"/>
    <w:bookmarkEnd w:id="75"/>
    <w:p>
      <w:pPr>
        <w:ind w:right="20"/>
        <w:spacing w:after="0" w:line="264" w:lineRule="auto"/>
        <w:rPr>
          <w:sz w:val="20"/>
          <w:szCs w:val="20"/>
          <w:color w:val="auto"/>
        </w:rPr>
      </w:pPr>
      <w:r>
        <w:rPr>
          <w:rFonts w:ascii="Arial" w:cs="Arial" w:eastAsia="Arial" w:hAnsi="Arial"/>
          <w:sz w:val="18"/>
          <w:szCs w:val="18"/>
          <w:color w:val="auto"/>
        </w:rPr>
        <w:t xml:space="preserve">to the extent of such Transferred Partnership Interest. In connection with any Exchange or exercise of the Call Right with respect to Class A Units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 PAGP shall upon completion of such transaction automatically be admitted as a substitute Limited Partner with respect to the Class A Units that are the subject of such transaction.</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color w:val="auto"/>
        </w:rPr>
        <w:t>Consent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Each Partner hereby agrees that upon satisfaction of the terms and conditions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with respect to any proposed Transfer, the transferee may be admitted as a Partner without any further action by a Partner hereunder.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color w:val="auto"/>
        </w:rPr>
        <w:t>No Dissolution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If a Limited Partner Transfers all of its Partnership Interest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the transferee of such Partnership Interest is admitted as a Limited Partner pursuant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such Person shall be admitted to the Partnership as a Partner effective on the effective date of the Transfer and the Partnership shall not dissolve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color w:val="auto"/>
        </w:rPr>
        <w:t>Additional Limited Partners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any Person acceptable to the General Partner may become an additional Limited Partner of the Partnership for such consideration as the General Partner shall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Limited Partner complies with all the requirements of a transferee under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b w:val="1"/>
          <w:bCs w:val="1"/>
          <w:color w:val="auto"/>
        </w:rPr>
        <w:t>Right of First Refusal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Class A Partners shall have the following right of first refusal:</w:t>
      </w:r>
    </w:p>
    <w:p>
      <w:pPr>
        <w:spacing w:after="0" w:line="225" w:lineRule="exact"/>
        <w:rPr>
          <w:sz w:val="20"/>
          <w:szCs w:val="20"/>
          <w:color w:val="auto"/>
        </w:rPr>
      </w:pPr>
    </w:p>
    <w:p>
      <w:pPr>
        <w:ind w:right="240" w:firstLine="656"/>
        <w:spacing w:after="0" w:line="255" w:lineRule="auto"/>
        <w:tabs>
          <w:tab w:leader="none" w:pos="129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at any time any of the Class A Partners (a “</w:t>
      </w:r>
      <w:r>
        <w:rPr>
          <w:rFonts w:ascii="Arial" w:cs="Arial" w:eastAsia="Arial" w:hAnsi="Arial"/>
          <w:sz w:val="18"/>
          <w:szCs w:val="18"/>
          <w:b w:val="1"/>
          <w:bCs w:val="1"/>
          <w:i w:val="1"/>
          <w:iCs w:val="1"/>
          <w:color w:val="auto"/>
        </w:rPr>
        <w:t>Selling Partner</w:t>
      </w:r>
      <w:r>
        <w:rPr>
          <w:rFonts w:ascii="Arial" w:cs="Arial" w:eastAsia="Arial" w:hAnsi="Arial"/>
          <w:sz w:val="18"/>
          <w:szCs w:val="18"/>
          <w:color w:val="auto"/>
        </w:rPr>
        <w:t>”) has received and wishes to accept a bona fide offer (the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for cash from a third party (the “</w:t>
      </w:r>
      <w:r>
        <w:rPr>
          <w:rFonts w:ascii="Arial" w:cs="Arial" w:eastAsia="Arial" w:hAnsi="Arial"/>
          <w:sz w:val="18"/>
          <w:szCs w:val="18"/>
          <w:b w:val="1"/>
          <w:bCs w:val="1"/>
          <w:i w:val="1"/>
          <w:iCs w:val="1"/>
          <w:color w:val="auto"/>
        </w:rPr>
        <w:t>Offeror</w:t>
      </w:r>
      <w:r>
        <w:rPr>
          <w:rFonts w:ascii="Arial" w:cs="Arial" w:eastAsia="Arial" w:hAnsi="Arial"/>
          <w:sz w:val="18"/>
          <w:szCs w:val="18"/>
          <w:color w:val="auto"/>
        </w:rPr>
        <w:t>”) for all or part of such Selling Partner’s Partnership Group Interests, such Selling Partner shall give Notice thereof (the “</w:t>
      </w:r>
      <w:r>
        <w:rPr>
          <w:rFonts w:ascii="Arial" w:cs="Arial" w:eastAsia="Arial" w:hAnsi="Arial"/>
          <w:sz w:val="18"/>
          <w:szCs w:val="18"/>
          <w:b w:val="1"/>
          <w:bCs w:val="1"/>
          <w:i w:val="1"/>
          <w:iCs w:val="1"/>
          <w:color w:val="auto"/>
        </w:rPr>
        <w:t>First Refusal Notice</w:t>
      </w:r>
      <w:r>
        <w:rPr>
          <w:rFonts w:ascii="Arial" w:cs="Arial" w:eastAsia="Arial" w:hAnsi="Arial"/>
          <w:sz w:val="18"/>
          <w:szCs w:val="18"/>
          <w:color w:val="auto"/>
        </w:rPr>
        <w:t>”) to each of the other Partners, other than any Non-Purchasing Partners and any Class B Partners, and the Partnership. The First Refusal Notice shall state the number of Partnership Group Interests that the Selling Partner wishes to sell (the “</w:t>
      </w:r>
      <w:r>
        <w:rPr>
          <w:rFonts w:ascii="Arial" w:cs="Arial" w:eastAsia="Arial" w:hAnsi="Arial"/>
          <w:sz w:val="18"/>
          <w:szCs w:val="18"/>
          <w:b w:val="1"/>
          <w:bCs w:val="1"/>
          <w:i w:val="1"/>
          <w:iCs w:val="1"/>
          <w:color w:val="auto"/>
        </w:rPr>
        <w:t>Optioned Interest</w:t>
      </w:r>
      <w:r>
        <w:rPr>
          <w:rFonts w:ascii="Arial" w:cs="Arial" w:eastAsia="Arial" w:hAnsi="Arial"/>
          <w:sz w:val="18"/>
          <w:szCs w:val="18"/>
          <w:color w:val="auto"/>
        </w:rPr>
        <w:t>”), the price and all other material terms of the Offer, the name of the Offeror, and certification from the Selling Partner affirming that the Offer is bona fide and that the description thereof is true and correct, and that the Offeror has stated that it will purchase the Optioned Interest if the rights of first refusal herein described are not exercised.</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Class A Partner (and, in the case of PAGP, PAGP or its designee) other than the Selling Partner and any Non-Purchasing Partner (each, a “</w:t>
      </w:r>
      <w:r>
        <w:rPr>
          <w:rFonts w:ascii="Arial" w:cs="Arial" w:eastAsia="Arial" w:hAnsi="Arial"/>
          <w:sz w:val="17"/>
          <w:szCs w:val="17"/>
          <w:b w:val="1"/>
          <w:bCs w:val="1"/>
          <w:i w:val="1"/>
          <w:iCs w:val="1"/>
          <w:color w:val="auto"/>
        </w:rPr>
        <w:t>Non-Selling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Partner</w:t>
      </w:r>
      <w:r>
        <w:rPr>
          <w:rFonts w:ascii="Arial" w:cs="Arial" w:eastAsia="Arial" w:hAnsi="Arial"/>
          <w:sz w:val="17"/>
          <w:szCs w:val="17"/>
          <w:color w:val="auto"/>
        </w:rPr>
        <w:t>”) shall have the right exercisable by Notice (an “</w:t>
      </w:r>
      <w:r>
        <w:rPr>
          <w:rFonts w:ascii="Arial" w:cs="Arial" w:eastAsia="Arial" w:hAnsi="Arial"/>
          <w:sz w:val="17"/>
          <w:szCs w:val="17"/>
          <w:b w:val="1"/>
          <w:bCs w:val="1"/>
          <w:i w:val="1"/>
          <w:iCs w:val="1"/>
          <w:color w:val="auto"/>
        </w:rPr>
        <w:t>Acceptance Notice</w:t>
      </w:r>
      <w:r>
        <w:rPr>
          <w:rFonts w:ascii="Arial" w:cs="Arial" w:eastAsia="Arial" w:hAnsi="Arial"/>
          <w:sz w:val="17"/>
          <w:szCs w:val="17"/>
          <w:color w:val="auto"/>
        </w:rPr>
        <w:t>”) given to the Selling Partner and the Partnership within 20 days after receipt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First Refusal Notice, to agree that it will purchase up to 100% of the Optioned Interest on the terms set forth in the First Refusal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if the Non-Selling Partners in the aggregate desire to purchase more than 100% of the Optioned Interest, each such Non-Selling Partner’s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purchase the Optioned Interest shall be reduced (pro rata based on the percentage of the Optioned Interest for which such Non-Selling Partner has exercised its right to purchase hereunder compared to all other Non-Selling Partners, but not below such Non-Selling Partner’s pro rata share (based on the number of Class A Units held by such Non-Selling Partner and the aggregate number of Class A Units held by all Non-Selling Partners who have exercised their right to purchase) so that such Non-Selling Partners purchase no more than 100% of the Optioned Interest. In the event that (i) PAGP exercises its right to designate its right of first refusal to a designee and (ii) the price indicated in the Offer is less than the Agreed Value (determined pursuant to clause (i) of such definition) of the Partnership Group Interest as of the date of the Offer, then in connection with such designee’s delivery of any Acceptance Notice hereunder, PAGP’s designee must agree with respect to the portion of the Partnership Group Interest that it is entitled to purchase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(excluding any such portion related to any oversubscription by such designee pursuant to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to pay such Agreed Value (determined pursuant to clause (i) of such definition) of such Partnership Group Interest as of the date of the Offer. For the avoidance of doubt, any other Class A Partner (including PAGP) exercising its right of first refusal pursuant to this </w:t>
      </w:r>
      <w:r>
        <w:rPr>
          <w:rFonts w:ascii="Arial" w:cs="Arial" w:eastAsia="Arial" w:hAnsi="Arial"/>
          <w:sz w:val="17"/>
          <w:szCs w:val="17"/>
          <w:u w:val="single" w:color="auto"/>
          <w:color w:val="auto"/>
        </w:rPr>
        <w:t>Section 7.8</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shall not be required to pay a higher price than the price included in the Offer. If a Non-Selling Partner does not submit an Acceptance Notice within the 20-day period set forth in this </w:t>
      </w:r>
      <w:r>
        <w:rPr>
          <w:rFonts w:ascii="Arial" w:cs="Arial" w:eastAsia="Arial" w:hAnsi="Arial"/>
          <w:sz w:val="18"/>
          <w:szCs w:val="18"/>
          <w:u w:val="single" w:color="auto"/>
          <w:color w:val="auto"/>
        </w:rPr>
        <w:t>Section 7.8(b)</w:t>
      </w:r>
      <w:r>
        <w:rPr>
          <w:rFonts w:ascii="Arial" w:cs="Arial" w:eastAsia="Arial" w:hAnsi="Arial"/>
          <w:sz w:val="18"/>
          <w:szCs w:val="18"/>
          <w:color w:val="auto"/>
        </w:rPr>
        <w:t>, such Non-Selling Partner shall be deemed to have rejected the offer to purchase any portion of the Optioned Interest.</w:t>
      </w:r>
    </w:p>
    <w:p>
      <w:pPr>
        <w:spacing w:after="0" w:line="181" w:lineRule="exact"/>
        <w:rPr>
          <w:sz w:val="20"/>
          <w:szCs w:val="20"/>
          <w:color w:val="auto"/>
        </w:rPr>
      </w:pPr>
    </w:p>
    <w:p>
      <w:pPr>
        <w:jc w:val="both"/>
        <w:ind w:right="20" w:firstLine="656"/>
        <w:spacing w:after="0" w:line="302" w:lineRule="auto"/>
        <w:tabs>
          <w:tab w:leader="none" w:pos="130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If the Non-Selling Partners do not in the aggregate exercise the right to purchase all of the Optioned Interest by the expiration of the 20-day period set forth in </w:t>
      </w:r>
      <w:r>
        <w:rPr>
          <w:rFonts w:ascii="Arial" w:cs="Arial" w:eastAsia="Arial" w:hAnsi="Arial"/>
          <w:sz w:val="16"/>
          <w:szCs w:val="16"/>
          <w:u w:val="single" w:color="auto"/>
          <w:color w:val="auto"/>
        </w:rPr>
        <w:t>Section 7.8(b)</w:t>
      </w:r>
      <w:r>
        <w:rPr>
          <w:rFonts w:ascii="Arial" w:cs="Arial" w:eastAsia="Arial" w:hAnsi="Arial"/>
          <w:sz w:val="16"/>
          <w:szCs w:val="16"/>
          <w:color w:val="auto"/>
        </w:rPr>
        <w:t>, then any Acceptance Notice shall be void and of no effect, and the Selling Partner shall be entitled to complete the proposed sale at any time in the 30-day period commencing on the date of the First Refusal Notice, but only upon the terms set forth in the First Refusal Notice. If no such sale is completed in such 30-day period, the provisions hereof shall apply again to any proposed sale of the Optioned Interest.</w:t>
      </w:r>
    </w:p>
    <w:p>
      <w:pPr>
        <w:spacing w:after="0" w:line="154" w:lineRule="exact"/>
        <w:rPr>
          <w:rFonts w:ascii="Arial" w:cs="Arial" w:eastAsia="Arial" w:hAnsi="Arial"/>
          <w:sz w:val="16"/>
          <w:szCs w:val="16"/>
          <w:color w:val="auto"/>
        </w:rPr>
      </w:pPr>
    </w:p>
    <w:p>
      <w:pPr>
        <w:ind w:right="160" w:firstLine="656"/>
        <w:spacing w:after="0" w:line="257" w:lineRule="auto"/>
        <w:tabs>
          <w:tab w:leader="none" w:pos="130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any Non-Selling Partner exercises the right to purchase the Optioned Interest as provided herein and such Non-Selling Partner(s) have elected to purchase all of the Optioned Interest, the purchase of such Optioned Interest shall be completed within the 30-day period commencing on the date of delivery of the First Refusal Notice on the terms set forth in the First Refusal Notice. If such Non-Selling Partner does not consummate the Purchase of such Optioned Interest, (x) the Selling Partner shall be entitled to all expenses of collection and (y) such Non-Selling Partner shall be deemed a “</w:t>
      </w:r>
      <w:r>
        <w:rPr>
          <w:rFonts w:ascii="Arial" w:cs="Arial" w:eastAsia="Arial" w:hAnsi="Arial"/>
          <w:sz w:val="18"/>
          <w:szCs w:val="18"/>
          <w:b w:val="1"/>
          <w:bCs w:val="1"/>
          <w:i w:val="1"/>
          <w:iCs w:val="1"/>
          <w:color w:val="auto"/>
        </w:rPr>
        <w:t>Non-Purchasing Partner</w:t>
      </w:r>
      <w:r>
        <w:rPr>
          <w:rFonts w:ascii="Arial" w:cs="Arial" w:eastAsia="Arial" w:hAnsi="Arial"/>
          <w:sz w:val="18"/>
          <w:szCs w:val="18"/>
          <w:color w:val="auto"/>
        </w:rPr>
        <w:t>” for the duration of this Agreement.</w:t>
      </w:r>
    </w:p>
    <w:p>
      <w:pPr>
        <w:spacing w:after="0" w:line="188" w:lineRule="exact"/>
        <w:rPr>
          <w:rFonts w:ascii="Arial" w:cs="Arial" w:eastAsia="Arial" w:hAnsi="Arial"/>
          <w:sz w:val="18"/>
          <w:szCs w:val="18"/>
          <w:color w:val="auto"/>
        </w:rPr>
      </w:pPr>
    </w:p>
    <w:p>
      <w:pPr>
        <w:ind w:right="160" w:firstLine="656"/>
        <w:spacing w:after="0" w:line="277" w:lineRule="auto"/>
        <w:tabs>
          <w:tab w:leader="none" w:pos="130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no Class B Partner in its capacity as such shall have any right or obligation to Transfer any Class B Units or any right to purchase any Class A Units pursuant to this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76" w:name="page77"/>
    <w:bookmarkEnd w:id="76"/>
    <w:p>
      <w:pPr>
        <w:spacing w:after="0" w:line="114" w:lineRule="exact"/>
        <w:rPr>
          <w:sz w:val="20"/>
          <w:szCs w:val="20"/>
          <w:color w:val="auto"/>
        </w:rPr>
      </w:pPr>
    </w:p>
    <w:p>
      <w:pPr>
        <w:ind w:right="360" w:firstLine="656"/>
        <w:spacing w:after="0" w:line="277" w:lineRule="auto"/>
        <w:tabs>
          <w:tab w:leader="none" w:pos="130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For the avoidance of doubt, the right of first refusal shall not apply to a Transfer in connection with an Exchange or exercise of the Call Right pursuant to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color w:val="auto"/>
        </w:rPr>
        <w:t>Exchange of Class A Units</w:t>
      </w:r>
    </w:p>
    <w:p>
      <w:pPr>
        <w:spacing w:after="0" w:line="229" w:lineRule="exact"/>
        <w:rPr>
          <w:sz w:val="20"/>
          <w:szCs w:val="20"/>
          <w:color w:val="auto"/>
        </w:rPr>
      </w:pPr>
    </w:p>
    <w:p>
      <w:pPr>
        <w:ind w:firstLine="656"/>
        <w:spacing w:after="0" w:line="270" w:lineRule="auto"/>
        <w:tabs>
          <w:tab w:leader="none" w:pos="129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(i) Subject to adjustment as provided in </w:t>
      </w:r>
      <w:r>
        <w:rPr>
          <w:rFonts w:ascii="Arial" w:cs="Arial" w:eastAsia="Arial" w:hAnsi="Arial"/>
          <w:sz w:val="17"/>
          <w:szCs w:val="17"/>
          <w:u w:val="single" w:color="auto"/>
          <w:color w:val="auto"/>
        </w:rPr>
        <w:t>Section 7.9(d)</w:t>
      </w:r>
      <w:r>
        <w:rPr>
          <w:rFonts w:ascii="Arial" w:cs="Arial" w:eastAsia="Arial" w:hAnsi="Arial"/>
          <w:sz w:val="17"/>
          <w:szCs w:val="17"/>
          <w:color w:val="auto"/>
        </w:rPr>
        <w:t xml:space="preserve"> and subject to PAGP’s rights described in </w:t>
      </w:r>
      <w:r>
        <w:rPr>
          <w:rFonts w:ascii="Arial" w:cs="Arial" w:eastAsia="Arial" w:hAnsi="Arial"/>
          <w:sz w:val="17"/>
          <w:szCs w:val="17"/>
          <w:u w:val="single" w:color="auto"/>
          <w:color w:val="auto"/>
        </w:rPr>
        <w:t>Section 7.9(g)</w:t>
      </w:r>
      <w:r>
        <w:rPr>
          <w:rFonts w:ascii="Arial" w:cs="Arial" w:eastAsia="Arial" w:hAnsi="Arial"/>
          <w:sz w:val="17"/>
          <w:szCs w:val="17"/>
          <w:color w:val="auto"/>
        </w:rPr>
        <w:t xml:space="preserve">, each of the Class A Partners other than PAGP shall be entitled to exchange with the Partnership, at any time and from time to time, any or all of such Partner’s Class A Units (together with the same number of PAGP Class B Shares and, unless the last sentence of this </w:t>
      </w:r>
      <w:r>
        <w:rPr>
          <w:rFonts w:ascii="Arial" w:cs="Arial" w:eastAsia="Arial" w:hAnsi="Arial"/>
          <w:sz w:val="17"/>
          <w:szCs w:val="17"/>
          <w:u w:val="single" w:color="auto"/>
          <w:color w:val="auto"/>
        </w:rPr>
        <w:t>Section 7.9(a)</w:t>
      </w:r>
      <w:r>
        <w:rPr>
          <w:rFonts w:ascii="Arial" w:cs="Arial" w:eastAsia="Arial" w:hAnsi="Arial"/>
          <w:sz w:val="17"/>
          <w:szCs w:val="17"/>
          <w:color w:val="auto"/>
        </w:rPr>
        <w:t xml:space="preserve"> applies, the same number of Holdings GP Units) for an equivalent number of PAGP Class A Shares (an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 xml:space="preserve">”) or, at the Partnership’s election made in accordance with </w:t>
      </w:r>
      <w:r>
        <w:rPr>
          <w:rFonts w:ascii="Arial" w:cs="Arial" w:eastAsia="Arial" w:hAnsi="Arial"/>
          <w:sz w:val="17"/>
          <w:szCs w:val="17"/>
          <w:u w:val="single" w:color="auto"/>
          <w:color w:val="auto"/>
        </w:rPr>
        <w:t>Section 7.9(a)(ii)</w:t>
      </w:r>
      <w:r>
        <w:rPr>
          <w:rFonts w:ascii="Arial" w:cs="Arial" w:eastAsia="Arial" w:hAnsi="Arial"/>
          <w:sz w:val="17"/>
          <w:szCs w:val="17"/>
          <w:color w:val="auto"/>
        </w:rPr>
        <w:t xml:space="preserve">, cash equal to the Cash Election Amount calculated with respect to such Exchange. Each Exchange shall be treated for U.S. federal income tax purposes as a sale of the Exchanging Partner’s Class A Units (together with a the same number of PAGP Class B Shares and, unless the last sentence of this </w:t>
      </w:r>
      <w:r>
        <w:rPr>
          <w:rFonts w:ascii="Arial" w:cs="Arial" w:eastAsia="Arial" w:hAnsi="Arial"/>
          <w:sz w:val="17"/>
          <w:szCs w:val="17"/>
          <w:u w:val="single" w:color="auto"/>
          <w:color w:val="auto"/>
        </w:rPr>
        <w:t>Section 7.9(a)</w:t>
      </w:r>
      <w:r>
        <w:rPr>
          <w:rFonts w:ascii="Arial" w:cs="Arial" w:eastAsia="Arial" w:hAnsi="Arial"/>
          <w:sz w:val="17"/>
          <w:szCs w:val="17"/>
          <w:color w:val="auto"/>
        </w:rPr>
        <w:t xml:space="preserve"> applies, the same number of Holdings GP Units) to PAGP in exchange for PAGP Class A Shares or cash, as applicable. For the avoidance of doubt, any Partner owning Converted Class A Units pursuant to </w:t>
      </w:r>
      <w:r>
        <w:rPr>
          <w:rFonts w:ascii="Arial" w:cs="Arial" w:eastAsia="Arial" w:hAnsi="Arial"/>
          <w:sz w:val="17"/>
          <w:szCs w:val="17"/>
          <w:u w:val="single" w:color="auto"/>
          <w:color w:val="auto"/>
        </w:rPr>
        <w:t>Section 7.10</w:t>
      </w:r>
      <w:r>
        <w:rPr>
          <w:rFonts w:ascii="Arial" w:cs="Arial" w:eastAsia="Arial" w:hAnsi="Arial"/>
          <w:sz w:val="17"/>
          <w:szCs w:val="17"/>
          <w:color w:val="auto"/>
        </w:rPr>
        <w:t xml:space="preserve"> shall be entitled to make an Exchange with respect to such Converted Class A Units without surrendering Holdings GP Units to the Partnership.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55" w:lineRule="auto"/>
        <w:tabs>
          <w:tab w:leader="none" w:pos="156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Upon receipt of an Exchange Notice, the Partnership shall be entitled to elect (a “</w:t>
      </w:r>
      <w:r>
        <w:rPr>
          <w:rFonts w:ascii="Arial" w:cs="Arial" w:eastAsia="Arial" w:hAnsi="Arial"/>
          <w:sz w:val="18"/>
          <w:szCs w:val="18"/>
          <w:b w:val="1"/>
          <w:bCs w:val="1"/>
          <w:i w:val="1"/>
          <w:iCs w:val="1"/>
          <w:color w:val="auto"/>
        </w:rPr>
        <w:t>Cash Election</w:t>
      </w:r>
      <w:r>
        <w:rPr>
          <w:rFonts w:ascii="Arial" w:cs="Arial" w:eastAsia="Arial" w:hAnsi="Arial"/>
          <w:sz w:val="18"/>
          <w:szCs w:val="18"/>
          <w:color w:val="auto"/>
        </w:rPr>
        <w:t>”) to settle the Exchange by the delivery to the Exchanging Partner, in lieu of the applicable number of PAGP Class A Shares that would be received in such Exchange, an amount of cash equal to the Cash Election Amount for such Exchange. In order to make a Cash Election with respect to an Exchange, the Partnership must provide written notice of such election to the Exchanging Partner prior to 1:00 pm, Houston time, on the Business Day after the date on which the Exchange Notice shall have been received by the Partnership. If the Partnership fails to provide such written notice prior to such time, it shall not be entitled to make a Cash Election with respect to such Exchange.</w:t>
      </w:r>
    </w:p>
    <w:p>
      <w:pPr>
        <w:spacing w:after="0" w:line="193" w:lineRule="exact"/>
        <w:rPr>
          <w:rFonts w:ascii="Arial" w:cs="Arial" w:eastAsia="Arial" w:hAnsi="Arial"/>
          <w:sz w:val="18"/>
          <w:szCs w:val="18"/>
          <w:color w:val="auto"/>
        </w:rPr>
      </w:pPr>
    </w:p>
    <w:p>
      <w:pPr>
        <w:ind w:right="40" w:firstLine="656"/>
        <w:spacing w:after="0" w:line="290" w:lineRule="auto"/>
        <w:tabs>
          <w:tab w:leader="none" w:pos="130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In order to exercise the exchange right under </w:t>
      </w:r>
      <w:r>
        <w:rPr>
          <w:rFonts w:ascii="Arial" w:cs="Arial" w:eastAsia="Arial" w:hAnsi="Arial"/>
          <w:sz w:val="16"/>
          <w:szCs w:val="16"/>
          <w:u w:val="single" w:color="auto"/>
          <w:color w:val="auto"/>
        </w:rPr>
        <w:t>Section 7.9(a)</w:t>
      </w:r>
      <w:r>
        <w:rPr>
          <w:rFonts w:ascii="Arial" w:cs="Arial" w:eastAsia="Arial" w:hAnsi="Arial"/>
          <w:sz w:val="16"/>
          <w:szCs w:val="16"/>
          <w:color w:val="auto"/>
        </w:rPr>
        <w:t>, the exchanging Class A Partner (the “</w:t>
      </w:r>
      <w:r>
        <w:rPr>
          <w:rFonts w:ascii="Arial" w:cs="Arial" w:eastAsia="Arial" w:hAnsi="Arial"/>
          <w:sz w:val="16"/>
          <w:szCs w:val="16"/>
          <w:b w:val="1"/>
          <w:bCs w:val="1"/>
          <w:i w:val="1"/>
          <w:iCs w:val="1"/>
          <w:color w:val="auto"/>
        </w:rPr>
        <w:t>Exchanging Partner</w:t>
      </w:r>
      <w:r>
        <w:rPr>
          <w:rFonts w:ascii="Arial" w:cs="Arial" w:eastAsia="Arial" w:hAnsi="Arial"/>
          <w:sz w:val="16"/>
          <w:szCs w:val="16"/>
          <w:color w:val="auto"/>
        </w:rPr>
        <w:t>”) shall provide written notice (the “</w:t>
      </w:r>
      <w:r>
        <w:rPr>
          <w:rFonts w:ascii="Arial" w:cs="Arial" w:eastAsia="Arial" w:hAnsi="Arial"/>
          <w:sz w:val="16"/>
          <w:szCs w:val="16"/>
          <w:b w:val="1"/>
          <w:bCs w:val="1"/>
          <w:i w:val="1"/>
          <w:iCs w:val="1"/>
          <w:color w:val="auto"/>
        </w:rPr>
        <w:t>Exchange Notice</w:t>
      </w:r>
      <w:r>
        <w:rPr>
          <w:rFonts w:ascii="Arial" w:cs="Arial" w:eastAsia="Arial" w:hAnsi="Arial"/>
          <w:sz w:val="16"/>
          <w:szCs w:val="16"/>
          <w:color w:val="auto"/>
        </w:rPr>
        <w:t>”) to the Partnership and PAGP, stating that the Exchanging Partner elects to exchange with the Partnership a stated (and equal) number of Class A Units, PAGP Class B Shares and, if applicable, Holdings GP Units represented, if applicable, by a certificate or certificates, to the extent specified in such notice, and if the PAGP Class A Shares to be received are to be issued other than in the name of the Exchanging Partner, specifying the name(s) of the Person(s) in whose name or on whose order the PAGP Class A Shares are to be issued, and shall present and surrender the certificate or certificates representing such Class A Units, PAGP Class B Shares and, if applicable, Holdings GP Units (in each case, if certificated) during normal business hours at the principal executive offices of the Partnership, or if any agent for the registration or transfer of PAGP Class A Shares is then duly appointed and acting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at the office of the Transfer Agent with respect to such PAGP Class A Shares.</w:t>
      </w:r>
    </w:p>
    <w:p>
      <w:pPr>
        <w:spacing w:after="0" w:line="166" w:lineRule="exact"/>
        <w:rPr>
          <w:rFonts w:ascii="Arial" w:cs="Arial" w:eastAsia="Arial" w:hAnsi="Arial"/>
          <w:sz w:val="16"/>
          <w:szCs w:val="16"/>
          <w:color w:val="auto"/>
        </w:rPr>
      </w:pPr>
    </w:p>
    <w:p>
      <w:pPr>
        <w:ind w:right="160" w:firstLine="656"/>
        <w:spacing w:after="0" w:line="286" w:lineRule="auto"/>
        <w:tabs>
          <w:tab w:leader="none" w:pos="130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If required by PAGP, any certificate for Class A Units, PAGP Class B Shares and the Holdings GP Units (in each case, if certificated) surrendered for exchange with the Partnership shall be accompanied by instruments of transfer, in form reasonably satisfactory to PAGP and the Transfer Agent, duly executed by the Exchanging Partner or the Exchanging Partner’s duly authorized representative. If the Partnership has not made a valid Cash Election, then as promptly as practicable after the receipt of the Exchange Notice and the surrender to the Partnership of the certificate or certificates, if any, representing such Class A Units, PAGP Class B Shares and Holdings GP Units (but in any event by the Exchange Date, as defined below), PAGP shall issue and contribute to the Partnership, and the Partnership shall deliver to the Exchanging Partner, or on the Exchanging Partner’s written order, a certificate or certificates, if applicable, for the number of PAGP Class A Shares issuable upon the Exchange, and the Partnership shall deliver such Class A Units, PAGP Class B Shares and Holdings GP Units to PAGP in exchange for no additional consideration. If the Partnership has made a valid Cash Election, then as promptly as practicable after the receipt of the Exchange Notice (but in no event more than 90 days after receipt of the Exchange Notice), upon surrender to the Partnership of the certificate or certificates, if any, representing such Class A Units, PAGP Class B Shares and Holdings GP Units, the Partnership shall deliver to the Exchanging Partner as directed by the Exchanging Partner by wire transfer of immediately available funds the Cash Election Amount payable upon the Exchange, and the Partnership shall deliver such Class A Units, PAGP Class B Shares and Holdings GP Units to PAGP. Each Exchange shall be deemed to have been effected on (i) (x) the Business Day after the date on which the Exchange Notice shall have been received by the Partnership, PAGP or the Transfer Agent, as applicable (subject to receipt by the Partnership, PAGP or the Transfer Agent, as applicable, within three Business Days thereafter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any required instruments of transfer as aforesaid) if the Partnership has not made a valid Cash Election with respect to such Exchange or (y) if the Partnership has made a valid Cash Election with respect to such Exchange, the first Business Day on which the Partnership has available funds to pay the Cash Election Amount (but in no event more than 90 days after receipt of the Exchange Notice), or (ii) such later date specified in or pursuant to the Exchange Notice (such date identified in clause (i) or (ii), as applicable, the “</w:t>
      </w:r>
      <w:r>
        <w:rPr>
          <w:rFonts w:ascii="Arial" w:cs="Arial" w:eastAsia="Arial" w:hAnsi="Arial"/>
          <w:sz w:val="17"/>
          <w:szCs w:val="17"/>
          <w:b w:val="1"/>
          <w:bCs w:val="1"/>
          <w:i w:val="1"/>
          <w:iCs w:val="1"/>
          <w:color w:val="auto"/>
        </w:rPr>
        <w:t>Exchange Date</w:t>
      </w:r>
      <w:r>
        <w:rPr>
          <w:rFonts w:ascii="Arial" w:cs="Arial" w:eastAsia="Arial" w:hAnsi="Arial"/>
          <w:sz w:val="17"/>
          <w:szCs w:val="17"/>
          <w:color w:val="auto"/>
        </w:rPr>
        <w:t>”). If the Partnership has not made a valid Cash Election, and the Person or Persons in whose name or names any certificate or certificates for PAGP Class A Shares (which certificates shall bear any legends as may be required in accordance with applicable Law) shall be issuable upon such Exchange as aforesaid shall be deemed to have become, on the Exchange Date, the holder or holders of record of the shares represented thereby. Notwithstanding anything herein to the contrary, unless the Partnership has made a valid Cash Election, any Exchanging Partner may withdraw or amend an Exchange request, in whole or in part, prior to the effectiveness of the applicable Exchange, at any time prior to 5:00 p.m., New York City time, on the Business Day immediately preceding the Exchange Date (or any such later time as may be required by applicable law) by delivery of a written notice of withdrawal to the Partnership, PAGP or the Transfer Agent, specifying (1) the certificate numbers of the withdrawn Class A Units, PAGP Class B Shares and Holdings GP Units, (2) if any, the number of Class A Units, PAGP Class B Shares and Holdings GP Units as to which the Exchange Notice remains in effect and (3) if the Exchanging Partner so determines, a new Exchange Date or any other new or revised information permitted in an Exchange Notice. An Exchange Notice may specify that the Exchange is to be contingent (including as to timing) upon the consummation of a purchase by another Person (whether in a tender or exchange offer, an underwritten offering or otherwise) of the PAGP Class A Shares into which the Class A Units, PAGP Class B Shares and Holdings GP Units are exchangeable, or contingent (including as to timing) upon the closing of an announced merger, consolidation or other transaction or event in which the PAGP Class A Shares would be exchanged or converted or become exchangeable for or convertible into cash or other securities or property, provided that the foregoing shall not apply to any Exchange with respect to which the Partnership has made a valid Cash Election.</w:t>
      </w:r>
    </w:p>
    <w:p>
      <w:pPr>
        <w:spacing w:after="0" w:line="191" w:lineRule="exact"/>
        <w:rPr>
          <w:sz w:val="20"/>
          <w:szCs w:val="20"/>
          <w:color w:val="auto"/>
        </w:rPr>
      </w:pPr>
    </w:p>
    <w:p>
      <w:pPr>
        <w:ind w:right="100" w:firstLine="656"/>
        <w:spacing w:after="0" w:line="312" w:lineRule="auto"/>
        <w:tabs>
          <w:tab w:leader="none" w:pos="130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(i) there is any reclassification, reorganization, recapitalization or other similar transaction pursuant to which the PAGP Class A Shares are converted or changed into another security, securities or other property, or (ii) PAGP shall, by dividend or otherwise, distribute to all holders of the PAGP Class A Shares evidences of its indebtedness or assets, including securities (including PAGP Class A Shares and any rights, options or warrants to all holders</w:t>
      </w:r>
    </w:p>
    <w:p>
      <w:pPr>
        <w:sectPr>
          <w:pgSz w:w="11900" w:h="16952" w:orient="portrait"/>
          <w:cols w:equalWidth="0" w:num="1">
            <w:col w:w="11420"/>
          </w:cols>
          <w:pgMar w:left="240" w:top="125" w:right="239" w:bottom="0" w:gutter="0" w:footer="0" w:header="0"/>
        </w:sectPr>
      </w:pPr>
    </w:p>
    <w:bookmarkStart w:id="77" w:name="page78"/>
    <w:bookmarkEnd w:id="77"/>
    <w:p>
      <w:pPr>
        <w:spacing w:after="0" w:line="13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of the PAGP Class A Shares to subscribe for or to purchase or to otherwise acquire PAGP Class A Shares, or other securities or rights convertible into, exchangeable for or exercisable for PAGP Class A Shares) but excluding any cash dividend or distribution as well as any such distribution of indebtedness or assets received by PAGP from AAP in respect of the Class A Units, then upon any subsequent Exchange, in addition to the PAGP Class A Shares or the Cash Election Amount, as applicable, each Class A Partner shall be entitled to receive the amount of such security, securities or other property that such Class A Partner would have received if such Exchange had occurred immediately prior to the effective date of such reclassification, reorganization, recapitalization, other similar transaction dividend or other distribution,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effective time of such reclassification, reorganization, recapitalization or other similar transaction. For the avoidance of doubt, if there is any reclassification, reorganization, recapitalization or other similar transaction in which the PAGP Class A Shares are converted or changed into another security, securities or other property, or any dividend or distribution (other than an excluded dividend or distribution, as described above), this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shall continue to be applicable, mutatis mutandis, with respect to such security or other property. This Agreement shall apply to the Class A Units held by the Class A Partners and their Permitted Transferees as of the date hereof, as well as any Class A Units hereafter acquired by a Class A Partner and his or her or its Permitted Transferees.</w:t>
      </w:r>
    </w:p>
    <w:p>
      <w:pPr>
        <w:spacing w:after="0" w:line="193" w:lineRule="exact"/>
        <w:rPr>
          <w:sz w:val="20"/>
          <w:szCs w:val="20"/>
          <w:color w:val="auto"/>
        </w:rPr>
      </w:pPr>
    </w:p>
    <w:p>
      <w:pPr>
        <w:ind w:right="120" w:firstLine="656"/>
        <w:spacing w:after="0" w:line="255" w:lineRule="auto"/>
        <w:tabs>
          <w:tab w:leader="none" w:pos="130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PAGP shall at all times keep available, solely for the purpose of issuance upon an Exchange, such number of PAGP Class A Shares that shall be issuable upon the Exchange of all such outstanding Class A Units (which, for purposes of this </w:t>
      </w:r>
      <w:r>
        <w:rPr>
          <w:rFonts w:ascii="Arial" w:cs="Arial" w:eastAsia="Arial" w:hAnsi="Arial"/>
          <w:sz w:val="18"/>
          <w:szCs w:val="18"/>
          <w:u w:val="single" w:color="auto"/>
          <w:color w:val="auto"/>
        </w:rPr>
        <w:t>Section 7.9(e)</w:t>
      </w:r>
      <w:r>
        <w:rPr>
          <w:rFonts w:ascii="Arial" w:cs="Arial" w:eastAsia="Arial" w:hAnsi="Arial"/>
          <w:sz w:val="18"/>
          <w:szCs w:val="18"/>
          <w:color w:val="auto"/>
        </w:rPr>
        <w:t xml:space="preserve">, shall include the Class A Units into which the outstanding Class B units may be exchanged in accordance with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hereof). PAGP covenants that all PAGP Class A Shares that shall be issued upon an Exchange shall, upon issuance thereof, be validly issued, fully paid and non-assessable (except as such non-assessability may be affected by Sections 17-303, 17-607 and 17-804 of the Act). In addition, for so long as the PAGP Class A Shares are listed on a National Securities Exchange, PAGP shall use its reasonable best efforts to cause all PAGP Class A Shares issued upon an Exchange to be listed on such National Securities Exchange at the time of such issuance.</w:t>
      </w:r>
    </w:p>
    <w:p>
      <w:pPr>
        <w:spacing w:after="0" w:line="189" w:lineRule="exact"/>
        <w:rPr>
          <w:rFonts w:ascii="Arial" w:cs="Arial" w:eastAsia="Arial" w:hAnsi="Arial"/>
          <w:sz w:val="18"/>
          <w:szCs w:val="18"/>
          <w:color w:val="auto"/>
        </w:rPr>
      </w:pPr>
    </w:p>
    <w:p>
      <w:pPr>
        <w:jc w:val="both"/>
        <w:ind w:right="260" w:firstLine="656"/>
        <w:spacing w:after="0" w:line="302" w:lineRule="auto"/>
        <w:tabs>
          <w:tab w:leader="none" w:pos="130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The issuance of PAGP Class A Shares upon an Exchange shall be made without charge to the Exchanging Partner for any stamp or other similar tax in respect of such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shares are to be issued in a name other than that of the Exchanging Partner, then the Person or Persons in whose name the shares are to be issued shall pay to PAGP the amount of any tax that may be payable in respect of any transfer involved in such issuance or shall establish to the satisfaction of PAGP that such tax has been paid or is not payable.</w:t>
      </w:r>
    </w:p>
    <w:p>
      <w:pPr>
        <w:spacing w:after="0" w:line="154" w:lineRule="exact"/>
        <w:rPr>
          <w:rFonts w:ascii="Arial" w:cs="Arial" w:eastAsia="Arial" w:hAnsi="Arial"/>
          <w:sz w:val="16"/>
          <w:szCs w:val="16"/>
          <w:color w:val="auto"/>
        </w:rPr>
      </w:pPr>
    </w:p>
    <w:p>
      <w:pPr>
        <w:ind w:right="40" w:firstLine="656"/>
        <w:spacing w:after="0" w:line="288" w:lineRule="auto"/>
        <w:tabs>
          <w:tab w:leader="none" w:pos="131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(i) Notwithstanding anything to the contrary in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but subject to </w:t>
      </w:r>
      <w:r>
        <w:rPr>
          <w:rFonts w:ascii="Arial" w:cs="Arial" w:eastAsia="Arial" w:hAnsi="Arial"/>
          <w:sz w:val="16"/>
          <w:szCs w:val="16"/>
          <w:u w:val="single" w:color="auto"/>
          <w:color w:val="auto"/>
        </w:rPr>
        <w:t>Section 7.9(h)</w:t>
      </w:r>
      <w:r>
        <w:rPr>
          <w:rFonts w:ascii="Arial" w:cs="Arial" w:eastAsia="Arial" w:hAnsi="Arial"/>
          <w:sz w:val="16"/>
          <w:szCs w:val="16"/>
          <w:color w:val="auto"/>
        </w:rPr>
        <w:t xml:space="preserve">, an Exchanging Partner shall be deemed to have offered to sell its Class A Units, PAGP Class B Shares and, if applicable, Holdings GP Units as described in the Exchange Notice to PAGP, and PAGP may, in its sole discretion, by means of delivery of Call Election Notices and/or Revocation Notices in accordance with, and subject to the terms of, this </w:t>
      </w:r>
      <w:r>
        <w:rPr>
          <w:rFonts w:ascii="Arial" w:cs="Arial" w:eastAsia="Arial" w:hAnsi="Arial"/>
          <w:sz w:val="16"/>
          <w:szCs w:val="16"/>
          <w:u w:val="single" w:color="auto"/>
          <w:color w:val="auto"/>
        </w:rPr>
        <w:t>Section 7.9(g)</w:t>
      </w:r>
      <w:r>
        <w:rPr>
          <w:rFonts w:ascii="Arial" w:cs="Arial" w:eastAsia="Arial" w:hAnsi="Arial"/>
          <w:sz w:val="16"/>
          <w:szCs w:val="16"/>
          <w:color w:val="auto"/>
        </w:rPr>
        <w:t xml:space="preserve">, elect to purchase directly and acquire such Class A Units, PAGP Class B Shares and, if applicable, Holdings GP Units on the Exchange Date by paying to the Exchanging Partner (or, on the Exchanging Partner’s written order, its designee) that number of PAGP Class A Shares the Exchanging Partner (or its designee) would otherwise receive pursuant to </w:t>
      </w:r>
      <w:r>
        <w:rPr>
          <w:rFonts w:ascii="Arial" w:cs="Arial" w:eastAsia="Arial" w:hAnsi="Arial"/>
          <w:sz w:val="16"/>
          <w:szCs w:val="16"/>
          <w:u w:val="single" w:color="auto"/>
          <w:color w:val="auto"/>
        </w:rPr>
        <w:t>Section 7.9(a)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Call Right</w:t>
      </w:r>
      <w:r>
        <w:rPr>
          <w:rFonts w:ascii="Arial" w:cs="Arial" w:eastAsia="Arial" w:hAnsi="Arial"/>
          <w:sz w:val="16"/>
          <w:szCs w:val="16"/>
          <w:color w:val="auto"/>
        </w:rPr>
        <w:t>”), whereupon PAGP shall acquire the Class A Units, PAGP Class B Shares and, if applicable, Holdings GP Units offered for exchange by the Exchanging Partner and shall be treated for all purposes of this Agreement as the owner of such Class A Units, PAGP Class B Shares and, if applicable, Holdings GP Units. In the event PAGP shall exercise the Call Right, each of the Exchanging Partner, the Partnership and PAGP, as the case may be, shall treat the transaction between Holdings and the Exchanging Partner for federal income tax purposes as a sale of the Exchanging Partner’s Class A Units, PAGP Class B Shares and Holdings GP Units to PAGP.</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8" w:lineRule="auto"/>
        <w:tabs>
          <w:tab w:leader="none" w:pos="1976" w:val="left"/>
        </w:tabs>
        <w:numPr>
          <w:ilvl w:val="1"/>
          <w:numId w:val="185"/>
        </w:numPr>
        <w:rPr>
          <w:rFonts w:ascii="Arial" w:cs="Arial" w:eastAsia="Arial" w:hAnsi="Arial"/>
          <w:sz w:val="16"/>
          <w:szCs w:val="16"/>
          <w:color w:val="auto"/>
        </w:rPr>
      </w:pPr>
      <w:r>
        <w:rPr>
          <w:rFonts w:ascii="Arial" w:cs="Arial" w:eastAsia="Arial" w:hAnsi="Arial"/>
          <w:sz w:val="16"/>
          <w:szCs w:val="16"/>
          <w:color w:val="auto"/>
        </w:rPr>
        <w:t>PAGP may at any time in its sole discretion deliver written notice (a “</w:t>
      </w:r>
      <w:r>
        <w:rPr>
          <w:rFonts w:ascii="Arial" w:cs="Arial" w:eastAsia="Arial" w:hAnsi="Arial"/>
          <w:sz w:val="16"/>
          <w:szCs w:val="16"/>
          <w:b w:val="1"/>
          <w:bCs w:val="1"/>
          <w:i w:val="1"/>
          <w:iCs w:val="1"/>
          <w:color w:val="auto"/>
        </w:rPr>
        <w:t>Call Election Notice</w:t>
      </w:r>
      <w:r>
        <w:rPr>
          <w:rFonts w:ascii="Arial" w:cs="Arial" w:eastAsia="Arial" w:hAnsi="Arial"/>
          <w:sz w:val="16"/>
          <w:szCs w:val="16"/>
          <w:color w:val="auto"/>
        </w:rPr>
        <w:t xml:space="preserve">”) to each other Class A Partner setting forth its election to exercise its Call Right as contemplated by </w:t>
      </w:r>
      <w:r>
        <w:rPr>
          <w:rFonts w:ascii="Arial" w:cs="Arial" w:eastAsia="Arial" w:hAnsi="Arial"/>
          <w:sz w:val="16"/>
          <w:szCs w:val="16"/>
          <w:u w:val="single" w:color="auto"/>
          <w:color w:val="auto"/>
        </w:rPr>
        <w:t>Section 7.9(g)</w:t>
      </w:r>
      <w:r>
        <w:rPr>
          <w:rFonts w:ascii="Arial" w:cs="Arial" w:eastAsia="Arial" w:hAnsi="Arial"/>
          <w:sz w:val="16"/>
          <w:szCs w:val="16"/>
          <w:color w:val="auto"/>
        </w:rPr>
        <w:t xml:space="preserve"> with respect to future Exchanges (without needing to provide further notice of its intention to exercise its Call Right). Subject to the remainder of this </w:t>
      </w:r>
      <w:r>
        <w:rPr>
          <w:rFonts w:ascii="Arial" w:cs="Arial" w:eastAsia="Arial" w:hAnsi="Arial"/>
          <w:sz w:val="16"/>
          <w:szCs w:val="16"/>
          <w:u w:val="single" w:color="auto"/>
          <w:color w:val="auto"/>
        </w:rPr>
        <w:t>Section 7.9(g)(ii)</w:t>
      </w:r>
      <w:r>
        <w:rPr>
          <w:rFonts w:ascii="Arial" w:cs="Arial" w:eastAsia="Arial" w:hAnsi="Arial"/>
          <w:sz w:val="16"/>
          <w:szCs w:val="16"/>
          <w:color w:val="auto"/>
        </w:rPr>
        <w:t>, a Call Election Notice will be effective until such time as PAGP amends such Call Election Notice with a superseding Call Election Notice or revokes such Call Election Notice by delivery of a written notice of revocation delivered to each other Class A Partner or, with respect to a particular Exchange, the Partnership exercises its Cash Election (a “</w:t>
      </w:r>
      <w:r>
        <w:rPr>
          <w:rFonts w:ascii="Arial" w:cs="Arial" w:eastAsia="Arial" w:hAnsi="Arial"/>
          <w:sz w:val="16"/>
          <w:szCs w:val="16"/>
          <w:b w:val="1"/>
          <w:bCs w:val="1"/>
          <w:i w:val="1"/>
          <w:iCs w:val="1"/>
          <w:color w:val="auto"/>
        </w:rPr>
        <w:t>Revocation Notice</w:t>
      </w:r>
      <w:r>
        <w:rPr>
          <w:rFonts w:ascii="Arial" w:cs="Arial" w:eastAsia="Arial" w:hAnsi="Arial"/>
          <w:sz w:val="16"/>
          <w:szCs w:val="16"/>
          <w:color w:val="auto"/>
        </w:rPr>
        <w:t xml:space="preserve">”). A Call Election Notice may be amended or revoked by PAGP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Exchange Notice delivered by a Class A Partner will not, without such Class A Partner’s written consent, be affected by the subsequent delivery of a Revocation Notice or by an Exchange Notice that is not effective until after the Exchange Date. Following delivery of a Revocation Notice, PAGP may deliver a new Call Election Notice pursuant to this </w:t>
      </w:r>
      <w:r>
        <w:rPr>
          <w:rFonts w:ascii="Arial" w:cs="Arial" w:eastAsia="Arial" w:hAnsi="Arial"/>
          <w:sz w:val="16"/>
          <w:szCs w:val="16"/>
          <w:u w:val="single" w:color="auto"/>
          <w:color w:val="auto"/>
        </w:rPr>
        <w:t>Section 7.9(g)</w:t>
      </w:r>
      <w:r>
        <w:rPr>
          <w:rFonts w:ascii="Arial" w:cs="Arial" w:eastAsia="Arial" w:hAnsi="Arial"/>
          <w:sz w:val="16"/>
          <w:szCs w:val="16"/>
          <w:color w:val="auto"/>
        </w:rPr>
        <w:t>. Any amendment of a Call Election Notice will not be effective until the Business Day after its delivery to each Class A Partner (other than PAGP). Each Call Election Notice shall specify the date from which it shall be effective (which shall be no earlier than the Business Day after delivery).</w:t>
      </w:r>
    </w:p>
    <w:p>
      <w:pPr>
        <w:spacing w:after="0" w:line="169" w:lineRule="exact"/>
        <w:rPr>
          <w:rFonts w:ascii="Arial" w:cs="Arial" w:eastAsia="Arial" w:hAnsi="Arial"/>
          <w:sz w:val="16"/>
          <w:szCs w:val="16"/>
          <w:color w:val="auto"/>
        </w:rPr>
      </w:pPr>
    </w:p>
    <w:p>
      <w:pPr>
        <w:ind w:firstLine="656"/>
        <w:spacing w:after="0" w:line="286" w:lineRule="auto"/>
        <w:tabs>
          <w:tab w:leader="none" w:pos="130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the event that a tender offer, share exchange offer, issuer bid, take-over bid, recapitalization or similar transaction with respect to PAGP Class A Shares (a “</w:t>
      </w:r>
      <w:r>
        <w:rPr>
          <w:rFonts w:ascii="Arial" w:cs="Arial" w:eastAsia="Arial" w:hAnsi="Arial"/>
          <w:sz w:val="16"/>
          <w:szCs w:val="16"/>
          <w:b w:val="1"/>
          <w:bCs w:val="1"/>
          <w:i w:val="1"/>
          <w:iCs w:val="1"/>
          <w:color w:val="auto"/>
        </w:rPr>
        <w:t>Pubco Offer</w:t>
      </w:r>
      <w:r>
        <w:rPr>
          <w:rFonts w:ascii="Arial" w:cs="Arial" w:eastAsia="Arial" w:hAnsi="Arial"/>
          <w:sz w:val="16"/>
          <w:szCs w:val="16"/>
          <w:color w:val="auto"/>
        </w:rPr>
        <w:t xml:space="preserve">”) is proposed by PAGP or is proposed to PAGP or its partners and approved by the board of directors of Holdings GP or is otherwise effected or to be effected with the consent or approval of the board of directors of Holdings GP, the Class A Partners (other than PAGP) shall be permitted to participate in such Pubco Offer by delivery of a contingent Exchange Notice in accordance with the last sentence of </w:t>
      </w:r>
      <w:r>
        <w:rPr>
          <w:rFonts w:ascii="Arial" w:cs="Arial" w:eastAsia="Arial" w:hAnsi="Arial"/>
          <w:sz w:val="16"/>
          <w:szCs w:val="16"/>
          <w:u w:val="single" w:color="auto"/>
          <w:color w:val="auto"/>
        </w:rPr>
        <w:t>Section 7.9(c)</w:t>
      </w:r>
      <w:r>
        <w:rPr>
          <w:rFonts w:ascii="Arial" w:cs="Arial" w:eastAsia="Arial" w:hAnsi="Arial"/>
          <w:sz w:val="16"/>
          <w:szCs w:val="16"/>
          <w:color w:val="auto"/>
        </w:rPr>
        <w:t xml:space="preserve">. In the case of a Pubco Offer proposed by PAGP, PAGP will use its reasonable best efforts expeditiously and in good faith to take all such actions and do all such things as are necessary or desirable to enable and permit the Class A Partners to participate in such Pubco Offer to the same extent or on an economically equivalent basis as the holders of PAGP Class A Shares without discrimination;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limiting the generality of this sentence, PAGP will use its reasonable best efforts expeditiously and in good faith to ensure that such Class A Partners may participate in each such Pubco Offer without being required to exchange Class A Units, PAGP Class B Shares and Holdings GP Units (or, if so required, to ensure that any such Exchange shall be effective only upon, and shall be conditional upon, the closing of such Pubco Offer and only to the extent necessary to tender or deposit to the Pubco Offer in accordance with the last sentence of </w:t>
      </w:r>
      <w:r>
        <w:rPr>
          <w:rFonts w:ascii="Arial" w:cs="Arial" w:eastAsia="Arial" w:hAnsi="Arial"/>
          <w:sz w:val="16"/>
          <w:szCs w:val="16"/>
          <w:u w:val="single" w:color="auto"/>
          <w:color w:val="auto"/>
        </w:rPr>
        <w:t>Section 7.9(c)</w:t>
      </w:r>
      <w:r>
        <w:rPr>
          <w:rFonts w:ascii="Arial" w:cs="Arial" w:eastAsia="Arial" w:hAnsi="Arial"/>
          <w:sz w:val="16"/>
          <w:szCs w:val="16"/>
          <w:color w:val="auto"/>
        </w:rPr>
        <w:t>, or, as applicable, to the extent necessary to exchange the number of Class A Units, PAGP Class B Shares and Holdings GP Units being repurchased). For the avoidance of doubt, in no event shall the Class A Partners (other than PAGP) be entitled to receive in such Pubco Offer aggregate consideration for each Class A Unit and corresponding PAGP Class B Share and Holdings GP Unit that is greater than the consideration payable in respect of each PAGP Class A Share in connection with a Pubco Offer.</w:t>
      </w:r>
    </w:p>
    <w:p>
      <w:pPr>
        <w:spacing w:after="0" w:line="171" w:lineRule="exact"/>
        <w:rPr>
          <w:rFonts w:ascii="Arial" w:cs="Arial" w:eastAsia="Arial" w:hAnsi="Arial"/>
          <w:sz w:val="16"/>
          <w:szCs w:val="16"/>
          <w:color w:val="auto"/>
        </w:rPr>
      </w:pPr>
    </w:p>
    <w:p>
      <w:pPr>
        <w:ind w:right="300" w:firstLine="656"/>
        <w:spacing w:after="0" w:line="342" w:lineRule="auto"/>
        <w:tabs>
          <w:tab w:leader="none" w:pos="131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No Exchange shall impair the right of the Exchanging Partner to receive any distributions payable on the Class A Units so exchanged in respect of a Record Date that occurs prior to the Exchange Date for such Exchange. For the avoidance of doubt, no Exchanging Partner, or a Person</w:t>
      </w:r>
    </w:p>
    <w:p>
      <w:pPr>
        <w:sectPr>
          <w:pgSz w:w="11900" w:h="16975" w:orient="portrait"/>
          <w:cols w:equalWidth="0" w:num="1">
            <w:col w:w="11420"/>
          </w:cols>
          <w:pgMar w:left="240" w:top="125" w:right="239" w:bottom="0" w:gutter="0" w:footer="0" w:header="0"/>
        </w:sectPr>
      </w:pPr>
    </w:p>
    <w:bookmarkStart w:id="78" w:name="page79"/>
    <w:bookmarkEnd w:id="78"/>
    <w:p>
      <w:pPr>
        <w:ind w:right="380"/>
        <w:spacing w:after="0" w:line="277" w:lineRule="auto"/>
        <w:rPr>
          <w:sz w:val="20"/>
          <w:szCs w:val="20"/>
          <w:color w:val="auto"/>
        </w:rPr>
      </w:pPr>
      <w:r>
        <w:rPr>
          <w:rFonts w:ascii="Arial" w:cs="Arial" w:eastAsia="Arial" w:hAnsi="Arial"/>
          <w:sz w:val="18"/>
          <w:szCs w:val="18"/>
          <w:color w:val="auto"/>
        </w:rPr>
        <w:t>designated by an Exchanging Partner to receive PAGP Class A Shares, shall be entitled to receive, with respect to the same fiscal quarter, distributions or dividends both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Class A Units exchanged by such Exchanging Partner and on PAGP Class A Shares received by such Exchanging Partner, or other Person so designated, if applicable, in such Exchange.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b w:val="1"/>
          <w:bCs w:val="1"/>
          <w:color w:val="auto"/>
        </w:rPr>
        <w:t>Conversion of Class B Units</w:t>
      </w:r>
    </w:p>
    <w:p>
      <w:pPr>
        <w:spacing w:after="0" w:line="229" w:lineRule="exact"/>
        <w:rPr>
          <w:sz w:val="20"/>
          <w:szCs w:val="20"/>
          <w:color w:val="auto"/>
        </w:rPr>
      </w:pPr>
    </w:p>
    <w:p>
      <w:pPr>
        <w:jc w:val="both"/>
        <w:ind w:right="180" w:firstLine="656"/>
        <w:spacing w:after="0" w:line="259" w:lineRule="auto"/>
        <w:tabs>
          <w:tab w:leader="none" w:pos="129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Subject to and in accordance with the applicable Class B Restricted Unit Agreement, if at any time after December 31, 2015, the PAGP Class A Shares are publicly traded, each of the Class B Partners shall be entitled to exchange (a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any or all of such Class B Partner’s Vested Units for a number of Class A Units (the “</w:t>
      </w:r>
      <w:r>
        <w:rPr>
          <w:rFonts w:ascii="Arial" w:cs="Arial" w:eastAsia="Arial" w:hAnsi="Arial"/>
          <w:sz w:val="18"/>
          <w:szCs w:val="18"/>
          <w:b w:val="1"/>
          <w:bCs w:val="1"/>
          <w:i w:val="1"/>
          <w:iCs w:val="1"/>
          <w:color w:val="auto"/>
        </w:rPr>
        <w:t>Converted Class A Units</w:t>
      </w:r>
      <w:r>
        <w:rPr>
          <w:rFonts w:ascii="Arial" w:cs="Arial" w:eastAsia="Arial" w:hAnsi="Arial"/>
          <w:sz w:val="18"/>
          <w:szCs w:val="18"/>
          <w:color w:val="auto"/>
        </w:rPr>
        <w:t>”) equal to the product of the number of Vested Units being exchanged multiplied by the Conversion Factor as of such Conversion Date (defined below).</w:t>
      </w:r>
    </w:p>
    <w:p>
      <w:pPr>
        <w:spacing w:after="0" w:line="186" w:lineRule="exact"/>
        <w:rPr>
          <w:rFonts w:ascii="Arial" w:cs="Arial" w:eastAsia="Arial" w:hAnsi="Arial"/>
          <w:sz w:val="18"/>
          <w:szCs w:val="18"/>
          <w:color w:val="auto"/>
        </w:rPr>
      </w:pPr>
    </w:p>
    <w:p>
      <w:pPr>
        <w:ind w:right="220" w:firstLine="656"/>
        <w:spacing w:after="0" w:line="342" w:lineRule="auto"/>
        <w:tabs>
          <w:tab w:leader="none" w:pos="130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order to effect a Conversion, the exchanging Class B Partner (the “</w:t>
      </w:r>
      <w:r>
        <w:rPr>
          <w:rFonts w:ascii="Arial" w:cs="Arial" w:eastAsia="Arial" w:hAnsi="Arial"/>
          <w:sz w:val="16"/>
          <w:szCs w:val="16"/>
          <w:b w:val="1"/>
          <w:bCs w:val="1"/>
          <w:i w:val="1"/>
          <w:iCs w:val="1"/>
          <w:color w:val="auto"/>
        </w:rPr>
        <w:t>Converting Partner</w:t>
      </w:r>
      <w:r>
        <w:rPr>
          <w:rFonts w:ascii="Arial" w:cs="Arial" w:eastAsia="Arial" w:hAnsi="Arial"/>
          <w:sz w:val="16"/>
          <w:szCs w:val="16"/>
          <w:color w:val="auto"/>
        </w:rPr>
        <w:t>”) shall deliver written notice (the “</w:t>
      </w:r>
      <w:r>
        <w:rPr>
          <w:rFonts w:ascii="Arial" w:cs="Arial" w:eastAsia="Arial" w:hAnsi="Arial"/>
          <w:sz w:val="16"/>
          <w:szCs w:val="16"/>
          <w:b w:val="1"/>
          <w:bCs w:val="1"/>
          <w:i w:val="1"/>
          <w:i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the Partnership and PAGP stating that the Converting Partner elects to exchange a stated number of Class B Units as specified in such notice.</w:t>
      </w:r>
    </w:p>
    <w:p>
      <w:pPr>
        <w:spacing w:after="0" w:line="123" w:lineRule="exact"/>
        <w:rPr>
          <w:rFonts w:ascii="Arial" w:cs="Arial" w:eastAsia="Arial" w:hAnsi="Arial"/>
          <w:sz w:val="16"/>
          <w:szCs w:val="16"/>
          <w:color w:val="auto"/>
        </w:rPr>
      </w:pPr>
    </w:p>
    <w:p>
      <w:pPr>
        <w:ind w:firstLine="656"/>
        <w:spacing w:after="0" w:line="291" w:lineRule="auto"/>
        <w:tabs>
          <w:tab w:leader="none" w:pos="130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As promptly as practicable after the receipt of the Conversion Notice, PAGP shall issue and contribute to the Partnership a number of PAGP Class B Shares in the same amount as the Converted Class A Units, and the Partnership shall deliver such PAGP Class B Shares to the Converting Partner, and the Partnership shall issue and deliver to the Converting Partner the Converted Class A Units. Each Conversion shall be deemed to have been effected on the Business Day after the date on which the Conversion Notice shall have been received by the Partnership and PAGP (the “</w:t>
      </w:r>
      <w:r>
        <w:rPr>
          <w:rFonts w:ascii="Arial" w:cs="Arial" w:eastAsia="Arial" w:hAnsi="Arial"/>
          <w:sz w:val="16"/>
          <w:szCs w:val="16"/>
          <w:b w:val="1"/>
          <w:bCs w:val="1"/>
          <w:i w:val="1"/>
          <w:iCs w:val="1"/>
          <w:color w:val="auto"/>
        </w:rPr>
        <w:t>Conversion Date</w:t>
      </w:r>
      <w:r>
        <w:rPr>
          <w:rFonts w:ascii="Arial" w:cs="Arial" w:eastAsia="Arial" w:hAnsi="Arial"/>
          <w:sz w:val="16"/>
          <w:szCs w:val="16"/>
          <w:color w:val="auto"/>
        </w:rPr>
        <w:t xml:space="preserve">”), and the applicable Converting Partner shall be deemed to have become, on the Conversion Date, the holder or holders of record of the Converted Class A Units together with an equivalent number of PAGP Class B Shares. All Converted Class A Units shall, upon issuance thereof, be validly issued, fully paid and non-assessable, except as such non-assessability may be affected by Sections 17-303, 17-607 and 17-804 of the Act and as provided in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240" w:firstLine="656"/>
        <w:spacing w:after="0" w:line="264" w:lineRule="auto"/>
        <w:tabs>
          <w:tab w:leader="none" w:pos="130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Upon receipt of the Converted Class A Units, the Converting Partner shall become a Class A Partner in accordance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and shall have all rights, powers and benefits of, and is subject to the obligations, restrictions and liabilities of a Class A Partner under, the Certificate, this Agreement and the Act.</w:t>
      </w:r>
    </w:p>
    <w:p>
      <w:pPr>
        <w:spacing w:after="0" w:line="181" w:lineRule="exact"/>
        <w:rPr>
          <w:rFonts w:ascii="Arial" w:cs="Arial" w:eastAsia="Arial" w:hAnsi="Arial"/>
          <w:sz w:val="18"/>
          <w:szCs w:val="18"/>
          <w:color w:val="auto"/>
        </w:rPr>
      </w:pPr>
    </w:p>
    <w:p>
      <w:pPr>
        <w:ind w:right="180" w:firstLine="656"/>
        <w:spacing w:after="0" w:line="259" w:lineRule="auto"/>
        <w:tabs>
          <w:tab w:leader="none" w:pos="130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Conversion shall impair the right of the Converting Partner to receive any distributions payable on the Class B Units so converted in respect of a record date that occurs prior to the Conversion Date for such Conversion. For the avoidance of doubt, no Converting Partner shall be entitled to receive, in respect of the same fiscal quarter, distributions both on Class B Units converted by such Converting Partner and on the Converted Class A Units received in such Conversion.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AND LIQUIDATION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Dissolution of Partnership</w:t>
      </w:r>
    </w:p>
    <w:p>
      <w:pPr>
        <w:spacing w:after="0" w:line="229"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Partnership shall be dissolved and its affairs wound up upon the first to occur of the following events: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written election of the General Partner, in its sole discretion, to dissolve the Partnership;</w:t>
      </w:r>
    </w:p>
    <w:p>
      <w:pPr>
        <w:spacing w:after="0" w:line="225" w:lineRule="exact"/>
        <w:rPr>
          <w:rFonts w:ascii="Arial" w:cs="Arial" w:eastAsia="Arial" w:hAnsi="Arial"/>
          <w:sz w:val="18"/>
          <w:szCs w:val="18"/>
          <w:color w:val="auto"/>
        </w:rPr>
      </w:pPr>
    </w:p>
    <w:p>
      <w:pPr>
        <w:ind w:left="660" w:right="20" w:firstLine="645"/>
        <w:spacing w:after="0" w:line="255" w:lineRule="auto"/>
        <w:tabs>
          <w:tab w:leader="none" w:pos="198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the occurrence of any event that results in the General Partner ceasing to be the general partner of the Partnership under the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Partnership will not be dissolved and required to be wound up in connection with any such event if (A)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occurrence of such event there is at least one remaining general partner of the Partnership who is hereby authorized to and does carry on the business of the Partnership, or (B) within 90 days after the occurrence of such event, all of the Class A Partners agree in writing to continue the business of the Partnership and to the appointment, effective as of the date of such event, if required, of one or more additional general partners of the Partnership;</w:t>
      </w:r>
    </w:p>
    <w:p>
      <w:pPr>
        <w:spacing w:after="0" w:line="193" w:lineRule="exact"/>
        <w:rPr>
          <w:rFonts w:ascii="Arial" w:cs="Arial" w:eastAsia="Arial" w:hAnsi="Arial"/>
          <w:sz w:val="18"/>
          <w:szCs w:val="18"/>
          <w:color w:val="auto"/>
        </w:rPr>
      </w:pPr>
    </w:p>
    <w:p>
      <w:pPr>
        <w:ind w:left="2000" w:hanging="695"/>
        <w:spacing w:after="0"/>
        <w:tabs>
          <w:tab w:leader="none" w:pos="200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Transfer of all or substantially all of the assets of the Partnership and the receipt and distribution of all the proceeds therefrom;</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at any time that there are no limited partners of the Partnership, unless the business of the Partnership is continued in accordance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with the Act;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entry of a decree of judicial dissolution under Section 17-802 of the Act.</w:t>
      </w:r>
    </w:p>
    <w:p>
      <w:pPr>
        <w:spacing w:after="0" w:line="225" w:lineRule="exact"/>
        <w:rPr>
          <w:rFonts w:ascii="Arial" w:cs="Arial" w:eastAsia="Arial" w:hAnsi="Arial"/>
          <w:sz w:val="18"/>
          <w:szCs w:val="18"/>
          <w:color w:val="auto"/>
        </w:rPr>
      </w:pPr>
    </w:p>
    <w:p>
      <w:pPr>
        <w:ind w:right="500" w:firstLine="656"/>
        <w:spacing w:after="0" w:line="264" w:lineRule="auto"/>
        <w:tabs>
          <w:tab w:leader="none" w:pos="130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withdrawal, death, dissolution, retirement, resignation, expulsion, liquidation or bankruptcy of a Partner, the admission to the Partnership of a new General Partner or Limited Partner, the withdrawal of a Partner from the Partnership, or the transfer by a Partner of its Partnership Interest to a third party shall not, in and of itself, cause the Partnership to dissolve.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Final Accounting</w:t>
      </w:r>
    </w:p>
    <w:p>
      <w:pPr>
        <w:spacing w:after="0" w:line="22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Upon dissolution and winding up of the Partnership, an accounting will be made of the accounts of the Partnership and each Partner and of the Partnership’s assets, liabilities and operations from the date of the last previous accounting to the date of such dissolution.</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Distributions Following Dissolution and Termination</w:t>
      </w:r>
    </w:p>
    <w:p>
      <w:pPr>
        <w:sectPr>
          <w:pgSz w:w="11900" w:h="16838" w:orient="portrait"/>
          <w:cols w:equalWidth="0" w:num="1">
            <w:col w:w="11400"/>
          </w:cols>
          <w:pgMar w:left="240" w:top="125" w:right="259" w:bottom="36" w:gutter="0" w:footer="0" w:header="0"/>
        </w:sectPr>
      </w:pPr>
    </w:p>
    <w:bookmarkStart w:id="79" w:name="page80"/>
    <w:bookmarkEnd w:id="79"/>
    <w:p>
      <w:pPr>
        <w:spacing w:after="0" w:line="32" w:lineRule="exact"/>
        <w:rPr>
          <w:sz w:val="20"/>
          <w:szCs w:val="20"/>
          <w:color w:val="auto"/>
        </w:rPr>
      </w:pPr>
    </w:p>
    <w:p>
      <w:pPr>
        <w:ind w:firstLine="656"/>
        <w:spacing w:after="0" w:line="312" w:lineRule="auto"/>
        <w:tabs>
          <w:tab w:leader="none" w:pos="1294"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Liquidating Trustee</w:t>
      </w:r>
      <w:r>
        <w:rPr>
          <w:rFonts w:ascii="Arial" w:cs="Arial" w:eastAsia="Arial" w:hAnsi="Arial"/>
          <w:sz w:val="16"/>
          <w:szCs w:val="16"/>
          <w:color w:val="auto"/>
        </w:rPr>
        <w:t>. Upon the dissolution of the Partnership, such party as is designated by the General Partner will act as liquidating trustee of the Partnership (the “</w:t>
      </w:r>
      <w:r>
        <w:rPr>
          <w:rFonts w:ascii="Arial" w:cs="Arial" w:eastAsia="Arial" w:hAnsi="Arial"/>
          <w:sz w:val="16"/>
          <w:szCs w:val="16"/>
          <w:b w:val="1"/>
          <w:bCs w:val="1"/>
          <w:i w:val="1"/>
          <w:iCs w:val="1"/>
          <w:color w:val="auto"/>
        </w:rPr>
        <w:t>Liquidating Trustee</w:t>
      </w:r>
      <w:r>
        <w:rPr>
          <w:rFonts w:ascii="Arial" w:cs="Arial" w:eastAsia="Arial" w:hAnsi="Arial"/>
          <w:sz w:val="16"/>
          <w:szCs w:val="16"/>
          <w:color w:val="auto"/>
        </w:rPr>
        <w:t>”) and proceed to wind up the business and affairs of the Partnership in accordance with the terms of this Agreement and applicable law. The Liquidating Trustee will use its reasonable best efforts to sell all Partnership assets (except cash) in the exercise of its best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judgment under the circumstances then presented, that it deems in the best interest of the Partners. The Liquidating Trustee will attempt to convert all assets of the Partnership to cash so long as it can do so consistently with prudent business practice. The Partners and their respective designees will have the right to purchase any Partnership property to be sold on liquidation,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terms on which such sale is made are no less favorable than would otherwise be available from third parties. The gains and losses from the sale of the Partnership assets, together with all other revenue, income, gain, deduction, expense, loss and credit during the period, will be allocated in accordance with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 reasonable amount of time shall be allowed for the period of winding up in light of prevailing market conditions so as to avoid undue loss in connection with any sale of Partnership assets. This Agreement shall remain in full force and effect during the period of winding up. In addition, upon request of the General Partner and if the Liquidating Trustee determines that it would be imprudent to dispose of any non-cash assets of the Partnership, such assets may be distributed in kind to the Partners in lieu of cash, proportionately to their right to receive cash distributions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hereunder.</w:t>
      </w:r>
    </w:p>
    <w:p>
      <w:pPr>
        <w:spacing w:after="0" w:line="182" w:lineRule="exact"/>
        <w:rPr>
          <w:sz w:val="20"/>
          <w:szCs w:val="20"/>
          <w:color w:val="auto"/>
        </w:rPr>
      </w:pPr>
    </w:p>
    <w:p>
      <w:pPr>
        <w:ind w:right="160" w:firstLine="656"/>
        <w:spacing w:after="0" w:line="264" w:lineRule="auto"/>
        <w:tabs>
          <w:tab w:leader="none" w:pos="1304"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Accounting</w:t>
      </w:r>
      <w:r>
        <w:rPr>
          <w:rFonts w:ascii="Arial" w:cs="Arial" w:eastAsia="Arial" w:hAnsi="Arial"/>
          <w:sz w:val="18"/>
          <w:szCs w:val="18"/>
          <w:color w:val="auto"/>
        </w:rPr>
        <w:t>. The Liquidating Trustee will then cause proper accounting to be made of the Capital Account of each Partner, including recognition of any unrealized gain or loss on any asset to be distributed in kind as if such asset had been sold for consideration equal to the fair market value of the asset at the time of the distribution.</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Liquidating 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97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 settling accounts after dissolution of the Partnership, the assets of the Partnership shall be paid to creditors of the Partnership and distributed to the Partners in the following order:</w:t>
      </w:r>
    </w:p>
    <w:p>
      <w:pPr>
        <w:spacing w:after="0" w:line="170" w:lineRule="exact"/>
        <w:rPr>
          <w:rFonts w:ascii="Arial" w:cs="Arial" w:eastAsia="Arial" w:hAnsi="Arial"/>
          <w:sz w:val="18"/>
          <w:szCs w:val="18"/>
          <w:color w:val="auto"/>
        </w:rPr>
      </w:pPr>
    </w:p>
    <w:p>
      <w:pPr>
        <w:ind w:left="1300" w:right="40" w:firstLine="653"/>
        <w:spacing w:after="0" w:line="272" w:lineRule="auto"/>
        <w:tabs>
          <w:tab w:leader="none" w:pos="2617" w:val="left"/>
        </w:tabs>
        <w:numPr>
          <w:ilvl w:val="2"/>
          <w:numId w:val="190"/>
        </w:numPr>
        <w:rPr>
          <w:rFonts w:ascii="Arial" w:cs="Arial" w:eastAsia="Arial" w:hAnsi="Arial"/>
          <w:sz w:val="17"/>
          <w:szCs w:val="17"/>
          <w:color w:val="auto"/>
        </w:rPr>
      </w:pPr>
      <w:r>
        <w:rPr>
          <w:rFonts w:ascii="Arial" w:cs="Arial" w:eastAsia="Arial" w:hAnsi="Arial"/>
          <w:sz w:val="17"/>
          <w:szCs w:val="17"/>
          <w:color w:val="auto"/>
        </w:rPr>
        <w:t xml:space="preserve">to creditors of the Partnership (including Partners)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 distributed in such manner and at such times as the Liquidating Trustee, in its discretion, deems reasonably advisable;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amounts be maintained in a separate bank account and that any amounts in such bank account remaining after three years be distributed to the Partners or their successors and assigns as if such amount had been available for distribution under </w:t>
      </w:r>
      <w:r>
        <w:rPr>
          <w:rFonts w:ascii="Arial" w:cs="Arial" w:eastAsia="Arial" w:hAnsi="Arial"/>
          <w:sz w:val="17"/>
          <w:szCs w:val="17"/>
          <w:u w:val="single" w:color="auto"/>
          <w:color w:val="auto"/>
        </w:rPr>
        <w:t>Section 8.3(c)(ii)</w:t>
      </w:r>
      <w:r>
        <w:rPr>
          <w:rFonts w:ascii="Arial" w:cs="Arial" w:eastAsia="Arial" w:hAnsi="Arial"/>
          <w:sz w:val="17"/>
          <w:szCs w:val="17"/>
          <w:color w:val="auto"/>
        </w:rPr>
        <w:t>; and then</w:t>
      </w:r>
    </w:p>
    <w:p>
      <w:pPr>
        <w:spacing w:after="0" w:line="177" w:lineRule="exact"/>
        <w:rPr>
          <w:rFonts w:ascii="Arial" w:cs="Arial" w:eastAsia="Arial" w:hAnsi="Arial"/>
          <w:sz w:val="17"/>
          <w:szCs w:val="17"/>
          <w:color w:val="auto"/>
        </w:rPr>
      </w:pPr>
    </w:p>
    <w:p>
      <w:pPr>
        <w:ind w:left="1300" w:right="340" w:firstLine="653"/>
        <w:spacing w:after="0" w:line="277" w:lineRule="auto"/>
        <w:tabs>
          <w:tab w:leader="none" w:pos="2607" w:val="left"/>
        </w:tabs>
        <w:numPr>
          <w:ilvl w:val="2"/>
          <w:numId w:val="190"/>
        </w:numPr>
        <w:rPr>
          <w:rFonts w:ascii="Arial" w:cs="Arial" w:eastAsia="Arial" w:hAnsi="Arial"/>
          <w:sz w:val="18"/>
          <w:szCs w:val="18"/>
          <w:color w:val="auto"/>
        </w:rPr>
      </w:pPr>
      <w:r>
        <w:rPr>
          <w:rFonts w:ascii="Arial" w:cs="Arial" w:eastAsia="Arial" w:hAnsi="Arial"/>
          <w:sz w:val="18"/>
          <w:szCs w:val="18"/>
          <w:color w:val="auto"/>
        </w:rPr>
        <w:t>(1) First, an amount equal to Initial Grant Date Partnership Capital, to the Class A Partners pro rata based on the number of Class A Units held; and</w:t>
      </w:r>
    </w:p>
    <w:p>
      <w:pPr>
        <w:spacing w:after="0" w:line="170" w:lineRule="exact"/>
        <w:rPr>
          <w:sz w:val="20"/>
          <w:szCs w:val="20"/>
          <w:color w:val="auto"/>
        </w:rPr>
      </w:pPr>
    </w:p>
    <w:p>
      <w:pPr>
        <w:jc w:val="both"/>
        <w:ind w:right="20" w:firstLine="2601"/>
        <w:spacing w:after="0" w:line="264" w:lineRule="auto"/>
        <w:tabs>
          <w:tab w:leader="none" w:pos="324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Second, with respect to each Subsequent Grant Date (determined in order of Subsequent Grant Date), an amount equal to the difference, if any, between the Subsequent Grant Date Partnership Capital for such Subsequent Grant Date and the Subsequent Grant Date Capital for the immediately preceding Subsequent Grant Date or, if there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is no previous Subsequent Grant Date, the Initial Grant Date Partnership Capital, to the Class A Partners and the Class B Partners, pro rata, based on the number of Class A Units held and the number of Earned Units and/or Vested Units held (to the extent of Class B Units held prior to the Subsequent Grant Date for which such determination is being made); and</w:t>
      </w:r>
    </w:p>
    <w:p>
      <w:pPr>
        <w:spacing w:after="0" w:line="181" w:lineRule="exact"/>
        <w:rPr>
          <w:sz w:val="20"/>
          <w:szCs w:val="20"/>
          <w:color w:val="auto"/>
        </w:rPr>
      </w:pPr>
    </w:p>
    <w:p>
      <w:pPr>
        <w:ind w:right="20" w:firstLine="2601"/>
        <w:spacing w:after="0" w:line="277" w:lineRule="auto"/>
        <w:tabs>
          <w:tab w:leader="none" w:pos="3248" w:val="left"/>
        </w:tabs>
        <w:numPr>
          <w:ilvl w:val="2"/>
          <w:numId w:val="192"/>
        </w:numPr>
        <w:rPr>
          <w:rFonts w:ascii="Arial" w:cs="Arial" w:eastAsia="Arial" w:hAnsi="Arial"/>
          <w:sz w:val="18"/>
          <w:szCs w:val="18"/>
          <w:color w:val="auto"/>
        </w:rPr>
      </w:pPr>
      <w:r>
        <w:rPr>
          <w:rFonts w:ascii="Arial" w:cs="Arial" w:eastAsia="Arial" w:hAnsi="Arial"/>
          <w:sz w:val="18"/>
          <w:szCs w:val="18"/>
          <w:color w:val="auto"/>
        </w:rPr>
        <w:t>Third, any remaining amounts, to the Class A Partners and the Class B Partners, pro rata, based on the number of Class A Units, Earned Units and/or Vested Units held.</w:t>
      </w:r>
    </w:p>
    <w:p>
      <w:pPr>
        <w:spacing w:after="0" w:line="170" w:lineRule="exact"/>
        <w:rPr>
          <w:rFonts w:ascii="Arial" w:cs="Arial" w:eastAsia="Arial" w:hAnsi="Arial"/>
          <w:sz w:val="18"/>
          <w:szCs w:val="18"/>
          <w:color w:val="auto"/>
        </w:rPr>
      </w:pPr>
    </w:p>
    <w:p>
      <w:pPr>
        <w:ind w:left="660" w:right="80" w:firstLine="645"/>
        <w:spacing w:after="0" w:line="297" w:lineRule="auto"/>
        <w:tabs>
          <w:tab w:leader="none" w:pos="198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Any distribution to the Partners in liquidation of the Partnership shall be made by the later of the end of the taxable year in which the liquidation occurs or 90 days after the date of such liquidation. For purposes of the preceding sentence, the term “liquidation” shall have the same meaning as set forth in Regulation Section 1.704-2(b)(2)(ii) as in effect at such time and liquidating distributions shall be further deemed to be made pursuant to this Agreement upon the event of a liquidation as defined in such Regulation for which no actual liquidation occurs with a deemed recontribution by the Partners of such deemed liquidating distributions to the continuing Partnership pursuant to this Agreement.</w:t>
      </w:r>
    </w:p>
    <w:p>
      <w:pPr>
        <w:spacing w:after="0" w:line="158" w:lineRule="exact"/>
        <w:rPr>
          <w:rFonts w:ascii="Arial" w:cs="Arial" w:eastAsia="Arial" w:hAnsi="Arial"/>
          <w:sz w:val="16"/>
          <w:szCs w:val="16"/>
          <w:color w:val="auto"/>
        </w:rPr>
      </w:pPr>
    </w:p>
    <w:p>
      <w:pPr>
        <w:jc w:val="both"/>
        <w:ind w:right="240" w:firstLine="656"/>
        <w:spacing w:after="0" w:line="259" w:lineRule="auto"/>
        <w:tabs>
          <w:tab w:leader="none" w:pos="130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Profits and Losses arising from the dissolution and termination of the Partnership shall be allocated among the Partners so that after such allocations and the other allocations under this Agreement, to the maximum extent possible, the final Capital Account balances of the Member are at levels which would permit liquidating distributions, if made in accordance with such final Capital Account balances, to be equal to the distributions to be made under </w:t>
      </w:r>
      <w:r>
        <w:rPr>
          <w:rFonts w:ascii="Arial" w:cs="Arial" w:eastAsia="Arial" w:hAnsi="Arial"/>
          <w:sz w:val="18"/>
          <w:szCs w:val="18"/>
          <w:u w:val="single" w:color="auto"/>
          <w:color w:val="auto"/>
        </w:rPr>
        <w:t>Section 8.3(c)(ii)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80" w:firstLine="656"/>
        <w:spacing w:after="0" w:line="259" w:lineRule="auto"/>
        <w:tabs>
          <w:tab w:leader="none" w:pos="1307"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No Third Party Benefit</w:t>
      </w:r>
      <w:r>
        <w:rPr>
          <w:rFonts w:ascii="Arial" w:cs="Arial" w:eastAsia="Arial" w:hAnsi="Arial"/>
          <w:sz w:val="18"/>
          <w:szCs w:val="18"/>
          <w:color w:val="auto"/>
        </w:rPr>
        <w:t xml:space="preserve">. The provisions of this Agreement, including, without limitation, this </w:t>
      </w:r>
      <w:r>
        <w:rPr>
          <w:rFonts w:ascii="Arial" w:cs="Arial" w:eastAsia="Arial" w:hAnsi="Arial"/>
          <w:sz w:val="18"/>
          <w:szCs w:val="18"/>
          <w:u w:val="single" w:color="auto"/>
          <w:color w:val="auto"/>
        </w:rPr>
        <w:t>Section 8.3</w:t>
      </w:r>
      <w:r>
        <w:rPr>
          <w:rFonts w:ascii="Arial" w:cs="Arial" w:eastAsia="Arial" w:hAnsi="Arial"/>
          <w:sz w:val="18"/>
          <w:szCs w:val="18"/>
          <w:color w:val="auto"/>
        </w:rPr>
        <w:t>, are intended solely to benefit the Partners and, to the fullest extent permitted by law, shall not be construed as conferring any benefit upon any creditor of the Partnership, and no such creditor of the Partnership shall be a third-party beneficiary of this Agreement, and no Partner shall have any duty or obligation to any creditor of the Partnership to issue any call for capital pursuant to this Agreement.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Termination of the Partnership</w:t>
      </w:r>
    </w:p>
    <w:p>
      <w:pPr>
        <w:spacing w:after="0" w:line="229"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 xml:space="preserve">The Partnership shall terminate when all assets of the Partnership, after payment or due provision for all debts, liabilities and obligations of the Partnership, shall have been distributed to the Partners in the manner provided for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and the Certificate shall have been canceled in the manner required by the Act.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No Action for Dissolution</w:t>
      </w:r>
    </w:p>
    <w:p>
      <w:pPr>
        <w:sectPr>
          <w:pgSz w:w="11900" w:h="16870" w:orient="portrait"/>
          <w:cols w:equalWidth="0" w:num="1">
            <w:col w:w="11420"/>
          </w:cols>
          <w:pgMar w:left="240" w:top="125" w:right="239" w:bottom="0" w:gutter="0" w:footer="0" w:header="0"/>
        </w:sectPr>
      </w:pPr>
    </w:p>
    <w:bookmarkStart w:id="80" w:name="page81"/>
    <w:bookmarkEnd w:id="80"/>
    <w:p>
      <w:pPr>
        <w:spacing w:after="0" w:line="27"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The Limited Partners acknowledge that irreparable damage would be done to the goodwill and reputation of the Partnership if any Limited Partner should bring an action in court to dissolve the Partnership under circumstances where dissolution is not required by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Accordingly, except where the General Partner has failed to cause the liquidation of the Partnership as required by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and except as specifically provided in Section 17-802 of the Act, each Limited Partner hereby to the fullest extent permitted by law waives and renounces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his right to initiate legal action to seek dissolution of the Partnership or to seek the appointment of a receiver or trustee to wind up the affairs of the Partnership, except in the cases of fraud, bad faith or willful misconduct.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BOOKS AND RECORDS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Fiscal Year and Accounting Method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fiscal year and taxable year of the Partnership shall be the calendar year. The Partnership shall use an accrual method of accounting.</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Books and Records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Partnership shall maintain at its principal office, or such other office as may be determined by the General Partner, all the following:</w:t>
      </w:r>
    </w:p>
    <w:p>
      <w:pPr>
        <w:spacing w:after="0" w:line="237" w:lineRule="exact"/>
        <w:rPr>
          <w:sz w:val="20"/>
          <w:szCs w:val="20"/>
          <w:color w:val="auto"/>
        </w:rPr>
      </w:pPr>
    </w:p>
    <w:p>
      <w:pPr>
        <w:jc w:val="both"/>
        <w:ind w:firstLine="656"/>
        <w:spacing w:after="0" w:line="286" w:lineRule="auto"/>
        <w:tabs>
          <w:tab w:leader="none" w:pos="129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Partner, together with information regarding the amount of cash and a description and statement of the agreed value of any other property or services contributed by each Partner and which each Partner has agreed to contribute in the future, and the date on which each Partner became a Partner of the Partnership;</w:t>
      </w:r>
    </w:p>
    <w:p>
      <w:pPr>
        <w:spacing w:after="0" w:line="165" w:lineRule="exact"/>
        <w:rPr>
          <w:rFonts w:ascii="Arial" w:cs="Arial" w:eastAsia="Arial" w:hAnsi="Arial"/>
          <w:sz w:val="17"/>
          <w:szCs w:val="17"/>
          <w:color w:val="auto"/>
        </w:rPr>
      </w:pPr>
    </w:p>
    <w:p>
      <w:pPr>
        <w:ind w:right="400" w:firstLine="656"/>
        <w:spacing w:after="0" w:line="277" w:lineRule="auto"/>
        <w:tabs>
          <w:tab w:leader="none" w:pos="130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copies of the Partnership’s Federal, state, and local income tax or information returns and reports, if any, which shall be retained for at least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six fiscal years;</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financial statements of the Partnership;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Partnership’s books and records.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Delivery to Partners; Inspection</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Upon the request of any Class A Partner, for any purpose reasonably related to such Partner’s interest as a partner of the Partnership, the General Partner shall cause to be made available to the requesting Partner the information required to be maintained by clauses (a) through (e) of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and such other information regarding the business and affairs and financial condition of the Partnership as any Class A Partner may reasonably request.</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color w:val="auto"/>
        </w:rPr>
        <w:t>Financial Statements</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General Partner shall cause to be prepared for the Partners, at the Partnership’s expense, (a) annual financial statements of the Partnership, and its Subsidiaries, prepared in accordance with generally accepted accounting principles and audited by a nationally recognized accounting firm and (b) with respect to the first three quarters of the Partnership’s fiscal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unaudited quarterly financial statements of the Partnership, and its Subsidiaries, prepared in accordance with generally accepted accounting principles (except that such financial statements may (i) be subject to normal year-end audit adjustments and (ii) not contain all notes thereto that may be required under generally accepted accounting principles). The financial statements so furnished shall include the same monthly and quarterly financials, statements of cash flow, any available internal budgets or forecast or other available financial reports as are provided by the Partnership, or any of its Subsidiaries, to any financial institution. Notwithstanding the foregoing, the requirements of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will be deemed satisfied by furnishing to the Partners unaudited unconsolidated financial information of the Partnership in a format similar to the information currently provided to the Lenders (as defined in the Plains AAP Credit Facility) under the Plains AAP Credit Facility; </w:t>
      </w:r>
      <w:r>
        <w:rPr>
          <w:rFonts w:ascii="Arial" w:cs="Arial" w:eastAsia="Arial" w:hAnsi="Arial"/>
          <w:sz w:val="16"/>
          <w:szCs w:val="16"/>
          <w:i w:val="1"/>
          <w:iCs w:val="1"/>
          <w:color w:val="auto"/>
        </w:rPr>
        <w:t>provided</w:t>
      </w:r>
      <w:r>
        <w:rPr>
          <w:rFonts w:ascii="Arial" w:cs="Arial" w:eastAsia="Arial" w:hAnsi="Arial"/>
          <w:sz w:val="16"/>
          <w:szCs w:val="16"/>
          <w:color w:val="auto"/>
        </w:rPr>
        <w:t>, that the MLP also files with the Securities Exchange Commission (A) unaudited interim financial information with respect to the first three quarters of each fiscal year and (B) audited annual financial information with respect to each fiscal year.</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Filings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At the Partnership’s expense, the General Partner shall cause the income tax returns for the Partnership to be prepared and timely filed with the appropriate authorities and to have prepared and to furnish to each Partner such information with respect to the Partnership as is necessary (or as may be reasonably requested by a Partner) to enable the Partners to prepare their Federal, state and local income tax returns. The General Partner, at the Partnership’s expense, shall also cause to be prepared and timely filed, with appropriate Federal, state and local regulatory and administrative bodies, all reports required to be filed by the Partnership with those entities under then current applicable laws, rules, and regulations. The reports shall be prepared on the accounting or reporting basis required by the regulatory bodies.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5"/>
          <w:szCs w:val="15"/>
          <w:b w:val="1"/>
          <w:bCs w:val="1"/>
          <w:color w:val="auto"/>
        </w:rPr>
        <w:t>Non-Disclosure</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Each Class A Partner (other than PAGP) agrees that, except as otherwise consented to by the General Partner in writing, all non-public and</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confidential information furnished to it pursuant to this Agreement will be kept confidential and will not be disclosed by such Partner, or by any of its agents,</w:t>
      </w:r>
    </w:p>
    <w:p>
      <w:pPr>
        <w:sectPr>
          <w:pgSz w:w="11900" w:h="16865" w:orient="portrait"/>
          <w:cols w:equalWidth="0" w:num="1">
            <w:col w:w="11400"/>
          </w:cols>
          <w:pgMar w:left="240" w:top="341" w:right="259" w:bottom="0" w:gutter="0" w:footer="0" w:header="0"/>
        </w:sectPr>
      </w:pPr>
    </w:p>
    <w:bookmarkStart w:id="81" w:name="page82"/>
    <w:bookmarkEnd w:id="81"/>
    <w:p>
      <w:pPr>
        <w:spacing w:after="0" w:line="289" w:lineRule="auto"/>
        <w:rPr>
          <w:sz w:val="20"/>
          <w:szCs w:val="20"/>
          <w:color w:val="auto"/>
        </w:rPr>
      </w:pPr>
      <w:r>
        <w:rPr>
          <w:rFonts w:ascii="Arial" w:cs="Arial" w:eastAsia="Arial" w:hAnsi="Arial"/>
          <w:sz w:val="16"/>
          <w:szCs w:val="16"/>
          <w:color w:val="auto"/>
        </w:rPr>
        <w:t>representatives, or employees, in any manner whatsoever (other than to the Partnership, another Partner or any Person designated by the Partnership), in whole or in part, except that (a) each Partner shall be permitted to disclose such information to those of its agents, representatives, and employees who need to be familiar with such information in connection with such Partner’s investment in the Partnership (collectively,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and are apprised of the confidential nature of such information, (b) each Partner shall be permitted to disclose information to the extent required by law, legal process or regulatory requirements, so long as such Partner shall have used its reasonable efforts to first afford the Partnership with a reasonable opportunity to contest the necessity of disclosing such information, (c) each Partner shall be permitted to disclose such information to possible purchasers of all or a portion of the Partner’s Partnership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prospective purchaser shall execute a suitable confidentiality agreement in a form approved by the General Partner and containing terms not less restrictive than the terms set forth herein, (d) each Partner shall be permitted to disclose information to the extent necessary for the enforcement of any right of such Partner arising under this Agreement and (e) each Partner shall be permitted to report to its shareholders, limited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partners, members or other owners, as applicable, regarding the general status of its investment in the Partnership (without disclosing specific confidential information);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information shall not be deemed confidential information for purposes of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where such information (i) is already known to such Partner (or its Representatives), having been disclosed to such Partner (or its Representatives) by a third Person without such third Person having an obligation of confidentiality to the Partnership, (ii) is or becomes publicly known through no wrongful act of such Partner (or its Representatives), or (iii) is independently developed by such Partner (or its Representatives) without reference to any confidential information disclosed to such Partner under this Agreement. Each Partner shall be responsible for any breach of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by any of its Representatives.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5"/>
          <w:szCs w:val="15"/>
          <w:b w:val="1"/>
          <w:bCs w:val="1"/>
          <w:color w:val="auto"/>
        </w:rPr>
        <w:t>Tax Elections</w:t>
      </w:r>
    </w:p>
    <w:p>
      <w:pPr>
        <w:spacing w:after="0" w:line="229" w:lineRule="exact"/>
        <w:rPr>
          <w:sz w:val="20"/>
          <w:szCs w:val="20"/>
          <w:color w:val="auto"/>
        </w:rPr>
      </w:pPr>
    </w:p>
    <w:p>
      <w:pPr>
        <w:ind w:right="20" w:firstLine="656"/>
        <w:spacing w:after="0" w:line="264" w:lineRule="auto"/>
        <w:tabs>
          <w:tab w:leader="none" w:pos="129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w:t>
      </w:r>
    </w:p>
    <w:p>
      <w:pPr>
        <w:spacing w:after="0" w:line="181" w:lineRule="exact"/>
        <w:rPr>
          <w:rFonts w:ascii="Arial" w:cs="Arial" w:eastAsia="Arial" w:hAnsi="Arial"/>
          <w:sz w:val="18"/>
          <w:szCs w:val="18"/>
          <w:color w:val="auto"/>
        </w:rPr>
      </w:pPr>
    </w:p>
    <w:p>
      <w:pPr>
        <w:ind w:right="500" w:firstLine="656"/>
        <w:spacing w:after="0" w:line="277" w:lineRule="auto"/>
        <w:tabs>
          <w:tab w:leader="none" w:pos="130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Partnership shall elect to deduct expenses incurred in organizing the Partnership ratably over a sixty-month period as provided in Section 709 of the Code.</w:t>
      </w:r>
    </w:p>
    <w:p>
      <w:pPr>
        <w:spacing w:after="0" w:line="170" w:lineRule="exact"/>
        <w:rPr>
          <w:rFonts w:ascii="Arial" w:cs="Arial" w:eastAsia="Arial" w:hAnsi="Arial"/>
          <w:sz w:val="18"/>
          <w:szCs w:val="18"/>
          <w:color w:val="auto"/>
        </w:rPr>
      </w:pPr>
    </w:p>
    <w:p>
      <w:pPr>
        <w:ind w:right="720" w:firstLine="656"/>
        <w:spacing w:after="0" w:line="277" w:lineRule="auto"/>
        <w:tabs>
          <w:tab w:leader="none" w:pos="130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Except as otherwise provided herein, the General Partner shall determine whether the Partnership should make any other elections permitted by the Code.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NON-COMPETITION</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Non-Competition</w:t>
      </w:r>
    </w:p>
    <w:p>
      <w:pPr>
        <w:spacing w:after="0" w:line="229"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 xml:space="preserve">Each of the Class A Partners (other than PAGP) hereby acknowledges that the Partnership and the MLP operate in a competitive business and compete with other Persons operating in the midstream segment of the oil and gas industry for acquisition and business opportunities. Each of the Limited Partners agrees that during the period that it is a Limited Partner, it shall not, directly or indirectly, use any of the confidential information it receives as a Limited Partner to (a) compete with, or (b) engage in or become interested financially in as a principal, employee, partner, shareholder, agent, manager, owner, advisor, lender, guarantor of any Person that competes in North America with, the business conducted by the General Partner, the Partnership, PAA GP and the MLP;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when a Limited Partner engages in such activities, there shall be no presumption of misuse of such confidential information solely because a Representative of such Limited Partner may retain a mental impression of any such confidential information. The Partnership and each of the Limited Partners also agree and acknowledge that (i) Kayne Anderson Capital 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First Reserve XII Advisors, L.L.C. and its Affiliates (“</w:t>
      </w:r>
      <w:r>
        <w:rPr>
          <w:rFonts w:ascii="Arial" w:cs="Arial" w:eastAsia="Arial" w:hAnsi="Arial"/>
          <w:sz w:val="16"/>
          <w:szCs w:val="16"/>
          <w:b w:val="1"/>
          <w:bCs w:val="1"/>
          <w:i w:val="1"/>
          <w:iCs w:val="1"/>
          <w:color w:val="auto"/>
        </w:rPr>
        <w:t>First Reserve</w:t>
      </w:r>
      <w:r>
        <w:rPr>
          <w:rFonts w:ascii="Arial" w:cs="Arial" w:eastAsia="Arial" w:hAnsi="Arial"/>
          <w:sz w:val="16"/>
          <w:szCs w:val="16"/>
          <w:color w:val="auto"/>
        </w:rPr>
        <w:t>”), and EMG Investment, LLC and its Affiliates (“</w:t>
      </w:r>
      <w:r>
        <w:rPr>
          <w:rFonts w:ascii="Arial" w:cs="Arial" w:eastAsia="Arial" w:hAnsi="Arial"/>
          <w:sz w:val="16"/>
          <w:szCs w:val="16"/>
          <w:b w:val="1"/>
          <w:bCs w:val="1"/>
          <w:i w:val="1"/>
          <w:iCs w:val="1"/>
          <w:color w:val="auto"/>
        </w:rPr>
        <w:t>EMG</w:t>
      </w:r>
      <w:r>
        <w:rPr>
          <w:rFonts w:ascii="Arial" w:cs="Arial" w:eastAsia="Arial" w:hAnsi="Arial"/>
          <w:sz w:val="16"/>
          <w:szCs w:val="16"/>
          <w:color w:val="auto"/>
        </w:rPr>
        <w:t>”) manage investments in the energy industry in the ordinary course of business (such investments referred to as “</w:t>
      </w:r>
      <w:r>
        <w:rPr>
          <w:rFonts w:ascii="Arial" w:cs="Arial" w:eastAsia="Arial" w:hAnsi="Arial"/>
          <w:sz w:val="16"/>
          <w:szCs w:val="16"/>
          <w:b w:val="1"/>
          <w:bCs w:val="1"/>
          <w:i w:val="1"/>
          <w:iCs w:val="1"/>
          <w:color w:val="auto"/>
        </w:rPr>
        <w:t>Institutional Investments</w:t>
      </w:r>
      <w:r>
        <w:rPr>
          <w:rFonts w:ascii="Arial" w:cs="Arial" w:eastAsia="Arial" w:hAnsi="Arial"/>
          <w:sz w:val="16"/>
          <w:szCs w:val="16"/>
          <w:color w:val="auto"/>
        </w:rPr>
        <w:t>”) and that Kayne Anderson, First Reserve and EMG may make Institutional Investments, even if such Institutional Investments are competitive with the Partnership’s and its Subsidiaries’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69" w:lineRule="auto"/>
        <w:tabs>
          <w:tab w:leader="none" w:pos="26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Oxy Holding Company (Pipeline), Inc. (“</w:t>
      </w:r>
      <w:r>
        <w:rPr>
          <w:rFonts w:ascii="Arial" w:cs="Arial" w:eastAsia="Arial" w:hAnsi="Arial"/>
          <w:sz w:val="17"/>
          <w:szCs w:val="17"/>
          <w:b w:val="1"/>
          <w:bCs w:val="1"/>
          <w:i w:val="1"/>
          <w:iCs w:val="1"/>
          <w:color w:val="auto"/>
        </w:rPr>
        <w:t>Oxy</w:t>
      </w:r>
      <w:r>
        <w:rPr>
          <w:rFonts w:ascii="Arial" w:cs="Arial" w:eastAsia="Arial" w:hAnsi="Arial"/>
          <w:sz w:val="17"/>
          <w:szCs w:val="17"/>
          <w:color w:val="auto"/>
        </w:rPr>
        <w:t xml:space="preserve">”) and its Affiliates engage in business that includes activities and business or strategic interests or investments that are related to, complement or compete with the businesses of the Partnership and its Subsidiaries and that Oxy and its Affiliates may engage in such activities or business; and (iii) Kayne Anderson, First Reserve, EMG, Oxy and their Affiliates (A) shall not be prohibited, by virtue of its status as a Partner, from pursuing or engaging in such Institutional Investments described in clause (i) above or activities or interests described in clause (ii) above, as applicable; (B) shall not be obligated, or have a duty, to inform or present to the Partnership or any of its Subsidiaries, of any opportunity, relationship or investment (and no other Partner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any duty (if any), whether express or implied by law, to, the Partnership or its Affiliates or any other Partner by reason of such Partner’s (or any of its Representative’s or equity holder’s) involvement in such activities or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such Institutional Investments, activities or interests are not in violation of the provisions of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or the second sentence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Each of the Limited Partners confirms that the restrictions and limitations in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are reasonable and valid and all defenses to the strict enforcement thereof are hereby waived by each of the Limited Partners.</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b w:val="1"/>
          <w:bCs w:val="1"/>
          <w:color w:val="auto"/>
        </w:rPr>
        <w:t>Damages</w:t>
      </w:r>
    </w:p>
    <w:p>
      <w:pPr>
        <w:spacing w:after="0" w:line="229"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 xml:space="preserve">Each of the Limited Partners acknowledges that damages may not be an adequate compensation for the losses which may be suffered by the Partnership as a result of the breach by such Limited Partner of the covenants contained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that the Partnership shall be entitled to seek injunctive relief with respect to any such breach in lieu of or in addition to any recourse in damages without the posting of a bond or other security.</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Limitations</w:t>
      </w:r>
    </w:p>
    <w:p>
      <w:pPr>
        <w:sectPr>
          <w:pgSz w:w="11900" w:h="16838" w:orient="portrait"/>
          <w:cols w:equalWidth="0" w:num="1">
            <w:col w:w="11420"/>
          </w:cols>
          <w:pgMar w:left="240" w:top="125" w:right="239" w:bottom="36" w:gutter="0" w:footer="0" w:header="0"/>
        </w:sectPr>
      </w:pPr>
    </w:p>
    <w:bookmarkStart w:id="82" w:name="page83"/>
    <w:bookmarkEnd w:id="82"/>
    <w:p>
      <w:pPr>
        <w:ind w:right="120" w:firstLine="648"/>
        <w:spacing w:after="0" w:line="277" w:lineRule="auto"/>
        <w:rPr>
          <w:sz w:val="20"/>
          <w:szCs w:val="20"/>
          <w:color w:val="auto"/>
        </w:rPr>
      </w:pPr>
      <w:r>
        <w:rPr>
          <w:rFonts w:ascii="Arial" w:cs="Arial" w:eastAsia="Arial" w:hAnsi="Arial"/>
          <w:sz w:val="18"/>
          <w:szCs w:val="18"/>
          <w:color w:val="auto"/>
        </w:rPr>
        <w:t xml:space="preserve">In the event that a court of competent jurisdiction decides that the limitations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 are too broad, such limitations shall be reduced to those limitations that such court deems reasonable.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Waiver of Default</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No consent or waiver, express or implied, by the Partnership or a Partner with respect to any breach or default by the Partnership or a Partner hereunder shall be deemed or construed to be a consent or waiver with respect to any other breach or default by any party of the same provision or any other provision of this Agreement. Failure on the part of the Partnership or a Partner to complain of any act or failure to act of the Partnership or a Partner or to declare such party in default shall not be deemed or constitute a waiver by the Partnership or the Partner of any rights hereunder.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Amendment of Partnership Agreement</w:t>
      </w:r>
    </w:p>
    <w:p>
      <w:pPr>
        <w:spacing w:after="0" w:line="229" w:lineRule="exact"/>
        <w:rPr>
          <w:sz w:val="20"/>
          <w:szCs w:val="20"/>
          <w:color w:val="auto"/>
        </w:rPr>
      </w:pPr>
    </w:p>
    <w:p>
      <w:pPr>
        <w:ind w:right="20" w:firstLine="656"/>
        <w:spacing w:after="0" w:line="269" w:lineRule="auto"/>
        <w:tabs>
          <w:tab w:leader="none" w:pos="129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elsewhere in this Agreement, this Agreement shall not be amended, modified, superseded or restated except by an amendment approved by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no amendment to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shall be effective without the prior written consent of Oxy; (ii) prior to the Trigger Date, no amendment to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that changes the one-to-one exchange ratio provided for as part of the Exchange right thereunder shall be effective without the prior written consent of the holders of at least two-thirds of the outstanding Class A Units; (iii) no amendment to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other than amendments of the type covered by clause (ii) immediately preceding, that materially adversely affects any right thereunder shall be effective with respect to any Partner without the prior written consent of such Partner; and (iv) no amendment to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that adversely affects the rights of, or imposes any significant additional restriction or obligation on, a Selling Partner thereunder shall be effective without the prior written consent of holders of at least two-thirds of the outstanding Class A Units (excluding any Class A Units owned by PAGP or any of its Affiliates). Notwithstanding any other provisions of this Agreement to the contrary, no change to the one-to-one exchange ratio provided for as part of the Exchange right under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will be made prior to a date that is 30 days after all requisite approval to make such change has been obtained. Without limiting the generality of the foregoing, and except as otherwise set forth in this </w:t>
      </w:r>
      <w:r>
        <w:rPr>
          <w:rFonts w:ascii="Arial" w:cs="Arial" w:eastAsia="Arial" w:hAnsi="Arial"/>
          <w:sz w:val="17"/>
          <w:szCs w:val="17"/>
          <w:u w:val="single" w:color="auto"/>
          <w:color w:val="auto"/>
        </w:rPr>
        <w:t>Section 11.2(a)</w:t>
      </w:r>
      <w:r>
        <w:rPr>
          <w:rFonts w:ascii="Arial" w:cs="Arial" w:eastAsia="Arial" w:hAnsi="Arial"/>
          <w:sz w:val="17"/>
          <w:szCs w:val="17"/>
          <w:color w:val="auto"/>
        </w:rPr>
        <w:t>, this Agreement may be amended without the consent or approval of any Limited Partner, including any Class B Partner.</w:t>
      </w:r>
    </w:p>
    <w:p>
      <w:pPr>
        <w:spacing w:after="0" w:line="179" w:lineRule="exact"/>
        <w:rPr>
          <w:rFonts w:ascii="Arial" w:cs="Arial" w:eastAsia="Arial" w:hAnsi="Arial"/>
          <w:sz w:val="17"/>
          <w:szCs w:val="17"/>
          <w:color w:val="auto"/>
        </w:rPr>
      </w:pPr>
    </w:p>
    <w:p>
      <w:pPr>
        <w:ind w:right="80" w:firstLine="656"/>
        <w:spacing w:after="0" w:line="264" w:lineRule="auto"/>
        <w:tabs>
          <w:tab w:leader="none" w:pos="130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General Partner may make any amendments to any of the Schedules to this Agreement from time to time to reflect transfers of Partnership Interests and issuances of additional Partnership Interests. Copies of such amendments shall be delivered to the Partners promptly upon execution thereof.</w:t>
      </w:r>
    </w:p>
    <w:p>
      <w:pPr>
        <w:spacing w:after="0" w:line="181"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General Partner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Any modification or amendment to this Agreement or the Certificate made in accordance with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shall be binding on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No Third Party Rights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none of the provisions contained in this Agreement shall be for the benefit of or enforceable by any third parties, including creditors of the Partnership.</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b w:val="1"/>
          <w:bCs w:val="1"/>
          <w:color w:val="auto"/>
        </w:rPr>
        <w:t>Nature of Interest in the Partnership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Partner’s Partnership Interest shall be personal property for all purposes.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b w:val="1"/>
          <w:bCs w:val="1"/>
          <w:color w:val="auto"/>
        </w:rPr>
        <w:t>Binding Agreement</w:t>
      </w:r>
    </w:p>
    <w:p>
      <w:pPr>
        <w:spacing w:after="0" w:line="22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Subject to the restrictions on the disposition of Partnership Interests herein contained, the provisions of this Agreement shall be binding upon, and inure to the benefit of, the parties hereto and their respective heirs, personal representatives, successors and permitted assigns.</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5"/>
          <w:szCs w:val="15"/>
          <w:b w:val="1"/>
          <w:bCs w:val="1"/>
          <w:color w:val="auto"/>
        </w:rPr>
        <w:t>Headings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headings of the sections of this Agreement are for convenience only and shall not be considered in construing or interpreting any of the terms or provisions hereof.</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b w:val="1"/>
          <w:bCs w:val="1"/>
          <w:color w:val="auto"/>
        </w:rPr>
        <w:t>Word Meanings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w:t>
      </w:r>
    </w:p>
    <w:p>
      <w:pPr>
        <w:sectPr>
          <w:pgSz w:w="11900" w:h="16838" w:orient="portrait"/>
          <w:cols w:equalWidth="0" w:num="1">
            <w:col w:w="11420"/>
          </w:cols>
          <w:pgMar w:left="240" w:top="125" w:right="239" w:bottom="0" w:gutter="0" w:footer="0" w:header="0"/>
        </w:sectPr>
      </w:pPr>
    </w:p>
    <w:bookmarkStart w:id="83" w:name="page84"/>
    <w:bookmarkEnd w:id="83"/>
    <w:p>
      <w:pPr>
        <w:spacing w:after="0" w:line="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words “include,” “includes” or “including” are used in this Agreement, they shall be deemed to be followed by the words “without limitation”. When verbs are used as nouns, the nouns correspond to such verbs and vice-versa.</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This Agreement may be executed in several counterparts, all of which together shall constitute one agreement binding on all parties hereto, notwithstanding that all the parties have not signed the same counterpart.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Agreement contains the entire agreement between the parties hereto and thereto and supersedes all prior writings or agreements with respect to the subject matter hereof.</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7"/>
          <w:szCs w:val="17"/>
          <w:b w:val="1"/>
          <w:bCs w:val="1"/>
          <w:color w:val="auto"/>
        </w:rPr>
        <w:t>Partition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Partners agree that the Property is not and will not be suitable for partition. Accordingly, each of the Partners hereby irrevocably waives any and all right such Partner may have to maintain any action for partition of any of the Property. No Partner shall have any right to any specific assets of the Partnership upon the liquidation of, or any distribution from, the Partnership.</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b w:val="1"/>
          <w:bCs w:val="1"/>
          <w:color w:val="auto"/>
        </w:rPr>
        <w:t>Governing Law; Consent to Jurisdiction and Venue</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This Agreement shall be construed according to and governed by the laws of the State of Delaware without regard to principles of conflict of laws. The parties hereby submit to the exclusive jurisdiction and venue of the state courts of Harris County, Texas or to the Court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Chancery of the State of Delaware and the United States District Court for the Southern District of Texas and of the United States District Court for the District of Delaware, as the case may be, and agree that the Partnership or Partners may, at their option, enforce their rights hereunder in such courts.</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5"/>
          <w:szCs w:val="15"/>
          <w:b w:val="1"/>
          <w:bCs w:val="1"/>
          <w:color w:val="auto"/>
        </w:rPr>
        <w:t>Special 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Without first delivering at least 30 days’ advance notice to any Existing Owners that own Class A Units at such time, the Partnership shall not:</w:t>
      </w:r>
    </w:p>
    <w:p>
      <w:pPr>
        <w:spacing w:after="0" w:line="35" w:lineRule="exact"/>
        <w:rPr>
          <w:sz w:val="20"/>
          <w:szCs w:val="20"/>
          <w:color w:val="auto"/>
        </w:rPr>
      </w:pPr>
    </w:p>
    <w:p>
      <w:pPr>
        <w:ind w:right="20" w:firstLine="8"/>
        <w:spacing w:after="0" w:line="268" w:lineRule="auto"/>
        <w:tabs>
          <w:tab w:leader="none" w:pos="24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permit or cause the MLP or any of its Subsidiaries to enter into any material agreement or transaction with PAGP or any of its Subsidiaries (other than any member of the MLP Group), which agreement or transaction adversely affects such Existing Owners, including without limitation any such agreement or transaction that involves the issuance to PAGP or any of its Subsidiaries of any securities of the MLP or any of its Subsidiaries, including any debt security of or any partnership or other equity interest in, the MLP or any of its Subsidiaries, or any securities convertible into or exchangeable for any such partnership or other equity interest; provided, however, that no such notice shall be required in connection with (i) any agreement or transaction between the Partnership and the MLP or any of its Subsidiaries, including the issuance to the Partnership of any securities of the MLP or any of its Subsidiaries, including any debt security of or any partnership or other equity interest in, the MLP or any of its Subsidiaries, or any securities convertible into or exchangeable for any such partnership or other equity interest or (ii) any agreements or transactions contemplated by the Registration Statement, this Agreement, the Contribution Agreement or the Administrative Agreement, (b) issue any Partnership Interests to PAGP or its Subsidiaries, Affiliates or shareholders, or (c) make any election to being treated as a corporation for U.S. federal income tax purposes.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Partners have executed this Agreement as of the day and year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GP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LIMITED PARTNERS: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PAA GP Holdings LLC,</w:t>
            </w:r>
          </w:p>
        </w:tc>
      </w:tr>
      <w:tr>
        <w:trPr>
          <w:trHeight w:val="230"/>
        </w:trPr>
        <w:tc>
          <w:tcPr>
            <w:tcW w:w="620" w:type="dxa"/>
            <w:vAlign w:val="bottom"/>
          </w:tcPr>
          <w:p>
            <w:pPr>
              <w:spacing w:after="0"/>
              <w:rPr>
                <w:sz w:val="20"/>
                <w:szCs w:val="20"/>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/s/ Richard McGee</w:t>
            </w:r>
          </w:p>
        </w:tc>
      </w:t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140" w:type="dxa"/>
            <w:vAlign w:val="bottom"/>
          </w:tcPr>
          <w:p>
            <w:pPr>
              <w:spacing w:after="0"/>
              <w:rPr>
                <w:sz w:val="18"/>
                <w:szCs w:val="18"/>
                <w:color w:val="auto"/>
              </w:rPr>
            </w:pPr>
          </w:p>
        </w:tc>
        <w:tc>
          <w:tcPr>
            <w:tcW w:w="4940" w:type="dxa"/>
            <w:vAlign w:val="bottom"/>
            <w:tcBorders>
              <w:top w:val="single" w:sz="8" w:color="auto"/>
            </w:tcBorders>
          </w:tcPr>
          <w:p>
            <w:pPr>
              <w:spacing w:after="0"/>
              <w:rPr>
                <w:sz w:val="18"/>
                <w:szCs w:val="18"/>
                <w:color w:val="auto"/>
              </w:rPr>
            </w:pPr>
          </w:p>
        </w:tc>
      </w:tr>
    </w:tbl>
    <w:p>
      <w:pPr>
        <w:sectPr>
          <w:pgSz w:w="11900" w:h="16925" w:orient="portrait"/>
          <w:cols w:equalWidth="0" w:num="1">
            <w:col w:w="11420"/>
          </w:cols>
          <w:pgMar w:left="240" w:top="125" w:right="239" w:bottom="0" w:gutter="0" w:footer="0" w:header="0"/>
        </w:sectPr>
      </w:pPr>
    </w:p>
    <w:bookmarkStart w:id="84" w:name="page85"/>
    <w:bookmarkEnd w:id="84"/>
    <w:p>
      <w:pPr>
        <w:jc w:val="center"/>
        <w:ind w:left="2680"/>
        <w:spacing w:after="0"/>
        <w:rPr>
          <w:sz w:val="20"/>
          <w:szCs w:val="20"/>
          <w:color w:val="auto"/>
        </w:rPr>
      </w:pPr>
      <w:r>
        <w:rPr>
          <w:rFonts w:ascii="Arial" w:cs="Arial" w:eastAsia="Arial" w:hAnsi="Arial"/>
          <w:sz w:val="18"/>
          <w:szCs w:val="18"/>
          <w:color w:val="auto"/>
        </w:rPr>
        <w:t>Richard McGee</w:t>
      </w:r>
    </w:p>
    <w:p>
      <w:pPr>
        <w:spacing w:after="0" w:line="23" w:lineRule="exact"/>
        <w:rPr>
          <w:sz w:val="20"/>
          <w:szCs w:val="20"/>
          <w:color w:val="auto"/>
        </w:rPr>
      </w:pPr>
    </w:p>
    <w:p>
      <w:pPr>
        <w:ind w:left="4520"/>
        <w:spacing w:after="0"/>
        <w:tabs>
          <w:tab w:leader="none" w:pos="5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OXY HOLDING COMPANY (PIPELINE), INC.</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A. Stevens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Todd A. Stevens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EMG INVESTMENT, LLC</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EMG Admin LP, its manager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EMG Admin, LLC, its general partner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Raymond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John T. Raymond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SIGNATURE PAGE FOR SEVENTH AMENDED AND RESTATED</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KAFU HOLDINGS,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KAFU Holdings, LLC,</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KA FIRST RESERVE XII, LLC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PAA MANAGEMENT, L.P.</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PAA Management LLC,</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Treasurer and</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STROME PAA, L.P.</w:t>
      </w:r>
    </w:p>
    <w:p>
      <w:pPr>
        <w:spacing w:after="0" w:line="225" w:lineRule="exact"/>
        <w:rPr>
          <w:sz w:val="20"/>
          <w:szCs w:val="20"/>
          <w:color w:val="auto"/>
        </w:rPr>
      </w:pPr>
    </w:p>
    <w:p>
      <w:pPr>
        <w:jc w:val="both"/>
        <w:ind w:left="4520"/>
        <w:spacing w:after="0"/>
        <w:tabs>
          <w:tab w:leader="none" w:pos="52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Strome Investment Management, LP, its general partner</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E Strome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Mark E. Strome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MARK E. STROME LIVING TRUST</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E Strome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Mark E. Strome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Settlor &amp; Trustee</w:t>
            </w:r>
          </w:p>
        </w:tc>
      </w:tr>
    </w:tbl>
    <w:p>
      <w:pPr>
        <w:sectPr>
          <w:pgSz w:w="11900" w:h="16838" w:orient="portrait"/>
          <w:cols w:equalWidth="0" w:num="1">
            <w:col w:w="10220"/>
          </w:cols>
          <w:pgMar w:left="1440" w:top="125" w:right="239" w:bottom="0" w:gutter="0" w:footer="0" w:header="0"/>
        </w:sectPr>
      </w:pPr>
    </w:p>
    <w:bookmarkStart w:id="85" w:name="page86"/>
    <w:bookmarkEnd w:id="85"/>
    <w:p>
      <w:pPr>
        <w:jc w:val="center"/>
        <w:ind w:right="1200"/>
        <w:spacing w:after="0"/>
        <w:rPr>
          <w:sz w:val="20"/>
          <w:szCs w:val="20"/>
          <w:color w:val="auto"/>
        </w:rPr>
      </w:pPr>
      <w:r>
        <w:rPr>
          <w:rFonts w:ascii="Arial" w:cs="Arial" w:eastAsia="Arial" w:hAnsi="Arial"/>
          <w:sz w:val="17"/>
          <w:szCs w:val="17"/>
          <w:color w:val="auto"/>
        </w:rPr>
        <w:t>SIGNATURE PAGE FOR SEVENTH AMENDED AND RESTATED</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WINDY, L.L.C.</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David Scott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 David Scott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LYNX HOLDINGS I, LLC</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Raymond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John T. Raymond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Sole Member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KAFU HOLDINGS II, L.P.</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KAFU Holdings, LLC,</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KAYNE ANDERSON MLP INVESTMENT COMPANY</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14" w:lineRule="exact"/>
        <w:rPr>
          <w:sz w:val="20"/>
          <w:szCs w:val="20"/>
          <w:color w:val="auto"/>
        </w:rPr>
      </w:pPr>
    </w:p>
    <w:p>
      <w:pPr>
        <w:jc w:val="right"/>
        <w:ind w:right="760"/>
        <w:spacing w:after="0"/>
        <w:rPr>
          <w:sz w:val="20"/>
          <w:szCs w:val="20"/>
          <w:color w:val="auto"/>
        </w:rPr>
      </w:pPr>
      <w:r>
        <w:rPr>
          <w:rFonts w:ascii="Arial" w:cs="Arial" w:eastAsia="Arial" w:hAnsi="Arial"/>
          <w:sz w:val="18"/>
          <w:szCs w:val="18"/>
          <w:b w:val="1"/>
          <w:bCs w:val="1"/>
          <w:color w:val="auto"/>
        </w:rPr>
        <w:t>KAYNE ANDERSON ENERGY DEVELOPMENT COMPANY</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SIGNATURE PAGE FOR SEVENTH AMENDED AND RESTATED</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KAYNE ANDERSON MIDSTREAM/ ENERGY FUND, INC.</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JAY CHERNOSKY</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PAUL N. RIDDLE</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Paul N. Riddle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RUSSELL T. CLINGMAN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Russell T. Clingman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sectPr>
      </w:pPr>
    </w:p>
    <w:bookmarkStart w:id="86" w:name="page87"/>
    <w:bookmarkEnd w:id="86"/>
    <w:p>
      <w:pPr>
        <w:ind w:left="4520"/>
        <w:spacing w:after="0"/>
        <w:rPr>
          <w:sz w:val="20"/>
          <w:szCs w:val="20"/>
          <w:color w:val="auto"/>
        </w:rPr>
      </w:pPr>
      <w:r>
        <w:rPr>
          <w:rFonts w:ascii="Arial" w:cs="Arial" w:eastAsia="Arial" w:hAnsi="Arial"/>
          <w:sz w:val="18"/>
          <w:szCs w:val="18"/>
          <w:b w:val="1"/>
          <w:bCs w:val="1"/>
          <w:color w:val="auto"/>
        </w:rPr>
        <w:t>DAVID E. HUMPHREYS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PHILIP J. TRINDER</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 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KIPP PAA TRUST</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Kipp</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Christine Kipp</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SIGNATURE PAGE FOR SEVENTH AMENDED AND RESTATED</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87" w:name="page88"/>
    <w:bookmarkEnd w:id="87"/>
    <w:p>
      <w:pPr>
        <w:spacing w:after="0" w:line="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3.4</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97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rPr>
              <w:t>SIXTH AMENDED AND RESTATED</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97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rPr>
              <w:t>LIMITED LIABILITY COMPANY AGREEMENT</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080" w:type="dxa"/>
            <w:vAlign w:val="bottom"/>
            <w:gridSpan w:val="2"/>
          </w:tcPr>
          <w:p>
            <w:pPr>
              <w:jc w:val="center"/>
              <w:ind w:right="4180"/>
              <w:spacing w:after="0"/>
              <w:rPr>
                <w:sz w:val="20"/>
                <w:szCs w:val="20"/>
                <w:color w:val="auto"/>
              </w:rPr>
            </w:pPr>
            <w:r>
              <w:rPr>
                <w:rFonts w:ascii="Arial" w:cs="Arial" w:eastAsia="Arial" w:hAnsi="Arial"/>
                <w:sz w:val="18"/>
                <w:szCs w:val="18"/>
                <w:b w:val="1"/>
                <w:bCs w:val="1"/>
                <w:color w:val="auto"/>
              </w:rPr>
              <w:t>OF</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97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rPr>
              <w:t>PLAINS ALL AMERICAN GP LLC</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976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dated as of October 21, 2013</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08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41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40"/>
        </w:trPr>
        <w:tc>
          <w:tcPr>
            <w:tcW w:w="1080" w:type="dxa"/>
            <w:vAlign w:val="bottom"/>
          </w:tcPr>
          <w:p>
            <w:pPr>
              <w:spacing w:after="0"/>
              <w:rPr>
                <w:sz w:val="24"/>
                <w:szCs w:val="24"/>
                <w:color w:val="auto"/>
              </w:rPr>
            </w:pPr>
          </w:p>
        </w:tc>
        <w:tc>
          <w:tcPr>
            <w:tcW w:w="97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840" w:type="dxa"/>
            <w:vAlign w:val="bottom"/>
            <w:gridSpan w:val="4"/>
          </w:tcPr>
          <w:p>
            <w:pPr>
              <w:spacing w:after="0"/>
              <w:rPr>
                <w:sz w:val="20"/>
                <w:szCs w:val="20"/>
                <w:color w:val="auto"/>
              </w:rPr>
            </w:pPr>
            <w:r>
              <w:rPr>
                <w:rFonts w:ascii="Arial" w:cs="Arial" w:eastAsia="Arial" w:hAnsi="Arial"/>
                <w:sz w:val="18"/>
                <w:szCs w:val="18"/>
                <w:color w:val="auto"/>
              </w:rPr>
              <w:t>Article 1 DEFINITIONS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0840" w:type="dxa"/>
            <w:vAlign w:val="bottom"/>
            <w:gridSpan w:val="4"/>
          </w:tcPr>
          <w:p>
            <w:pPr>
              <w:spacing w:after="0"/>
              <w:rPr>
                <w:sz w:val="20"/>
                <w:szCs w:val="20"/>
                <w:color w:val="auto"/>
              </w:rPr>
            </w:pPr>
            <w:r>
              <w:rPr>
                <w:rFonts w:ascii="Arial" w:cs="Arial" w:eastAsia="Arial" w:hAnsi="Arial"/>
                <w:sz w:val="18"/>
                <w:szCs w:val="18"/>
                <w:color w:val="auto"/>
              </w:rPr>
              <w:t>Article 2 GENERAL</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2.1</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Formation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2.2</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Principal Office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2.3</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Registered Office and Registered Agent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2.4</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Purpose of the Company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2.5</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Date of Dissolution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2.6</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Qualification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2.7</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Sole Member</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2.8</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Reliance by Third Parties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8"/>
        </w:trPr>
        <w:tc>
          <w:tcPr>
            <w:tcW w:w="10840" w:type="dxa"/>
            <w:vAlign w:val="bottom"/>
            <w:gridSpan w:val="4"/>
          </w:tcPr>
          <w:p>
            <w:pPr>
              <w:spacing w:after="0"/>
              <w:rPr>
                <w:sz w:val="20"/>
                <w:szCs w:val="20"/>
                <w:color w:val="auto"/>
              </w:rPr>
            </w:pPr>
            <w:r>
              <w:rPr>
                <w:rFonts w:ascii="Arial" w:cs="Arial" w:eastAsia="Arial" w:hAnsi="Arial"/>
                <w:sz w:val="18"/>
                <w:szCs w:val="18"/>
                <w:color w:val="auto"/>
              </w:rPr>
              <w:t>Article 3 CAPITALIZATION OF THE COMPANY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3.1</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Capital Contributions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3.2</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Loans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8"/>
        </w:trPr>
        <w:tc>
          <w:tcPr>
            <w:tcW w:w="10840" w:type="dxa"/>
            <w:vAlign w:val="bottom"/>
            <w:gridSpan w:val="4"/>
          </w:tcPr>
          <w:p>
            <w:pPr>
              <w:spacing w:after="0"/>
              <w:rPr>
                <w:sz w:val="20"/>
                <w:szCs w:val="20"/>
                <w:color w:val="auto"/>
              </w:rPr>
            </w:pPr>
            <w:r>
              <w:rPr>
                <w:rFonts w:ascii="Arial" w:cs="Arial" w:eastAsia="Arial" w:hAnsi="Arial"/>
                <w:sz w:val="18"/>
                <w:szCs w:val="18"/>
                <w:color w:val="auto"/>
              </w:rPr>
              <w:t>Article 4 DISTRIBUTIONS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4.1</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Distributions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4.2</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Limitation on Distributions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8"/>
        </w:trPr>
        <w:tc>
          <w:tcPr>
            <w:tcW w:w="10840" w:type="dxa"/>
            <w:vAlign w:val="bottom"/>
            <w:gridSpan w:val="4"/>
          </w:tcPr>
          <w:p>
            <w:pPr>
              <w:spacing w:after="0"/>
              <w:rPr>
                <w:sz w:val="20"/>
                <w:szCs w:val="20"/>
                <w:color w:val="auto"/>
              </w:rPr>
            </w:pPr>
            <w:r>
              <w:rPr>
                <w:rFonts w:ascii="Arial" w:cs="Arial" w:eastAsia="Arial" w:hAnsi="Arial"/>
                <w:sz w:val="18"/>
                <w:szCs w:val="18"/>
                <w:color w:val="auto"/>
              </w:rPr>
              <w:t>Article 5 MANAGEMENT AND CONTROL</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5.1</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Authority; Board of Directors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5.2</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Meetings of the Board</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5.3</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Quorum and Acts of the Board</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5.4</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Communications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5.5</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Committees of Directors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5.6</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Compensation of Directors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5.7</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Directors as Agents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5.8</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Officers; Agents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5.9</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Matters Requiring Sole Member Approval</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5.10</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Actions Requiring Consent of Oxy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5.11</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Matters Requiring Board Approval</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18"/>
        </w:trPr>
        <w:tc>
          <w:tcPr>
            <w:tcW w:w="10840" w:type="dxa"/>
            <w:vAlign w:val="bottom"/>
            <w:gridSpan w:val="4"/>
          </w:tcPr>
          <w:p>
            <w:pPr>
              <w:spacing w:after="0"/>
              <w:rPr>
                <w:sz w:val="20"/>
                <w:szCs w:val="20"/>
                <w:color w:val="auto"/>
              </w:rPr>
            </w:pPr>
            <w:r>
              <w:rPr>
                <w:rFonts w:ascii="Arial" w:cs="Arial" w:eastAsia="Arial" w:hAnsi="Arial"/>
                <w:sz w:val="18"/>
                <w:szCs w:val="18"/>
                <w:color w:val="auto"/>
              </w:rPr>
              <w:t>Article 6 LIABILITY AND INDEMNIFICATION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6.1</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Limitation on Liability of Members, Directors and Officers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6.2</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Indemnification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18"/>
        </w:trPr>
        <w:tc>
          <w:tcPr>
            <w:tcW w:w="10840" w:type="dxa"/>
            <w:vAlign w:val="bottom"/>
            <w:gridSpan w:val="4"/>
          </w:tcPr>
          <w:p>
            <w:pPr>
              <w:spacing w:after="0"/>
              <w:rPr>
                <w:sz w:val="20"/>
                <w:szCs w:val="20"/>
                <w:color w:val="auto"/>
              </w:rPr>
            </w:pPr>
            <w:r>
              <w:rPr>
                <w:rFonts w:ascii="Arial" w:cs="Arial" w:eastAsia="Arial" w:hAnsi="Arial"/>
                <w:sz w:val="18"/>
                <w:szCs w:val="18"/>
                <w:color w:val="auto"/>
              </w:rPr>
              <w:t>Article 7 DISSOLUTION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7.1</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Dissolution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18"/>
        </w:trPr>
        <w:tc>
          <w:tcPr>
            <w:tcW w:w="10840" w:type="dxa"/>
            <w:vAlign w:val="bottom"/>
            <w:gridSpan w:val="4"/>
          </w:tcPr>
          <w:p>
            <w:pPr>
              <w:spacing w:after="0"/>
              <w:rPr>
                <w:sz w:val="20"/>
                <w:szCs w:val="20"/>
                <w:color w:val="auto"/>
              </w:rPr>
            </w:pPr>
            <w:r>
              <w:rPr>
                <w:rFonts w:ascii="Arial" w:cs="Arial" w:eastAsia="Arial" w:hAnsi="Arial"/>
                <w:sz w:val="18"/>
                <w:szCs w:val="18"/>
                <w:color w:val="auto"/>
              </w:rPr>
              <w:t>Article 8 MISCELLANEOUS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Waiver of Default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8.2</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Amendment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8.3</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No Third Party Rights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8.4</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Severability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8.5</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Nature of Interest in the Company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32"/>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080" w:type="dxa"/>
            <w:vAlign w:val="bottom"/>
            <w:gridSpan w:val="2"/>
          </w:tcPr>
          <w:p>
            <w:pPr>
              <w:jc w:val="center"/>
              <w:ind w:right="4180"/>
              <w:spacing w:after="0"/>
              <w:rPr>
                <w:sz w:val="20"/>
                <w:szCs w:val="20"/>
                <w:color w:val="auto"/>
              </w:rPr>
            </w:pPr>
            <w:r>
              <w:rPr>
                <w:rFonts w:ascii="Arial" w:cs="Arial" w:eastAsia="Arial" w:hAnsi="Arial"/>
                <w:sz w:val="18"/>
                <w:szCs w:val="18"/>
                <w:color w:val="auto"/>
              </w:rPr>
              <w:t>i</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36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gridSpan w:val="2"/>
          </w:tcPr>
          <w:p>
            <w:pPr>
              <w:spacing w:after="0"/>
              <w:rPr>
                <w:sz w:val="11"/>
                <w:szCs w:val="11"/>
                <w:color w:val="auto"/>
              </w:rPr>
            </w:pPr>
          </w:p>
        </w:tc>
      </w:tr>
      <w:tr>
        <w:trPr>
          <w:trHeight w:val="766"/>
        </w:trPr>
        <w:tc>
          <w:tcPr>
            <w:tcW w:w="1080" w:type="dxa"/>
            <w:vAlign w:val="bottom"/>
          </w:tcPr>
          <w:p>
            <w:pPr>
              <w:ind w:left="540"/>
              <w:spacing w:after="0"/>
              <w:rPr>
                <w:sz w:val="20"/>
                <w:szCs w:val="20"/>
                <w:color w:val="auto"/>
              </w:rPr>
            </w:pPr>
            <w:r>
              <w:rPr>
                <w:rFonts w:ascii="Arial" w:cs="Arial" w:eastAsia="Arial" w:hAnsi="Arial"/>
                <w:sz w:val="18"/>
                <w:szCs w:val="18"/>
                <w:color w:val="auto"/>
              </w:rPr>
              <w:t>8.6</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Binding Agreement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8.7</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Headings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8.8</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Word Meanings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8.9</w:t>
            </w:r>
          </w:p>
        </w:tc>
        <w:tc>
          <w:tcPr>
            <w:tcW w:w="9760" w:type="dxa"/>
            <w:vAlign w:val="bottom"/>
            <w:gridSpan w:val="3"/>
          </w:tcPr>
          <w:p>
            <w:pPr>
              <w:ind w:left="220"/>
              <w:spacing w:after="0"/>
              <w:rPr>
                <w:sz w:val="20"/>
                <w:szCs w:val="20"/>
                <w:color w:val="auto"/>
              </w:rPr>
            </w:pPr>
            <w:r>
              <w:rPr>
                <w:rFonts w:ascii="Arial" w:cs="Arial" w:eastAsia="Arial" w:hAnsi="Arial"/>
                <w:sz w:val="18"/>
                <w:szCs w:val="18"/>
                <w:color w:val="auto"/>
              </w:rPr>
              <w:t>Counterparts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-8491220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-8491220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21" w:right="199" w:bottom="0" w:gutter="0" w:footer="0" w:header="0"/>
        </w:sectPr>
      </w:pPr>
    </w:p>
    <w:bookmarkStart w:id="88" w:name="page89"/>
    <w:bookmarkEnd w:id="88"/>
    <w:p>
      <w:pPr>
        <w:spacing w:after="0" w:line="3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8.10</w:t>
            </w:r>
          </w:p>
        </w:tc>
        <w:tc>
          <w:tcPr>
            <w:tcW w:w="704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3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8.11</w:t>
            </w:r>
          </w:p>
        </w:tc>
        <w:tc>
          <w:tcPr>
            <w:tcW w:w="7040" w:type="dxa"/>
            <w:vAlign w:val="bottom"/>
          </w:tcPr>
          <w:p>
            <w:pPr>
              <w:ind w:left="220"/>
              <w:spacing w:after="0"/>
              <w:rPr>
                <w:sz w:val="20"/>
                <w:szCs w:val="20"/>
                <w:color w:val="auto"/>
              </w:rPr>
            </w:pPr>
            <w:r>
              <w:rPr>
                <w:rFonts w:ascii="Arial" w:cs="Arial" w:eastAsia="Arial" w:hAnsi="Arial"/>
                <w:sz w:val="18"/>
                <w:szCs w:val="18"/>
                <w:color w:val="auto"/>
              </w:rPr>
              <w:t>Governing Law; Consent to Jurisdiction and Venue</w:t>
            </w:r>
          </w:p>
        </w:tc>
        <w:tc>
          <w:tcPr>
            <w:tcW w:w="330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GP LLC</w:t>
      </w:r>
    </w:p>
    <w:p>
      <w:pPr>
        <w:spacing w:after="0" w:line="21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SIXTH AMENDED AND RESTATED LIMITED LIABILITY COMPANY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Plains All American GP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and entered into as of October 21, 2013, by Plains GP Holdings, L.P., a Delaware limited partnership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and the sole member of the Company.</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WHEREAS, the Company was formed on May 21, 2001 as a limited liability company under the Delaware Limited Liability Company Act by the filing of a certificate of formation of the Company with the Delaware Secretary of State;</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in connection with the transactions contemplated by the Contribution Agreement (as defined herein), 100% of the membership interests of the Company have been contributed to PAGP;</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as a result of the transactions contemplated by the Contribution Agreement, the Company holds a non-economic general partner interest in Plains AAP, L.P., a Delaware limited partnership (“</w:t>
      </w:r>
      <w:r>
        <w:rPr>
          <w:rFonts w:ascii="Arial" w:cs="Arial" w:eastAsia="Arial" w:hAnsi="Arial"/>
          <w:sz w:val="18"/>
          <w:szCs w:val="18"/>
          <w:b w:val="1"/>
          <w:bCs w:val="1"/>
          <w:i w:val="1"/>
          <w:iCs w:val="1"/>
          <w:color w:val="auto"/>
        </w:rPr>
        <w:t>AAP</w:t>
      </w:r>
      <w:r>
        <w:rPr>
          <w:rFonts w:ascii="Arial" w:cs="Arial" w:eastAsia="Arial" w:hAnsi="Arial"/>
          <w:sz w:val="18"/>
          <w:szCs w:val="18"/>
          <w:color w:val="auto"/>
        </w:rPr>
        <w:t>”); and</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WHEREAS, PAGP desires to amend and restate the Fifth Amended and Restated Limited Liability Company Agreement of the Company in its entirety with the terms and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contained herein,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 unless the context otherwise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Credit Facility</w:t>
      </w:r>
      <w:r>
        <w:rPr>
          <w:rFonts w:ascii="Arial" w:cs="Arial" w:eastAsia="Arial" w:hAnsi="Arial"/>
          <w:sz w:val="18"/>
          <w:szCs w:val="18"/>
          <w:color w:val="auto"/>
        </w:rPr>
        <w:t>” means the Second Amended and Restated Credit Agreement, dated as of September 26, 2013, among AAP, the Lenders (as defined therein) and Citibank, N.A., as Administrative Agent (as defined therein) , as such may be further amended, modified, supplemented or restated from time to time in accordance with the terms thereof.</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Seventh Amended and Restated Limited Partnership Agreement of AAP,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has the meaning set forth in the preamble hereof, as such may be amended, modified, supplemented or restated from time to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Formation of the Company filed with the Secretary of State of Delaware, as amended, modified, supplemented or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of the closing of the Initial Offering.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means each of the Company and its Subsidiaries, but excluding the MLP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5.5(b)</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means the Contribution Agreement, dated as of October 21, 2013, by and among the Company, AAP and certain other parties, together with the additional conveyance documents and instruments contemplated or referenced thereunder, as such may be amended, modified, supplemented or restated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Designating Member</w:t>
      </w:r>
      <w:r>
        <w:rPr>
          <w:rFonts w:ascii="Arial" w:cs="Arial" w:eastAsia="Arial" w:hAnsi="Arial"/>
          <w:sz w:val="18"/>
          <w:szCs w:val="18"/>
          <w:color w:val="auto"/>
        </w:rPr>
        <w:t>” has the meaning set forth in the Holdings GP LLC Agreement.</w:t>
      </w:r>
    </w:p>
    <w:p>
      <w:pPr>
        <w:sectPr>
          <w:pgSz w:w="11900" w:h="16874" w:orient="portrait"/>
          <w:cols w:equalWidth="0" w:num="1">
            <w:col w:w="11420"/>
          </w:cols>
          <w:pgMar w:left="240" w:top="125" w:right="239" w:bottom="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each of the owners of membership interests in Holdings GP as of the date of this Agreement, in each case for so long as they continue to own any membership interests in Holdings GP.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w:t>
      </w:r>
      <w:r>
        <w:rPr>
          <w:rFonts w:ascii="Arial" w:cs="Arial" w:eastAsia="Arial" w:hAnsi="Arial"/>
          <w:sz w:val="18"/>
          <w:szCs w:val="18"/>
          <w:color w:val="auto"/>
        </w:rPr>
        <w:t>” means PAA GP Holdings LLC, a Delaware limited liability company and the general partner of PAGP.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 Board</w:t>
      </w:r>
      <w:r>
        <w:rPr>
          <w:rFonts w:ascii="Arial" w:cs="Arial" w:eastAsia="Arial" w:hAnsi="Arial"/>
          <w:sz w:val="18"/>
          <w:szCs w:val="18"/>
          <w:color w:val="auto"/>
        </w:rPr>
        <w:t>” means the Board of Directors of Holdings GP.</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GP LLC Agreement</w:t>
      </w:r>
      <w:r>
        <w:rPr>
          <w:rFonts w:ascii="Arial" w:cs="Arial" w:eastAsia="Arial" w:hAnsi="Arial"/>
          <w:sz w:val="18"/>
          <w:szCs w:val="18"/>
          <w:color w:val="auto"/>
        </w:rPr>
        <w:t>” means the Amended and Restated Limited Liability Company Agreement of Holdings GP, dated as of October 21, 2013, and as such may be further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amended, modified, supplemented or restated from time to time in accordance with the terms thereof.</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means (a) the Sole Member, (b) any Existing Owner, (c) any Qualifying Interest Holder, (d) any Person who is or was an Affiliate of the Sole Member, any Existing Owner or any Qualifying Interest Holder, (e) any Person who is or was a managing member, manager, general partner, director, officer, fiduciary, agent or trustee of any Group Member, the Sole Member, any Existing Owner or any Qualifying Interest Holder or any Affiliate of any Group Member, the Sole Member, any Existing Owner or any Qualifying Interest Holder, (f) any Person who is or was serving at the request of the Sole Member, any Existing Owner or any Qualifying Interest Holder or any Affiliate of the Sole Member, any Existing Owner or any Qualifying Interest Holder as a member, manager, partner, director, officer, fiduciary, agent or trustee of another Person in furtherance of the 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 Person the Sole Member designates as an “Indemnitee” for purposes of this Agreement.</w:t>
      </w:r>
    </w:p>
    <w:p>
      <w:pPr>
        <w:spacing w:after="0" w:line="1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means a Director who is eligible to serve on the Board’s Audit Committee (in accordance with the applicable requirements of the Commission and any National Securities Exchange on which the MLP’s common units are listed or admitted for trading).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Designating Member</w:t>
      </w:r>
      <w:r>
        <w:rPr>
          <w:rFonts w:ascii="Arial" w:cs="Arial" w:eastAsia="Arial" w:hAnsi="Arial"/>
          <w:sz w:val="18"/>
          <w:szCs w:val="18"/>
          <w:color w:val="auto"/>
        </w:rPr>
        <w:t>” has the meaning set forth in the Holdings GP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Offering</w:t>
      </w:r>
      <w:r>
        <w:rPr>
          <w:rFonts w:ascii="Arial" w:cs="Arial" w:eastAsia="Arial" w:hAnsi="Arial"/>
          <w:sz w:val="18"/>
          <w:szCs w:val="18"/>
          <w:color w:val="auto"/>
        </w:rPr>
        <w:t>” means the initial offering and sale of the Class A Shares of PAGP to the public.</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means the entire limited liability company interest of the Sole Member in the Company and all rights and interests in the Company associated therewith,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Partnership Agreement</w:t>
      </w:r>
      <w:r>
        <w:rPr>
          <w:rFonts w:ascii="Arial" w:cs="Arial" w:eastAsia="Arial" w:hAnsi="Arial"/>
          <w:sz w:val="18"/>
          <w:szCs w:val="18"/>
          <w:color w:val="auto"/>
        </w:rPr>
        <w:t>” means the Fourth Amended and Restated Agreement of Limited Partnership of the MLP, dated as of May 17, 2012, as amended on October 1, 2012, and as such may be further amended, modified, supplemented or restated from time to time in accordance with the terms thereof.</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National Securities Exchange</w:t>
      </w:r>
      <w:r>
        <w:rPr>
          <w:rFonts w:ascii="Arial" w:cs="Arial" w:eastAsia="Arial" w:hAnsi="Arial"/>
          <w:sz w:val="18"/>
          <w:szCs w:val="18"/>
          <w:color w:val="auto"/>
        </w:rPr>
        <w:t>” means an exchange registered with the Commission under Section 6(a) of the Securities Exchange Act, any successor to such statute, or the Nasdaq Stock Market or any successor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any certificate of formation, certificate of limited partnership, limited liability company agreement, limited partnership agreement or similar governing documents.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means Occidental Holding (Pipeline),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5.1(c)</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GP</w:t>
      </w:r>
      <w:r>
        <w:rPr>
          <w:rFonts w:ascii="Arial" w:cs="Arial" w:eastAsia="Arial" w:hAnsi="Arial"/>
          <w:sz w:val="18"/>
          <w:szCs w:val="18"/>
          <w:color w:val="auto"/>
        </w:rPr>
        <w:t>” means PAA GP LLC, a Delaware limited liability company and the general partner of the MLP.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LP Agreement</w:t>
      </w:r>
      <w:r>
        <w:rPr>
          <w:rFonts w:ascii="Arial" w:cs="Arial" w:eastAsia="Arial" w:hAnsi="Arial"/>
          <w:sz w:val="18"/>
          <w:szCs w:val="18"/>
          <w:color w:val="auto"/>
        </w:rPr>
        <w:t>” means the Amended and Restated Agreement of Limited Partnership of PAGP, dated as of October 21, 2013, and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Company may own or otherwise have an interest in from time to time.</w:t>
      </w:r>
    </w:p>
    <w:p>
      <w:pPr>
        <w:sectPr>
          <w:pgSz w:w="11900" w:h="16838" w:orient="portrait"/>
          <w:cols w:equalWidth="0" w:num="1">
            <w:col w:w="11400"/>
          </w:cols>
          <w:pgMar w:left="240" w:top="341" w:right="259" w:bottom="0" w:gutter="0" w:footer="0" w:header="0"/>
        </w:sectPr>
      </w:pPr>
    </w:p>
    <w:bookmarkStart w:id="90" w:name="page91"/>
    <w:bookmarkEnd w:id="90"/>
    <w:p>
      <w:pPr>
        <w:spacing w:after="0" w:line="7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 (as such term is defined in the Holdings GP LLC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Significant Subsidiary</w:t>
      </w:r>
      <w:r>
        <w:rPr>
          <w:rFonts w:ascii="Arial" w:cs="Arial" w:eastAsia="Arial" w:hAnsi="Arial"/>
          <w:sz w:val="18"/>
          <w:szCs w:val="18"/>
          <w:color w:val="auto"/>
        </w:rPr>
        <w:t>” means any “Significant Subsidiary” (as defined in Rule 1-02(w) of Regulation S-X promulgated by the Commission, as the same may be amended) of any member of the Company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Sole Member</w:t>
      </w:r>
      <w:r>
        <w:rPr>
          <w:rFonts w:ascii="Arial" w:cs="Arial" w:eastAsia="Arial" w:hAnsi="Arial"/>
          <w:sz w:val="18"/>
          <w:szCs w:val="18"/>
          <w:color w:val="auto"/>
        </w:rPr>
        <w:t>” means PAGP, its successors or assigns.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and except as otherwise noted, the MLP and its Subsidiaries shall be Subsidiaries of the Company Group.</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The name of the Company is Plains All American GP LLC. The rights and liabilities of the Sole Member shall be as provided in the Act for members except as provided herein. To the extent that the rights or obligations of the Sole Member are different by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reason of any provision of this Agreement than they would be in the absence of such provision, to the extent permitted by the Act, this Agreement shall control.</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Company shall be located at 333 Clay Street, Suite 1600, Houston, Texas 77002 or at such other place(s) as the Board may determine from time to time.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Registered Office and Registered Agent</w:t>
      </w:r>
      <w:r>
        <w:rPr>
          <w:rFonts w:ascii="Arial" w:cs="Arial" w:eastAsia="Arial" w:hAnsi="Arial"/>
          <w:sz w:val="18"/>
          <w:szCs w:val="18"/>
          <w:color w:val="auto"/>
        </w:rPr>
        <w:t>. The location of the registered office and the name of the registered agent of the Company in the State of Delaware shall be as stated in the Certificate or as determined from time to time by the Board.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Purpose of the Company</w:t>
      </w:r>
      <w:r>
        <w:rPr>
          <w:rFonts w:ascii="Arial" w:cs="Arial" w:eastAsia="Arial" w:hAnsi="Arial"/>
          <w:sz w:val="16"/>
          <w:szCs w:val="16"/>
          <w:color w:val="auto"/>
        </w:rPr>
        <w:t>. The Company’s purposes, and the nature of the business to be conducted and promoted by the Company, are</w:t>
      </w:r>
    </w:p>
    <w:p>
      <w:pPr>
        <w:spacing w:after="0" w:line="23" w:lineRule="exact"/>
        <w:rPr>
          <w:sz w:val="20"/>
          <w:szCs w:val="20"/>
          <w:color w:val="auto"/>
        </w:rPr>
      </w:pPr>
    </w:p>
    <w:p>
      <w:pPr>
        <w:ind w:right="80" w:firstLine="8"/>
        <w:spacing w:after="0" w:line="261" w:lineRule="auto"/>
        <w:tabs>
          <w:tab w:leader="none" w:pos="24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act as the general partner of AAP in accordance with the terms of the AAP Partnership Agreement and (b) to engage in any and all activities necessary, advisable, convenient or incidental to the foregoing.</w:t>
      </w:r>
    </w:p>
    <w:p>
      <w:pPr>
        <w:spacing w:after="0" w:line="184"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Date of Dissolution</w:t>
      </w:r>
      <w:r>
        <w:rPr>
          <w:rFonts w:ascii="Arial" w:cs="Arial" w:eastAsia="Arial" w:hAnsi="Arial"/>
          <w:sz w:val="17"/>
          <w:szCs w:val="17"/>
          <w:color w:val="auto"/>
        </w:rPr>
        <w:t xml:space="preserve">. The Company shall have perpetual existence unless the Company is dissolved pursuant to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hereof. The existence of the Company as a separate legal entity shall continue until cancellation of the Certificate in the manner required by the Act.</w:t>
      </w:r>
    </w:p>
    <w:p>
      <w:pPr>
        <w:spacing w:after="0" w:line="14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Qualification</w:t>
      </w:r>
      <w:r>
        <w:rPr>
          <w:rFonts w:ascii="Arial" w:cs="Arial" w:eastAsia="Arial" w:hAnsi="Arial"/>
          <w:sz w:val="16"/>
          <w:szCs w:val="16"/>
          <w:color w:val="auto"/>
        </w:rPr>
        <w:t>. The President and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Sole Member</w:t>
      </w:r>
      <w:r>
        <w:rPr>
          <w:rFonts w:ascii="Arial" w:cs="Arial" w:eastAsia="Arial" w:hAnsi="Arial"/>
          <w:sz w:val="16"/>
          <w:szCs w:val="16"/>
          <w:color w:val="auto"/>
        </w:rPr>
        <w:t>.</w:t>
      </w:r>
    </w:p>
    <w:p>
      <w:pPr>
        <w:spacing w:after="0" w:line="225" w:lineRule="exact"/>
        <w:rPr>
          <w:sz w:val="20"/>
          <w:szCs w:val="20"/>
          <w:color w:val="auto"/>
        </w:rPr>
      </w:pPr>
    </w:p>
    <w:p>
      <w:pPr>
        <w:ind w:right="300" w:firstLine="656"/>
        <w:spacing w:after="0" w:line="264" w:lineRule="auto"/>
        <w:tabs>
          <w:tab w:leader="none" w:pos="1294"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Powers of Sole Member</w:t>
      </w:r>
      <w:r>
        <w:rPr>
          <w:rFonts w:ascii="Arial" w:cs="Arial" w:eastAsia="Arial" w:hAnsi="Arial"/>
          <w:sz w:val="18"/>
          <w:szCs w:val="18"/>
          <w:color w:val="auto"/>
        </w:rPr>
        <w:t>. The Sole Member shall have the power to exercise any and all rights or powers granted to the Sole Member pursuant to the express terms of this Agreement. Except as expressly provided herein, the Sole Member shall have no power to bind the Company and no authority to act on behalf of the Company.</w:t>
      </w:r>
    </w:p>
    <w:p>
      <w:pPr>
        <w:spacing w:after="0" w:line="181" w:lineRule="exact"/>
        <w:rPr>
          <w:rFonts w:ascii="Arial" w:cs="Arial" w:eastAsia="Arial" w:hAnsi="Arial"/>
          <w:sz w:val="18"/>
          <w:szCs w:val="18"/>
          <w:color w:val="auto"/>
        </w:rPr>
      </w:pPr>
    </w:p>
    <w:p>
      <w:pPr>
        <w:ind w:right="300" w:firstLine="656"/>
        <w:spacing w:after="0" w:line="264" w:lineRule="auto"/>
        <w:tabs>
          <w:tab w:leader="none" w:pos="1304"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Sole Member may not resign from the Company prior to the dissolution and winding up of the Company. The Sole Member will cease to be the Sole Member only upon: (i) the transfer of all of the Sole Member’s Membership Interest and the transferee’s admission as a substitute Sole Member, or (ii) completion of dissolution and winding up of the Company.</w:t>
      </w:r>
    </w:p>
    <w:p>
      <w:pPr>
        <w:spacing w:after="0" w:line="181" w:lineRule="exact"/>
        <w:rPr>
          <w:rFonts w:ascii="Arial" w:cs="Arial" w:eastAsia="Arial" w:hAnsi="Arial"/>
          <w:sz w:val="18"/>
          <w:szCs w:val="18"/>
          <w:color w:val="auto"/>
        </w:rPr>
      </w:pPr>
    </w:p>
    <w:p>
      <w:pPr>
        <w:ind w:right="100" w:firstLine="656"/>
        <w:spacing w:after="0" w:line="286" w:lineRule="auto"/>
        <w:tabs>
          <w:tab w:leader="none" w:pos="1307"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The Membership Interest shall correspond to a “limited liability company interest” as is provided in the Act. The Company shall be the owner of the Property. The Sole Member shall not have any ownership interest or right in the Property, including Property conveyed by the Sole Member to the Company, except indirectly by virtue of the Sole Member’s ownership of the Membership Interest.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Persons dealing with the Company shall be entitled to rely conclusively upon the power and authority of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 OF THE COMPANY</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 The Sole Member shall not be required to make any capital contributions to the capital of the Company and shall be admitted to the Company as its sole member concurrently with the closing of the transactions contemplated by the Contribution Agreement. The Sole Member shall hold the Membership Interest following such capital contribution.</w:t>
      </w:r>
    </w:p>
    <w:p>
      <w:pPr>
        <w:sectPr>
          <w:pgSz w:w="11900" w:h="16918" w:orient="portrait"/>
          <w:cols w:equalWidth="0" w:num="1">
            <w:col w:w="11400"/>
          </w:cols>
          <w:pgMar w:left="240" w:top="125" w:right="259" w:bottom="0" w:gutter="0" w:footer="0" w:header="0"/>
        </w:sectPr>
      </w:pPr>
    </w:p>
    <w:bookmarkStart w:id="91" w:name="page92"/>
    <w:bookmarkEnd w:id="91"/>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u w:val="single" w:color="auto"/>
          <w:color w:val="auto"/>
        </w:rPr>
        <w:t>Loans</w:t>
      </w:r>
      <w:r>
        <w:rPr>
          <w:rFonts w:ascii="Arial" w:cs="Arial" w:eastAsia="Arial" w:hAnsi="Arial"/>
          <w:sz w:val="15"/>
          <w:szCs w:val="15"/>
          <w:color w:val="auto"/>
        </w:rPr>
        <w:t>.</w:t>
      </w:r>
    </w:p>
    <w:p>
      <w:pPr>
        <w:spacing w:after="0" w:line="225" w:lineRule="exact"/>
        <w:rPr>
          <w:sz w:val="20"/>
          <w:szCs w:val="20"/>
          <w:color w:val="auto"/>
        </w:rPr>
      </w:pPr>
    </w:p>
    <w:p>
      <w:pPr>
        <w:ind w:right="80" w:firstLine="656"/>
        <w:spacing w:after="0" w:line="264" w:lineRule="auto"/>
        <w:tabs>
          <w:tab w:leader="none" w:pos="129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Sole Member shall not be obligated to loan funds to the Company. Loans by the Sole Member to the Company shall not be considered capital contributions. The amount of any such loan shall be a debt of the Company owed to the Sole Member in accordance with the terms and conditions upon which such loan is made.</w:t>
      </w:r>
    </w:p>
    <w:p>
      <w:pPr>
        <w:spacing w:after="0" w:line="181" w:lineRule="exact"/>
        <w:rPr>
          <w:rFonts w:ascii="Arial" w:cs="Arial" w:eastAsia="Arial" w:hAnsi="Arial"/>
          <w:sz w:val="18"/>
          <w:szCs w:val="18"/>
          <w:color w:val="auto"/>
        </w:rPr>
      </w:pPr>
    </w:p>
    <w:p>
      <w:pPr>
        <w:ind w:right="100" w:firstLine="656"/>
        <w:spacing w:after="0" w:line="264" w:lineRule="auto"/>
        <w:tabs>
          <w:tab w:leader="none" w:pos="130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Sole Member may (but shall not be obligated to) guarantee a loan made to the Company. If the Sole Member guarantees a loan made to the Company and is required to make payment pursuant to such guarantee to the maker of the loan, then the amounts so paid to the maker of the loan shall be treated as a loan by the Sole Member to the Company and not as a capital contribution.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Distributions</w:t>
      </w:r>
      <w:r>
        <w:rPr>
          <w:rFonts w:ascii="Arial" w:cs="Arial" w:eastAsia="Arial" w:hAnsi="Arial"/>
          <w:sz w:val="18"/>
          <w:szCs w:val="18"/>
          <w:color w:val="auto"/>
        </w:rPr>
        <w:t>. The Board shall have sole discretion to determine the timing of any distribution and the aggregate amounts available for such distribution. Any distribution declared by the Board shall be paid to the Sole Member.</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Limitation on Distributions</w:t>
      </w:r>
      <w:r>
        <w:rPr>
          <w:rFonts w:ascii="Arial" w:cs="Arial" w:eastAsia="Arial" w:hAnsi="Arial"/>
          <w:sz w:val="18"/>
          <w:szCs w:val="18"/>
          <w:color w:val="auto"/>
        </w:rPr>
        <w:t>. Notwithstanding any provision of this Agreement to the contrary, no distribution hereunder shall be permitted if such distribution would violate Section 18-607 of the Act or other applicable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CONTROL</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Authority; Board of Directors</w:t>
      </w:r>
      <w:r>
        <w:rPr>
          <w:rFonts w:ascii="Arial" w:cs="Arial" w:eastAsia="Arial" w:hAnsi="Arial"/>
          <w:sz w:val="16"/>
          <w:szCs w:val="16"/>
          <w:color w:val="auto"/>
        </w:rPr>
        <w:t>.</w:t>
      </w:r>
    </w:p>
    <w:p>
      <w:pPr>
        <w:spacing w:after="0" w:line="225" w:lineRule="exact"/>
        <w:rPr>
          <w:sz w:val="20"/>
          <w:szCs w:val="20"/>
          <w:color w:val="auto"/>
        </w:rPr>
      </w:pPr>
    </w:p>
    <w:p>
      <w:pPr>
        <w:ind w:right="260" w:firstLine="656"/>
        <w:spacing w:after="0" w:line="264" w:lineRule="auto"/>
        <w:tabs>
          <w:tab w:leader="none" w:pos="129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Except as otherwise provided hereunder, (i) the business and affairs of the Company shall be managed by or under the direction of the Board and (ii) the power and authority granted to the Board hereunder shall include all those necessary or convenient for the furtherance of the purposes of the Company.</w:t>
      </w:r>
    </w:p>
    <w:p>
      <w:pPr>
        <w:spacing w:after="0" w:line="181" w:lineRule="exact"/>
        <w:rPr>
          <w:rFonts w:ascii="Arial" w:cs="Arial" w:eastAsia="Arial" w:hAnsi="Arial"/>
          <w:sz w:val="18"/>
          <w:szCs w:val="18"/>
          <w:color w:val="auto"/>
        </w:rPr>
      </w:pPr>
    </w:p>
    <w:p>
      <w:pPr>
        <w:ind w:left="660" w:right="700" w:hanging="4"/>
        <w:spacing w:after="0" w:line="277" w:lineRule="auto"/>
        <w:tabs>
          <w:tab w:leader="none" w:pos="131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 The Board shall, subject to the provisions of this </w:t>
      </w:r>
      <w:r>
        <w:rPr>
          <w:rFonts w:ascii="Arial" w:cs="Arial" w:eastAsia="Arial" w:hAnsi="Arial"/>
          <w:sz w:val="18"/>
          <w:szCs w:val="18"/>
          <w:u w:val="single" w:color="auto"/>
          <w:color w:val="auto"/>
        </w:rPr>
        <w:t>Section 5.1(b)</w:t>
      </w:r>
      <w:r>
        <w:rPr>
          <w:rFonts w:ascii="Arial" w:cs="Arial" w:eastAsia="Arial" w:hAnsi="Arial"/>
          <w:sz w:val="18"/>
          <w:szCs w:val="18"/>
          <w:color w:val="auto"/>
        </w:rPr>
        <w:t>, consist of eight individuals designated as directors of the Company (the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hanging="4"/>
        <w:spacing w:after="0" w:line="286" w:lineRule="auto"/>
        <w:tabs>
          <w:tab w:leader="none" w:pos="95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of the three or fewer individuals designated by the Designating Members pursuant to Section 6.1(a) of the Holdings GP LLC Agreement to serve as a member of the Holdings GP Board, and any individual appointed or designated as a replacement of any such initial designee (each, a “</w:t>
      </w:r>
      <w:r>
        <w:rPr>
          <w:rFonts w:ascii="Arial" w:cs="Arial" w:eastAsia="Arial" w:hAnsi="Arial"/>
          <w:sz w:val="16"/>
          <w:szCs w:val="16"/>
          <w:b w:val="1"/>
          <w:bCs w:val="1"/>
          <w:i w:val="1"/>
          <w:iCs w:val="1"/>
          <w:color w:val="auto"/>
        </w:rPr>
        <w:t>Designated Director</w:t>
      </w:r>
      <w:r>
        <w:rPr>
          <w:rFonts w:ascii="Arial" w:cs="Arial" w:eastAsia="Arial" w:hAnsi="Arial"/>
          <w:sz w:val="16"/>
          <w:szCs w:val="16"/>
          <w:color w:val="auto"/>
        </w:rPr>
        <w:t>”), (B) the Sole Member, acting through the Holdings GP Board, shall elect (1) three Independent Directors, at least two of whom shall also meet the requirements for service on the Conflicts Committee (as defined and provided for in the MLP Partnership Agreement), and</w:t>
      </w:r>
    </w:p>
    <w:p>
      <w:pPr>
        <w:spacing w:after="0" w:line="1" w:lineRule="exact"/>
        <w:rPr>
          <w:rFonts w:ascii="Arial" w:cs="Arial" w:eastAsia="Arial" w:hAnsi="Arial"/>
          <w:sz w:val="16"/>
          <w:szCs w:val="16"/>
          <w:color w:val="auto"/>
        </w:rPr>
      </w:pPr>
    </w:p>
    <w:p>
      <w:pPr>
        <w:ind w:left="660"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(2) another one or more Directors none of whom shall be required to be an Independent Director, such that the total number of Directors on the Board is eight (taking into account </w:t>
      </w:r>
      <w:r>
        <w:rPr>
          <w:rFonts w:ascii="Arial" w:cs="Arial" w:eastAsia="Arial" w:hAnsi="Arial"/>
          <w:sz w:val="17"/>
          <w:szCs w:val="17"/>
          <w:u w:val="single" w:color="auto"/>
          <w:color w:val="auto"/>
        </w:rPr>
        <w:t>Section 5.1(b)(i)(A)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5.1(b)(i)(C)</w:t>
      </w:r>
      <w:r>
        <w:rPr>
          <w:rFonts w:ascii="Arial" w:cs="Arial" w:eastAsia="Arial" w:hAnsi="Arial"/>
          <w:sz w:val="17"/>
          <w:szCs w:val="17"/>
          <w:color w:val="auto"/>
        </w:rPr>
        <w:t xml:space="preserve">), and (C) (1) the Chief Executive Officer of the Company as of the date hereof shall be a Director and shall serve as Chairman of the Board and (2) the successor to such individual as Chief Executive Officer of the Company shall be a Director and, unless the Board otherwise determines by a majority vote of the other Directors, shall serve as Chairman of the Board; </w:t>
      </w:r>
      <w:r>
        <w:rPr>
          <w:rFonts w:ascii="Arial" w:cs="Arial" w:eastAsia="Arial" w:hAnsi="Arial"/>
          <w:sz w:val="17"/>
          <w:szCs w:val="17"/>
          <w:i w:val="1"/>
          <w:iCs w:val="1"/>
          <w:color w:val="auto"/>
        </w:rPr>
        <w:t>provided</w:t>
      </w:r>
      <w:r>
        <w:rPr>
          <w:rFonts w:ascii="Arial" w:cs="Arial" w:eastAsia="Arial" w:hAnsi="Arial"/>
          <w:sz w:val="17"/>
          <w:szCs w:val="17"/>
          <w:color w:val="auto"/>
        </w:rPr>
        <w:t>, however, that if at any time there shall be fewer than the number of Independent Directors required by the Commission or National Securities Exchange on which the common units of the MLP are listed or admitted for trading, the Board shall take such actions as may be necessary to cause the Board to re-establish the required number of Independent Directors. In connection therewith, the Board may exercise its Director removal and appointment rights hereunder and may, to the extent required, increase the size of the Board and appoint one or more new Independent Directors to fill the resulting vacancies. The Designated Directors shall be appointed to the Board automatically upon their designation to the Holdings GP Board, without further action of the Board or the Sole Member.</w:t>
      </w:r>
    </w:p>
    <w:p>
      <w:pPr>
        <w:spacing w:after="0" w:line="179" w:lineRule="exact"/>
        <w:rPr>
          <w:rFonts w:ascii="Arial" w:cs="Arial" w:eastAsia="Arial" w:hAnsi="Arial"/>
          <w:sz w:val="16"/>
          <w:szCs w:val="16"/>
          <w:color w:val="auto"/>
        </w:rPr>
      </w:pPr>
    </w:p>
    <w:p>
      <w:pPr>
        <w:ind w:left="660" w:right="220" w:firstLine="645"/>
        <w:spacing w:after="0" w:line="277" w:lineRule="auto"/>
        <w:tabs>
          <w:tab w:leader="none" w:pos="198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Each Director shall hold office until his or her successor is appointed or designated pursuant to this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or until his or her earlier death, resignation or removal.</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9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for any reason (including death, resignation or removal) a Designated Director ceases to serve as a member of the Holdings GP Board, such Designated Director shall simultaneously and automatically be removed as a member of the Board.</w:t>
      </w:r>
    </w:p>
    <w:p>
      <w:pPr>
        <w:spacing w:after="0" w:line="170" w:lineRule="exact"/>
        <w:rPr>
          <w:rFonts w:ascii="Arial" w:cs="Arial" w:eastAsia="Arial" w:hAnsi="Arial"/>
          <w:sz w:val="18"/>
          <w:szCs w:val="18"/>
          <w:color w:val="auto"/>
        </w:rPr>
      </w:pPr>
    </w:p>
    <w:p>
      <w:pPr>
        <w:ind w:left="660" w:firstLine="645"/>
        <w:spacing w:after="0" w:line="297" w:lineRule="auto"/>
        <w:tabs>
          <w:tab w:leader="none" w:pos="1973"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Persons appointed pursuant to </w:t>
      </w:r>
      <w:r>
        <w:rPr>
          <w:rFonts w:ascii="Arial" w:cs="Arial" w:eastAsia="Arial" w:hAnsi="Arial"/>
          <w:sz w:val="16"/>
          <w:szCs w:val="16"/>
          <w:u w:val="single" w:color="auto"/>
          <w:color w:val="auto"/>
        </w:rPr>
        <w:t>Section 5.1(b)(i)(B)</w:t>
      </w:r>
      <w:r>
        <w:rPr>
          <w:rFonts w:ascii="Arial" w:cs="Arial" w:eastAsia="Arial" w:hAnsi="Arial"/>
          <w:sz w:val="16"/>
          <w:szCs w:val="16"/>
          <w:color w:val="auto"/>
        </w:rPr>
        <w:t xml:space="preserve"> by the Sole Member may be removed at any time, with or without cause, by the Sole Member, acting through the Holdings GP Board. In the event of the death, resignation or removal of any such Director, the Sole Member acting through the Holdings GP Board may designate a replacement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w:t>
      </w:r>
    </w:p>
    <w:p>
      <w:pPr>
        <w:spacing w:after="0" w:line="158" w:lineRule="exact"/>
        <w:rPr>
          <w:sz w:val="20"/>
          <w:szCs w:val="20"/>
          <w:color w:val="auto"/>
        </w:rPr>
      </w:pPr>
    </w:p>
    <w:p>
      <w:pPr>
        <w:ind w:right="20" w:firstLine="656"/>
        <w:spacing w:after="0" w:line="264" w:lineRule="auto"/>
        <w:tabs>
          <w:tab w:leader="none" w:pos="130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for so long as an Initial Designating Member has designated an individual to serve as an observer to the Holdings GP Board pursuant to the terms of the Holdings GP LLC Agreement, that same individual (an “</w:t>
      </w:r>
      <w:r>
        <w:rPr>
          <w:rFonts w:ascii="Arial" w:cs="Arial" w:eastAsia="Arial" w:hAnsi="Arial"/>
          <w:sz w:val="18"/>
          <w:szCs w:val="18"/>
          <w:b w:val="1"/>
          <w:bCs w:val="1"/>
          <w:i w:val="1"/>
          <w:iCs w:val="1"/>
          <w:color w:val="auto"/>
        </w:rPr>
        <w:t>Observer</w:t>
      </w:r>
      <w:r>
        <w:rPr>
          <w:rFonts w:ascii="Arial" w:cs="Arial" w:eastAsia="Arial" w:hAnsi="Arial"/>
          <w:sz w:val="18"/>
          <w:szCs w:val="18"/>
          <w:color w:val="auto"/>
        </w:rPr>
        <w:t>”) shall have the right to receive notice of and attend meetings of the Board in 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observer capacity until such Observer ceases to serve as an observer to the Holdings GP Board or such Initial Designating Member rescinds its request to receive such information in writing, the Observer shall be entitled to receive copies of information routinely provided to the Directors;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any such notice or documents or information shall not affect the validity of any action taken by the Board. The following terms and conditions shall apply to any service by an Observer in an observer capacity:</w:t>
      </w:r>
    </w:p>
    <w:p>
      <w:pPr>
        <w:sectPr>
          <w:pgSz w:w="11900" w:h="16838" w:orient="portrait"/>
          <w:cols w:equalWidth="0" w:num="1">
            <w:col w:w="11420"/>
          </w:cols>
          <w:pgMar w:left="240" w:top="341" w:right="239" w:bottom="0" w:gutter="0" w:footer="0" w:header="0"/>
        </w:sectPr>
      </w:pPr>
    </w:p>
    <w:bookmarkStart w:id="92" w:name="page93"/>
    <w:bookmarkEnd w:id="92"/>
    <w:p>
      <w:pPr>
        <w:ind w:left="660" w:right="300" w:firstLine="645"/>
        <w:spacing w:after="0" w:line="308" w:lineRule="auto"/>
        <w:tabs>
          <w:tab w:leader="none" w:pos="1978" w:val="left"/>
        </w:tabs>
        <w:numPr>
          <w:ilvl w:val="1"/>
          <w:numId w:val="206"/>
        </w:numPr>
        <w:rPr>
          <w:rFonts w:ascii="Arial" w:cs="Arial" w:eastAsia="Arial" w:hAnsi="Arial"/>
          <w:sz w:val="17"/>
          <w:szCs w:val="17"/>
          <w:color w:val="auto"/>
        </w:rPr>
      </w:pPr>
      <w:r>
        <w:rPr>
          <w:rFonts w:ascii="Arial" w:cs="Arial" w:eastAsia="Arial" w:hAnsi="Arial"/>
          <w:sz w:val="17"/>
          <w:szCs w:val="17"/>
          <w:color w:val="auto"/>
        </w:rPr>
        <w:t xml:space="preserve">The Initial Designating Member who designated such Observer agrees to treat any and all such information, whether written or oral, as confidential information in the same manner as set forth in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of the Holdings GP LLC Agreement.</w:t>
      </w:r>
    </w:p>
    <w:p>
      <w:pPr>
        <w:spacing w:after="0" w:line="146" w:lineRule="exact"/>
        <w:rPr>
          <w:rFonts w:ascii="Arial" w:cs="Arial" w:eastAsia="Arial" w:hAnsi="Arial"/>
          <w:sz w:val="17"/>
          <w:szCs w:val="17"/>
          <w:color w:val="auto"/>
        </w:rPr>
      </w:pPr>
    </w:p>
    <w:p>
      <w:pPr>
        <w:ind w:left="660" w:right="60" w:firstLine="645"/>
        <w:spacing w:after="0" w:line="257" w:lineRule="auto"/>
        <w:tabs>
          <w:tab w:leader="none" w:pos="198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 recognition that the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the Initial Designating Member or the Observer pursuant to (iii) below and (2) the Observer may be excluded from relevant portions of the Board meetings or committee meetings pursuant to (iv) below.</w:t>
      </w:r>
    </w:p>
    <w:p>
      <w:pPr>
        <w:spacing w:after="0" w:line="188" w:lineRule="exact"/>
        <w:rPr>
          <w:rFonts w:ascii="Arial" w:cs="Arial" w:eastAsia="Arial" w:hAnsi="Arial"/>
          <w:sz w:val="18"/>
          <w:szCs w:val="18"/>
          <w:color w:val="auto"/>
        </w:rPr>
      </w:pPr>
    </w:p>
    <w:p>
      <w:pPr>
        <w:ind w:left="660" w:right="40" w:firstLine="645"/>
        <w:spacing w:after="0" w:line="286" w:lineRule="auto"/>
        <w:tabs>
          <w:tab w:leader="none" w:pos="1997" w:val="left"/>
        </w:tabs>
        <w:numPr>
          <w:ilvl w:val="1"/>
          <w:numId w:val="206"/>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the Initial Designating Member or the Observer, if the Board, the Chairman, the Chief Executive Officer or the general counsel of the Company reasonably believe that providing such information (1) would result in a potential breach of confidentiality agreements between third parties and the Company Group or the MLP and its Subsidiaries; (2) may otherwise disadvantage the Company Group, the MLP or any of its Subsidiaries in ongoing commercial dealings with the Initial Designating Member or any of its affiliates;</w:t>
      </w:r>
    </w:p>
    <w:p>
      <w:pPr>
        <w:spacing w:after="0" w:line="1" w:lineRule="exact"/>
        <w:rPr>
          <w:rFonts w:ascii="Arial" w:cs="Arial" w:eastAsia="Arial" w:hAnsi="Arial"/>
          <w:sz w:val="16"/>
          <w:szCs w:val="16"/>
          <w:color w:val="auto"/>
        </w:rPr>
      </w:pPr>
    </w:p>
    <w:p>
      <w:pPr>
        <w:ind w:left="660" w:right="120" w:hanging="4"/>
        <w:spacing w:after="0" w:line="261" w:lineRule="auto"/>
        <w:tabs>
          <w:tab w:leader="none" w:pos="91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is necessary or advisable for the protection and retention of any attorney-client privilege; or (4) could result in the competitive positioning of the Company Group or the MLP and its Subsidiaries being compromised.</w:t>
      </w:r>
    </w:p>
    <w:p>
      <w:pPr>
        <w:spacing w:after="0" w:line="183" w:lineRule="exact"/>
        <w:rPr>
          <w:rFonts w:ascii="Arial" w:cs="Arial" w:eastAsia="Arial" w:hAnsi="Arial"/>
          <w:sz w:val="18"/>
          <w:szCs w:val="18"/>
          <w:color w:val="auto"/>
        </w:rPr>
      </w:pPr>
    </w:p>
    <w:p>
      <w:pPr>
        <w:ind w:left="660" w:right="100" w:firstLine="645"/>
        <w:spacing w:after="0" w:line="273" w:lineRule="auto"/>
        <w:tabs>
          <w:tab w:leader="none" w:pos="1973"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At the discretion of a majority of the Directors (or any committee of the Board) then in attendance, the Observer may be excluded from relevant portions of the Board meetings or committee meetings if such majority reasonably believes that, the Observer’s attendance (1) would result in a potential breach of confidentiality agreements between third parties and the Company Group or the MLP and its Subsidiaries; (2) may otherwise disadvantage the Company Group, the MLP or any of its Subsidiaries in ongoing commercial dealings with the Initial Designating Member or any of its affiliates; (3) is necessary or advisable for the protection and retention of any attorney-client privilege; or (4) could result in in the competitive positioning of the Company Group or the MLP and its Subsidiaries being compromised;</w:t>
      </w:r>
    </w:p>
    <w:p>
      <w:pPr>
        <w:spacing w:after="0" w:line="178" w:lineRule="exact"/>
        <w:rPr>
          <w:rFonts w:ascii="Arial" w:cs="Arial" w:eastAsia="Arial" w:hAnsi="Arial"/>
          <w:sz w:val="17"/>
          <w:szCs w:val="17"/>
          <w:color w:val="auto"/>
        </w:rPr>
      </w:pPr>
    </w:p>
    <w:p>
      <w:pPr>
        <w:ind w:left="660" w:right="40" w:firstLine="645"/>
        <w:spacing w:after="0" w:line="312" w:lineRule="auto"/>
        <w:tabs>
          <w:tab w:leader="none" w:pos="1964"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Initial Designating Member may eliminate the foregoing restrictions in clauses (ii), (iii) and (iv) above by requesting information or requesting that its Observer not be excluded and, if applicable, agreeing in writing to be bound by any applicable confidentiality agreements that would permit disclosure of the information being redacted or withheld, unless such disclosure or presence of the Observer would (1)</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adversely affect the retention of any attorney-client privilege or (2) disadvantage the Company Group, the MLP or any of its Subsidiaries in ongoing commercial dealings with the Initial Designating Member or any of its affiliates.</w:t>
      </w:r>
    </w:p>
    <w:p>
      <w:pPr>
        <w:spacing w:after="0" w:line="170" w:lineRule="exact"/>
        <w:rPr>
          <w:sz w:val="20"/>
          <w:szCs w:val="20"/>
          <w:color w:val="auto"/>
        </w:rPr>
      </w:pPr>
    </w:p>
    <w:p>
      <w:pPr>
        <w:ind w:left="660" w:right="40" w:firstLine="645"/>
        <w:spacing w:after="0" w:line="255" w:lineRule="auto"/>
        <w:tabs>
          <w:tab w:leader="none" w:pos="197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With respect to materials provided to the Initial Designating Member pursuant to </w:t>
      </w:r>
      <w:r>
        <w:rPr>
          <w:rFonts w:ascii="Arial" w:cs="Arial" w:eastAsia="Arial" w:hAnsi="Arial"/>
          <w:sz w:val="18"/>
          <w:szCs w:val="18"/>
          <w:u w:val="single" w:color="auto"/>
          <w:color w:val="auto"/>
        </w:rPr>
        <w:t>Section 5.1(b)(ii)</w:t>
      </w:r>
      <w:r>
        <w:rPr>
          <w:rFonts w:ascii="Arial" w:cs="Arial" w:eastAsia="Arial" w:hAnsi="Arial"/>
          <w:sz w:val="18"/>
          <w:szCs w:val="18"/>
          <w:color w:val="auto"/>
        </w:rPr>
        <w:t xml:space="preserve"> or otherwise provided by the Company Group without solicitation by the Initial Designating Member, the Initial Designating Member shall not be presumed to have misused such information solely because its Observer may have retained a mental impression of such information in connection with the Initial Designating Member’s participation in activities competitive the Company Group or the MLP and its Subsidiaries. This </w:t>
      </w:r>
      <w:r>
        <w:rPr>
          <w:rFonts w:ascii="Arial" w:cs="Arial" w:eastAsia="Arial" w:hAnsi="Arial"/>
          <w:sz w:val="18"/>
          <w:szCs w:val="18"/>
          <w:u w:val="single" w:color="auto"/>
          <w:color w:val="auto"/>
        </w:rPr>
        <w:t>Section 5.1(b)(vi)</w:t>
      </w:r>
      <w:r>
        <w:rPr>
          <w:rFonts w:ascii="Arial" w:cs="Arial" w:eastAsia="Arial" w:hAnsi="Arial"/>
          <w:sz w:val="18"/>
          <w:szCs w:val="18"/>
          <w:color w:val="auto"/>
        </w:rPr>
        <w:t xml:space="preserve"> shall not apply with respect to information provided to the Initial Designating Member pursuant to </w:t>
      </w:r>
      <w:r>
        <w:rPr>
          <w:rFonts w:ascii="Arial" w:cs="Arial" w:eastAsia="Arial" w:hAnsi="Arial"/>
          <w:sz w:val="18"/>
          <w:szCs w:val="18"/>
          <w:u w:val="single" w:color="auto"/>
          <w:color w:val="auto"/>
        </w:rPr>
        <w:t>Section 5.2(b)(v)</w:t>
      </w:r>
      <w:r>
        <w:rPr>
          <w:rFonts w:ascii="Arial" w:cs="Arial" w:eastAsia="Arial" w:hAnsi="Arial"/>
          <w:sz w:val="18"/>
          <w:szCs w:val="18"/>
          <w:color w:val="auto"/>
        </w:rPr>
        <w:t xml:space="preserve"> or otherwise provided upon the Initial Designating Member’s request.</w:t>
      </w:r>
    </w:p>
    <w:p>
      <w:pPr>
        <w:spacing w:after="0" w:line="193" w:lineRule="exact"/>
        <w:rPr>
          <w:rFonts w:ascii="Arial" w:cs="Arial" w:eastAsia="Arial" w:hAnsi="Arial"/>
          <w:sz w:val="18"/>
          <w:szCs w:val="18"/>
          <w:color w:val="auto"/>
        </w:rPr>
      </w:pPr>
    </w:p>
    <w:p>
      <w:pPr>
        <w:ind w:left="660" w:right="60" w:firstLine="645"/>
        <w:spacing w:after="0" w:line="277" w:lineRule="auto"/>
        <w:tabs>
          <w:tab w:leader="none" w:pos="198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 Observer shall not have any voting rights. No consent or approval of an Observer shall be required for any action taken by the Board. The attendance or participation of an Observer at a meeting shall not be required for action by the Board.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The individuals comprising the initial Directors of the Board as of the date of the execution of this Agreement are listed on </w:t>
      </w:r>
      <w:r>
        <w:rPr>
          <w:rFonts w:ascii="Arial" w:cs="Arial" w:eastAsia="Arial" w:hAnsi="Arial"/>
          <w:sz w:val="17"/>
          <w:szCs w:val="17"/>
          <w:u w:val="single" w:color="auto"/>
          <w:color w:val="auto"/>
        </w:rPr>
        <w:t>Schedule 1</w:t>
      </w:r>
      <w:r>
        <w:rPr>
          <w:rFonts w:ascii="Arial" w:cs="Arial" w:eastAsia="Arial" w:hAnsi="Arial"/>
          <w:sz w:val="17"/>
          <w:szCs w:val="17"/>
          <w:color w:val="auto"/>
        </w:rPr>
        <w:t>.</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Meetings of the Board</w:t>
      </w:r>
      <w:r>
        <w:rPr>
          <w:rFonts w:ascii="Arial" w:cs="Arial" w:eastAsia="Arial" w:hAnsi="Arial"/>
          <w:sz w:val="17"/>
          <w:szCs w:val="17"/>
          <w:color w:val="auto"/>
        </w:rPr>
        <w:t>.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8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committee. Such filing shall be in paper form if the minutes are maintained in paper form and shall be in electronic form if the minutes are maintained in electronic form.</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Communications</w:t>
      </w:r>
      <w:r>
        <w:rPr>
          <w:rFonts w:ascii="Arial" w:cs="Arial" w:eastAsia="Arial" w:hAnsi="Arial"/>
          <w:sz w:val="17"/>
          <w:szCs w:val="17"/>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ectPr>
          <w:pgSz w:w="11900" w:h="16838" w:orient="portrait"/>
          <w:cols w:equalWidth="0" w:num="1">
            <w:col w:w="11420"/>
          </w:cols>
          <w:pgMar w:left="240" w:top="125" w:right="239" w:bottom="0" w:gutter="0" w:footer="0" w:header="0"/>
        </w:sectPr>
      </w:pPr>
    </w:p>
    <w:bookmarkStart w:id="93" w:name="page94"/>
    <w:bookmarkEnd w:id="93"/>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93" w:lineRule="auto"/>
        <w:tabs>
          <w:tab w:leader="none" w:pos="129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(1)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64" w:lineRule="exact"/>
        <w:rPr>
          <w:rFonts w:ascii="Arial" w:cs="Arial" w:eastAsia="Arial" w:hAnsi="Arial"/>
          <w:sz w:val="16"/>
          <w:szCs w:val="16"/>
          <w:color w:val="auto"/>
        </w:rPr>
      </w:pPr>
    </w:p>
    <w:p>
      <w:pPr>
        <w:ind w:right="80" w:firstLine="656"/>
        <w:spacing w:after="0" w:line="257" w:lineRule="auto"/>
        <w:tabs>
          <w:tab w:leader="none" w:pos="130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In addition to any other committees established by the Board pursuant to </w:t>
      </w:r>
      <w:r>
        <w:rPr>
          <w:rFonts w:ascii="Arial" w:cs="Arial" w:eastAsia="Arial" w:hAnsi="Arial"/>
          <w:sz w:val="18"/>
          <w:szCs w:val="18"/>
          <w:u w:val="single" w:color="auto"/>
          <w:color w:val="auto"/>
        </w:rPr>
        <w:t>Section 5.5(a)</w:t>
      </w:r>
      <w:r>
        <w:rPr>
          <w:rFonts w:ascii="Arial" w:cs="Arial" w:eastAsia="Arial" w:hAnsi="Arial"/>
          <w:sz w:val="18"/>
          <w:szCs w:val="18"/>
          <w:color w:val="auto"/>
        </w:rPr>
        <w:t>, the Board may, as necessary, convene a “Conflicts Committee,” which shall be composed of at least two Independent Directors, each of whom shall meet the requirements set forth in the MLP Partnership Agreement. The Conflicts Committee shall be responsible for (A) approving or disapproving, as the case may be, any matters regarding the business and affairs of the MLP submitted to such Conflicts Committee by the Board and (B) performing such other functions as the Board may assign from time to time or as may be specified in a specific delegation to the Conflicts Committee.</w:t>
      </w:r>
    </w:p>
    <w:p>
      <w:pPr>
        <w:spacing w:after="0" w:line="188" w:lineRule="exact"/>
        <w:rPr>
          <w:rFonts w:ascii="Arial" w:cs="Arial" w:eastAsia="Arial" w:hAnsi="Arial"/>
          <w:sz w:val="18"/>
          <w:szCs w:val="18"/>
          <w:color w:val="auto"/>
        </w:rPr>
      </w:pPr>
    </w:p>
    <w:p>
      <w:pPr>
        <w:jc w:val="both"/>
        <w:ind w:right="180" w:firstLine="656"/>
        <w:spacing w:after="0" w:line="312" w:lineRule="auto"/>
        <w:tabs>
          <w:tab w:leader="none" w:pos="130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u w:val="single" w:color="auto"/>
          <w:color w:val="auto"/>
        </w:rPr>
        <w:t>Section 5.5(a)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u w:val="single" w:color="auto"/>
          <w:color w:val="auto"/>
        </w:rPr>
        <w:t>Section 5.1(a)(i)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47"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Each Director shall be entitled to reimbursement from the Company for all reasonable direct out-of-pocket expenses incurred by such Director in connection with attending Board meetings and such compensation as may be approved by the Sole Member.</w:t>
      </w:r>
    </w:p>
    <w:p>
      <w:pPr>
        <w:spacing w:after="0" w:line="12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Directors as Agents</w:t>
      </w:r>
      <w:r>
        <w:rPr>
          <w:rFonts w:ascii="Arial" w:cs="Arial" w:eastAsia="Arial" w:hAnsi="Arial"/>
          <w:sz w:val="18"/>
          <w:szCs w:val="18"/>
          <w:color w:val="auto"/>
        </w:rPr>
        <w:t>. The Board, acting as a body pursuant to this Agreement, shall constitute a “manager” for purposes of the Act. No Director, in such capacity, acting singly or with any other Director, shall have any authority or right to act on behalf of or bind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Company other than by exercising the Director’s voting power as a member of the Board, unless specifically authorized by the Board in each instance.</w:t>
      </w:r>
    </w:p>
    <w:p>
      <w:pPr>
        <w:spacing w:after="0" w:line="23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Officers; Agents</w:t>
      </w:r>
      <w:r>
        <w:rPr>
          <w:rFonts w:ascii="Arial" w:cs="Arial" w:eastAsia="Arial" w:hAnsi="Arial"/>
          <w:sz w:val="17"/>
          <w:szCs w:val="17"/>
          <w:color w:val="auto"/>
        </w:rPr>
        <w:t>. The Board shall have the power to appoint any Person or Persons as the Company’s officers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The Officers of the Company as of the date hereof shall continue in office in accordance with the terms hereof.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8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Matters Requiring Sole Member Approval</w:t>
      </w:r>
      <w:r>
        <w:rPr>
          <w:rFonts w:ascii="Arial" w:cs="Arial" w:eastAsia="Arial" w:hAnsi="Arial"/>
          <w:sz w:val="18"/>
          <w:szCs w:val="18"/>
          <w:color w:val="auto"/>
        </w:rPr>
        <w:t>. Without the prior written consent of the Sole Member, acting through the Holdings GP Board, the Company shall not effect or authorize through the Board or the Officers any:</w:t>
      </w:r>
    </w:p>
    <w:p>
      <w:pPr>
        <w:spacing w:after="0" w:line="170" w:lineRule="exact"/>
        <w:rPr>
          <w:sz w:val="20"/>
          <w:szCs w:val="20"/>
          <w:color w:val="auto"/>
        </w:rPr>
      </w:pPr>
    </w:p>
    <w:p>
      <w:pPr>
        <w:ind w:right="200" w:firstLine="656"/>
        <w:spacing w:after="0" w:line="342" w:lineRule="auto"/>
        <w:tabs>
          <w:tab w:leader="none" w:pos="129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merger, consolidation or share exchange into or with any other Person (unless such Person is a member of the Company Group), or any other similar business combination transaction involving any member of Company Group or financial restructuring of any member of the Company Group;</w:t>
      </w:r>
    </w:p>
    <w:p>
      <w:pPr>
        <w:spacing w:after="0" w:line="123" w:lineRule="exact"/>
        <w:rPr>
          <w:rFonts w:ascii="Arial" w:cs="Arial" w:eastAsia="Arial" w:hAnsi="Arial"/>
          <w:sz w:val="16"/>
          <w:szCs w:val="16"/>
          <w:color w:val="auto"/>
        </w:rPr>
      </w:pPr>
    </w:p>
    <w:p>
      <w:pPr>
        <w:ind w:right="60" w:firstLine="656"/>
        <w:spacing w:after="0" w:line="312" w:lineRule="auto"/>
        <w:tabs>
          <w:tab w:leader="none" w:pos="130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voluntary filing for bankruptcy, liquidation, dissolution or winding up of any member of the Company Group or any Significant Subsidiary or any event that would cause a dissolution or winding up of any member of the Company Group or any Significant Subsidiary or any consent by any member of the Company Group or any Significant Subsidiary to any action brought by any other Person relating to any of the foregoing;</w:t>
      </w:r>
    </w:p>
    <w:p>
      <w:pPr>
        <w:spacing w:after="0" w:line="146" w:lineRule="exact"/>
        <w:rPr>
          <w:rFonts w:ascii="Arial" w:cs="Arial" w:eastAsia="Arial" w:hAnsi="Arial"/>
          <w:sz w:val="16"/>
          <w:szCs w:val="16"/>
          <w:color w:val="auto"/>
        </w:rPr>
      </w:pPr>
    </w:p>
    <w:p>
      <w:pPr>
        <w:ind w:right="420" w:firstLine="656"/>
        <w:spacing w:after="0" w:line="342" w:lineRule="auto"/>
        <w:tabs>
          <w:tab w:leader="none" w:pos="130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amendment or repeal of the Organizational Documents of any member of the Company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requirement will not supersede any requirement that any other Person’s approval is required to amend any Organizational Document pursuant to the terms thereof;</w:t>
      </w:r>
    </w:p>
    <w:p>
      <w:pPr>
        <w:spacing w:after="0" w:line="123" w:lineRule="exact"/>
        <w:rPr>
          <w:rFonts w:ascii="Arial" w:cs="Arial" w:eastAsia="Arial" w:hAnsi="Arial"/>
          <w:sz w:val="16"/>
          <w:szCs w:val="16"/>
          <w:color w:val="auto"/>
        </w:rPr>
      </w:pPr>
    </w:p>
    <w:p>
      <w:pPr>
        <w:ind w:right="160" w:firstLine="656"/>
        <w:spacing w:after="0" w:line="264" w:lineRule="auto"/>
        <w:tabs>
          <w:tab w:leader="none" w:pos="130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sale, lease, transfer, pledge or other disposition of all or substantially all of the properties or assets of the Company, any member of the Company Group or the Company Group taken as a whole, other than sales, leases, transfers, pledges or other dispositions of assets in the ordinary course of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77" w:lineRule="auto"/>
        <w:tabs>
          <w:tab w:leader="none" w:pos="130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modification, amendment, waiver or other action affecting the 2% general partner interest or incentive distribution rights provided for in the MLP Partnership Agreement;</w:t>
      </w:r>
    </w:p>
    <w:p>
      <w:pPr>
        <w:spacing w:after="0" w:line="170" w:lineRule="exact"/>
        <w:rPr>
          <w:rFonts w:ascii="Arial" w:cs="Arial" w:eastAsia="Arial" w:hAnsi="Arial"/>
          <w:sz w:val="18"/>
          <w:szCs w:val="18"/>
          <w:color w:val="auto"/>
        </w:rPr>
      </w:pPr>
    </w:p>
    <w:p>
      <w:pPr>
        <w:ind w:right="140" w:firstLine="656"/>
        <w:spacing w:after="0" w:line="342" w:lineRule="auto"/>
        <w:tabs>
          <w:tab w:leader="none" w:pos="130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declaration or payment of any dividends or other distributions on the Membership Interest or other debt or equity securities of any member of the Company Group, including, without limitation, any dividend or other distribution by means of a redemption or repurchase of such securities;</w:t>
      </w:r>
    </w:p>
    <w:p>
      <w:pPr>
        <w:spacing w:after="0" w:line="123" w:lineRule="exact"/>
        <w:rPr>
          <w:rFonts w:ascii="Arial" w:cs="Arial" w:eastAsia="Arial" w:hAnsi="Arial"/>
          <w:sz w:val="16"/>
          <w:szCs w:val="16"/>
          <w:color w:val="auto"/>
        </w:rPr>
      </w:pPr>
    </w:p>
    <w:p>
      <w:pPr>
        <w:ind w:right="120" w:firstLine="656"/>
        <w:spacing w:after="0" w:line="297" w:lineRule="auto"/>
        <w:tabs>
          <w:tab w:leader="none" w:pos="131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other than equity securities issued upon exercise of convertible or exchangeable securities authorized or outstanding on the date hereof or subsequently approved pursuant to this </w:t>
      </w:r>
      <w:r>
        <w:rPr>
          <w:rFonts w:ascii="Arial" w:cs="Arial" w:eastAsia="Arial" w:hAnsi="Arial"/>
          <w:sz w:val="16"/>
          <w:szCs w:val="16"/>
          <w:u w:val="single" w:color="auto"/>
          <w:color w:val="auto"/>
        </w:rPr>
        <w:t>Section 5.9</w:t>
      </w:r>
      <w:r>
        <w:rPr>
          <w:rFonts w:ascii="Arial" w:cs="Arial" w:eastAsia="Arial" w:hAnsi="Arial"/>
          <w:sz w:val="16"/>
          <w:szCs w:val="16"/>
          <w:color w:val="auto"/>
        </w:rPr>
        <w:t>, the authorization, sale and/or issuance by any member of the Company Group of any of its limited liability company interests, partnership interests or other equity securities, whether in a private or public offering, including an initial public offering, or the grant, sale or issuance of other securities (including rights, warrants and options) convertible into, exchangeable for or exercisable for any of their respective limited liability company interests, partnership interests or other equity securities, whether or not presently convertible, exchangeable or exercisable;</w:t>
      </w:r>
    </w:p>
    <w:p>
      <w:pPr>
        <w:sectPr>
          <w:pgSz w:w="11900" w:h="16838" w:orient="portrait"/>
          <w:cols w:equalWidth="0" w:num="1">
            <w:col w:w="11400"/>
          </w:cols>
          <w:pgMar w:left="240" w:top="125" w:right="259" w:bottom="0" w:gutter="0" w:footer="0" w:header="0"/>
        </w:sectPr>
      </w:pPr>
    </w:p>
    <w:bookmarkStart w:id="94" w:name="page95"/>
    <w:bookmarkEnd w:id="94"/>
    <w:p>
      <w:pPr>
        <w:spacing w:after="0" w:line="137" w:lineRule="exact"/>
        <w:rPr>
          <w:sz w:val="20"/>
          <w:szCs w:val="20"/>
          <w:color w:val="auto"/>
        </w:rPr>
      </w:pPr>
    </w:p>
    <w:p>
      <w:pPr>
        <w:ind w:firstLine="656"/>
        <w:spacing w:after="0" w:line="273" w:lineRule="auto"/>
        <w:tabs>
          <w:tab w:leader="none" w:pos="130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other than borrowings under the AAP Credit Facility (as in effect on the date hereof), (A) the incurrence of any indebtedness by any member of the Company Group, (B) the assumption, incurrence, or undertaking by any member of the Company Group of, or the grant by any member of the Company Group of any security (other than a pledge of substantially all of the properties or assets of any member of the Company Group or the Company Group taken as a whole for the benefit of the lenders under the AAP Credit Facility) for, any financial commitment of any type whatsoever, including without limitation, any purchase, sale, lease, loan, contract, borrowing or expenditure, or (C) the lending of money by any member of the Company Group to, or the guarantee by any member of the Company Group of the debts of, any other Person;</w:t>
      </w:r>
    </w:p>
    <w:p>
      <w:pPr>
        <w:spacing w:after="0" w:line="178" w:lineRule="exact"/>
        <w:rPr>
          <w:rFonts w:ascii="Arial" w:cs="Arial" w:eastAsia="Arial" w:hAnsi="Arial"/>
          <w:sz w:val="17"/>
          <w:szCs w:val="17"/>
          <w:color w:val="auto"/>
        </w:rPr>
      </w:pPr>
    </w:p>
    <w:p>
      <w:pPr>
        <w:ind w:right="660" w:firstLine="656"/>
        <w:spacing w:after="0" w:line="277" w:lineRule="auto"/>
        <w:tabs>
          <w:tab w:leader="none" w:pos="131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repurchase or redemption by any member of the Company Group of any debt or equity securities other than pursuant to and in accordance with Section 7.9 of the AAP Partnership Agreement; or</w:t>
      </w:r>
    </w:p>
    <w:p>
      <w:pPr>
        <w:spacing w:after="0" w:line="170" w:lineRule="exact"/>
        <w:rPr>
          <w:rFonts w:ascii="Arial" w:cs="Arial" w:eastAsia="Arial" w:hAnsi="Arial"/>
          <w:sz w:val="18"/>
          <w:szCs w:val="18"/>
          <w:color w:val="auto"/>
        </w:rPr>
      </w:pPr>
    </w:p>
    <w:p>
      <w:pPr>
        <w:ind w:right="300" w:firstLine="656"/>
        <w:spacing w:after="0" w:line="277" w:lineRule="auto"/>
        <w:tabs>
          <w:tab w:leader="none" w:pos="130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Transfer (as defined in the AAP Partnership Agreement) of its general partner interest in AAP, withdrawal as general partner of AAP or issuance of any additional general partner interest in AAP.</w:t>
      </w:r>
    </w:p>
    <w:p>
      <w:pPr>
        <w:spacing w:after="0" w:line="1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Actions Requiring Consent of Oxy</w:t>
      </w:r>
      <w:r>
        <w:rPr>
          <w:rFonts w:ascii="Arial" w:cs="Arial" w:eastAsia="Arial" w:hAnsi="Arial"/>
          <w:sz w:val="17"/>
          <w:szCs w:val="17"/>
          <w:color w:val="auto"/>
        </w:rPr>
        <w:t>. Until Oxy and its Affiliates (i) do not have a Qualifying Interest (as such term is defined in the Holdings GP LLC Agreement) of at least 5% and (ii) beneficially own less than 5% of the outstanding Shares (as such term is defined in the PAGP LP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7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Matters Requiring Board Approval</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Without the prior approval of the Board, the Company shall not effect or authorize 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560" w:firstLine="656"/>
        <w:spacing w:after="0" w:line="264" w:lineRule="auto"/>
        <w:tabs>
          <w:tab w:leader="none" w:pos="129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merger, consolidation or share exchange into or with any Person, or any other similar business combination transaction (other than a transaction between the MLP or any of its Subsidiaries or among any of them) involving the MLP and any of its Significant Subsidiaries, or financial restructuring of the MLP or any of its Significant Subsidiaries;</w:t>
      </w:r>
    </w:p>
    <w:p>
      <w:pPr>
        <w:spacing w:after="0" w:line="181" w:lineRule="exact"/>
        <w:rPr>
          <w:rFonts w:ascii="Arial" w:cs="Arial" w:eastAsia="Arial" w:hAnsi="Arial"/>
          <w:sz w:val="18"/>
          <w:szCs w:val="18"/>
          <w:color w:val="auto"/>
        </w:rPr>
      </w:pPr>
    </w:p>
    <w:p>
      <w:pPr>
        <w:ind w:right="460" w:firstLine="656"/>
        <w:spacing w:after="0" w:line="308" w:lineRule="auto"/>
        <w:tabs>
          <w:tab w:leader="none" w:pos="130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repeal or significant amendment of the Organizational Documents of the MLP;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requirement will not supersede any requirement that any other Person’s approval is required to amend any Organizational Document pursuant to the terms thereof; or</w:t>
      </w:r>
    </w:p>
    <w:p>
      <w:pPr>
        <w:spacing w:after="0" w:line="146" w:lineRule="exact"/>
        <w:rPr>
          <w:rFonts w:ascii="Arial" w:cs="Arial" w:eastAsia="Arial" w:hAnsi="Arial"/>
          <w:sz w:val="17"/>
          <w:szCs w:val="17"/>
          <w:color w:val="auto"/>
        </w:rPr>
      </w:pPr>
    </w:p>
    <w:p>
      <w:pPr>
        <w:ind w:right="260" w:firstLine="656"/>
        <w:spacing w:after="0" w:line="264" w:lineRule="auto"/>
        <w:tabs>
          <w:tab w:leader="none" w:pos="130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sale, lease, transfer, pledge or other disposition of all or substantially all of the properties or assets of the MLP or any of its Significant Subsidiaries or the MLP and its Subsidiaries taken as a whole, other than sales, leases, transfers, pledges or other dispositions of properties or assets in the ordinary course of business.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LIABILITY AND INDEMNIFICATION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Limitation on Liability of Members, Directors and Officers</w:t>
      </w:r>
      <w:r>
        <w:rPr>
          <w:rFonts w:ascii="Arial" w:cs="Arial" w:eastAsia="Arial" w:hAnsi="Arial"/>
          <w:sz w:val="17"/>
          <w:szCs w:val="17"/>
          <w:color w:val="auto"/>
        </w:rPr>
        <w:t>.</w:t>
      </w:r>
    </w:p>
    <w:p>
      <w:pPr>
        <w:spacing w:after="0" w:line="225" w:lineRule="exact"/>
        <w:rPr>
          <w:sz w:val="20"/>
          <w:szCs w:val="20"/>
          <w:color w:val="auto"/>
        </w:rPr>
      </w:pPr>
    </w:p>
    <w:p>
      <w:pPr>
        <w:ind w:right="40" w:firstLine="656"/>
        <w:spacing w:after="0" w:line="267" w:lineRule="auto"/>
        <w:tabs>
          <w:tab w:leader="none" w:pos="129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Subject to, and as limited by, the provisions of this Agreement, the Sole Member and the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the avoidance of doubt nothing set forth herein shall be deemed to limit the obligations of the “General Partner” under the MLP Partnership Agreement. Notwithstanding anything to the contrary set forth in this Agreement, no Indemnitee shall be liable for monetary damages to the Company or the Sole Member,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Designated Director, in performing his or her obligations under this Agreement, shall be entitled to act or omit to act at the direction of the Designating Member who designated such Director, considering only such factors, including the separate interests of such Designating Member, as such Director or Designating Member chooses to consider, and any action of a Director or failure to act, taken or omitted in good faith reliance on the foregoing provisions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not constitute a breach of any duty including any fiduciary duty on the part of the Director or Designating Member to the Company or the Sole Member or any other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The provisions of this Agreement, to the extent that they restrict, eliminate or otherwise modify the duties and liabilities, including fiduciary duties, of any Indemnitee otherwise existing at law or in equity, are agreed by Sole Member to replace such duties and liabilities of such Indemnitee. To the fullest extent permitted</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or on behalf of the Sole Member challenging any such action or inaction of, or determination made by, any Indemnitee, the Person bringing or prosecuting such proceeding shall have the burden of overcoming such presumption.</w:t>
      </w:r>
    </w:p>
    <w:p>
      <w:pPr>
        <w:spacing w:after="0" w:line="187" w:lineRule="exact"/>
        <w:rPr>
          <w:sz w:val="20"/>
          <w:szCs w:val="20"/>
          <w:color w:val="auto"/>
        </w:rPr>
      </w:pPr>
    </w:p>
    <w:p>
      <w:pPr>
        <w:ind w:right="60" w:firstLine="656"/>
        <w:spacing w:after="0" w:line="264" w:lineRule="auto"/>
        <w:tabs>
          <w:tab w:leader="none" w:pos="130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280" w:firstLine="656"/>
        <w:spacing w:after="0" w:line="342" w:lineRule="auto"/>
        <w:tabs>
          <w:tab w:leader="none" w:pos="130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No amendment, modification or repeal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as in</w:t>
      </w:r>
    </w:p>
    <w:p>
      <w:pPr>
        <w:sectPr>
          <w:pgSz w:w="11900" w:h="16975" w:orient="portrait"/>
          <w:cols w:equalWidth="0" w:num="1">
            <w:col w:w="11380"/>
          </w:cols>
          <w:pgMar w:left="240" w:top="125" w:right="279" w:bottom="0" w:gutter="0" w:footer="0" w:header="0"/>
        </w:sectPr>
      </w:pPr>
    </w:p>
    <w:bookmarkStart w:id="95" w:name="page96"/>
    <w:bookmarkEnd w:id="95"/>
    <w:p>
      <w:pPr>
        <w:spacing w:after="0" w:line="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80" w:firstLine="656"/>
        <w:spacing w:after="0" w:line="291" w:lineRule="auto"/>
        <w:tabs>
          <w:tab w:leader="none" w:pos="129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67" w:lineRule="exact"/>
        <w:rPr>
          <w:rFonts w:ascii="Arial" w:cs="Arial" w:eastAsia="Arial" w:hAnsi="Arial"/>
          <w:sz w:val="16"/>
          <w:szCs w:val="16"/>
          <w:color w:val="auto"/>
        </w:rPr>
      </w:pPr>
    </w:p>
    <w:p>
      <w:pPr>
        <w:ind w:right="20" w:firstLine="656"/>
        <w:spacing w:after="0" w:line="259" w:lineRule="auto"/>
        <w:tabs>
          <w:tab w:leader="none" w:pos="130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656"/>
        <w:spacing w:after="0" w:line="259" w:lineRule="auto"/>
        <w:tabs>
          <w:tab w:leader="none" w:pos="130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indemnification provided by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such Indemnitee is also an Affiliate of a Designating Member, the vote of the Designated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Director designated by such Designating Member shall be disregarded for purposes of the Board’s vote pursuant to this </w:t>
      </w:r>
      <w:r>
        <w:rPr>
          <w:rFonts w:ascii="Arial" w:cs="Arial" w:eastAsia="Arial" w:hAnsi="Arial"/>
          <w:sz w:val="18"/>
          <w:szCs w:val="18"/>
          <w:u w:val="single" w:color="auto"/>
          <w:color w:val="auto"/>
        </w:rPr>
        <w:t>Section 6.2(c)</w:t>
      </w:r>
      <w:r>
        <w:rPr>
          <w:rFonts w:ascii="Arial" w:cs="Arial" w:eastAsia="Arial" w:hAnsi="Arial"/>
          <w:sz w:val="18"/>
          <w:szCs w:val="18"/>
          <w:color w:val="auto"/>
        </w:rPr>
        <w:t>.</w:t>
      </w:r>
    </w:p>
    <w:p>
      <w:pPr>
        <w:spacing w:after="0" w:line="225" w:lineRule="exact"/>
        <w:rPr>
          <w:sz w:val="20"/>
          <w:szCs w:val="20"/>
          <w:color w:val="auto"/>
        </w:rPr>
      </w:pPr>
    </w:p>
    <w:p>
      <w:pPr>
        <w:ind w:right="620" w:firstLine="656"/>
        <w:spacing w:after="0" w:line="277" w:lineRule="auto"/>
        <w:tabs>
          <w:tab w:leader="none" w:pos="130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70" w:lineRule="exact"/>
        <w:rPr>
          <w:rFonts w:ascii="Arial" w:cs="Arial" w:eastAsia="Arial" w:hAnsi="Arial"/>
          <w:sz w:val="18"/>
          <w:szCs w:val="18"/>
          <w:color w:val="auto"/>
        </w:rPr>
      </w:pPr>
    </w:p>
    <w:p>
      <w:pPr>
        <w:ind w:right="580" w:firstLine="656"/>
        <w:spacing w:after="0" w:line="277" w:lineRule="auto"/>
        <w:tabs>
          <w:tab w:leader="none" w:pos="130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Company, and the Sole Member shall not be subject to personal liability by reason of the indemnification provisions under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120" w:firstLine="656"/>
        <w:spacing w:after="0" w:line="286" w:lineRule="auto"/>
        <w:tabs>
          <w:tab w:leader="none" w:pos="130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5" w:lineRule="exact"/>
        <w:rPr>
          <w:rFonts w:ascii="Arial" w:cs="Arial" w:eastAsia="Arial" w:hAnsi="Arial"/>
          <w:sz w:val="17"/>
          <w:szCs w:val="17"/>
          <w:color w:val="auto"/>
        </w:rPr>
      </w:pPr>
    </w:p>
    <w:p>
      <w:pPr>
        <w:ind w:right="400" w:firstLine="656"/>
        <w:spacing w:after="0" w:line="308" w:lineRule="auto"/>
        <w:tabs>
          <w:tab w:leader="none" w:pos="131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6" w:lineRule="exact"/>
        <w:rPr>
          <w:rFonts w:ascii="Arial" w:cs="Arial" w:eastAsia="Arial" w:hAnsi="Arial"/>
          <w:sz w:val="17"/>
          <w:szCs w:val="17"/>
          <w:color w:val="auto"/>
        </w:rPr>
      </w:pPr>
    </w:p>
    <w:p>
      <w:pPr>
        <w:ind w:right="40" w:firstLine="656"/>
        <w:spacing w:after="0" w:line="257" w:lineRule="auto"/>
        <w:tabs>
          <w:tab w:leader="none" w:pos="130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Dissolution</w:t>
      </w:r>
      <w:r>
        <w:rPr>
          <w:rFonts w:ascii="Arial" w:cs="Arial" w:eastAsia="Arial" w:hAnsi="Arial"/>
          <w:sz w:val="16"/>
          <w:szCs w:val="16"/>
          <w:color w:val="auto"/>
        </w:rPr>
        <w:t>. The Company shall dissolve and its affairs shall be wound up at such time, if any, as the Sole Member may elect.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Waiver of Default</w:t>
      </w:r>
      <w:r>
        <w:rPr>
          <w:rFonts w:ascii="Arial" w:cs="Arial" w:eastAsia="Arial" w:hAnsi="Arial"/>
          <w:sz w:val="18"/>
          <w:szCs w:val="18"/>
          <w:color w:val="auto"/>
        </w:rPr>
        <w:t>. No consent or waiver, express or implied, by the Company or the Sole Member with respect to any breach or default by the Company or the Sole Member hereunder shall be deemed or construed to be a consent or waiver with respect to any other breach or default by any party of the same provision or any other provision of this Agreement. Failure on the part of the Company or the Sole Member to complain of any act or failure to act of the Company or the Sole Member or to declare such party in default shall not be deemed or constitute a waiver by the Company or the Sole Member of any rights hereunder.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91" w:lineRule="auto"/>
        <w:tabs>
          <w:tab w:leader="none" w:pos="129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elsewhere in this Agreement, this Agreement shall not be altered, modified or changed except by an amendment approved by the Sole Member, acting through the Holdings GP Board;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(i) no amendment of this Agreement that would</w:t>
      </w:r>
    </w:p>
    <w:p>
      <w:pPr>
        <w:ind w:left="300" w:hanging="292"/>
        <w:spacing w:after="0"/>
        <w:tabs>
          <w:tab w:leader="none" w:pos="3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except as expressly provided for hereunder, increase the size of the Board, (B) grant any Person the right to designate more than one Director, or</w:t>
      </w:r>
    </w:p>
    <w:p>
      <w:pPr>
        <w:spacing w:after="0" w:line="21" w:lineRule="exact"/>
        <w:rPr>
          <w:sz w:val="20"/>
          <w:szCs w:val="20"/>
          <w:color w:val="auto"/>
        </w:rPr>
      </w:pPr>
    </w:p>
    <w:p>
      <w:pPr>
        <w:ind w:firstLine="8"/>
        <w:spacing w:after="0" w:line="292" w:lineRule="auto"/>
        <w:tabs>
          <w:tab w:leader="none" w:pos="28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improve the designation right of a Designating Member (as such term is defined in the Holdings GP LLC Agreement) disproportionately with respect to any or all of the other Designating Members shall be effective without the prior written consent of the effected Designating Member or Designating Members, as applicable; (ii) no amendment that adversely affects the rights of an Initial Designating Member under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shall be effective without the prior written consent of such Initial Designating member; (iii) no amendment that adversely affects the rights of Oxy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shall be effective without the prior written consent of Oxy; and (iv) no amendment of the provisos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shall be effective without the prior written consent of (A) each</w:t>
      </w:r>
    </w:p>
    <w:p>
      <w:pPr>
        <w:sectPr>
          <w:pgSz w:w="11900" w:h="16936" w:orient="portrait"/>
          <w:cols w:equalWidth="0" w:num="1">
            <w:col w:w="11400"/>
          </w:cols>
          <w:pgMar w:left="240" w:top="125" w:right="259" w:bottom="0" w:gutter="0" w:footer="0" w:header="0"/>
        </w:sectPr>
      </w:pPr>
    </w:p>
    <w:bookmarkStart w:id="96" w:name="page97"/>
    <w:bookmarkEnd w:id="96"/>
    <w:p>
      <w:pPr>
        <w:jc w:val="both"/>
        <w:ind w:right="200"/>
        <w:spacing w:after="0" w:line="264" w:lineRule="auto"/>
        <w:rPr>
          <w:sz w:val="20"/>
          <w:szCs w:val="20"/>
          <w:color w:val="auto"/>
        </w:rPr>
      </w:pPr>
      <w:r>
        <w:rPr>
          <w:rFonts w:ascii="Arial" w:cs="Arial" w:eastAsia="Arial" w:hAnsi="Arial"/>
          <w:sz w:val="18"/>
          <w:szCs w:val="18"/>
          <w:color w:val="auto"/>
        </w:rPr>
        <w:t xml:space="preserve">Designating Member, if any, (B) to the extent that, immediately prior to giving effect to such amendment, one or more Initial Designating Members retains any rights under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each affected Initial Designating Member, and (C) to the extent that, immediately prior to giving effect to such amendment, Oxy retains any rights </w:t>
      </w:r>
      <w:r>
        <w:rPr>
          <w:rFonts w:ascii="Arial" w:cs="Arial" w:eastAsia="Arial" w:hAnsi="Arial"/>
          <w:sz w:val="18"/>
          <w:szCs w:val="18"/>
          <w:u w:val="single" w:color="auto"/>
          <w:color w:val="auto"/>
        </w:rPr>
        <w:t>Section 5.10</w:t>
      </w:r>
      <w:r>
        <w:rPr>
          <w:rFonts w:ascii="Arial" w:cs="Arial" w:eastAsia="Arial" w:hAnsi="Arial"/>
          <w:sz w:val="18"/>
          <w:szCs w:val="18"/>
          <w:color w:val="auto"/>
        </w:rPr>
        <w:t>, Oxy.</w:t>
      </w:r>
    </w:p>
    <w:p>
      <w:pPr>
        <w:spacing w:after="0" w:line="181" w:lineRule="exact"/>
        <w:rPr>
          <w:sz w:val="20"/>
          <w:szCs w:val="20"/>
          <w:color w:val="auto"/>
        </w:rPr>
      </w:pPr>
    </w:p>
    <w:p>
      <w:pPr>
        <w:ind w:right="660" w:firstLine="656"/>
        <w:spacing w:after="0" w:line="277" w:lineRule="auto"/>
        <w:tabs>
          <w:tab w:leader="none" w:pos="130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Board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Any modification or amendment to this Agreement or the Certificate made in accordance with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be binding on the Sole Member and the Board.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Third Party Rights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6</w:t>
      </w:r>
      <w:r>
        <w:rPr>
          <w:rFonts w:ascii="Arial" w:cs="Arial" w:eastAsia="Arial" w:hAnsi="Arial"/>
          <w:sz w:val="18"/>
          <w:szCs w:val="18"/>
          <w:color w:val="auto"/>
        </w:rPr>
        <w:t>, none of the provisions contained in this Agreement shall be for the benefit of or enforceable by any third parties, including creditors of the Company.</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Nature of Interest in the Company</w:t>
      </w:r>
      <w:r>
        <w:rPr>
          <w:rFonts w:ascii="Arial" w:cs="Arial" w:eastAsia="Arial" w:hAnsi="Arial"/>
          <w:sz w:val="16"/>
          <w:szCs w:val="16"/>
          <w:color w:val="auto"/>
        </w:rPr>
        <w:t>. The Sole Member’s Membership Interest shall be personal property for all purposes.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Binding Agreement</w:t>
      </w:r>
      <w:r>
        <w:rPr>
          <w:rFonts w:ascii="Arial" w:cs="Arial" w:eastAsia="Arial" w:hAnsi="Arial"/>
          <w:sz w:val="18"/>
          <w:szCs w:val="18"/>
          <w:color w:val="auto"/>
        </w:rPr>
        <w:t>. The provisions of this Agreement shall be binding upon, and inure to the benefit of, the parties hereto and their respective heirs, personal representatives, successors and permitted assigns.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convenience only and shall not be considered in construing or interpreting any of the terms or provisions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Word Meanings</w:t>
      </w:r>
      <w:r>
        <w:rPr>
          <w:rFonts w:ascii="Arial" w:cs="Arial" w:eastAsia="Arial" w:hAnsi="Arial"/>
          <w:sz w:val="18"/>
          <w:szCs w:val="18"/>
          <w:color w:val="auto"/>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together shall constitute one agreement binding on all parties hereto, notwithstanding that all the parties have not signed the same counterpart.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hereto and thereto and supersedes all prior writings or agreements with respect to the subject matter hereof.</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Governing Law; Consent to Jurisdiction and Venue</w:t>
      </w:r>
      <w:r>
        <w:rPr>
          <w:rFonts w:ascii="Arial" w:cs="Arial" w:eastAsia="Arial" w:hAnsi="Arial"/>
          <w:sz w:val="18"/>
          <w:szCs w:val="18"/>
          <w:color w:val="auto"/>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the Sole Member may, at their option, enforce their rights hereunder in such courts.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Sole Member has caused this Agreement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56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General Counsel and Secretary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Sixth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46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8"/>
              </w:rPr>
              <w:t>SCHEDULE 1</w:t>
            </w:r>
          </w:p>
        </w:tc>
      </w:tr>
      <w:tr>
        <w:trPr>
          <w:trHeight w:val="237"/>
        </w:trPr>
        <w:tc>
          <w:tcPr>
            <w:tcW w:w="3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Directors</w:t>
            </w:r>
          </w:p>
        </w:tc>
        <w:tc>
          <w:tcPr>
            <w:tcW w:w="1720" w:type="dxa"/>
            <w:vAlign w:val="bottom"/>
          </w:tcPr>
          <w:p>
            <w:pPr>
              <w:spacing w:after="0"/>
              <w:rPr>
                <w:sz w:val="20"/>
                <w:szCs w:val="20"/>
                <w:color w:val="auto"/>
              </w:rPr>
            </w:pP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Designated Directors</w:t>
            </w: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ind w:left="440"/>
              <w:spacing w:after="0"/>
              <w:rPr>
                <w:sz w:val="20"/>
                <w:szCs w:val="20"/>
                <w:color w:val="auto"/>
              </w:rPr>
            </w:pPr>
            <w:r>
              <w:rPr>
                <w:rFonts w:ascii="Arial" w:cs="Arial" w:eastAsia="Arial" w:hAnsi="Arial"/>
                <w:sz w:val="18"/>
                <w:szCs w:val="18"/>
                <w:color w:val="auto"/>
                <w:w w:val="88"/>
              </w:rPr>
              <w:t>John T. Raymond</w:t>
            </w:r>
          </w:p>
        </w:tc>
      </w:tr>
      <w:tr>
        <w:trPr>
          <w:trHeight w:val="230"/>
        </w:trPr>
        <w:tc>
          <w:tcPr>
            <w:tcW w:w="3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20" w:type="dxa"/>
            <w:vAlign w:val="bottom"/>
          </w:tcPr>
          <w:p>
            <w:pPr>
              <w:ind w:left="440"/>
              <w:spacing w:after="0"/>
              <w:rPr>
                <w:sz w:val="20"/>
                <w:szCs w:val="20"/>
                <w:color w:val="auto"/>
              </w:rPr>
            </w:pPr>
            <w:r>
              <w:rPr>
                <w:rFonts w:ascii="Arial" w:cs="Arial" w:eastAsia="Arial" w:hAnsi="Arial"/>
                <w:sz w:val="18"/>
                <w:szCs w:val="18"/>
                <w:color w:val="auto"/>
                <w:w w:val="91"/>
              </w:rPr>
              <w:t>Robert V. Sinnott</w:t>
            </w:r>
          </w:p>
        </w:tc>
      </w:tr>
    </w:tbl>
    <w:p>
      <w:pPr>
        <w:sectPr>
          <w:pgSz w:w="11900" w:h="16838" w:orient="portrait"/>
          <w:cols w:equalWidth="0" w:num="1">
            <w:col w:w="11420"/>
          </w:cols>
          <w:pgMar w:left="240" w:top="125" w:right="239"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8580" w:type="dxa"/>
            <w:vAlign w:val="bottom"/>
          </w:tcPr>
          <w:p>
            <w:pPr>
              <w:ind w:left="3840"/>
              <w:spacing w:after="0"/>
              <w:rPr>
                <w:sz w:val="20"/>
                <w:szCs w:val="20"/>
                <w:color w:val="auto"/>
              </w:rPr>
            </w:pPr>
            <w:r>
              <w:rPr>
                <w:rFonts w:ascii="Arial" w:cs="Arial" w:eastAsia="Arial" w:hAnsi="Arial"/>
                <w:sz w:val="18"/>
                <w:szCs w:val="18"/>
                <w:color w:val="auto"/>
              </w:rPr>
              <w:t>Vicky Sutil</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8580" w:type="dxa"/>
            <w:vAlign w:val="bottom"/>
          </w:tcPr>
          <w:p>
            <w:pPr>
              <w:ind w:left="3840"/>
              <w:spacing w:after="0"/>
              <w:rPr>
                <w:sz w:val="20"/>
                <w:szCs w:val="20"/>
                <w:color w:val="auto"/>
              </w:rPr>
            </w:pPr>
            <w:r>
              <w:rPr>
                <w:rFonts w:ascii="Arial" w:cs="Arial" w:eastAsia="Arial" w:hAnsi="Arial"/>
                <w:sz w:val="18"/>
                <w:szCs w:val="18"/>
                <w:color w:val="auto"/>
              </w:rPr>
              <w:t>Greg L. Armstrong</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Directors elected by Sole Member</w:t>
            </w:r>
          </w:p>
        </w:tc>
        <w:tc>
          <w:tcPr>
            <w:tcW w:w="8580" w:type="dxa"/>
            <w:vAlign w:val="bottom"/>
          </w:tcPr>
          <w:p>
            <w:pPr>
              <w:ind w:left="3840"/>
              <w:spacing w:after="0"/>
              <w:rPr>
                <w:sz w:val="20"/>
                <w:szCs w:val="20"/>
                <w:color w:val="auto"/>
              </w:rPr>
            </w:pPr>
            <w:r>
              <w:rPr>
                <w:rFonts w:ascii="Arial" w:cs="Arial" w:eastAsia="Arial" w:hAnsi="Arial"/>
                <w:sz w:val="18"/>
                <w:szCs w:val="18"/>
                <w:color w:val="auto"/>
              </w:rPr>
              <w:t>Everardo Goyanes*</w:t>
            </w:r>
          </w:p>
        </w:tc>
      </w:tr>
      <w:tr>
        <w:trPr>
          <w:trHeight w:val="216"/>
        </w:trPr>
        <w:tc>
          <w:tcPr>
            <w:tcW w:w="2880" w:type="dxa"/>
            <w:vAlign w:val="bottom"/>
          </w:tcPr>
          <w:p>
            <w:pPr>
              <w:spacing w:after="0"/>
              <w:rPr>
                <w:sz w:val="18"/>
                <w:szCs w:val="18"/>
                <w:color w:val="auto"/>
              </w:rPr>
            </w:pPr>
          </w:p>
        </w:tc>
        <w:tc>
          <w:tcPr>
            <w:tcW w:w="8580" w:type="dxa"/>
            <w:vAlign w:val="bottom"/>
          </w:tcPr>
          <w:p>
            <w:pPr>
              <w:ind w:left="3840"/>
              <w:spacing w:after="0"/>
              <w:rPr>
                <w:sz w:val="20"/>
                <w:szCs w:val="20"/>
                <w:color w:val="auto"/>
              </w:rPr>
            </w:pPr>
            <w:r>
              <w:rPr>
                <w:rFonts w:ascii="Arial" w:cs="Arial" w:eastAsia="Arial" w:hAnsi="Arial"/>
                <w:sz w:val="18"/>
                <w:szCs w:val="18"/>
                <w:color w:val="auto"/>
              </w:rPr>
              <w:t>Gary R. Petersen*</w:t>
            </w:r>
          </w:p>
        </w:tc>
      </w:tr>
      <w:tr>
        <w:trPr>
          <w:trHeight w:val="216"/>
        </w:trPr>
        <w:tc>
          <w:tcPr>
            <w:tcW w:w="2880" w:type="dxa"/>
            <w:vAlign w:val="bottom"/>
          </w:tcPr>
          <w:p>
            <w:pPr>
              <w:spacing w:after="0"/>
              <w:rPr>
                <w:sz w:val="18"/>
                <w:szCs w:val="18"/>
                <w:color w:val="auto"/>
              </w:rPr>
            </w:pPr>
          </w:p>
        </w:tc>
        <w:tc>
          <w:tcPr>
            <w:tcW w:w="8580" w:type="dxa"/>
            <w:vAlign w:val="bottom"/>
          </w:tcPr>
          <w:p>
            <w:pPr>
              <w:ind w:left="3840"/>
              <w:spacing w:after="0"/>
              <w:rPr>
                <w:sz w:val="20"/>
                <w:szCs w:val="20"/>
                <w:color w:val="auto"/>
              </w:rPr>
            </w:pPr>
            <w:r>
              <w:rPr>
                <w:rFonts w:ascii="Arial" w:cs="Arial" w:eastAsia="Arial" w:hAnsi="Arial"/>
                <w:sz w:val="18"/>
                <w:szCs w:val="18"/>
                <w:color w:val="auto"/>
              </w:rPr>
              <w:t>J. Taft Symonds*</w:t>
            </w:r>
          </w:p>
        </w:tc>
      </w:tr>
      <w:tr>
        <w:trPr>
          <w:trHeight w:val="230"/>
        </w:trPr>
        <w:tc>
          <w:tcPr>
            <w:tcW w:w="2880" w:type="dxa"/>
            <w:vAlign w:val="bottom"/>
          </w:tcPr>
          <w:p>
            <w:pPr>
              <w:spacing w:after="0"/>
              <w:rPr>
                <w:sz w:val="20"/>
                <w:szCs w:val="20"/>
                <w:color w:val="auto"/>
              </w:rPr>
            </w:pPr>
          </w:p>
        </w:tc>
        <w:tc>
          <w:tcPr>
            <w:tcW w:w="8580" w:type="dxa"/>
            <w:vAlign w:val="bottom"/>
          </w:tcPr>
          <w:p>
            <w:pPr>
              <w:ind w:left="3840"/>
              <w:spacing w:after="0"/>
              <w:rPr>
                <w:sz w:val="20"/>
                <w:szCs w:val="20"/>
                <w:color w:val="auto"/>
              </w:rPr>
            </w:pPr>
            <w:r>
              <w:rPr>
                <w:rFonts w:ascii="Arial" w:cs="Arial" w:eastAsia="Arial" w:hAnsi="Arial"/>
                <w:sz w:val="18"/>
                <w:szCs w:val="18"/>
                <w:color w:val="auto"/>
              </w:rPr>
              <w:t>Christopher M. Temple*</w:t>
            </w:r>
          </w:p>
        </w:tc>
      </w:tr>
      <w:tr>
        <w:trPr>
          <w:trHeight w:val="324"/>
        </w:trPr>
        <w:tc>
          <w:tcPr>
            <w:tcW w:w="2880" w:type="dxa"/>
            <w:vAlign w:val="bottom"/>
            <w:tcBorders>
              <w:bottom w:val="single" w:sz="8" w:color="auto"/>
            </w:tcBorders>
          </w:tcPr>
          <w:p>
            <w:pPr>
              <w:spacing w:after="0"/>
              <w:rPr>
                <w:sz w:val="24"/>
                <w:szCs w:val="24"/>
                <w:color w:val="auto"/>
              </w:rPr>
            </w:pPr>
          </w:p>
        </w:tc>
        <w:tc>
          <w:tcPr>
            <w:tcW w:w="8580" w:type="dxa"/>
            <w:vAlign w:val="bottom"/>
          </w:tcPr>
          <w:p>
            <w:pPr>
              <w:spacing w:after="0"/>
              <w:rPr>
                <w:sz w:val="24"/>
                <w:szCs w:val="24"/>
                <w:color w:val="auto"/>
              </w:rPr>
            </w:pPr>
          </w:p>
        </w:tc>
      </w:tr>
      <w:tr>
        <w:trPr>
          <w:trHeight w:val="318"/>
        </w:trPr>
        <w:tc>
          <w:tcPr>
            <w:tcW w:w="2880" w:type="dxa"/>
            <w:vAlign w:val="bottom"/>
          </w:tcPr>
          <w:p>
            <w:pPr>
              <w:spacing w:after="0"/>
              <w:rPr>
                <w:sz w:val="20"/>
                <w:szCs w:val="20"/>
                <w:color w:val="auto"/>
              </w:rPr>
            </w:pPr>
            <w:r>
              <w:rPr>
                <w:rFonts w:ascii="Arial" w:cs="Arial" w:eastAsia="Arial" w:hAnsi="Arial"/>
                <w:sz w:val="18"/>
                <w:szCs w:val="18"/>
                <w:color w:val="auto"/>
              </w:rPr>
              <w:t>* Indicates Independent Director</w:t>
            </w:r>
          </w:p>
        </w:tc>
        <w:tc>
          <w:tcPr>
            <w:tcW w:w="8580" w:type="dxa"/>
            <w:vAlign w:val="bottom"/>
          </w:tcPr>
          <w:p>
            <w:pPr>
              <w:spacing w:after="0"/>
              <w:rPr>
                <w:sz w:val="24"/>
                <w:szCs w:val="24"/>
                <w:color w:val="auto"/>
              </w:rPr>
            </w:pPr>
          </w:p>
        </w:tc>
      </w:tr>
      <w:tr>
        <w:trPr>
          <w:trHeight w:val="348"/>
        </w:trPr>
        <w:tc>
          <w:tcPr>
            <w:tcW w:w="2880" w:type="dxa"/>
            <w:vAlign w:val="bottom"/>
            <w:tcBorders>
              <w:bottom w:val="single" w:sz="8" w:color="010101"/>
            </w:tcBorders>
          </w:tcPr>
          <w:p>
            <w:pPr>
              <w:spacing w:after="0"/>
              <w:rPr>
                <w:sz w:val="24"/>
                <w:szCs w:val="24"/>
                <w:color w:val="auto"/>
              </w:rPr>
            </w:pPr>
          </w:p>
        </w:tc>
        <w:tc>
          <w:tcPr>
            <w:tcW w:w="85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AND REGISTRATION RIGHTS AGREEMENT</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THIS SHAREHOLDER AND REGISTRATION RIGHTS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October 21, 2013,</w:t>
      </w:r>
      <w:r>
        <w:rPr>
          <w:rFonts w:ascii="Arial" w:cs="Arial" w:eastAsia="Arial" w:hAnsi="Arial"/>
          <w:sz w:val="18"/>
          <w:szCs w:val="18"/>
          <w:b w:val="1"/>
          <w:bCs w:val="1"/>
          <w:color w:val="auto"/>
        </w:rPr>
        <w:t xml:space="preserve"> </w:t>
      </w:r>
      <w:r>
        <w:rPr>
          <w:rFonts w:ascii="Arial" w:cs="Arial" w:eastAsia="Arial" w:hAnsi="Arial"/>
          <w:sz w:val="18"/>
          <w:szCs w:val="18"/>
          <w:color w:val="auto"/>
        </w:rPr>
        <w:t>by and among Plains GP Holdings, L.P., a limited partnership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each of the parties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Initial Holders</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and in consideration of, the transactions contemplated by the Company’s Registration Statement on Form S-1, (File</w:t>
      </w:r>
      <w:r>
        <w:rPr>
          <w:rFonts w:ascii="Arial" w:cs="Arial" w:eastAsia="Arial" w:hAnsi="Arial"/>
          <w:sz w:val="18"/>
          <w:szCs w:val="18"/>
          <w:b w:val="1"/>
          <w:bCs w:val="1"/>
          <w:color w:val="auto"/>
        </w:rPr>
        <w:t xml:space="preserve"> </w:t>
      </w:r>
      <w:r>
        <w:rPr>
          <w:rFonts w:ascii="Arial" w:cs="Arial" w:eastAsia="Arial" w:hAnsi="Arial"/>
          <w:sz w:val="18"/>
          <w:szCs w:val="18"/>
          <w:color w:val="auto"/>
        </w:rPr>
        <w:t>No. 333-190227) initially filed with the Commission (as hereinafter defined) on July 29, 2013 and declared effective by the Commission under the Securities Act (as hereinafter defined) on October 15, 2013, the Initial Holders have requested, and the Company has agreed to provide, registration rights with respect to the Registrable Securities (as hereinafter defined), as set forth in this Agreement.</w:t>
      </w:r>
    </w:p>
    <w:p>
      <w:pPr>
        <w:spacing w:after="0" w:line="180" w:lineRule="exact"/>
        <w:rPr>
          <w:sz w:val="20"/>
          <w:szCs w:val="20"/>
          <w:color w:val="auto"/>
        </w:rPr>
      </w:pPr>
    </w:p>
    <w:p>
      <w:pPr>
        <w:ind w:right="980" w:firstLine="648"/>
        <w:spacing w:after="0" w:line="31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mutual covenants of the parties hereto,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the parties hereto hereby agree as follows:</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herein, as used in this Agreement,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means Class A Units representing limited partner interests in 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Class B Units representing limited partner interests in AAP.</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Seventh Amended and Restated Limited Partnership Agreement of AAP, dated as of the date hereof, as such may be further amended, modified, supplemented or restated from time to time in accordance with the terms thereof.</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when used with respect to any Person, any Person directly or indirectly controlling, controlled by, or under common control with such person. For the purposes of this definition, the terms “</w:t>
      </w:r>
      <w:r>
        <w:rPr>
          <w:rFonts w:ascii="Arial" w:cs="Arial" w:eastAsia="Arial" w:hAnsi="Arial"/>
          <w:sz w:val="18"/>
          <w:szCs w:val="18"/>
          <w:i w:val="1"/>
          <w:iCs w:val="1"/>
          <w:color w:val="auto"/>
        </w:rPr>
        <w:t>controlling</w:t>
      </w:r>
      <w:r>
        <w:rPr>
          <w:rFonts w:ascii="Arial" w:cs="Arial" w:eastAsia="Arial" w:hAnsi="Arial"/>
          <w:sz w:val="18"/>
          <w:szCs w:val="18"/>
          <w:color w:val="auto"/>
        </w:rPr>
        <w:t>”, “</w:t>
      </w:r>
      <w:r>
        <w:rPr>
          <w:rFonts w:ascii="Arial" w:cs="Arial" w:eastAsia="Arial" w:hAnsi="Arial"/>
          <w:sz w:val="18"/>
          <w:szCs w:val="18"/>
          <w:i w:val="1"/>
          <w:iCs w:val="1"/>
          <w:color w:val="auto"/>
        </w:rPr>
        <w:t>controlled by</w:t>
      </w:r>
      <w:r>
        <w:rPr>
          <w:rFonts w:ascii="Arial" w:cs="Arial" w:eastAsia="Arial" w:hAnsi="Arial"/>
          <w:sz w:val="18"/>
          <w:szCs w:val="18"/>
          <w:color w:val="auto"/>
        </w:rPr>
        <w:t>”, or “</w:t>
      </w:r>
      <w:r>
        <w:rPr>
          <w:rFonts w:ascii="Arial" w:cs="Arial" w:eastAsia="Arial" w:hAnsi="Arial"/>
          <w:sz w:val="18"/>
          <w:szCs w:val="18"/>
          <w:i w:val="1"/>
          <w:iCs w:val="1"/>
          <w:color w:val="auto"/>
        </w:rPr>
        <w:t>under common control</w:t>
      </w:r>
      <w:r>
        <w:rPr>
          <w:rFonts w:ascii="Arial" w:cs="Arial" w:eastAsia="Arial" w:hAnsi="Arial"/>
          <w:sz w:val="18"/>
          <w:szCs w:val="18"/>
          <w:color w:val="auto"/>
        </w:rPr>
        <w:t>” means the possession, directly or indirectly, of the power to direct or cause the direction of management or policies (whether through ownership of securities or any partnership or other ownership interest, by contract or otherwise) of a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Blackout Period</w:t>
      </w:r>
      <w:r>
        <w:rPr>
          <w:rFonts w:ascii="Arial" w:cs="Arial" w:eastAsia="Arial" w:hAnsi="Arial"/>
          <w:sz w:val="18"/>
          <w:szCs w:val="18"/>
          <w:color w:val="auto"/>
        </w:rPr>
        <w:t>” means any of the following:</w:t>
      </w:r>
    </w:p>
    <w:p>
      <w:pPr>
        <w:spacing w:after="0" w:line="225" w:lineRule="exact"/>
        <w:rPr>
          <w:sz w:val="20"/>
          <w:szCs w:val="20"/>
          <w:color w:val="auto"/>
        </w:rPr>
      </w:pPr>
    </w:p>
    <w:p>
      <w:pPr>
        <w:ind w:left="660" w:right="20" w:firstLine="645"/>
        <w:spacing w:after="0" w:line="264" w:lineRule="auto"/>
        <w:tabs>
          <w:tab w:leader="none" w:pos="195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the event that at any time Company management determines in good faith that the registration or offering of Registrable Securities at that time would be reasonably likely to cause or require disclosure (i) that the Company or PAA is pursuing a significant acquisition and that the disclosure of the pursuit of such transaction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be reasonably likely to jeopardize such transaction or (ii) of material, non-public information, the disclosure of which would be harmful to the Company or PAA and with respect to which the Company or PAA otherwise has a bona fide business purpose for preserving as confidential, a period of up to 30 calendar days following such determination;</w:t>
      </w:r>
    </w:p>
    <w:p>
      <w:pPr>
        <w:spacing w:after="0" w:line="181" w:lineRule="exact"/>
        <w:rPr>
          <w:sz w:val="20"/>
          <w:szCs w:val="20"/>
          <w:color w:val="auto"/>
        </w:rPr>
      </w:pPr>
    </w:p>
    <w:p>
      <w:pPr>
        <w:ind w:left="660" w:right="500" w:firstLine="645"/>
        <w:spacing w:after="0" w:line="342" w:lineRule="auto"/>
        <w:tabs>
          <w:tab w:leader="none" w:pos="196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if the Company has notified the Holders pursuant to Section 6 that it is updating any Registration Statement or Prospectus in accordance with the terms of this Agreement, a reasonable period of time, not to exceed 10 days, for the Company to complete such update;</w:t>
      </w:r>
    </w:p>
    <w:p>
      <w:pPr>
        <w:spacing w:after="0" w:line="123" w:lineRule="exact"/>
        <w:rPr>
          <w:rFonts w:ascii="Arial" w:cs="Arial" w:eastAsia="Arial" w:hAnsi="Arial"/>
          <w:sz w:val="16"/>
          <w:szCs w:val="16"/>
          <w:color w:val="auto"/>
        </w:rPr>
      </w:pPr>
    </w:p>
    <w:p>
      <w:pPr>
        <w:ind w:left="660" w:right="360" w:firstLine="645"/>
        <w:spacing w:after="0" w:line="277" w:lineRule="auto"/>
        <w:tabs>
          <w:tab w:leader="none" w:pos="196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regular quarterly “black-out” period during which all directors and executive officers of the Company are not permitted to trade under the insider trading policy of the Company then in effect; and</w:t>
      </w:r>
    </w:p>
    <w:p>
      <w:pPr>
        <w:spacing w:after="0" w:line="170" w:lineRule="exact"/>
        <w:rPr>
          <w:rFonts w:ascii="Arial" w:cs="Arial" w:eastAsia="Arial" w:hAnsi="Arial"/>
          <w:sz w:val="18"/>
          <w:szCs w:val="18"/>
          <w:color w:val="auto"/>
        </w:rPr>
      </w:pPr>
    </w:p>
    <w:p>
      <w:pPr>
        <w:ind w:left="660" w:firstLine="645"/>
        <w:spacing w:after="0" w:line="279" w:lineRule="auto"/>
        <w:tabs>
          <w:tab w:leader="none" w:pos="1964"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 the event PAA is conducting or actively pursuing a securities offering with anticipated offering proceeds of at least one hundred and fifty million dollars ($150,000,000) (other than in connection with any at-the-market offering or similar continuous offering program), a period of fifteen (15) calendar days as specified in a written notice delivered by the Company to the applicable Holders pursuant to Section 2 or 3; provided, however, that the Company shall not be entitled to provide such a notice more than once in any three month period.</w:t>
      </w:r>
    </w:p>
    <w:p>
      <w:pPr>
        <w:spacing w:after="0" w:line="17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a Sunday or other day on which banks are required or authorized by law to be closed in Houston, Texas or New York, New York.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means Oxy, EMG, Kayne Anderson or PAA Management.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EMG</w:t>
      </w:r>
      <w:r>
        <w:rPr>
          <w:rFonts w:ascii="Arial" w:cs="Arial" w:eastAsia="Arial" w:hAnsi="Arial"/>
          <w:sz w:val="18"/>
          <w:szCs w:val="18"/>
          <w:color w:val="auto"/>
        </w:rPr>
        <w:t>” means EMG Investment, LLC, a Delaware limited liability company.</w:t>
      </w:r>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security interest, pledge, mortgage, lien, charge, encumbrance, adverse claim, any defect or imperfection in title, preferential arrangement or restriction, right to purchase, right of first refusal or other burden or encumbrance of any kind.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ectPr>
          <w:pgSz w:w="11900" w:h="16838" w:orient="portrait"/>
          <w:cols w:equalWidth="0" w:num="1">
            <w:col w:w="11420"/>
          </w:cols>
          <w:pgMar w:left="240" w:top="121" w:right="239" w:bottom="0" w:gutter="0" w:footer="0" w:header="0"/>
        </w:sectPr>
      </w:pPr>
    </w:p>
    <w:bookmarkStart w:id="99" w:name="page100"/>
    <w:bookmarkEnd w:id="99"/>
    <w:p>
      <w:pPr>
        <w:spacing w:after="0" w:line="13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United States, foreign, supra-national, federal, state, provincial, local or self-regulatory governmental, regulatory or administrative authority, agency, division, body, organization or commission or any judicial or arbitral body.</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means any Party owning Registrable Securities (including any holder of AAP Class B Units who becomes a Party to this Agreement in accordance with Section 11), and any other Person to which such Registrable Securities are Transferred in accordance with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initial offering and sale of the PAGP Class A Shares to the public.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means collectively KAFU Holdings, L.P., a Delaware limited partnership, KA First Reserve XII, LLC, a Delaware limited liability company, KA First Holdings II, L.P., a Delaware limited partnership, Kayne Anderson MLP Investment Company, a Maryland corporation, Kayne Anderson Energy Development Company, a Maryland corporation, and Kayne Anderson Midstream/Energy Fund, Inc., a Maryland corporation.</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means, subject to any waiver granted pursuant to Section 13(a), the period commencing with the closing of the IPO and ending on the fifteen month anniversary of such closing.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Request</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set forth in Section 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means Oxy Holding Company (Pipeline),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 Management</w:t>
      </w:r>
      <w:r>
        <w:rPr>
          <w:rFonts w:ascii="Arial" w:cs="Arial" w:eastAsia="Arial" w:hAnsi="Arial"/>
          <w:sz w:val="18"/>
          <w:szCs w:val="18"/>
          <w:color w:val="auto"/>
        </w:rPr>
        <w:t>” means PAA Management,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Class A Shares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B Shares</w:t>
      </w:r>
      <w:r>
        <w:rPr>
          <w:rFonts w:ascii="Arial" w:cs="Arial" w:eastAsia="Arial" w:hAnsi="Arial"/>
          <w:sz w:val="18"/>
          <w:szCs w:val="18"/>
          <w:color w:val="auto"/>
        </w:rPr>
        <w:t>” means Class B Shares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has the meaning assigned to such term in the AAP Partnership Agreement.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has the meaning set forth in Section 6(a).</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Registering Holder</w:t>
      </w:r>
      <w:r>
        <w:rPr>
          <w:rFonts w:ascii="Arial" w:cs="Arial" w:eastAsia="Arial" w:hAnsi="Arial"/>
          <w:sz w:val="18"/>
          <w:szCs w:val="18"/>
          <w:color w:val="auto"/>
        </w:rPr>
        <w:t>” means any Holder of Registrable Securities giving the Company a written notice pursuant to Section 2 requesting that its Registrable Securities be included in a Shelf Registration Statement or pursuant to Section 3 or Section 4 hereof requesting that its Registrable Securities be included in an Offering Request or any offering initiated by the Company.</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w:t>
      </w:r>
      <w:r>
        <w:rPr>
          <w:rFonts w:ascii="Arial" w:cs="Arial" w:eastAsia="Arial" w:hAnsi="Arial"/>
          <w:sz w:val="18"/>
          <w:szCs w:val="18"/>
          <w:color w:val="auto"/>
        </w:rPr>
        <w:t>” means any PAGP Class A Shares issuable upon exchange of AAP Class A Units and PAGP Class B Shares (including any such PAGP Class A Shares issuable in respect of vested AAP Class B Units following their exchange for AAP Class A Units and PAGP Class B Shares), even if any such exchange for PAGP Class A Shares shall not have yet occurred. As to any particular Registrable Securities, once issued, such securities shall cease to be Registrable Securities when (a) they are sold pursuant to an effective Registration Statement under the Securities Act, (b) they are sold pursuant to Rule 144 (or any similar provision then in force under the Securities Act) and the transferee thereof does not receive “restricted securities” as defined in Rule 144, (c) they shall have ceased to be outstanding or (d) they have been sold in a private transaction in which the transferor’s rights under this Agreement are not assigned to the transferee of the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Expenses</w:t>
      </w:r>
      <w:r>
        <w:rPr>
          <w:rFonts w:ascii="Arial" w:cs="Arial" w:eastAsia="Arial" w:hAnsi="Arial"/>
          <w:sz w:val="16"/>
          <w:szCs w:val="16"/>
          <w:color w:val="auto"/>
        </w:rPr>
        <w:t>” means, except for Selling Expenses (as hereinafter defined), all expenses incurred by the Company in effecting any registration or offering pursuant to this Agreement, including all registration, qualification and filing fees, printing expenses, escrow fees, fees and disbursements of counsel for the Company, blue sky fees and expenses, the expense of any special audits incident to or required by any such registration.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“Registration Request</w:t>
      </w:r>
      <w:r>
        <w:rPr>
          <w:rFonts w:ascii="Arial" w:cs="Arial" w:eastAsia="Arial" w:hAnsi="Arial"/>
          <w:sz w:val="18"/>
          <w:szCs w:val="18"/>
          <w:color w:val="auto"/>
        </w:rPr>
        <w:t>” has the meaning set forth in Section 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has the meaning set forth in Section 6(a).</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means Rule 144 under the Securities Act, as such rule may be amended from time to time, or any similar rule or regulation hereafter adopted by the Commission.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means all underwriting discounts and selling commissions applicable to the securities sold in a transaction or transactions registered on behalf of the 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Notice</w:t>
      </w:r>
      <w:r>
        <w:rPr>
          <w:rFonts w:ascii="Arial" w:cs="Arial" w:eastAsia="Arial" w:hAnsi="Arial"/>
          <w:sz w:val="18"/>
          <w:szCs w:val="18"/>
          <w:color w:val="auto"/>
        </w:rPr>
        <w:t>” has the meaning set forth in Section 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Statement</w:t>
      </w:r>
      <w:r>
        <w:rPr>
          <w:rFonts w:ascii="Arial" w:cs="Arial" w:eastAsia="Arial" w:hAnsi="Arial"/>
          <w:sz w:val="18"/>
          <w:szCs w:val="18"/>
          <w:color w:val="auto"/>
        </w:rPr>
        <w:t>” has the meaning set forth in Section 2(a).</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means to give, sell, exchange, assign, transfer, pledge, mortgage, hypothecate, bequeath, devise or otherwise dispose of or subject to any Encumbrance, voluntarily or involuntarily, by operation of law or otherwise, and whether of record, beneficially, by participation or otherwise.</w:t>
      </w:r>
    </w:p>
    <w:p>
      <w:pPr>
        <w:sectPr>
          <w:pgSz w:w="11900" w:h="16975" w:orient="portrait"/>
          <w:cols w:equalWidth="0" w:num="1">
            <w:col w:w="11420"/>
          </w:cols>
          <w:pgMar w:left="240" w:top="125" w:right="239" w:bottom="0" w:gutter="0" w:footer="0" w:header="0"/>
        </w:sectPr>
      </w:pPr>
    </w:p>
    <w:bookmarkStart w:id="100" w:name="page101"/>
    <w:bookmarkEnd w:id="100"/>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“Underwriting Request</w:t>
      </w:r>
      <w:r>
        <w:rPr>
          <w:rFonts w:ascii="Arial" w:cs="Arial" w:eastAsia="Arial" w:hAnsi="Arial"/>
          <w:sz w:val="18"/>
          <w:szCs w:val="18"/>
          <w:color w:val="auto"/>
        </w:rPr>
        <w:t>” has the meaning set forth in Section 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Violation</w:t>
      </w:r>
      <w:r>
        <w:rPr>
          <w:rFonts w:ascii="Arial" w:cs="Arial" w:eastAsia="Arial" w:hAnsi="Arial"/>
          <w:sz w:val="18"/>
          <w:szCs w:val="18"/>
          <w:color w:val="auto"/>
        </w:rPr>
        <w:t>” has the meaning set forth in Section 8(a).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Wachovia Holders</w:t>
      </w:r>
      <w:r>
        <w:rPr>
          <w:rFonts w:ascii="Arial" w:cs="Arial" w:eastAsia="Arial" w:hAnsi="Arial"/>
          <w:sz w:val="16"/>
          <w:szCs w:val="16"/>
          <w:color w:val="auto"/>
        </w:rPr>
        <w:t>” means each of Jay Chernosky, Paul N. Riddle, Russell T. Clingman, David E. Humphreys, Phillip J. Trinder and Kipp PAA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WKSI</w:t>
      </w:r>
      <w:r>
        <w:rPr>
          <w:rFonts w:ascii="Arial" w:cs="Arial" w:eastAsia="Arial" w:hAnsi="Arial"/>
          <w:sz w:val="18"/>
          <w:szCs w:val="18"/>
          <w:color w:val="auto"/>
        </w:rPr>
        <w:t>” has the meaning set forth in Section 2(a).</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i w:val="1"/>
          <w:iCs w:val="1"/>
          <w:color w:val="auto"/>
        </w:rPr>
        <w:t>Shelf Registration Statement</w:t>
      </w:r>
    </w:p>
    <w:p>
      <w:pPr>
        <w:spacing w:after="0" w:line="225" w:lineRule="exact"/>
        <w:rPr>
          <w:sz w:val="20"/>
          <w:szCs w:val="20"/>
          <w:color w:val="auto"/>
        </w:rPr>
      </w:pPr>
    </w:p>
    <w:p>
      <w:pPr>
        <w:ind w:right="260" w:firstLine="656"/>
        <w:spacing w:after="0" w:line="273" w:lineRule="auto"/>
        <w:tabs>
          <w:tab w:leader="none" w:pos="129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Subject to Section 2(d), and further subject to the availability of a registration statement on Form S-3 or any successor form thereto (“</w:t>
      </w:r>
      <w:r>
        <w:rPr>
          <w:rFonts w:ascii="Arial" w:cs="Arial" w:eastAsia="Arial" w:hAnsi="Arial"/>
          <w:sz w:val="17"/>
          <w:szCs w:val="17"/>
          <w:u w:val="single" w:color="auto"/>
          <w:color w:val="auto"/>
        </w:rPr>
        <w:t>Form S-3</w:t>
      </w:r>
      <w:r>
        <w:rPr>
          <w:rFonts w:ascii="Arial" w:cs="Arial" w:eastAsia="Arial" w:hAnsi="Arial"/>
          <w:sz w:val="17"/>
          <w:szCs w:val="17"/>
          <w:color w:val="auto"/>
        </w:rPr>
        <w:t>”) to the Company, as soon as reasonably practicable after it is initially eligible to do so, the Company shall file, and use its commercially reasonable efforts to cause to be declared effective by the Commission as soon as reasonably practicable after such filing date, a Form S-3 providing for an offering to be made on a continuous basis pursuant to Rule 415 under the Securities Act relating to the offer and sale, from time to time, of the Registrable Securities owned by the Holders in accordance with the plan and method of distribution set forth in the prospectus included in such Form S-3 (the “</w:t>
      </w:r>
      <w:r>
        <w:rPr>
          <w:rFonts w:ascii="Arial" w:cs="Arial" w:eastAsia="Arial" w:hAnsi="Arial"/>
          <w:sz w:val="17"/>
          <w:szCs w:val="17"/>
          <w:b w:val="1"/>
          <w:bCs w:val="1"/>
          <w:i w:val="1"/>
          <w:iCs w:val="1"/>
          <w:color w:val="auto"/>
        </w:rPr>
        <w:t>Shelf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Even if the Company is a well-known seasoned issuer (as defined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Rule 405 under the Securities Act) (a “</w:t>
      </w:r>
      <w:r>
        <w:rPr>
          <w:rFonts w:ascii="Arial" w:cs="Arial" w:eastAsia="Arial" w:hAnsi="Arial"/>
          <w:sz w:val="18"/>
          <w:szCs w:val="18"/>
          <w:b w:val="1"/>
          <w:bCs w:val="1"/>
          <w:i w:val="1"/>
          <w:iCs w:val="1"/>
          <w:color w:val="auto"/>
        </w:rPr>
        <w:t>WKSI</w:t>
      </w:r>
      <w:r>
        <w:rPr>
          <w:rFonts w:ascii="Arial" w:cs="Arial" w:eastAsia="Arial" w:hAnsi="Arial"/>
          <w:sz w:val="18"/>
          <w:szCs w:val="18"/>
          <w:color w:val="auto"/>
        </w:rPr>
        <w:t>”), the Company shall not be required to file the Shelf Registration Statement on an automatic shelf registration statement (as defined in Rule 405 under the Securities Act) or any successor form thereto, to the extent that the Company would be an ineligible issuer (as defined in Rule 405 under the Securities Act) with respect to a broad plan of distribution (inclusive of distributions not involving a firm commitment underwriting) customarily included in a shelf registration statement.</w:t>
      </w:r>
    </w:p>
    <w:p>
      <w:pPr>
        <w:spacing w:after="0" w:line="187" w:lineRule="exact"/>
        <w:rPr>
          <w:sz w:val="20"/>
          <w:szCs w:val="20"/>
          <w:color w:val="auto"/>
        </w:rPr>
      </w:pPr>
    </w:p>
    <w:p>
      <w:pPr>
        <w:ind w:right="120" w:firstLine="656"/>
        <w:spacing w:after="0" w:line="259" w:lineRule="auto"/>
        <w:tabs>
          <w:tab w:leader="none" w:pos="130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At least twenty (20) Business Days prior to the date on which the Company anticipates filing a Shelf Registration Statement, the Company will deliver written notice (the “</w:t>
      </w:r>
      <w:r>
        <w:rPr>
          <w:rFonts w:ascii="Arial" w:cs="Arial" w:eastAsia="Arial" w:hAnsi="Arial"/>
          <w:sz w:val="18"/>
          <w:szCs w:val="18"/>
          <w:b w:val="1"/>
          <w:bCs w:val="1"/>
          <w:i w:val="1"/>
          <w:iCs w:val="1"/>
          <w:color w:val="auto"/>
        </w:rPr>
        <w:t>Shelf Notice</w:t>
      </w:r>
      <w:r>
        <w:rPr>
          <w:rFonts w:ascii="Arial" w:cs="Arial" w:eastAsia="Arial" w:hAnsi="Arial"/>
          <w:sz w:val="18"/>
          <w:szCs w:val="18"/>
          <w:color w:val="auto"/>
        </w:rPr>
        <w:t>”) thereof to each Holder. Each Holder will have the right to include its Registrable Securities in the Shelf Registration Statement by delivering to the Company a written request to so include such Registrable Securities within ten (10) calendar days after the Shelf Notice is received by any such Holder.</w:t>
      </w:r>
    </w:p>
    <w:p>
      <w:pPr>
        <w:spacing w:after="0" w:line="186" w:lineRule="exact"/>
        <w:rPr>
          <w:rFonts w:ascii="Arial" w:cs="Arial" w:eastAsia="Arial" w:hAnsi="Arial"/>
          <w:sz w:val="18"/>
          <w:szCs w:val="18"/>
          <w:color w:val="auto"/>
        </w:rPr>
      </w:pPr>
    </w:p>
    <w:p>
      <w:pPr>
        <w:jc w:val="both"/>
        <w:ind w:right="200" w:firstLine="656"/>
        <w:spacing w:after="0" w:line="302" w:lineRule="auto"/>
        <w:tabs>
          <w:tab w:leader="none" w:pos="130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Subject to Section 2(d), the Company shall use commercially reasonable efforts to keep the Shelf Registration Statement continuously effective (including by filing any necessary post-effective amendments to such Shelf Registration Statement or one or more successor Shelf Registration Statements) until the date on which all Registrable Securities covered by the Shelf Registration Statement have been sold thereunder in accordance with the plan and method of distribution disclosed in the prospectus included in the Shelf Registration Statement, or otherwise cease to be Registrable Securities.</w:t>
      </w:r>
    </w:p>
    <w:p>
      <w:pPr>
        <w:spacing w:after="0" w:line="154" w:lineRule="exact"/>
        <w:rPr>
          <w:rFonts w:ascii="Arial" w:cs="Arial" w:eastAsia="Arial" w:hAnsi="Arial"/>
          <w:sz w:val="16"/>
          <w:szCs w:val="16"/>
          <w:color w:val="auto"/>
        </w:rPr>
      </w:pPr>
    </w:p>
    <w:p>
      <w:pPr>
        <w:ind w:firstLine="656"/>
        <w:spacing w:after="0" w:line="253" w:lineRule="auto"/>
        <w:tabs>
          <w:tab w:leader="none" w:pos="130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Company shall be entitled, from time to time, by providing written notice to the Registering Holders who elected to participate in the Shelf Registration Statement (which notice shall provide reasonable detail regarding the basis for the Blackout Period), to require such Registering Holders to suspend the use of the prospectus for sales of Registrable Securities under the Shelf Registration Statement during any Blackout Period. After the expiration of any Blackout Period and without any further request from a Registering Holder, the Company shall immediately notify all such Registering Holders and, to the extent necessary, shall as promptly as reasonably practicable prepare a post-effective amendment or supplement to the Shelf Registration Statement or the prospectus, or any document incorporated therein by reference,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w:t>
      </w:r>
    </w:p>
    <w:p>
      <w:pPr>
        <w:spacing w:after="0" w:line="197" w:lineRule="exact"/>
        <w:rPr>
          <w:rFonts w:ascii="Arial" w:cs="Arial" w:eastAsia="Arial" w:hAnsi="Arial"/>
          <w:sz w:val="18"/>
          <w:szCs w:val="18"/>
          <w:color w:val="auto"/>
        </w:rPr>
      </w:pPr>
    </w:p>
    <w:p>
      <w:pPr>
        <w:ind w:right="160" w:firstLine="656"/>
        <w:spacing w:after="0" w:line="277" w:lineRule="auto"/>
        <w:tabs>
          <w:tab w:leader="none" w:pos="130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All rights of Oxy, EMG and Kayne Anderson and their respective Affiliates to Transfer PAGP Class A Shares using the Shelf Registration Statement shall be subject to the transfer restrictions contained in Section 13(a).</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i w:val="1"/>
          <w:iCs w:val="1"/>
          <w:color w:val="auto"/>
        </w:rPr>
        <w:t>Demand Registration Rights</w:t>
      </w:r>
    </w:p>
    <w:p>
      <w:pPr>
        <w:spacing w:after="0" w:line="225" w:lineRule="exact"/>
        <w:rPr>
          <w:sz w:val="20"/>
          <w:szCs w:val="20"/>
          <w:color w:val="auto"/>
        </w:rPr>
      </w:pPr>
    </w:p>
    <w:p>
      <w:pPr>
        <w:ind w:right="220" w:firstLine="656"/>
        <w:spacing w:after="0" w:line="264" w:lineRule="auto"/>
        <w:tabs>
          <w:tab w:leader="none" w:pos="1294"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At any time following the Lock-Up Period but subject to any pending lock-up arrangement in accordance with Section 13(b), if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receive from any Demanding Holder a written request (an “</w:t>
      </w:r>
      <w:r>
        <w:rPr>
          <w:rFonts w:ascii="Arial" w:cs="Arial" w:eastAsia="Arial" w:hAnsi="Arial"/>
          <w:sz w:val="18"/>
          <w:szCs w:val="18"/>
          <w:b w:val="1"/>
          <w:bCs w:val="1"/>
          <w:i w:val="1"/>
          <w:iCs w:val="1"/>
          <w:color w:val="auto"/>
        </w:rPr>
        <w:t>Offering Request</w:t>
      </w:r>
      <w:r>
        <w:rPr>
          <w:rFonts w:ascii="Arial" w:cs="Arial" w:eastAsia="Arial" w:hAnsi="Arial"/>
          <w:sz w:val="18"/>
          <w:szCs w:val="18"/>
          <w:color w:val="auto"/>
        </w:rPr>
        <w:t>”) (i) that the Company file a registration statement with respect to any of such Holder’s Registrable Securities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Request</w:t>
      </w:r>
      <w:r>
        <w:rPr>
          <w:rFonts w:ascii="Arial" w:cs="Arial" w:eastAsia="Arial" w:hAnsi="Arial"/>
          <w:sz w:val="17"/>
          <w:szCs w:val="17"/>
          <w:color w:val="auto"/>
        </w:rPr>
        <w:t>”) or (ii) in the event that a Shelf Registration Statement covering such Holders’ Registrable Securities is already effective, that the Company engage in an underwritten offering (an “</w:t>
      </w:r>
      <w:r>
        <w:rPr>
          <w:rFonts w:ascii="Arial" w:cs="Arial" w:eastAsia="Arial" w:hAnsi="Arial"/>
          <w:sz w:val="17"/>
          <w:szCs w:val="17"/>
          <w:b w:val="1"/>
          <w:bCs w:val="1"/>
          <w:i w:val="1"/>
          <w:iCs w:val="1"/>
          <w:color w:val="auto"/>
        </w:rPr>
        <w:t>Underwriting Request</w:t>
      </w:r>
      <w:r>
        <w:rPr>
          <w:rFonts w:ascii="Arial" w:cs="Arial" w:eastAsia="Arial" w:hAnsi="Arial"/>
          <w:sz w:val="17"/>
          <w:szCs w:val="17"/>
          <w:color w:val="auto"/>
        </w:rPr>
        <w:t>”) in respect of such Holder’s Registrable Securities, then the Company shall, within one (1) Business Day of the receipt thereof, give written notice of such request to all Holders, and the Company and the Holders shall comply with the notice and participation procedures set forth in Section 4. Subject to the other terms of this Section 3, the Company shall use its commercially reasonable efforts to effect, as soon as reasonably practicable, the registration under the Securities Act of the resale of all Registrable Securities that the Holders request to be registered in any Registration Request and/or the underwritten offering of all Registrable Securities that the Holders request to be offered pursuant to any Underwriting Request. With respect to any Registration Request, the Company shall use commercially reasonable efforts to cause any related Registration Statement to be declared effective under the Securities Act as promptly as practicable after the filing thereof and to keep such Registration Statement effective until participating Holder or Holders have completed the distribution described in such Registration Statement. The Demanding Holder may request that the Company register the resale or effect an offering of such Registrable Securities on an appropriate form, including a Shelf Registration Statement (so long as the Company is eligible to use Form S-3). The Company’s obligations pursuant to this Section 3(a) shall be subject to the following limitations and conditions:</w:t>
      </w:r>
    </w:p>
    <w:p>
      <w:pPr>
        <w:spacing w:after="0" w:line="180" w:lineRule="exact"/>
        <w:rPr>
          <w:sz w:val="20"/>
          <w:szCs w:val="20"/>
          <w:color w:val="auto"/>
        </w:rPr>
      </w:pPr>
    </w:p>
    <w:p>
      <w:pPr>
        <w:ind w:right="80" w:firstLine="1305"/>
        <w:spacing w:after="0" w:line="277" w:lineRule="auto"/>
        <w:tabs>
          <w:tab w:leader="none" w:pos="196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shall not be required to comply with any Offering Request that is received within ninety (90) calendar days after the closing of any underwritten offering effected by one or more Holders or the Company;</w:t>
      </w:r>
    </w:p>
    <w:p>
      <w:pPr>
        <w:sectPr>
          <w:pgSz w:w="11900" w:h="16929" w:orient="portrait"/>
          <w:cols w:equalWidth="0" w:num="1">
            <w:col w:w="11420"/>
          </w:cols>
          <w:pgMar w:left="240" w:top="341" w:right="239" w:bottom="0" w:gutter="0" w:footer="0" w:header="0"/>
        </w:sectPr>
      </w:pPr>
    </w:p>
    <w:bookmarkStart w:id="101" w:name="page102"/>
    <w:bookmarkEnd w:id="101"/>
    <w:p>
      <w:pPr>
        <w:ind w:right="20" w:firstLine="1305"/>
        <w:spacing w:after="0" w:line="257" w:lineRule="auto"/>
        <w:tabs>
          <w:tab w:leader="none" w:pos="197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shall not be required to comply with any Offering Request where the anticipated aggregate offering price of all Registrable Securities requested to be registered or offered by the Demanding Holder (together with any related requests of other Demanding Holders) is equal to or less than two hundred million dollars ($200,000,000), unless the Demanding Holder’s remaining Registrable Securities have a value less than such two hundred million dollar ($200,000,000) limit, in which case such Demanding Holder may make a single and final request with respect to its remaining Registrable Securities; or</w:t>
      </w:r>
    </w:p>
    <w:p>
      <w:pPr>
        <w:spacing w:after="0" w:line="188" w:lineRule="exact"/>
        <w:rPr>
          <w:rFonts w:ascii="Arial" w:cs="Arial" w:eastAsia="Arial" w:hAnsi="Arial"/>
          <w:sz w:val="18"/>
          <w:szCs w:val="18"/>
          <w:color w:val="auto"/>
        </w:rPr>
      </w:pPr>
    </w:p>
    <w:p>
      <w:pPr>
        <w:ind w:right="100" w:firstLine="1305"/>
        <w:spacing w:after="0" w:line="277" w:lineRule="auto"/>
        <w:tabs>
          <w:tab w:leader="none" w:pos="19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shall not be required to comply with any Offering Request, and may suspend its obligations under this Section 3, as applicable, for the duration of any applicable Blackout Period, following its delivery of written notice thereof to the Holders;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Company shall not be required to comply with any Registration Request at any time that the Shelf Registration Statement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w:t>
      </w:r>
    </w:p>
    <w:p>
      <w:pPr>
        <w:spacing w:after="0" w:line="210" w:lineRule="exact"/>
        <w:rPr>
          <w:rFonts w:ascii="Arial" w:cs="Arial" w:eastAsia="Arial" w:hAnsi="Arial"/>
          <w:sz w:val="16"/>
          <w:szCs w:val="16"/>
          <w:color w:val="auto"/>
        </w:rPr>
      </w:pPr>
    </w:p>
    <w:p>
      <w:pPr>
        <w:ind w:right="40" w:firstLine="1305"/>
        <w:spacing w:after="0" w:line="257" w:lineRule="auto"/>
        <w:tabs>
          <w:tab w:leader="none" w:pos="19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Company shall be entitled to postpone any Offering Request if, in the Company’s good faith judgment, it is not feasible for the Company to proceed with the Offering Request because audited or pro forma financial statements that are required by the Securities Act to be included in any related registration statement or prospectus are then unavailable, until such time as such financial statements are completed or obtained by the Company,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Company shall use its commercially reasonable efforts to complete or obtain such financial statements as promptly as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1"/>
          <w:numId w:val="230"/>
        </w:numPr>
        <w:rPr>
          <w:rFonts w:ascii="Arial" w:cs="Arial" w:eastAsia="Arial" w:hAnsi="Arial"/>
          <w:sz w:val="18"/>
          <w:szCs w:val="18"/>
          <w:color w:val="auto"/>
        </w:rPr>
      </w:pPr>
      <w:r>
        <w:rPr>
          <w:rFonts w:ascii="Arial" w:cs="Arial" w:eastAsia="Arial" w:hAnsi="Arial"/>
          <w:sz w:val="18"/>
          <w:szCs w:val="18"/>
          <w:i w:val="1"/>
          <w:iCs w:val="1"/>
          <w:color w:val="auto"/>
        </w:rPr>
        <w:t>Demand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305"/>
        <w:spacing w:after="0" w:line="291" w:lineRule="auto"/>
        <w:tabs>
          <w:tab w:leader="none" w:pos="1966" w:val="left"/>
        </w:tabs>
        <w:numPr>
          <w:ilvl w:val="2"/>
          <w:numId w:val="230"/>
        </w:numPr>
        <w:rPr>
          <w:rFonts w:ascii="Arial" w:cs="Arial" w:eastAsia="Arial" w:hAnsi="Arial"/>
          <w:sz w:val="16"/>
          <w:szCs w:val="16"/>
          <w:color w:val="auto"/>
        </w:rPr>
      </w:pPr>
      <w:r>
        <w:rPr>
          <w:rFonts w:ascii="Arial" w:cs="Arial" w:eastAsia="Arial" w:hAnsi="Arial"/>
          <w:sz w:val="16"/>
          <w:szCs w:val="16"/>
          <w:color w:val="auto"/>
        </w:rPr>
        <w:t>Any Offering Request shall specify: (i) the approximate aggregate number of Registrable Securities requested to be registered or offered for sale in such Offering Request, (ii) the intended method of disposition in connection with such Offering Request, to the extent then known and</w:t>
      </w:r>
    </w:p>
    <w:p>
      <w:pPr>
        <w:ind w:left="320" w:hanging="312"/>
        <w:spacing w:after="0"/>
        <w:tabs>
          <w:tab w:leader="none" w:pos="3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identity of the Demanding Holder or Demanding Holders.</w:t>
      </w:r>
    </w:p>
    <w:p>
      <w:pPr>
        <w:spacing w:after="0" w:line="210" w:lineRule="exact"/>
        <w:rPr>
          <w:rFonts w:ascii="Arial" w:cs="Arial" w:eastAsia="Arial" w:hAnsi="Arial"/>
          <w:sz w:val="18"/>
          <w:szCs w:val="18"/>
          <w:color w:val="auto"/>
        </w:rPr>
      </w:pPr>
    </w:p>
    <w:p>
      <w:pPr>
        <w:ind w:right="120" w:firstLine="1305"/>
        <w:spacing w:after="0" w:line="254" w:lineRule="auto"/>
        <w:tabs>
          <w:tab w:leader="none" w:pos="1976" w:val="left"/>
        </w:tabs>
        <w:numPr>
          <w:ilvl w:val="2"/>
          <w:numId w:val="231"/>
        </w:numPr>
        <w:rPr>
          <w:rFonts w:ascii="Arial" w:cs="Arial" w:eastAsia="Arial" w:hAnsi="Arial"/>
          <w:sz w:val="18"/>
          <w:szCs w:val="18"/>
          <w:color w:val="auto"/>
        </w:rPr>
      </w:pPr>
      <w:r>
        <w:rPr>
          <w:rFonts w:ascii="Arial" w:cs="Arial" w:eastAsia="Arial" w:hAnsi="Arial"/>
          <w:sz w:val="18"/>
          <w:szCs w:val="18"/>
          <w:color w:val="auto"/>
        </w:rPr>
        <w:t>In connection with any Offering Request, the Demanding Holder(s) and Company management shall jointly participate in the process of selecting the investment banking firms that will serve as lead and co-managing underwriters with respect to such underwritten offering. In addition, the Company (together with all Holders proposing to distribute their securities through such underwriting) shall enter into an underwriting agreement in customary form with the underwriter or underwriters selected for such underwritten offering. Notwithstanding any other provision of this Section 3, if the managing underwriter(s) advise the Demanding Holder(s) in writing that marketing factors require a limitation of the number of shares to be underwritten in a Holder-initiated registration or offering, the Company shall so advise all Holders of Registrable Securities that would otherwise be underwritten pursuant hereto, and the number of shares of Registrable Securities that may be included in the registration and underwriting shall be allocated as follows:</w:t>
      </w:r>
    </w:p>
    <w:p>
      <w:pPr>
        <w:spacing w:after="0" w:line="192" w:lineRule="exact"/>
        <w:rPr>
          <w:rFonts w:ascii="Arial" w:cs="Arial" w:eastAsia="Arial" w:hAnsi="Arial"/>
          <w:sz w:val="18"/>
          <w:szCs w:val="18"/>
          <w:color w:val="auto"/>
        </w:rPr>
      </w:pPr>
    </w:p>
    <w:p>
      <w:pPr>
        <w:ind w:left="1300" w:right="600" w:firstLine="653"/>
        <w:spacing w:after="0" w:line="277" w:lineRule="auto"/>
        <w:tabs>
          <w:tab w:leader="none" w:pos="2617" w:val="left"/>
        </w:tabs>
        <w:numPr>
          <w:ilvl w:val="3"/>
          <w:numId w:val="231"/>
        </w:numPr>
        <w:rPr>
          <w:rFonts w:ascii="Arial" w:cs="Arial" w:eastAsia="Arial" w:hAnsi="Arial"/>
          <w:sz w:val="18"/>
          <w:szCs w:val="18"/>
          <w:color w:val="auto"/>
        </w:rPr>
      </w:pPr>
      <w:r>
        <w:rPr>
          <w:rFonts w:ascii="Arial" w:cs="Arial" w:eastAsia="Arial" w:hAnsi="Arial"/>
          <w:sz w:val="18"/>
          <w:szCs w:val="18"/>
          <w:color w:val="auto"/>
        </w:rPr>
        <w:t>first, among all Holders in proportion, as nearly as practicable, to the respective amounts of Registrable Securities requested by such Holders to be included in the registration or underwritten offering;</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3"/>
          <w:numId w:val="231"/>
        </w:numPr>
        <w:rPr>
          <w:rFonts w:ascii="Arial" w:cs="Arial" w:eastAsia="Arial" w:hAnsi="Arial"/>
          <w:sz w:val="18"/>
          <w:szCs w:val="18"/>
          <w:color w:val="auto"/>
        </w:rPr>
      </w:pPr>
      <w:r>
        <w:rPr>
          <w:rFonts w:ascii="Arial" w:cs="Arial" w:eastAsia="Arial" w:hAnsi="Arial"/>
          <w:sz w:val="18"/>
          <w:szCs w:val="18"/>
          <w:color w:val="auto"/>
        </w:rPr>
        <w:t>second, to the Company; and</w:t>
      </w:r>
    </w:p>
    <w:p>
      <w:pPr>
        <w:spacing w:after="0" w:line="225" w:lineRule="exact"/>
        <w:rPr>
          <w:rFonts w:ascii="Arial" w:cs="Arial" w:eastAsia="Arial" w:hAnsi="Arial"/>
          <w:sz w:val="18"/>
          <w:szCs w:val="18"/>
          <w:color w:val="auto"/>
        </w:rPr>
      </w:pPr>
    </w:p>
    <w:p>
      <w:pPr>
        <w:ind w:left="1300" w:right="40" w:firstLine="653"/>
        <w:spacing w:after="0" w:line="264" w:lineRule="auto"/>
        <w:tabs>
          <w:tab w:leader="none" w:pos="2607" w:val="left"/>
        </w:tabs>
        <w:numPr>
          <w:ilvl w:val="3"/>
          <w:numId w:val="231"/>
        </w:numPr>
        <w:rPr>
          <w:rFonts w:ascii="Arial" w:cs="Arial" w:eastAsia="Arial" w:hAnsi="Arial"/>
          <w:sz w:val="18"/>
          <w:szCs w:val="18"/>
          <w:color w:val="auto"/>
        </w:rPr>
      </w:pPr>
      <w:r>
        <w:rPr>
          <w:rFonts w:ascii="Arial" w:cs="Arial" w:eastAsia="Arial" w:hAnsi="Arial"/>
          <w:sz w:val="18"/>
          <w:szCs w:val="18"/>
          <w:color w:val="auto"/>
        </w:rPr>
        <w:t>third, if there remains availability for additional securities to be included in such registration or underwritten offering, pro rata among any other Persons who have been granted registration rights, or who have requested participation in such registration or underwritten offering.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i w:val="1"/>
          <w:iCs w:val="1"/>
          <w:color w:val="auto"/>
        </w:rPr>
        <w:t>Piggyback Registrations and Participation Rights</w:t>
      </w:r>
    </w:p>
    <w:p>
      <w:pPr>
        <w:spacing w:after="0" w:line="225" w:lineRule="exact"/>
        <w:rPr>
          <w:sz w:val="20"/>
          <w:szCs w:val="20"/>
          <w:color w:val="auto"/>
        </w:rPr>
      </w:pPr>
    </w:p>
    <w:p>
      <w:pPr>
        <w:ind w:right="220" w:firstLine="656"/>
        <w:spacing w:after="0" w:line="259" w:lineRule="auto"/>
        <w:tabs>
          <w:tab w:leader="none" w:pos="1294" w:val="left"/>
        </w:tabs>
        <w:numPr>
          <w:ilvl w:val="1"/>
          <w:numId w:val="232"/>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If, at any time or from time to time after the date hereof, the Company proposes to register the sale of any of its securities or</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an offering of registered securities for its own account or for the account of any third Person (including any Demanding Holder(s) or other Holders pursuant to this Agreement) on a form which would permit the registration or offering of Registrable Securities, except as otherwise provided herein, the Company will:</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promptly give to each Holder written notice thereof;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2"/>
          <w:numId w:val="232"/>
        </w:numPr>
        <w:rPr>
          <w:rFonts w:ascii="Arial" w:cs="Arial" w:eastAsia="Arial" w:hAnsi="Arial"/>
          <w:sz w:val="16"/>
          <w:szCs w:val="16"/>
          <w:color w:val="auto"/>
        </w:rPr>
      </w:pPr>
      <w:r>
        <w:rPr>
          <w:rFonts w:ascii="Arial" w:cs="Arial" w:eastAsia="Arial" w:hAnsi="Arial"/>
          <w:sz w:val="16"/>
          <w:szCs w:val="16"/>
          <w:color w:val="auto"/>
        </w:rPr>
        <w:t>include in such registration or offering, all the Registrable Securities specified in a written request or requests, made within seven</w:t>
      </w:r>
    </w:p>
    <w:p>
      <w:pPr>
        <w:spacing w:after="0" w:line="46" w:lineRule="exact"/>
        <w:rPr>
          <w:rFonts w:ascii="Arial" w:cs="Arial" w:eastAsia="Arial" w:hAnsi="Arial"/>
          <w:sz w:val="16"/>
          <w:szCs w:val="16"/>
          <w:color w:val="auto"/>
        </w:rPr>
      </w:pPr>
    </w:p>
    <w:p>
      <w:pPr>
        <w:ind w:right="40" w:firstLine="8"/>
        <w:spacing w:after="0" w:line="254" w:lineRule="auto"/>
        <w:tabs>
          <w:tab w:leader="none" w:pos="2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calendar days after delivery of such written notice from the Company, by any Holders (except that (A) if the managing underwriter(s) or the Person initiating the registration or offering determine that marketing factors require a shorter time period and so inform each Holder in the applicable written notice, such written request or requests must be made within three (3) calendar days and (B) in the case of an “overnight” offering or a “bought deal,” such written request or requests must be made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within one (1) Business Day), except as set forth in Section 3(b) or Section 4(b);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withdraw any registration or offering initiated by the Company at any time before any related registration statement becomes effective, or postpone or terminate any offering of securities under such registration statement initiated by the Company, without obligation or liability to any Holder. The Company shall not have to provide notice of any new registration of securities proposed by the Company to the extent the Registrable Securities of the Holders are already included in an effective Shelf Registration Statement. The absence of any requirement to provide such notice shall have no effect on the rights of any Holder to participate in any offering following such registration in accordance with the terms of this Agreement. Additionally, the Company shall not have to provide notice of any registration of securities proposed by the Company to any Holder to the extent such Holder does not hold a sufficient number of Registrable Securities to meet the minimum participation level set forth in Section 4(c) of this Agreement.</w:t>
      </w:r>
    </w:p>
    <w:p>
      <w:pPr>
        <w:sectPr>
          <w:pgSz w:w="11900" w:h="16838" w:orient="portrait"/>
          <w:cols w:equalWidth="0" w:num="1">
            <w:col w:w="11420"/>
          </w:cols>
          <w:pgMar w:left="240" w:top="341" w:right="239" w:bottom="0" w:gutter="0" w:footer="0" w:header="0"/>
        </w:sectPr>
      </w:pPr>
    </w:p>
    <w:bookmarkStart w:id="102" w:name="page103"/>
    <w:bookmarkEnd w:id="102"/>
    <w:p>
      <w:pPr>
        <w:spacing w:after="0" w:line="103" w:lineRule="exact"/>
        <w:rPr>
          <w:sz w:val="20"/>
          <w:szCs w:val="20"/>
          <w:color w:val="auto"/>
        </w:rPr>
      </w:pPr>
    </w:p>
    <w:p>
      <w:pPr>
        <w:ind w:right="100" w:firstLine="656"/>
        <w:spacing w:after="0" w:line="270" w:lineRule="auto"/>
        <w:tabs>
          <w:tab w:leader="none" w:pos="1304" w:val="left"/>
        </w:tabs>
        <w:numPr>
          <w:ilvl w:val="0"/>
          <w:numId w:val="234"/>
        </w:numPr>
        <w:rPr>
          <w:rFonts w:ascii="Arial" w:cs="Arial" w:eastAsia="Arial" w:hAnsi="Arial"/>
          <w:sz w:val="17"/>
          <w:szCs w:val="17"/>
          <w:color w:val="auto"/>
        </w:rPr>
      </w:pPr>
      <w:r>
        <w:rPr>
          <w:rFonts w:ascii="Arial" w:cs="Arial" w:eastAsia="Arial" w:hAnsi="Arial"/>
          <w:sz w:val="17"/>
          <w:szCs w:val="17"/>
          <w:i w:val="1"/>
          <w:iCs w:val="1"/>
          <w:color w:val="auto"/>
        </w:rPr>
        <w:t>Underwriting</w:t>
      </w:r>
      <w:r>
        <w:rPr>
          <w:rFonts w:ascii="Arial" w:cs="Arial" w:eastAsia="Arial" w:hAnsi="Arial"/>
          <w:sz w:val="17"/>
          <w:szCs w:val="17"/>
          <w:color w:val="auto"/>
        </w:rPr>
        <w:t>. The piggyback and participation rights of any Holder pursuant to Section 3 or this Section 4 shall be conditioned upon such</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acceptance of the terms of, and participation in, the underwriting arrangements as agreed to by the Company and the managing underwriter(s). All Holders proposing to distribute their Registrable Securities through such underwriting shall (together with the Company) enter into an underwriting agreement in customary form with the underwriter or underwriters selected for such underwriting. In the event of any registration or offering initiated by the Company, the Company shall select the underwriters to participate in such registration or offering in its sole discretion. Notwithstanding any other provision of this Section 4, if the managing underwriter(s) determine that marketing factors require a limitation of the number of shares to be underwritten in a Company-initiated registration or offering, the Company shall so advise all Holders whose securities would otherwise be registered or offered pursuant hereto, and the number of shares of Registrable Securities that may be included in the registration or underwritten offering shall be so limited and, except as otherwise provided herein, shall be allocated as follows:</w:t>
      </w:r>
    </w:p>
    <w:p>
      <w:pPr>
        <w:spacing w:after="0" w:line="181" w:lineRule="exact"/>
        <w:rPr>
          <w:rFonts w:ascii="Arial" w:cs="Arial" w:eastAsia="Arial" w:hAnsi="Arial"/>
          <w:sz w:val="17"/>
          <w:szCs w:val="17"/>
          <w:color w:val="auto"/>
        </w:rPr>
      </w:pPr>
    </w:p>
    <w:p>
      <w:pPr>
        <w:ind w:left="1980" w:hanging="675"/>
        <w:spacing w:after="0"/>
        <w:tabs>
          <w:tab w:leader="none" w:pos="19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first, to the Company;</w:t>
      </w:r>
    </w:p>
    <w:p>
      <w:pPr>
        <w:spacing w:after="0" w:line="225" w:lineRule="exact"/>
        <w:rPr>
          <w:rFonts w:ascii="Arial" w:cs="Arial" w:eastAsia="Arial" w:hAnsi="Arial"/>
          <w:sz w:val="18"/>
          <w:szCs w:val="18"/>
          <w:color w:val="auto"/>
        </w:rPr>
      </w:pPr>
    </w:p>
    <w:p>
      <w:pPr>
        <w:ind w:firstLine="1305"/>
        <w:spacing w:after="0" w:line="264" w:lineRule="auto"/>
        <w:tabs>
          <w:tab w:leader="none" w:pos="197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second, if there remains additional availability for additional Registrable Securities to be included in such registration or underwritten offering, among all Holders in proportion, as nearly as practicable, to the respective amounts of Registrable Securities requested by such Holders to be included in the registration or underwritten offering; and</w:t>
      </w:r>
    </w:p>
    <w:p>
      <w:pPr>
        <w:spacing w:after="0" w:line="181" w:lineRule="exact"/>
        <w:rPr>
          <w:rFonts w:ascii="Arial" w:cs="Arial" w:eastAsia="Arial" w:hAnsi="Arial"/>
          <w:sz w:val="18"/>
          <w:szCs w:val="18"/>
          <w:color w:val="auto"/>
        </w:rPr>
      </w:pPr>
    </w:p>
    <w:p>
      <w:pPr>
        <w:ind w:right="360" w:firstLine="1305"/>
        <w:spacing w:after="0" w:line="342" w:lineRule="auto"/>
        <w:tabs>
          <w:tab w:leader="none" w:pos="1985"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third, if there remains availability for additional securities to be included in such registration or underwritten offering, pro rata among any other Persons who have been granted registration rights, or who have requested participation in such registration or underwritten offering.</w:t>
      </w:r>
    </w:p>
    <w:p>
      <w:pPr>
        <w:spacing w:after="0" w:line="12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If any Holder disapproves of the terms of any underwriting related to any underwritten offering effected pursuant to Section 3 or this Section 4, the Holder may elect to withdraw therefrom by written notice to the Company and the managing underwriter(s). If by the withdrawal of such Registrable Securities a greater number of shares of Registrable Securities held by other Holders may be included in such registration (up to the maximum of any limitation imposed by the managing underwriter(s)), then the Company shall offer to all Holders who have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included Registrable Securities in the registration or underwritten offering the right to include additional shares of Registrable Securities in the same proportion used in determining the participation limitation in Section 3(b) or this Section 4(b).</w:t>
      </w:r>
    </w:p>
    <w:p>
      <w:pPr>
        <w:spacing w:after="0" w:line="170" w:lineRule="exact"/>
        <w:rPr>
          <w:sz w:val="20"/>
          <w:szCs w:val="20"/>
          <w:color w:val="auto"/>
        </w:rPr>
      </w:pPr>
    </w:p>
    <w:p>
      <w:pPr>
        <w:jc w:val="both"/>
        <w:ind w:right="100" w:firstLine="656"/>
        <w:spacing w:after="0" w:line="259" w:lineRule="auto"/>
        <w:tabs>
          <w:tab w:leader="none" w:pos="1307"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Minimum Participation Level. </w:t>
      </w:r>
      <w:r>
        <w:rPr>
          <w:rFonts w:ascii="Arial" w:cs="Arial" w:eastAsia="Arial" w:hAnsi="Arial"/>
          <w:sz w:val="18"/>
          <w:szCs w:val="18"/>
          <w:color w:val="auto"/>
        </w:rPr>
        <w:t>To the extent a Holder has Registrable Securities included in an effective Shelf Registration Statement,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may not exercise its piggyback or participation rights pursuant to this Section 4 unless such Holder requests the inclusion of Registrable Securities in the applicable registration or underwritten offering with a gross anticipated offering price that is equal to or greater than twenty-five million dollars ($25,000,000).</w:t>
      </w:r>
    </w:p>
    <w:p>
      <w:pPr>
        <w:spacing w:after="0" w:line="186" w:lineRule="exact"/>
        <w:rPr>
          <w:rFonts w:ascii="Arial" w:cs="Arial" w:eastAsia="Arial" w:hAnsi="Arial"/>
          <w:sz w:val="18"/>
          <w:szCs w:val="18"/>
          <w:color w:val="auto"/>
        </w:rPr>
      </w:pPr>
    </w:p>
    <w:p>
      <w:pPr>
        <w:ind w:right="360" w:firstLine="656"/>
        <w:spacing w:after="0" w:line="342" w:lineRule="auto"/>
        <w:tabs>
          <w:tab w:leader="none" w:pos="1304"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Wachovia Holders</w:t>
      </w:r>
      <w:r>
        <w:rPr>
          <w:rFonts w:ascii="Arial" w:cs="Arial" w:eastAsia="Arial" w:hAnsi="Arial"/>
          <w:sz w:val="16"/>
          <w:szCs w:val="16"/>
          <w:color w:val="auto"/>
        </w:rPr>
        <w:t>. Notwithstanding anything in this Agreement to the contrary, the Wachovia Holders shall not be deemed Holders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Sections 3 and 4 hereof, and accordingly shall not be entitled to notice or the piggyback or participation rights contemplated therein.</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i w:val="1"/>
          <w:iCs w:val="1"/>
          <w:color w:val="auto"/>
        </w:rPr>
        <w:t>Registration Expenses</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The Company will cause all Registration Expenses incurred in connection with any registration, filing, qualification or compliance pursuant to Sections 2, 3 and 4 to be borne by AAP, regardless of whether any Registration Statement becomes effective. All Selling Expenses relating to the sale of securities registered by the Holders shall be borne by the Holders of such securities pro rata on the basis of the number of shares so sold.</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i w:val="1"/>
          <w:iCs w:val="1"/>
          <w:color w:val="auto"/>
        </w:rPr>
        <w:t>Further Obligations</w:t>
      </w:r>
    </w:p>
    <w:p>
      <w:pPr>
        <w:spacing w:after="0" w:line="225" w:lineRule="exact"/>
        <w:rPr>
          <w:sz w:val="20"/>
          <w:szCs w:val="20"/>
          <w:color w:val="auto"/>
        </w:rPr>
      </w:pPr>
    </w:p>
    <w:p>
      <w:pPr>
        <w:ind w:right="60" w:firstLine="656"/>
        <w:spacing w:after="0" w:line="287" w:lineRule="auto"/>
        <w:tabs>
          <w:tab w:leader="none" w:pos="129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 connection with any registration of the sale of shares of Registrable Securities under the Securities Act pursuant to this Agreement, the Company will consult with each Holder whose Registrable Securities are to be included in any such registration concerning the form of underwriting agreement (and shall provide to each such Holder the form of underwriting agreement prior to the Company’s execution thereof) and shall provide to each such Holder and its representatives such other documents (including correspondence with the Commission with respect to the registration statement and the related securities offering) as such Holder shall reasonably request in connection with its participation in such registration. The Company will furnish each Registering Holder whose Registrable Securities are registered thereunder and each underwriter, if any, with a copy of the registration statement and all amendments thereto and will supply each such Registering Holder and each underwriter, if any, with copies of any prospectus forming a part of such registration statement (including a preliminary prospectus and all amendments and supplements thereto,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in such quantities as may be reasonably requested for the purposes of the proposed sale or distribution covered by such registration. In the event that the Company prepares and files with the Commission a registration statement on any appropriate form under the Securities Act (a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providing for the sale of Registrable Securities held by any Registering Holder pursuant to its obligations under this Agreement, the Company will:</w:t>
      </w:r>
    </w:p>
    <w:p>
      <w:pPr>
        <w:spacing w:after="0" w:line="172" w:lineRule="exact"/>
        <w:rPr>
          <w:rFonts w:ascii="Arial" w:cs="Arial" w:eastAsia="Arial" w:hAnsi="Arial"/>
          <w:sz w:val="16"/>
          <w:szCs w:val="16"/>
          <w:color w:val="auto"/>
        </w:rPr>
      </w:pPr>
    </w:p>
    <w:p>
      <w:pPr>
        <w:ind w:right="200" w:firstLine="1305"/>
        <w:spacing w:after="0" w:line="277" w:lineRule="auto"/>
        <w:tabs>
          <w:tab w:leader="none" w:pos="196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post-effective amendments to the Registration Statement as may be necessary to keep such Registration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Statement effective; cause the related Prospectus to be supplemented by any required Prospectus supplement, and as so supplemented to be filed pursuant to Rule 424 under the Securities Act; and comply with the provisions of the Securities Act with respect to the disposition of all securities covered by such Registration Statement during the applicable period in accordance with the intended methods of distribution by the participating Holder or Holders thereof set forth in such Registration Statement or supplement to such Prospectus;</w:t>
      </w:r>
    </w:p>
    <w:p>
      <w:pPr>
        <w:spacing w:after="0" w:line="187" w:lineRule="exact"/>
        <w:rPr>
          <w:sz w:val="20"/>
          <w:szCs w:val="20"/>
          <w:color w:val="auto"/>
        </w:rPr>
      </w:pPr>
    </w:p>
    <w:p>
      <w:pPr>
        <w:ind w:right="200" w:firstLine="1305"/>
        <w:spacing w:after="0" w:line="297" w:lineRule="auto"/>
        <w:tabs>
          <w:tab w:leader="none" w:pos="197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promptly notify the Registering Holders and the managing underwriter(s), if any, (A) when a Prospectus or any Prospectus supplement or post-effective amendment has been filed, and, with respect to a Registration Statement or any post-effective amendment, when the same has become effective, (B) of any request by the Commission or any state securities commission for amendments or supplements to a Registration Statement or related Prospectus or for additional information, (C) of the issuance by the Commission or any state securities commission of any stop order suspending the effectiveness of a Registration Statement or the initiation of any proceedings for that purpose, (D) of the receipt by the Company of any notification with</w:t>
      </w:r>
    </w:p>
    <w:p>
      <w:pPr>
        <w:sectPr>
          <w:pgSz w:w="11900" w:h="16941" w:orient="portrait"/>
          <w:cols w:equalWidth="0" w:num="1">
            <w:col w:w="11420"/>
          </w:cols>
          <w:pgMar w:left="240" w:top="125" w:right="239" w:bottom="0" w:gutter="0" w:footer="0" w:header="0"/>
        </w:sectPr>
      </w:pPr>
    </w:p>
    <w:bookmarkStart w:id="103" w:name="page104"/>
    <w:bookmarkEnd w:id="103"/>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respect to the suspension of the qualification of any of the Registrable Securities for sale in any jurisdiction or the initiation or threatening of any proceeding for such purpose, and (E) of the existence of any fact which results in a Registration Statement, a Prospectus or any document incorporated therein by reference containing an untrue statement of a material fact or omitting to state a material fact required to be stated therein or necessary to make the statements therein not misleading;</w:t>
      </w:r>
    </w:p>
    <w:p>
      <w:pPr>
        <w:spacing w:after="0" w:line="187" w:lineRule="exact"/>
        <w:rPr>
          <w:sz w:val="20"/>
          <w:szCs w:val="20"/>
          <w:color w:val="auto"/>
        </w:rPr>
      </w:pPr>
    </w:p>
    <w:p>
      <w:pPr>
        <w:ind w:left="2000" w:hanging="695"/>
        <w:spacing w:after="0"/>
        <w:tabs>
          <w:tab w:leader="none" w:pos="200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use commercially reasonable efforts to promptly obtain the withdrawal of any order suspending the effectiveness of a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ind w:right="160" w:firstLine="1305"/>
        <w:spacing w:after="0" w:line="255" w:lineRule="auto"/>
        <w:tabs>
          <w:tab w:leader="none" w:pos="196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requested by a Registering Holder or the managing underwriter(s), promptly incorporate in a Prospectus supplement or post-effective amendment such information as the Registering Holders holding a majority of the Registrable Securities being sold by Registering Holders or the managing underwriter(s) agree should be included therein relating to the sale of such Registrable Securities, including without limitation information with respect to the amount of Registrable Securities being sold to such underwriters, the purchase price being paid therefor by such underwriters and with respect to any other terms of the underwritten (or best efforts underwritten) offering of the Registrable Securities to be sold in such offering; and make all required filings of such Prospectus supplement or post-effective amendment as soon as notified of the matters to be incorporated in such Prospectus supplement or post-effective amendment;</w:t>
      </w:r>
    </w:p>
    <w:p>
      <w:pPr>
        <w:spacing w:after="0" w:line="189"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furnish to such Registering Holder and each managing underwriter at least one signed copy of the Registration Statement and any post-effective amendment thereto, including financial statements and schedules, all documents incorporated therein by reference and all exhibits (including those incorporated by reference)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document made available by the Company through EDGAR shall be deemed so furnished);</w:t>
      </w:r>
    </w:p>
    <w:p>
      <w:pPr>
        <w:spacing w:after="0" w:line="186" w:lineRule="exact"/>
        <w:rPr>
          <w:rFonts w:ascii="Arial" w:cs="Arial" w:eastAsia="Arial" w:hAnsi="Arial"/>
          <w:sz w:val="18"/>
          <w:szCs w:val="18"/>
          <w:color w:val="auto"/>
        </w:rPr>
      </w:pPr>
    </w:p>
    <w:p>
      <w:pPr>
        <w:ind w:right="360" w:firstLine="1305"/>
        <w:spacing w:after="0" w:line="277" w:lineRule="auto"/>
        <w:tabs>
          <w:tab w:leader="none" w:pos="196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deliver to such Registering Holders and the underwriters, if any, as many copies of the Prospectus (including each preliminary prospectus) and any amendment or supplement thereto as such Persons may reasonably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5" w:lineRule="auto"/>
        <w:tabs>
          <w:tab w:leader="none" w:pos="197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prior to any public offering of Registrable Securities, register or qualify or cooperate with the Registering Holders, the underwriters, if any, and their respective counsel in connection with the registration or qualification of such Registrable Securities for offer and sale under the securities or blue sky laws of such jurisdictions within the United States as any Registering Holder or underwriter reasonably requests in writing and do any and all other acts or things necessary or advisable to enable the disposition in such jurisdictions of the Registrable Securities covered by the applicable Registration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not be required to qualify generally to do business in any jurisdiction where it is not then so required to be qualified or to take any action which would subject it to general service of process or taxation in any such jurisdiction where it is not then so subject;</w:t>
      </w:r>
    </w:p>
    <w:p>
      <w:pPr>
        <w:spacing w:after="0" w:line="189" w:lineRule="exact"/>
        <w:rPr>
          <w:rFonts w:ascii="Arial" w:cs="Arial" w:eastAsia="Arial" w:hAnsi="Arial"/>
          <w:sz w:val="18"/>
          <w:szCs w:val="18"/>
          <w:color w:val="auto"/>
        </w:rPr>
      </w:pPr>
    </w:p>
    <w:p>
      <w:pPr>
        <w:ind w:right="20" w:firstLine="1305"/>
        <w:spacing w:after="0" w:line="259" w:lineRule="auto"/>
        <w:tabs>
          <w:tab w:leader="none" w:pos="1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cooperate with the Registering Holders and the managing underwriter(s), if any, to facilitate the timely preparation and delivery of certificates representing Registrable Securities to be sold pursuant to such Registration Statement and not bearing any restrictive legends, and enable such Registrable Securities to be in such denominations and registered in such names as the managing underwriters may request at least one (1) Business Day prior to any sale of Registrable Securities to the underwriters;</w:t>
      </w:r>
    </w:p>
    <w:p>
      <w:pPr>
        <w:spacing w:after="0" w:line="186" w:lineRule="exact"/>
        <w:rPr>
          <w:rFonts w:ascii="Arial" w:cs="Arial" w:eastAsia="Arial" w:hAnsi="Arial"/>
          <w:sz w:val="18"/>
          <w:szCs w:val="18"/>
          <w:color w:val="auto"/>
        </w:rPr>
      </w:pPr>
    </w:p>
    <w:p>
      <w:pPr>
        <w:jc w:val="both"/>
        <w:ind w:right="260" w:firstLine="1305"/>
        <w:spacing w:after="0" w:line="302" w:lineRule="auto"/>
        <w:tabs>
          <w:tab w:leader="none" w:pos="196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if any fact described in </w:t>
      </w:r>
      <w:r>
        <w:rPr>
          <w:rFonts w:ascii="Arial" w:cs="Arial" w:eastAsia="Arial" w:hAnsi="Arial"/>
          <w:sz w:val="16"/>
          <w:szCs w:val="16"/>
          <w:u w:val="single" w:color="auto"/>
          <w:color w:val="auto"/>
        </w:rPr>
        <w:t>subparagraph (ii)(E)</w:t>
      </w:r>
      <w:r>
        <w:rPr>
          <w:rFonts w:ascii="Arial" w:cs="Arial" w:eastAsia="Arial" w:hAnsi="Arial"/>
          <w:sz w:val="16"/>
          <w:szCs w:val="16"/>
          <w:color w:val="auto"/>
        </w:rPr>
        <w:t xml:space="preserve"> above exists, promptly prepare and file with the Commission a supplement or post-effective amendment to the applicable Registration Statement or the related Prospectus or any document incorporated therein by reference or file any other required document so that, as thereafter delivered to the purchasers of the Registrable Securities being sold thereunder, such Prospectus will not contain an untrue statement of a material fact or omit to state any material fact necessary to make the statements therein not misleading;</w:t>
      </w:r>
    </w:p>
    <w:p>
      <w:pPr>
        <w:spacing w:after="0" w:line="154" w:lineRule="exact"/>
        <w:rPr>
          <w:rFonts w:ascii="Arial" w:cs="Arial" w:eastAsia="Arial" w:hAnsi="Arial"/>
          <w:sz w:val="16"/>
          <w:szCs w:val="16"/>
          <w:color w:val="auto"/>
        </w:rPr>
      </w:pPr>
    </w:p>
    <w:p>
      <w:pPr>
        <w:ind w:right="540" w:firstLine="1305"/>
        <w:spacing w:after="0" w:line="277" w:lineRule="auto"/>
        <w:tabs>
          <w:tab w:leader="none" w:pos="19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cause all Registrable Securities covered by the Registration Statement to be listed on each securities exchange or automated quotation system on which similar securities issued by the Company are then listed;</w:t>
      </w:r>
    </w:p>
    <w:p>
      <w:pPr>
        <w:spacing w:after="0" w:line="170" w:lineRule="exact"/>
        <w:rPr>
          <w:rFonts w:ascii="Arial" w:cs="Arial" w:eastAsia="Arial" w:hAnsi="Arial"/>
          <w:sz w:val="18"/>
          <w:szCs w:val="18"/>
          <w:color w:val="auto"/>
        </w:rPr>
      </w:pPr>
    </w:p>
    <w:p>
      <w:pPr>
        <w:ind w:right="100" w:firstLine="1305"/>
        <w:spacing w:after="0" w:line="277" w:lineRule="auto"/>
        <w:tabs>
          <w:tab w:leader="none" w:pos="196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provide a CUSIP number for all Registrable Securities included in such Registration Statement, not later than the effective date of the applicable Registration Statement;</w:t>
      </w:r>
    </w:p>
    <w:p>
      <w:pPr>
        <w:spacing w:after="0" w:line="170" w:lineRule="exact"/>
        <w:rPr>
          <w:rFonts w:ascii="Arial" w:cs="Arial" w:eastAsia="Arial" w:hAnsi="Arial"/>
          <w:sz w:val="18"/>
          <w:szCs w:val="18"/>
          <w:color w:val="auto"/>
        </w:rPr>
      </w:pPr>
    </w:p>
    <w:p>
      <w:pPr>
        <w:ind w:right="60" w:firstLine="1305"/>
        <w:spacing w:after="0" w:line="270" w:lineRule="auto"/>
        <w:tabs>
          <w:tab w:leader="none" w:pos="197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enter into such agreements (including an underwriting agreement in form reasonably satisfactory to the Company) and take all such other reasonable actions in connection therewith in order to expedite or facilitate the disposition of such Registrable Securities, including, in the case of underwritten offerings, (i) customary participation of management;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senior management of the Company shall not be required to dedicate an unreasonably burdensome amount of time in connection with roadshow and related marketing activities for any underwritten offering, (ii) using reasonable efforts to cause its counsel to issue opinions of counsel in form, substance and scope as are customary in underwritten offerings, including a standard “10b-5” opinion for such offering, addressed and delivered to the underwriter(s), (iii) if requested, using reasonable efforts to cause to be delivered, immediately prior to the pricing of any underwritten offering, immediately prior to effectiveness of each Registration Statement (and, in the case of an underwritten offering, at the time of closing of the sale of Registrable Securities pursuant thereto), letters from the Company’s independent registered public accountants addressed to each underwriter, if any, stating that such accountants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are independent public accountants within the meaning of the Securities Act and the applicable rules and regulations adopted by the Commission thereunder, and otherwise in customary form and covering such financial and accounting matters as are customarily covered by letters of the independent registered public accountants delivered in connection with underwritten public offerings and (iv) delivering a standard officer’s certificate from the chief executive officer or chief financial officer, or other senior officers serving such functions, of the general partner of the Company addressed to each underwriter, if any;</w:t>
      </w:r>
    </w:p>
    <w:p>
      <w:pPr>
        <w:spacing w:after="0" w:line="154" w:lineRule="exact"/>
        <w:rPr>
          <w:sz w:val="20"/>
          <w:szCs w:val="20"/>
          <w:color w:val="auto"/>
        </w:rPr>
      </w:pPr>
    </w:p>
    <w:p>
      <w:pPr>
        <w:ind w:right="100" w:firstLine="1305"/>
        <w:spacing w:after="0" w:line="297" w:lineRule="auto"/>
        <w:tabs>
          <w:tab w:leader="none" w:pos="198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make available for inspection by a representative of the Registering Holders whose Registrable Securities are being sold pursuant to such Registration Statement, any underwriter participating in any disposition pursuant to a Registration Statement, and any attorney or accountant retained by such Registering Holders or underwriter, all financial and other records and any pertinent corporate documents and properties of the Company reasonably requested by such representative, underwriter, attorney or accountant in connection with such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records, information or documents that are designated by the Company in writing as confidential shall be kept confidential by such Persons or entities unless</w:t>
      </w:r>
    </w:p>
    <w:p>
      <w:pPr>
        <w:sectPr>
          <w:pgSz w:w="11900" w:h="16941" w:orient="portrait"/>
          <w:cols w:equalWidth="0" w:num="1">
            <w:col w:w="11420"/>
          </w:cols>
          <w:pgMar w:left="240" w:top="125" w:right="239" w:bottom="0" w:gutter="0" w:footer="0" w:header="0"/>
        </w:sectPr>
      </w:pPr>
    </w:p>
    <w:bookmarkStart w:id="104" w:name="page105"/>
    <w:bookmarkEnd w:id="104"/>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disclosure of such records, information or documents is required by law, legal process or regulatory requirements;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information shall not be deemed confidential information for purposes of this Section 6(a)(xiii), if such information (i) is already known to such Party (or its representatives), having been disclosed to such Party (or its representatives) by a third Person without such third Person having an obligation of confidentiality to the Company, (ii) is or becomes publicly known through no wrongful act of such Party (or its representatives), or (iii) is independently developed by such Party (or its representatives) without reference to any confidential information disclosed to such Party under this Agreement; and</w:t>
      </w:r>
    </w:p>
    <w:p>
      <w:pPr>
        <w:spacing w:after="0" w:line="173" w:lineRule="exact"/>
        <w:rPr>
          <w:sz w:val="20"/>
          <w:szCs w:val="20"/>
          <w:color w:val="auto"/>
        </w:rPr>
      </w:pPr>
    </w:p>
    <w:p>
      <w:pPr>
        <w:ind w:firstLine="1305"/>
        <w:spacing w:after="0" w:line="269" w:lineRule="auto"/>
        <w:tabs>
          <w:tab w:leader="none" w:pos="1691" w:val="left"/>
        </w:tabs>
        <w:numPr>
          <w:ilvl w:val="2"/>
          <w:numId w:val="242"/>
        </w:numPr>
        <w:rPr>
          <w:rFonts w:ascii="Arial" w:cs="Arial" w:eastAsia="Arial" w:hAnsi="Arial"/>
          <w:sz w:val="17"/>
          <w:szCs w:val="17"/>
          <w:color w:val="auto"/>
        </w:rPr>
      </w:pPr>
      <w:r>
        <w:rPr>
          <w:rFonts w:ascii="Arial" w:cs="Arial" w:eastAsia="Arial" w:hAnsi="Arial"/>
          <w:sz w:val="17"/>
          <w:szCs w:val="17"/>
          <w:color w:val="auto"/>
        </w:rPr>
        <w:t>in the event any Holder could reasonably be deemed to be an “underwriter” (as defined in Section 2(a)(11) of the Securities Act) in connection with such Registration Statement and any amendment or supplement thereof, reasonably cooperate with such Holder in allowing such Holder to conduct customary “underwriter’s due diligence” with respect to the Company and satisfy its obligations in respect thereof. In addition, at any Holder’s request, the Company will use commercially reasonable efforts to furnish to such Holder, on the date of the effectiveness of the Registration Statement and thereafter from time to time on such dates as such Holder may reasonably request, (A) subject to such Holder’s delivery of any letter required by the Company’s independent certified public accountants, a “cold comfort” letter, dated such date, from the Company’s independent certified public accountants in form and substance as is customarily given by independent certified public accountants to underwriters in an underwritten public offering addressed to such Holder, (B) an opinion, dated as of such date, of counsel representing the Company, in form, scope and substance as is customarily given in an underwritten public offering, including a standard “10b-5” opinion for such offering, addressed to such Registering Holder and (C) a standard officer’s certificate from the chief executive officer or chief financial officer, or other senior officers serving such functions, of the general partner of the Company addressed to the Holder.</w:t>
      </w:r>
    </w:p>
    <w:p>
      <w:pPr>
        <w:spacing w:after="0" w:line="182" w:lineRule="exact"/>
        <w:rPr>
          <w:rFonts w:ascii="Arial" w:cs="Arial" w:eastAsia="Arial" w:hAnsi="Arial"/>
          <w:sz w:val="17"/>
          <w:szCs w:val="17"/>
          <w:color w:val="auto"/>
        </w:rPr>
      </w:pPr>
    </w:p>
    <w:p>
      <w:pPr>
        <w:ind w:left="1320" w:hanging="664"/>
        <w:spacing w:after="0"/>
        <w:tabs>
          <w:tab w:leader="none" w:pos="132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Each Holder agrees that, upon receipt of any notice from the Company of the happening of an event of the kind described in Section 6(a)(ii)</w:t>
      </w:r>
    </w:p>
    <w:p>
      <w:pPr>
        <w:spacing w:after="0" w:line="46" w:lineRule="exact"/>
        <w:rPr>
          <w:rFonts w:ascii="Arial" w:cs="Arial" w:eastAsia="Arial" w:hAnsi="Arial"/>
          <w:sz w:val="16"/>
          <w:szCs w:val="16"/>
          <w:color w:val="auto"/>
        </w:rPr>
      </w:pPr>
    </w:p>
    <w:p>
      <w:pPr>
        <w:ind w:left="300" w:hanging="292"/>
        <w:spacing w:after="0"/>
        <w:tabs>
          <w:tab w:leader="none" w:pos="3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through Section 6(a)(ii)(E), such Holder will immediately discontinue disposition of shares of Registrable Securities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pursuant to a Shelf Registration Statement until such stop order is vacated or such Holder receives a copy of the supplemented or amended Prospectus. If so directed by the Company, each Holder will deliver to the Company (at the reasonable expense of the Company) all copies in its possession, other than permanent file copies then in such Holder’s possession, of the Prospectus covering such shares of Registrable Securities at the time of receipt of such notice.</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i w:val="1"/>
          <w:iCs w:val="1"/>
          <w:color w:val="auto"/>
        </w:rPr>
        <w:t>Further Information Furnished by Holders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It shall be a condition precedent to the obligations of the Company to take any action pursuant to Sections 2 through 6 that the Holders shall furnish to the Company such information regarding themselves, the Registrable Securities held by them, and the intended method of distribution of such securities as shall be required to effect the registration or offer and sale of their Registrable Securities.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i w:val="1"/>
          <w:iCs w:val="1"/>
          <w:color w:val="auto"/>
        </w:rPr>
        <w:t>Indemnification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any Registrable Securities are included in a registration statement under Sections 2, 3 or 4:</w:t>
      </w:r>
    </w:p>
    <w:p>
      <w:pPr>
        <w:spacing w:after="0" w:line="225" w:lineRule="exact"/>
        <w:rPr>
          <w:sz w:val="20"/>
          <w:szCs w:val="20"/>
          <w:color w:val="auto"/>
        </w:rPr>
      </w:pPr>
    </w:p>
    <w:p>
      <w:pPr>
        <w:ind w:firstLine="656"/>
        <w:spacing w:after="0" w:line="285" w:lineRule="auto"/>
        <w:tabs>
          <w:tab w:leader="none" w:pos="129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To the fullest extent permitted by law, the Company will indemnify and hold harmless each Holder and underwriter (as defined in the Securities Act) and each of the officers, directors, partners and agents of each such Holder and underwriter, and each Person, if any, who controls such Holder or underwriter within the meaning of the Securities Act or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any untrue statement or alleged untrue statement of a material fact contained in such registration statement, including any preliminary prospectus or final prospectus contained therein or any amendments or supplements thereto; the omission or alleged omission to state therein a material fact required to be stated therein, or necessary to make the statements therein not misleading; or any violation or alleged violation by the Company or any officer, director, employee, advisor or affiliate thereof of the Securities Act, the Exchange Act, any state securities law or any rule or regulation promulgated under the Securities Act, the Exchange Act or any state securities law, and the Company will reimburse each such Holder, officer, director, partner or agent,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8(a) shall not apply to amounts paid in settlement of any such loss, claim, damage, liability, or action if such settlement is effected without the consent of the Company (which consent shall not be unreasonably withheld, conditioned, delayed or denied),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or offering by any such Holder or underwriter. The indemnification provided for under this Agreement shall remain in full force and effect regardless of any investigation made by or on behalf of any Holder or underwriter 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officer, director or controlling Person of such Holder or underwriter and shall survive the transfer of securities.</w:t>
      </w:r>
    </w:p>
    <w:p>
      <w:pPr>
        <w:spacing w:after="0" w:line="225" w:lineRule="exact"/>
        <w:rPr>
          <w:sz w:val="20"/>
          <w:szCs w:val="20"/>
          <w:color w:val="auto"/>
        </w:rPr>
      </w:pPr>
    </w:p>
    <w:p>
      <w:pPr>
        <w:ind w:firstLine="656"/>
        <w:spacing w:after="0" w:line="286" w:lineRule="auto"/>
        <w:tabs>
          <w:tab w:leader="none" w:pos="130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each Holder severally, and not jointly, will, if shares of Registrable Securities held by such Person are included in the securities as to which such registration or offering is being effected, indemnify and hold harmless the Company, each of its directors and officers, each legal counsel and independent accountant of the Company, each Person, if any, who controls the Company within the meaning of the Securities Act, each underwriter (within the meaning of the Securities Act) of the Company’s securities covered by such registration or offering, any Person who controls such underwriter, and any other Holder selling securities in such registration and each of its directors, officers, partners or agents or any Person who controls such Holder, against any losses, claims, damages, or liabilities (joint or several) to which the Company or any such underwriter, other Holder, director, officer, partner or agent or controlling Person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or offering, and each such Holder will reimburse any legal or other expenses reasonably incurred by the Company or any such underwriter, other Holder, officer, director, partner or agent or controlling Person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8(b) shall not apply to amounts paid in settlement of any such loss, claim, damage, liability or action if such settlement is effected without the consent of such Holder (which consent shall not be unreasonably withheld,</w:t>
      </w:r>
    </w:p>
    <w:p>
      <w:pPr>
        <w:sectPr>
          <w:pgSz w:w="11900" w:h="16924" w:orient="portrait"/>
          <w:cols w:equalWidth="0" w:num="1">
            <w:col w:w="11400"/>
          </w:cols>
          <w:pgMar w:left="240" w:top="125" w:right="259" w:bottom="0" w:gutter="0" w:footer="0" w:header="0"/>
        </w:sectPr>
      </w:pPr>
    </w:p>
    <w:bookmarkStart w:id="105" w:name="page106"/>
    <w:bookmarkEnd w:id="105"/>
    <w:p>
      <w:pPr>
        <w:ind w:right="20"/>
        <w:spacing w:after="0" w:line="277" w:lineRule="auto"/>
        <w:rPr>
          <w:sz w:val="20"/>
          <w:szCs w:val="20"/>
          <w:color w:val="auto"/>
        </w:rPr>
      </w:pPr>
      <w:r>
        <w:rPr>
          <w:rFonts w:ascii="Arial" w:cs="Arial" w:eastAsia="Arial" w:hAnsi="Arial"/>
          <w:sz w:val="18"/>
          <w:szCs w:val="18"/>
          <w:color w:val="auto"/>
        </w:rPr>
        <w:t xml:space="preserve">conditioned, delayed or denied); and </w:t>
      </w:r>
      <w:r>
        <w:rPr>
          <w:rFonts w:ascii="Arial" w:cs="Arial" w:eastAsia="Arial" w:hAnsi="Arial"/>
          <w:sz w:val="18"/>
          <w:szCs w:val="18"/>
          <w:i w:val="1"/>
          <w:iCs w:val="1"/>
          <w:color w:val="auto"/>
        </w:rPr>
        <w:t>provided</w:t>
      </w:r>
      <w:r>
        <w:rPr>
          <w:rFonts w:ascii="Arial" w:cs="Arial" w:eastAsia="Arial" w:hAnsi="Arial"/>
          <w:sz w:val="18"/>
          <w:szCs w:val="18"/>
          <w:color w:val="auto"/>
        </w:rPr>
        <w:t>, that in no event shall any indemnity under this Section 8(b) exceed the net proceeds from the offering received by such Holder.</w:t>
      </w:r>
    </w:p>
    <w:p>
      <w:pPr>
        <w:spacing w:after="0" w:line="170" w:lineRule="exact"/>
        <w:rPr>
          <w:sz w:val="20"/>
          <w:szCs w:val="20"/>
          <w:color w:val="auto"/>
        </w:rPr>
      </w:pPr>
    </w:p>
    <w:p>
      <w:pPr>
        <w:ind w:firstLine="656"/>
        <w:spacing w:after="0" w:line="253" w:lineRule="auto"/>
        <w:tabs>
          <w:tab w:leader="none" w:pos="130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Promptly after receipt by an indemnified party under this Section 8 of notice of the commencement of any action (including any governmental action), such indemnified party will, if a claim in respect thereof is to be made against any indemnifying party under this Section 8, notify the indemnifying party in writing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 indemnified party shall have the right to retain its own counsel, with the fees and expenses to be paid by the indemnifying party, if the indemnified party shall have been advised by counsel that representation of such indemnified party by the counsel retained by the indemnifying party would be inappropriate due to actual or potential differing interests between such indemnified party and any other party represented by such counsel in such proceeding. The failure of any indemnified party to notify an indemnifying party within a reasonable time of the commencement of any such action, if prejudicial to its ability to defend such action, shall relieve such indemnifying party of liability to the indemnified party under this Section 8 only to the extent that such failure to give notice shall materially prejudice the indemnifying party in the defense of any such claim or any such litigation, but the failure to notify the indemnifying party will not relieve the indemnifying party of any liability that it may have to any indemnified party otherwise than under this Section 8.</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89" w:lineRule="auto"/>
        <w:tabs>
          <w:tab w:leader="none" w:pos="1304"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Section 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any contribution by a Holder hereunder exceed the net proceeds from the offering received by such Holder.</w:t>
      </w:r>
    </w:p>
    <w:p>
      <w:pPr>
        <w:spacing w:after="0" w:line="166" w:lineRule="exact"/>
        <w:rPr>
          <w:rFonts w:ascii="Arial" w:cs="Arial" w:eastAsia="Arial" w:hAnsi="Arial"/>
          <w:sz w:val="16"/>
          <w:szCs w:val="16"/>
          <w:color w:val="auto"/>
        </w:rPr>
      </w:pPr>
    </w:p>
    <w:p>
      <w:pPr>
        <w:ind w:right="340" w:firstLine="656"/>
        <w:spacing w:after="0" w:line="277" w:lineRule="auto"/>
        <w:tabs>
          <w:tab w:leader="none" w:pos="130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obligations of the Company and the Holders under this Section 8 shall survive completion of any offering of Registrable Securities pursuant to any Registration Statement.</w:t>
      </w:r>
    </w:p>
    <w:p>
      <w:pPr>
        <w:spacing w:after="0" w:line="170" w:lineRule="exact"/>
        <w:rPr>
          <w:rFonts w:ascii="Arial" w:cs="Arial" w:eastAsia="Arial" w:hAnsi="Arial"/>
          <w:sz w:val="18"/>
          <w:szCs w:val="18"/>
          <w:color w:val="auto"/>
        </w:rPr>
      </w:pPr>
    </w:p>
    <w:p>
      <w:pPr>
        <w:ind w:right="260" w:firstLine="656"/>
        <w:spacing w:after="0" w:line="264" w:lineRule="auto"/>
        <w:tabs>
          <w:tab w:leader="none" w:pos="130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any registration or offering provided for under Sections 2, 3 or 4 are in conflict with the foregoing provisions of this Section 8, the provisions in such underwriting agreement shall control.</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i w:val="1"/>
          <w:iCs w:val="1"/>
          <w:color w:val="auto"/>
        </w:rPr>
        <w:t>Rule 144 Reporting</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shall file the reports required to be filed by it under the Securities Act and the Exchange Act, and will take such further action as any Holder of Registrable Securities may reasonably request, all to the extent required from time to time to enable such Holder following an exchange of AAP Class A Units and PAGP Class B Shares for PAGP Class A Shares to sell Registrable Securities without registration under the Securities Act within the limitations of the exemption provided by Rule 144. Upon the request of any Holder of Registrable Securities, the Company shall deliver to such Holder a written statement as to whether it has complied with such requirements.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i w:val="1"/>
          <w:iCs w:val="1"/>
          <w:color w:val="auto"/>
        </w:rPr>
        <w:t>Assignment of Rights</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 xml:space="preserve">The provisions hereof will inure to the benefit of and be binding upon the successors and assigns of each of the Parties hereto, except as otherwise provided herein;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registration rights granted hereby may be transferred to any Person to whom a Holder transfers Registrable Securities pursuant to a Permitted Transfer in accordance with the terms of the AAP Partnership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such transferee shall not be entitled to rights pursuant to Sections 2, 3 or 4 hereof unless such transferee of registration rights hereunder agrees to be bound by the terms and conditions hereof and executes and delivers to the Company a customary acknowledgment and agreement to such effect;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Demanding Holder’s right to make a single and final request with respect to its remaining Registrable Securities may not be assigned to any transferee unless the transferee acquires Registrable Securities having a fair market value at the time of transfer of the last prior transfer of Registrable Securities, of at least two hundred million dollars ($200,000,000). Any Holder transferring Registrable Securities shall provide notice of any such transfer to the Company, including the identity and notice information for the transferee.</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event that EMG effects a Permitted Transfer to one or more of its members in accordance with the terms of the AAP Partnership Agreement, notwithstanding any such Transfer, EMG shall act as the representative of such transferees for all purposes under this Agreement and thereafter remain the notice party for all purposes under this Agreement with respect to such transferees, and EMG shall be responsible for providing notices to, and delivering responses from, such transferees.</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Amendment of Registration Rights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Except as otherwise provided in this Agreement, any provision of this Agreement may be amended and the observance thereof may be waived (either generally or in a particular instance and either retroactively or prospectively) only with the written consent of the Company and the Holders of at least sixty percent (60%) of the Registrable Securities;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Section 13(a) may only be amended with the written consent of the Company, acting through the board of directors of its general partner (without participation of any representative of Oxy, EMG or Kayne Anderson). Any amendment or waiver effected in accordance with this Section 11 shall be binding upon each Holder and the Company.</w:t>
      </w:r>
    </w:p>
    <w:p>
      <w:pPr>
        <w:sectPr>
          <w:pgSz w:w="11900" w:h="16838" w:orient="portrait"/>
          <w:cols w:equalWidth="0" w:num="1">
            <w:col w:w="11400"/>
          </w:cols>
          <w:pgMar w:left="240" w:top="125" w:right="259" w:bottom="0" w:gutter="0" w:footer="0" w:header="0"/>
        </w:sectPr>
      </w:pPr>
    </w:p>
    <w:bookmarkStart w:id="106" w:name="page107"/>
    <w:bookmarkEnd w:id="106"/>
    <w:p>
      <w:pPr>
        <w:ind w:right="40" w:firstLine="648"/>
        <w:spacing w:after="0" w:line="269" w:lineRule="auto"/>
        <w:rPr>
          <w:sz w:val="20"/>
          <w:szCs w:val="20"/>
          <w:color w:val="auto"/>
        </w:rPr>
      </w:pPr>
      <w:r>
        <w:rPr>
          <w:rFonts w:ascii="Arial" w:cs="Arial" w:eastAsia="Arial" w:hAnsi="Arial"/>
          <w:sz w:val="17"/>
          <w:szCs w:val="17"/>
          <w:color w:val="auto"/>
        </w:rPr>
        <w:t>Annex A hereto may be amended or supplemented from time to time by the Company to reflect any Transfers that result in Registrable Securities no longer qualifying as Registrable Securities or Transfers involving an assignment of Registrable Securities effected in accordance with Section 10, and any such amendment or supplement shall not be considered an amendment of this Agreement. Upon the reasonable request of the Company from time to time, each Holder hereby agrees to provide a certification to the Company as to the number of Registrable Securities held by such Holder. In addition, upon the execution of a customary acknowledgement and agreement agreeing to be bound by the terms and conditions hereof, the Company shall promptly amend or supplement Annex A from time to time to reflect the inclusion of any holder of vested AAP Class B Units, it being the intent of the Parties that all holders of vested AAP Class B Units become a Party to this Agreement subject to the execution and delivery of such customary acknowledgment and agreement. Further, upon any such amendment or supplement of Annex A to reflect the inclusion of any holder of vested AAP Class B Units, the Company will take all appropriate action to include such Holder’s Registrable Securities in any effective Shelf Registration Statement. Any such addition of a holder of AAP Class B Units shall not be considered an amendment of this Agreement. The Company may also amend or supplement Annex A from time to time to reflect any increase or reduction in the ownership of vested AAP Class B Units held by any Holder and any such amendment or supplement shall not be considered an amendment of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Limitations on Subsequent Registration Rights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From and after the date of this Agreement and so long as the original Parties to this Agreement continue to own at least ten percent (10%) of the Registrable Securities initially subject to this Agreement, the Company shall not, without approval of the Holders of at least sixty-six and two-thirds percent (66 2/3%) of the Registrable Securities, enter into any agreement with any holder or prospective holder of any securities of the Company giving such holder or prospective holder any registration rights the terms of which are equivalent to or more favorable than the registration rights granted to holders of Registrable Securities hereunder, or which would reduce the amount of Registrable Securities the holders can include in any registration filed or offering effected pursuant to Section 3 or Section 4 hereof, unless such rights are subordinate to those of the Holders of Registrable Securities.</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Transfer Restrictions; “Market Stand-off” Agreement</w:t>
      </w:r>
    </w:p>
    <w:p>
      <w:pPr>
        <w:spacing w:after="0" w:line="225" w:lineRule="exact"/>
        <w:rPr>
          <w:sz w:val="20"/>
          <w:szCs w:val="20"/>
          <w:color w:val="auto"/>
        </w:rPr>
      </w:pPr>
    </w:p>
    <w:p>
      <w:pPr>
        <w:ind w:right="160" w:firstLine="656"/>
        <w:spacing w:after="0" w:line="288" w:lineRule="auto"/>
        <w:tabs>
          <w:tab w:leader="none" w:pos="129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During the Lock-Up Period, each of Oxy, EMG, Kayne Anderson and PAA Management hereby agrees not to, and hereby agrees to cause its respective Affiliates not to, directly or indirectly, Transfer any PAGP Class A Shares issuable upon exchange of their AAP Class A Units and PAGP Class B Shares;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foregoing Persons may (i) effect any Permitted Transfer (as such term is defined in the AAP Partnership Agreement),</w:t>
      </w:r>
    </w:p>
    <w:p>
      <w:pPr>
        <w:ind w:right="220" w:firstLine="8"/>
        <w:spacing w:after="0" w:line="290" w:lineRule="auto"/>
        <w:tabs>
          <w:tab w:leader="none" w:pos="26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effect, following any such exchange, any Transfer of PAGP Class A Shares that would have been permitted under subclauses (a), (b) and (c) of the definition of Permitted Transfer (as such term is defined in the AAP Partnership Agreement) prior to such exchange, in each of clauses (i) and (ii) above so long as any transferee in such Transfer agrees in writing to be subject to the restrictions contained in this Section 13 for the remaining term of the Lock-Up Period, and (iii) make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charitable gifts to any entity or organization registered under Section 501(c)(3) of the Internal Revenue Code. The restrictions contained in this Section 13 may only be waived by the Company, acting through the board of directors of its general partner (without participation of any representative of Oxy, EMG or Kayne Anderson), which may grant or refuse to grant any such waiver in its sole discretion.</w:t>
      </w:r>
    </w:p>
    <w:p>
      <w:pPr>
        <w:spacing w:after="0" w:line="164" w:lineRule="exact"/>
        <w:rPr>
          <w:rFonts w:ascii="Arial" w:cs="Arial" w:eastAsia="Arial" w:hAnsi="Arial"/>
          <w:sz w:val="16"/>
          <w:szCs w:val="16"/>
          <w:color w:val="auto"/>
        </w:rPr>
      </w:pPr>
    </w:p>
    <w:p>
      <w:pPr>
        <w:ind w:right="80" w:firstLine="656"/>
        <w:spacing w:after="0" w:line="290" w:lineRule="auto"/>
        <w:tabs>
          <w:tab w:leader="none" w:pos="130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In connection with any underwritten offering pursuant to this Agreement, each Holder, other than the Wachovia Holders, hereby agrees, subject to and following its receipt of notice from the Company, that it (i) will not, to the extent requested by the Company and any underwriter, sell or otherwise transfer or dispose of any Registrable Securities, except securities included in such offering or certain permitted transfers of securities pursuant to the AAP Partnership Agreement, during the period beginning fifteen (15) days prior to the expected date of “pricing” of such offering and continuing for a period not to exceed forty-five (45) days with respect to any offering beginning on the date of such final prospectus (or prospectus supplement if the offering is made pursuant to a Shelf Registration Statement), and (ii) will enter into agreements with the underwriter in connection with any such sale to give effect to the foregoing. In order to enforce the foregoing covenant, the Company may impose stop-transfer instructions with respect to the Registrable Securities of each such Holder (and the shares or securities of every other Person subject to the foregoing restriction) until the end of such forty-five (45)-day period.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Miscellaneous</w:t>
      </w:r>
    </w:p>
    <w:p>
      <w:pPr>
        <w:spacing w:after="0" w:line="225" w:lineRule="exact"/>
        <w:rPr>
          <w:sz w:val="20"/>
          <w:szCs w:val="20"/>
          <w:color w:val="auto"/>
        </w:rPr>
      </w:pPr>
    </w:p>
    <w:p>
      <w:pPr>
        <w:ind w:firstLine="656"/>
        <w:spacing w:after="0" w:line="276" w:lineRule="auto"/>
        <w:tabs>
          <w:tab w:leader="none" w:pos="1294" w:val="left"/>
        </w:tabs>
        <w:numPr>
          <w:ilvl w:val="0"/>
          <w:numId w:val="251"/>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provided for or permitted hereunder shall be in writing or be delivered via e-mail (which</w:t>
      </w:r>
      <w:r>
        <w:rPr>
          <w:rFonts w:ascii="Arial" w:cs="Arial" w:eastAsia="Arial" w:hAnsi="Arial"/>
          <w:sz w:val="17"/>
          <w:szCs w:val="17"/>
          <w:i w:val="1"/>
          <w:iCs w:val="1"/>
          <w:color w:val="auto"/>
        </w:rPr>
        <w:t xml:space="preserve"> </w:t>
      </w:r>
      <w:r>
        <w:rPr>
          <w:rFonts w:ascii="Arial" w:cs="Arial" w:eastAsia="Arial" w:hAnsi="Arial"/>
          <w:sz w:val="17"/>
          <w:szCs w:val="17"/>
          <w:color w:val="auto"/>
        </w:rPr>
        <w:t>shall also constitute written notice) and shall be deemed to have been duly given and received when, if in writing, delivered by overnight courier or hand delivery, when sent via e-mail, receipt of such e-mail is confirmed by the recipient thereof (either by e-mail or orally), when sent by fax, or three (3) days after mailing if sent by registered or certified mail (return receipt requested) postage prepaid, to the Parties at the following addresses (or at such other address for any Party as shall be specified by like notices, provided that notices of a change of address shall be effective only upon receipt 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1600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713.646.4313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RKMcGee@paalp.com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If to any Holder of Registrable Securities, to such Person’s address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or as set forth on the records of the Company.</w:t>
      </w:r>
    </w:p>
    <w:p>
      <w:pPr>
        <w:spacing w:after="0" w:line="248" w:lineRule="exact"/>
        <w:rPr>
          <w:sz w:val="20"/>
          <w:szCs w:val="20"/>
          <w:color w:val="auto"/>
        </w:rPr>
      </w:pPr>
    </w:p>
    <w:p>
      <w:pPr>
        <w:ind w:right="60" w:firstLine="656"/>
        <w:spacing w:after="0" w:line="277" w:lineRule="auto"/>
        <w:tabs>
          <w:tab w:leader="none" w:pos="1304"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170"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section and paragraph headings contained in this Agreement are for reference purposes only and shall not affect in any way</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or interpretation of this Agreement.</w:t>
      </w:r>
    </w:p>
    <w:p>
      <w:pPr>
        <w:sectPr>
          <w:pgSz w:w="11900" w:h="16838" w:orient="portrait"/>
          <w:cols w:equalWidth="0" w:num="1">
            <w:col w:w="11400"/>
          </w:cols>
          <w:pgMar w:left="240" w:top="125" w:right="259" w:bottom="0" w:gutter="0" w:footer="0" w:header="0"/>
        </w:sectPr>
      </w:pPr>
    </w:p>
    <w:bookmarkStart w:id="107" w:name="page108"/>
    <w:bookmarkEnd w:id="107"/>
    <w:p>
      <w:pPr>
        <w:jc w:val="both"/>
        <w:ind w:right="160" w:firstLine="656"/>
        <w:spacing w:after="0" w:line="266" w:lineRule="auto"/>
        <w:tabs>
          <w:tab w:leader="none" w:pos="1304" w:val="left"/>
        </w:tabs>
        <w:numPr>
          <w:ilvl w:val="0"/>
          <w:numId w:val="253"/>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THIS AGREEMENT SHALL BE GOVERNED BY AND CONSTRUED IN ACCORDANCE WITH THE LAWS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OF THE STATE OF TEXAS, EXCLUDING ANY CONFLICT-OF-LAWS RULE OR PRINCIPLE THAT MIGHT REFER THE GOVERNANCE OR THE CONSTRUCTION OF THIS AGREEMENT TO THE LAW OF ANOTHER JURISDICTION.</w:t>
      </w:r>
    </w:p>
    <w:p>
      <w:pPr>
        <w:spacing w:after="0" w:line="180" w:lineRule="exact"/>
        <w:rPr>
          <w:rFonts w:ascii="Arial" w:cs="Arial" w:eastAsia="Arial" w:hAnsi="Arial"/>
          <w:sz w:val="18"/>
          <w:szCs w:val="18"/>
          <w:color w:val="auto"/>
        </w:rPr>
      </w:pPr>
    </w:p>
    <w:p>
      <w:pPr>
        <w:ind w:right="40" w:firstLine="656"/>
        <w:spacing w:after="0" w:line="255" w:lineRule="auto"/>
        <w:tabs>
          <w:tab w:leader="none" w:pos="1307"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term, provision, covenant or restriction of this Agreement is held by a court of competent jurisdiction to be invalid,</w:t>
      </w:r>
      <w:r>
        <w:rPr>
          <w:rFonts w:ascii="Arial" w:cs="Arial" w:eastAsia="Arial" w:hAnsi="Arial"/>
          <w:sz w:val="18"/>
          <w:szCs w:val="18"/>
          <w:i w:val="1"/>
          <w:iCs w:val="1"/>
          <w:color w:val="auto"/>
        </w:rPr>
        <w:t xml:space="preserve"> </w:t>
      </w:r>
      <w:r>
        <w:rPr>
          <w:rFonts w:ascii="Arial" w:cs="Arial" w:eastAsia="Arial" w:hAnsi="Arial"/>
          <w:sz w:val="18"/>
          <w:szCs w:val="18"/>
          <w:color w:val="auto"/>
        </w:rPr>
        <w:t>illegal, void or unenforceable, the remainder of the terms, provisions, covenants and restrictions set forth herein shall remain in full force and effect and shall in no way be affected, impaired or invalidated, and the Parties hereto 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57" w:lineRule="auto"/>
        <w:tabs>
          <w:tab w:leader="none" w:pos="1301"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is intended by the Parties as a final expression of their agreement, and is intended to be a complete and</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Registrable Securities. This Agreement supersedes all prior written or oral agreements and understandings between the Parties with respect to such subject matter.</w:t>
      </w:r>
    </w:p>
    <w:p>
      <w:pPr>
        <w:spacing w:after="0" w:line="188" w:lineRule="exact"/>
        <w:rPr>
          <w:rFonts w:ascii="Arial" w:cs="Arial" w:eastAsia="Arial" w:hAnsi="Arial"/>
          <w:sz w:val="18"/>
          <w:szCs w:val="18"/>
          <w:color w:val="auto"/>
        </w:rPr>
      </w:pPr>
    </w:p>
    <w:p>
      <w:pPr>
        <w:jc w:val="both"/>
        <w:ind w:right="160" w:firstLine="656"/>
        <w:spacing w:after="0" w:line="264" w:lineRule="auto"/>
        <w:tabs>
          <w:tab w:leader="none" w:pos="1317"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Securities Held by the Company or its Subsidiaries</w:t>
      </w:r>
      <w:r>
        <w:rPr>
          <w:rFonts w:ascii="Arial" w:cs="Arial" w:eastAsia="Arial" w:hAnsi="Arial"/>
          <w:sz w:val="18"/>
          <w:szCs w:val="18"/>
          <w:color w:val="auto"/>
        </w:rPr>
        <w:t>. Whenever the consent or approval of Holders of a specified percentage of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 required hereunder, Registrable Securities held by the Company or its subsidiaries shall not be counted in determining whether such consent or approval was given by the Holders of such required percentage.</w:t>
      </w:r>
    </w:p>
    <w:p>
      <w:pPr>
        <w:spacing w:after="0" w:line="181" w:lineRule="exact"/>
        <w:rPr>
          <w:rFonts w:ascii="Arial" w:cs="Arial" w:eastAsia="Arial" w:hAnsi="Arial"/>
          <w:sz w:val="18"/>
          <w:szCs w:val="18"/>
          <w:color w:val="auto"/>
        </w:rPr>
      </w:pPr>
    </w:p>
    <w:p>
      <w:pPr>
        <w:ind w:right="100" w:firstLine="656"/>
        <w:spacing w:after="0" w:line="277" w:lineRule="auto"/>
        <w:tabs>
          <w:tab w:leader="none" w:pos="1304"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Agreement shall terminate when no shares of Registrable Securities remain outstanding;</w:t>
      </w:r>
      <w:r>
        <w:rPr>
          <w:rFonts w:ascii="Arial" w:cs="Arial" w:eastAsia="Arial" w:hAnsi="Arial"/>
          <w:sz w:val="18"/>
          <w:szCs w:val="18"/>
          <w:i w:val="1"/>
          <w:iCs w:val="1"/>
          <w:color w:val="auto"/>
        </w:rPr>
        <w:t xml:space="preserve"> provided that </w:t>
      </w:r>
      <w:r>
        <w:rPr>
          <w:rFonts w:ascii="Arial" w:cs="Arial" w:eastAsia="Arial" w:hAnsi="Arial"/>
          <w:sz w:val="18"/>
          <w:szCs w:val="18"/>
          <w:color w:val="auto"/>
        </w:rPr>
        <w:t>Sections 8 and 14</w:t>
      </w:r>
      <w:r>
        <w:rPr>
          <w:rFonts w:ascii="Arial" w:cs="Arial" w:eastAsia="Arial" w:hAnsi="Arial"/>
          <w:sz w:val="18"/>
          <w:szCs w:val="18"/>
          <w:i w:val="1"/>
          <w:iCs w:val="1"/>
          <w:color w:val="auto"/>
        </w:rPr>
        <w:t xml:space="preserve"> </w:t>
      </w:r>
      <w:r>
        <w:rPr>
          <w:rFonts w:ascii="Arial" w:cs="Arial" w:eastAsia="Arial" w:hAnsi="Arial"/>
          <w:sz w:val="18"/>
          <w:szCs w:val="18"/>
          <w:color w:val="auto"/>
        </w:rPr>
        <w:t>shall survive any termination hereof.</w:t>
      </w:r>
    </w:p>
    <w:p>
      <w:pPr>
        <w:spacing w:after="0" w:line="170" w:lineRule="exact"/>
        <w:rPr>
          <w:rFonts w:ascii="Arial" w:cs="Arial" w:eastAsia="Arial" w:hAnsi="Arial"/>
          <w:sz w:val="18"/>
          <w:szCs w:val="18"/>
          <w:color w:val="auto"/>
        </w:rPr>
      </w:pPr>
    </w:p>
    <w:p>
      <w:pPr>
        <w:ind w:right="240" w:firstLine="656"/>
        <w:spacing w:after="0" w:line="264" w:lineRule="auto"/>
        <w:tabs>
          <w:tab w:leader="none" w:pos="1318"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 The Parties hereto recognize and agree that money damages may be insufficient to compensate the Holders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for breaches by the Company of the terms hereof and, consequently, that the equitable remedy of specific performance of the terms hereof will be available in the event of any such breach.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Shareholder and Registration Rights Agreement to be duly executed as of the date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7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40" w:type="dxa"/>
            <w:vAlign w:val="bottom"/>
          </w:tcPr>
          <w:p>
            <w:pPr>
              <w:spacing w:after="0"/>
              <w:rPr>
                <w:sz w:val="16"/>
                <w:szCs w:val="16"/>
                <w:color w:val="auto"/>
              </w:rPr>
            </w:pPr>
          </w:p>
        </w:tc>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HOLDERS:</w:t>
            </w:r>
          </w:p>
        </w:tc>
        <w:tc>
          <w:tcPr>
            <w:tcW w:w="4180" w:type="dxa"/>
            <w:vAlign w:val="bottom"/>
          </w:tcPr>
          <w:p>
            <w:pPr>
              <w:spacing w:after="0"/>
              <w:rPr>
                <w:sz w:val="24"/>
                <w:szCs w:val="24"/>
                <w:color w:val="auto"/>
              </w:rPr>
            </w:pP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OXY HOLDING COMPANY (PIPELINE), INC.</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Todd A. Stevens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gridSpan w:val="2"/>
          </w:tcPr>
          <w:p>
            <w:pPr>
              <w:spacing w:after="0" w:line="195" w:lineRule="exact"/>
              <w:rPr>
                <w:sz w:val="20"/>
                <w:szCs w:val="20"/>
                <w:color w:val="auto"/>
              </w:rPr>
            </w:pPr>
            <w:r>
              <w:rPr>
                <w:rFonts w:ascii="Arial" w:cs="Arial" w:eastAsia="Arial" w:hAnsi="Arial"/>
                <w:sz w:val="18"/>
                <w:szCs w:val="18"/>
                <w:color w:val="auto"/>
              </w:rPr>
              <w:t>Todd A. Stevens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gridSpan w:val="2"/>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Ken Royer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Oxy Holding Company (Pipeline),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10899 Wilshire Boulevard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Los Angeles, CA 90024</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Ken_Royer@oxy.com</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EMG INVESTMENT,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EMG Admin LP, its manager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EMG Admin, LLC, its general partner</w:t>
      </w:r>
    </w:p>
    <w:p>
      <w:pPr>
        <w:spacing w:after="0" w:line="211"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08" w:name="page109"/>
    <w:bookmarkEnd w:id="108"/>
    <w:p>
      <w:pPr>
        <w:ind w:left="452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John T. Raymond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22" w:lineRule="exact"/>
        <w:rPr>
          <w:sz w:val="20"/>
          <w:szCs w:val="20"/>
          <w:color w:val="auto"/>
        </w:rPr>
      </w:pPr>
    </w:p>
    <w:p>
      <w:pPr>
        <w:sectPr>
          <w:pgSz w:w="11900" w:h="16838" w:orient="portrait"/>
          <w:cols w:equalWidth="0" w:num="2">
            <w:col w:w="5000" w:space="260"/>
            <w:col w:w="4960"/>
          </w:cols>
          <w:pgMar w:left="1440" w:top="125" w:right="239" w:bottom="0" w:gutter="0" w:footer="0" w:header="0"/>
        </w:sectPr>
      </w:pPr>
    </w:p>
    <w:p>
      <w:pPr>
        <w:spacing w:after="0" w:line="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T. Raymond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Energy &amp; Minerals Group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811 Main St., Ste 4200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713-579-5015</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jraymond@emgtx.com</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KAFU HOLDINGS, L.P.</w:t>
      </w:r>
    </w:p>
    <w:p>
      <w:pPr>
        <w:spacing w:after="0" w:line="229"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KAFU Holdings, LLC, its general partner</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Shladovsky</w:t>
      </w:r>
    </w:p>
    <w:p>
      <w:pPr>
        <w:ind w:left="4520"/>
        <w:spacing w:after="0" w:line="205"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310-284-2438</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 FIRST RESERVE XII,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Shladovsky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600 Travis, Suite 6000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310-284-2438</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PAA MANAGEMENT,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Management LLC, 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Treasurer and</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Richard McGee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713-646-4313</w:t>
      </w:r>
    </w:p>
    <w:p>
      <w:pPr>
        <w:spacing w:after="0" w:line="9"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18"/>
          <w:szCs w:val="18"/>
          <w:color w:val="auto"/>
        </w:rPr>
        <w:t>Email:</w:t>
        <w:tab/>
        <w:t>rkmcgee@paalp.com</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STROME PAA,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Strome Investment Management, LP,</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E Strome</w:t>
            </w:r>
          </w:p>
        </w:tc>
      </w:t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Mark E. Strome</w:t>
            </w:r>
          </w:p>
        </w:tc>
      </w:tr>
    </w:tbl>
    <w:p>
      <w:pPr>
        <w:sectPr>
          <w:pgSz w:w="11900" w:h="16838" w:orient="portrait"/>
          <w:cols w:equalWidth="0" w:num="1">
            <w:col w:w="10220"/>
          </w:cols>
          <w:pgMar w:left="1440" w:top="125" w:right="239" w:bottom="0" w:gutter="0" w:footer="0" w:header="0"/>
          <w:type w:val="continuous"/>
        </w:sectPr>
      </w:pPr>
    </w:p>
    <w:bookmarkStart w:id="109" w:name="page110"/>
    <w:bookmarkEnd w:id="109"/>
    <w:p>
      <w:pPr>
        <w:spacing w:after="0" w:line="18"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&amp; Chief Executive Officer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Mark E. Strome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Strome PAA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100 Wilshire Blvd. Suite 1750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Santa Monica, CA 90401</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310-752-1483</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mstrome@strome.com</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MARK E. STROME LIVING TRUST</w:t>
      </w:r>
    </w:p>
    <w:p>
      <w:pPr>
        <w:spacing w:after="0" w:line="229"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E Strome</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Mark E. Strome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Settlor &amp; Trustee</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Mark E. Strome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Strome PAA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100 Wilshire Blvd. Suite 1750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Santa Monica, CA 90401</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310-752-1483</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mstrome@strome.com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WINDY,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David Scott</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W. David Scott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 David Scott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P.O.Box 159</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Elk Mountain, WY 82324</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402-997-7525</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dscott@tetradcorp.com</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LYNX HOLDINGS I, LLC</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Raymond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John T. Raymond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Sole Member</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T. Raymond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Energy &amp; Minerals Group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811 Main St., Ste 4200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713-579-5015</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jraymond@emgtx.com</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KAFU HOLDINGS II,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KAFU Holdings, LLC, 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Shladovsky</w:t>
      </w:r>
    </w:p>
    <w:p>
      <w:pPr>
        <w:ind w:left="4520"/>
        <w:spacing w:after="0" w:line="205"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310-284-2438</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ectPr>
          <w:pgSz w:w="11900" w:h="16856" w:orient="portrait"/>
          <w:cols w:equalWidth="0" w:num="1">
            <w:col w:w="10220"/>
          </w:cols>
          <w:pgMar w:left="1440" w:top="125" w:right="239" w:bottom="0" w:gutter="0" w:footer="0" w:header="0"/>
        </w:sectPr>
      </w:pP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KAYNE ANDERSON MLP INVESTMENT COMPANY</w:t>
      </w:r>
    </w:p>
    <w:p>
      <w:pPr>
        <w:sectPr>
          <w:pgSz w:w="11900" w:h="16856" w:orient="portrait"/>
          <w:cols w:equalWidth="0" w:num="1">
            <w:col w:w="10220"/>
          </w:cols>
          <w:pgMar w:left="1440" w:top="125" w:right="239" w:bottom="0" w:gutter="0" w:footer="0" w:header="0"/>
          <w:type w:val="continuous"/>
        </w:sectPr>
      </w:pPr>
    </w:p>
    <w:bookmarkStart w:id="110" w:name="page111"/>
    <w:bookmarkEnd w:id="110"/>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Shladovsky</w:t>
      </w:r>
    </w:p>
    <w:p>
      <w:pPr>
        <w:ind w:left="4520"/>
        <w:spacing w:after="0" w:line="205"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310-284-2438</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760"/>
        <w:spacing w:after="0"/>
        <w:rPr>
          <w:sz w:val="20"/>
          <w:szCs w:val="20"/>
          <w:color w:val="auto"/>
        </w:rPr>
      </w:pPr>
      <w:r>
        <w:rPr>
          <w:rFonts w:ascii="Arial" w:cs="Arial" w:eastAsia="Arial" w:hAnsi="Arial"/>
          <w:sz w:val="18"/>
          <w:szCs w:val="18"/>
          <w:b w:val="1"/>
          <w:bCs w:val="1"/>
          <w:color w:val="auto"/>
        </w:rPr>
        <w:t>KAYNE ANDERSON ENERGY DEVELOPMENT COMPANY</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Shladovsky</w:t>
      </w:r>
    </w:p>
    <w:p>
      <w:pPr>
        <w:ind w:left="4520"/>
        <w:spacing w:after="0" w:line="205"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310-284-2438</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KAYNE ANDERSON MIDSTREAM/ENERGY FUND, INC.</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Shladovsky</w:t>
      </w:r>
    </w:p>
    <w:p>
      <w:pPr>
        <w:ind w:left="4520"/>
        <w:spacing w:after="0" w:line="205" w:lineRule="auto"/>
        <w:rPr>
          <w:sz w:val="20"/>
          <w:szCs w:val="20"/>
          <w:color w:val="auto"/>
        </w:rPr>
      </w:pPr>
      <w:r>
        <w:rPr>
          <w:rFonts w:ascii="Arial" w:cs="Arial" w:eastAsia="Arial" w:hAnsi="Arial"/>
          <w:sz w:val="18"/>
          <w:szCs w:val="18"/>
          <w:color w:val="auto"/>
        </w:rPr>
        <w:t>1800 Avenue of the Stars,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Los Angeles, CA 90067</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310-284-2438</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dshladovsky@kaynecapital.com</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Jay Chernosky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Jay M. Chernosky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602 Fall River Rd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Houston, TX 77024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 713-739-0358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 jay.chernosky@wellsfargo.com</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Paul N. Riddle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Paul N. Riddle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Paul N. Riddle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11910 Wink Rd.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Houston, TX 77024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 713-739-0358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 paul.riddle@wellsfargo.com</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Russell T. Clingman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14605</wp:posOffset>
            </wp:positionV>
            <wp:extent cx="31470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0220"/>
          </w:cols>
          <w:pgMar w:left="1440" w:top="557" w:right="239" w:bottom="0" w:gutter="0" w:footer="0" w:header="0"/>
        </w:sectPr>
      </w:pPr>
    </w:p>
    <w:bookmarkStart w:id="111" w:name="page112"/>
    <w:bookmarkEnd w:id="111"/>
    <w:p>
      <w:pPr>
        <w:ind w:left="5260"/>
        <w:spacing w:after="0"/>
        <w:rPr>
          <w:sz w:val="20"/>
          <w:szCs w:val="20"/>
          <w:color w:val="auto"/>
        </w:rPr>
      </w:pPr>
      <w:r>
        <w:rPr>
          <w:rFonts w:ascii="Arial" w:cs="Arial" w:eastAsia="Arial" w:hAnsi="Arial"/>
          <w:sz w:val="18"/>
          <w:szCs w:val="18"/>
          <w:color w:val="auto"/>
        </w:rPr>
        <w:t>Name: Russell T. Clingman</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Russell Clingman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3107 Oakmont Drive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Sugar Land, TX 77479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 713-650-6354</w:t>
      </w:r>
    </w:p>
    <w:p>
      <w:pPr>
        <w:spacing w:after="0" w:line="9" w:lineRule="exact"/>
        <w:rPr>
          <w:sz w:val="20"/>
          <w:szCs w:val="20"/>
          <w:color w:val="auto"/>
        </w:rPr>
      </w:pPr>
    </w:p>
    <w:p>
      <w:pPr>
        <w:jc w:val="right"/>
        <w:ind w:right="1960"/>
        <w:spacing w:after="0"/>
        <w:rPr>
          <w:sz w:val="20"/>
          <w:szCs w:val="20"/>
          <w:color w:val="auto"/>
        </w:rPr>
      </w:pPr>
      <w:r>
        <w:rPr>
          <w:rFonts w:ascii="Arial" w:cs="Arial" w:eastAsia="Arial" w:hAnsi="Arial"/>
          <w:sz w:val="18"/>
          <w:szCs w:val="18"/>
          <w:color w:val="auto"/>
        </w:rPr>
        <w:t>Email: russell.clingman@wellsfargo.com</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David E. Humphreys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David Humphreys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3708 Chevy Chase Dr.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Houston, TX 77019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 713-650-6354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 dehumphreys@att.net</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Philip J. Trinder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Philip Trinder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4020 Marlowe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Houston, TX 77005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 philiptrinder@sbcglobal.net</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1500"/>
        <w:spacing w:after="0"/>
        <w:rPr>
          <w:sz w:val="20"/>
          <w:szCs w:val="20"/>
          <w:color w:val="auto"/>
        </w:rPr>
      </w:pPr>
      <w:r>
        <w:rPr>
          <w:rFonts w:ascii="Arial" w:cs="Arial" w:eastAsia="Arial" w:hAnsi="Arial"/>
          <w:sz w:val="18"/>
          <w:szCs w:val="18"/>
          <w:b w:val="1"/>
          <w:bCs w:val="1"/>
          <w:color w:val="auto"/>
        </w:rPr>
        <w:t>KIPP PAA TRUST</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Kipp</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Christine Kipp</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James M. Kipp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1105 Thurman Bluff Drive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Spicewood, TX 78669</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 704-383-3097</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Email: james.kipp@wellsfargo.com</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620" w:type="dxa"/>
            <w:vAlign w:val="bottom"/>
          </w:tcPr>
          <w:p>
            <w:pPr>
              <w:ind w:left="426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8620" w:type="dxa"/>
            <w:vAlign w:val="bottom"/>
          </w:tcPr>
          <w:p>
            <w:pPr>
              <w:jc w:val="center"/>
              <w:ind w:left="1810"/>
              <w:spacing w:after="0"/>
              <w:rPr>
                <w:sz w:val="20"/>
                <w:szCs w:val="20"/>
                <w:color w:val="auto"/>
              </w:rPr>
            </w:pPr>
            <w:r>
              <w:rPr>
                <w:rFonts w:ascii="Arial" w:cs="Arial" w:eastAsia="Arial" w:hAnsi="Arial"/>
                <w:sz w:val="18"/>
                <w:szCs w:val="18"/>
                <w:color w:val="auto"/>
                <w:w w:val="96"/>
              </w:rPr>
              <w:t>ARTICLE 1</w:t>
            </w:r>
          </w:p>
        </w:tc>
        <w:tc>
          <w:tcPr>
            <w:tcW w:w="23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8620" w:type="dxa"/>
            <w:vAlign w:val="bottom"/>
          </w:tcPr>
          <w:p>
            <w:pPr>
              <w:jc w:val="center"/>
              <w:ind w:left="1810"/>
              <w:spacing w:after="0"/>
              <w:rPr>
                <w:sz w:val="20"/>
                <w:szCs w:val="20"/>
                <w:color w:val="auto"/>
              </w:rPr>
            </w:pPr>
            <w:r>
              <w:rPr>
                <w:rFonts w:ascii="Arial" w:cs="Arial" w:eastAsia="Arial" w:hAnsi="Arial"/>
                <w:sz w:val="18"/>
                <w:szCs w:val="18"/>
                <w:color w:val="auto"/>
                <w:w w:val="98"/>
              </w:rPr>
              <w:t>DEFINITIONS</w:t>
            </w:r>
          </w:p>
        </w:tc>
        <w:tc>
          <w:tcPr>
            <w:tcW w:w="230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862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862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500" w:type="dxa"/>
            <w:vAlign w:val="bottom"/>
          </w:tcPr>
          <w:p>
            <w:pPr>
              <w:spacing w:after="0"/>
              <w:rPr>
                <w:sz w:val="24"/>
                <w:szCs w:val="24"/>
                <w:color w:val="auto"/>
              </w:rPr>
            </w:pPr>
          </w:p>
        </w:tc>
        <w:tc>
          <w:tcPr>
            <w:tcW w:w="8620" w:type="dxa"/>
            <w:vAlign w:val="bottom"/>
          </w:tcPr>
          <w:p>
            <w:pPr>
              <w:jc w:val="center"/>
              <w:ind w:left="1810"/>
              <w:spacing w:after="0"/>
              <w:rPr>
                <w:sz w:val="20"/>
                <w:szCs w:val="20"/>
                <w:color w:val="auto"/>
              </w:rPr>
            </w:pPr>
            <w:r>
              <w:rPr>
                <w:rFonts w:ascii="Arial" w:cs="Arial" w:eastAsia="Arial" w:hAnsi="Arial"/>
                <w:sz w:val="18"/>
                <w:szCs w:val="18"/>
                <w:color w:val="auto"/>
                <w:w w:val="96"/>
              </w:rPr>
              <w:t>ARTICLE 2</w:t>
            </w:r>
          </w:p>
        </w:tc>
        <w:tc>
          <w:tcPr>
            <w:tcW w:w="23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8620" w:type="dxa"/>
            <w:vAlign w:val="bottom"/>
          </w:tcPr>
          <w:p>
            <w:pPr>
              <w:jc w:val="center"/>
              <w:ind w:left="1810"/>
              <w:spacing w:after="0"/>
              <w:rPr>
                <w:sz w:val="20"/>
                <w:szCs w:val="20"/>
                <w:color w:val="auto"/>
              </w:rPr>
            </w:pPr>
            <w:r>
              <w:rPr>
                <w:rFonts w:ascii="Arial" w:cs="Arial" w:eastAsia="Arial" w:hAnsi="Arial"/>
                <w:sz w:val="18"/>
                <w:szCs w:val="18"/>
                <w:color w:val="auto"/>
                <w:w w:val="92"/>
              </w:rPr>
              <w:t>SERVICES</w:t>
            </w:r>
          </w:p>
        </w:tc>
        <w:tc>
          <w:tcPr>
            <w:tcW w:w="230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8620" w:type="dxa"/>
            <w:vAlign w:val="bottom"/>
          </w:tcPr>
          <w:p>
            <w:pPr>
              <w:ind w:left="180"/>
              <w:spacing w:after="0"/>
              <w:rPr>
                <w:sz w:val="20"/>
                <w:szCs w:val="20"/>
                <w:color w:val="auto"/>
              </w:rPr>
            </w:pPr>
            <w:r>
              <w:rPr>
                <w:rFonts w:ascii="Arial" w:cs="Arial" w:eastAsia="Arial" w:hAnsi="Arial"/>
                <w:sz w:val="18"/>
                <w:szCs w:val="18"/>
                <w:color w:val="auto"/>
              </w:rPr>
              <w:t>GP LLC Services; Term</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8620" w:type="dxa"/>
            <w:vAlign w:val="bottom"/>
          </w:tcPr>
          <w:p>
            <w:pPr>
              <w:ind w:left="180"/>
              <w:spacing w:after="0"/>
              <w:rPr>
                <w:sz w:val="20"/>
                <w:szCs w:val="20"/>
                <w:color w:val="auto"/>
              </w:rPr>
            </w:pPr>
            <w:r>
              <w:rPr>
                <w:rFonts w:ascii="Arial" w:cs="Arial" w:eastAsia="Arial" w:hAnsi="Arial"/>
                <w:sz w:val="18"/>
                <w:szCs w:val="18"/>
                <w:color w:val="auto"/>
              </w:rPr>
              <w:t>GP LLC Compensation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8620" w:type="dxa"/>
            <w:vAlign w:val="bottom"/>
          </w:tcPr>
          <w:p>
            <w:pPr>
              <w:ind w:left="180"/>
              <w:spacing w:after="0"/>
              <w:rPr>
                <w:sz w:val="20"/>
                <w:szCs w:val="20"/>
                <w:color w:val="auto"/>
              </w:rPr>
            </w:pPr>
            <w:r>
              <w:rPr>
                <w:rFonts w:ascii="Arial" w:cs="Arial" w:eastAsia="Arial" w:hAnsi="Arial"/>
                <w:sz w:val="18"/>
                <w:szCs w:val="18"/>
                <w:color w:val="auto"/>
              </w:rPr>
              <w:t>Invoices and Payment</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8620" w:type="dxa"/>
            <w:vAlign w:val="bottom"/>
          </w:tcPr>
          <w:p>
            <w:pPr>
              <w:ind w:left="180"/>
              <w:spacing w:after="0"/>
              <w:rPr>
                <w:sz w:val="20"/>
                <w:szCs w:val="20"/>
                <w:color w:val="auto"/>
              </w:rPr>
            </w:pPr>
            <w:r>
              <w:rPr>
                <w:rFonts w:ascii="Arial" w:cs="Arial" w:eastAsia="Arial" w:hAnsi="Arial"/>
                <w:sz w:val="18"/>
                <w:szCs w:val="18"/>
                <w:color w:val="auto"/>
              </w:rPr>
              <w:t>Dispute Regarding Services or Calculation of Costs</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8620" w:type="dxa"/>
            <w:vAlign w:val="bottom"/>
          </w:tcPr>
          <w:p>
            <w:pPr>
              <w:ind w:left="180"/>
              <w:spacing w:after="0"/>
              <w:rPr>
                <w:sz w:val="20"/>
                <w:szCs w:val="20"/>
                <w:color w:val="auto"/>
              </w:rPr>
            </w:pPr>
            <w:r>
              <w:rPr>
                <w:rFonts w:ascii="Arial" w:cs="Arial" w:eastAsia="Arial" w:hAnsi="Arial"/>
                <w:sz w:val="18"/>
                <w:szCs w:val="18"/>
                <w:color w:val="auto"/>
              </w:rPr>
              <w:t>Disputes; Default</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8620" w:type="dxa"/>
            <w:vAlign w:val="bottom"/>
          </w:tcPr>
          <w:p>
            <w:pPr>
              <w:ind w:left="180"/>
              <w:spacing w:after="0"/>
              <w:rPr>
                <w:sz w:val="20"/>
                <w:szCs w:val="20"/>
                <w:color w:val="auto"/>
              </w:rPr>
            </w:pPr>
            <w:r>
              <w:rPr>
                <w:rFonts w:ascii="Arial" w:cs="Arial" w:eastAsia="Arial" w:hAnsi="Arial"/>
                <w:sz w:val="18"/>
                <w:szCs w:val="18"/>
                <w:color w:val="auto"/>
              </w:rPr>
              <w:t>Representations Regarding Use of Services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8620" w:type="dxa"/>
            <w:vAlign w:val="bottom"/>
          </w:tcPr>
          <w:p>
            <w:pPr>
              <w:ind w:left="180"/>
              <w:spacing w:after="0"/>
              <w:rPr>
                <w:sz w:val="20"/>
                <w:szCs w:val="20"/>
                <w:color w:val="auto"/>
              </w:rPr>
            </w:pPr>
            <w:r>
              <w:rPr>
                <w:rFonts w:ascii="Arial" w:cs="Arial" w:eastAsia="Arial" w:hAnsi="Arial"/>
                <w:sz w:val="18"/>
                <w:szCs w:val="18"/>
                <w:color w:val="auto"/>
              </w:rPr>
              <w:t>Warranties; Indemnification and Limitation of Liability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862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862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500" w:type="dxa"/>
            <w:vAlign w:val="bottom"/>
          </w:tcPr>
          <w:p>
            <w:pPr>
              <w:spacing w:after="0"/>
              <w:rPr>
                <w:sz w:val="24"/>
                <w:szCs w:val="24"/>
                <w:color w:val="auto"/>
              </w:rPr>
            </w:pPr>
          </w:p>
        </w:tc>
        <w:tc>
          <w:tcPr>
            <w:tcW w:w="8620" w:type="dxa"/>
            <w:vAlign w:val="bottom"/>
          </w:tcPr>
          <w:p>
            <w:pPr>
              <w:jc w:val="center"/>
              <w:ind w:left="1810"/>
              <w:spacing w:after="0"/>
              <w:rPr>
                <w:sz w:val="20"/>
                <w:szCs w:val="20"/>
                <w:color w:val="auto"/>
              </w:rPr>
            </w:pPr>
            <w:r>
              <w:rPr>
                <w:rFonts w:ascii="Arial" w:cs="Arial" w:eastAsia="Arial" w:hAnsi="Arial"/>
                <w:sz w:val="18"/>
                <w:szCs w:val="18"/>
                <w:color w:val="auto"/>
                <w:w w:val="96"/>
              </w:rPr>
              <w:t>ARTICLE 3</w:t>
            </w:r>
          </w:p>
        </w:tc>
        <w:tc>
          <w:tcPr>
            <w:tcW w:w="23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8620" w:type="dxa"/>
            <w:vAlign w:val="bottom"/>
          </w:tcPr>
          <w:p>
            <w:pPr>
              <w:jc w:val="center"/>
              <w:ind w:left="1810"/>
              <w:spacing w:after="0"/>
              <w:rPr>
                <w:sz w:val="20"/>
                <w:szCs w:val="20"/>
                <w:color w:val="auto"/>
              </w:rPr>
            </w:pPr>
            <w:r>
              <w:rPr>
                <w:rFonts w:ascii="Arial" w:cs="Arial" w:eastAsia="Arial" w:hAnsi="Arial"/>
                <w:sz w:val="18"/>
                <w:szCs w:val="18"/>
                <w:color w:val="auto"/>
                <w:w w:val="93"/>
              </w:rPr>
              <w:t>BUSINESS OPPORTUNITIES</w:t>
            </w:r>
          </w:p>
        </w:tc>
        <w:tc>
          <w:tcPr>
            <w:tcW w:w="230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8620" w:type="dxa"/>
            <w:vAlign w:val="bottom"/>
          </w:tcPr>
          <w:p>
            <w:pPr>
              <w:ind w:left="180"/>
              <w:spacing w:after="0"/>
              <w:rPr>
                <w:sz w:val="20"/>
                <w:szCs w:val="20"/>
                <w:color w:val="auto"/>
              </w:rPr>
            </w:pPr>
            <w:r>
              <w:rPr>
                <w:rFonts w:ascii="Arial" w:cs="Arial" w:eastAsia="Arial" w:hAnsi="Arial"/>
                <w:sz w:val="18"/>
                <w:szCs w:val="18"/>
                <w:color w:val="auto"/>
              </w:rPr>
              <w:t>Business Opportunities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500" w:type="dxa"/>
            <w:vAlign w:val="bottom"/>
          </w:tcPr>
          <w:p>
            <w:pPr>
              <w:spacing w:after="0"/>
              <w:rPr>
                <w:sz w:val="24"/>
                <w:szCs w:val="24"/>
                <w:color w:val="auto"/>
              </w:rPr>
            </w:pPr>
          </w:p>
        </w:tc>
        <w:tc>
          <w:tcPr>
            <w:tcW w:w="8620" w:type="dxa"/>
            <w:vAlign w:val="bottom"/>
          </w:tcPr>
          <w:p>
            <w:pPr>
              <w:jc w:val="center"/>
              <w:ind w:left="1810"/>
              <w:spacing w:after="0"/>
              <w:rPr>
                <w:sz w:val="20"/>
                <w:szCs w:val="20"/>
                <w:color w:val="auto"/>
              </w:rPr>
            </w:pPr>
            <w:r>
              <w:rPr>
                <w:rFonts w:ascii="Arial" w:cs="Arial" w:eastAsia="Arial" w:hAnsi="Arial"/>
                <w:sz w:val="18"/>
                <w:szCs w:val="18"/>
                <w:color w:val="auto"/>
                <w:w w:val="96"/>
              </w:rPr>
              <w:t>ARTICLE 4</w:t>
            </w:r>
          </w:p>
        </w:tc>
        <w:tc>
          <w:tcPr>
            <w:tcW w:w="23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8620" w:type="dxa"/>
            <w:vAlign w:val="bottom"/>
          </w:tcPr>
          <w:p>
            <w:pPr>
              <w:jc w:val="center"/>
              <w:ind w:left="1810"/>
              <w:spacing w:after="0"/>
              <w:rPr>
                <w:sz w:val="20"/>
                <w:szCs w:val="20"/>
                <w:color w:val="auto"/>
              </w:rPr>
            </w:pPr>
            <w:r>
              <w:rPr>
                <w:rFonts w:ascii="Arial" w:cs="Arial" w:eastAsia="Arial" w:hAnsi="Arial"/>
                <w:sz w:val="18"/>
                <w:szCs w:val="18"/>
                <w:color w:val="auto"/>
                <w:w w:val="94"/>
              </w:rPr>
              <w:t>OTHER AGREEMENTS</w:t>
            </w:r>
          </w:p>
        </w:tc>
        <w:tc>
          <w:tcPr>
            <w:tcW w:w="230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8620" w:type="dxa"/>
            <w:vAlign w:val="bottom"/>
          </w:tcPr>
          <w:p>
            <w:pPr>
              <w:ind w:left="180"/>
              <w:spacing w:after="0"/>
              <w:rPr>
                <w:sz w:val="20"/>
                <w:szCs w:val="20"/>
                <w:color w:val="auto"/>
              </w:rPr>
            </w:pPr>
            <w:r>
              <w:rPr>
                <w:rFonts w:ascii="Arial" w:cs="Arial" w:eastAsia="Arial" w:hAnsi="Arial"/>
                <w:sz w:val="18"/>
                <w:szCs w:val="18"/>
                <w:color w:val="auto"/>
              </w:rPr>
              <w:t>Joint Litigation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8620" w:type="dxa"/>
            <w:vAlign w:val="bottom"/>
          </w:tcPr>
          <w:p>
            <w:pPr>
              <w:ind w:left="180"/>
              <w:spacing w:after="0"/>
              <w:rPr>
                <w:sz w:val="20"/>
                <w:szCs w:val="20"/>
                <w:color w:val="auto"/>
              </w:rPr>
            </w:pPr>
            <w:r>
              <w:rPr>
                <w:rFonts w:ascii="Arial" w:cs="Arial" w:eastAsia="Arial" w:hAnsi="Arial"/>
                <w:sz w:val="18"/>
                <w:szCs w:val="18"/>
                <w:color w:val="auto"/>
              </w:rPr>
              <w:t>Grant of License</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500" w:type="dxa"/>
            <w:vAlign w:val="bottom"/>
          </w:tcPr>
          <w:p>
            <w:pPr>
              <w:spacing w:after="0"/>
              <w:rPr>
                <w:sz w:val="24"/>
                <w:szCs w:val="24"/>
                <w:color w:val="auto"/>
              </w:rPr>
            </w:pPr>
          </w:p>
        </w:tc>
        <w:tc>
          <w:tcPr>
            <w:tcW w:w="8620" w:type="dxa"/>
            <w:vAlign w:val="bottom"/>
          </w:tcPr>
          <w:p>
            <w:pPr>
              <w:jc w:val="center"/>
              <w:ind w:left="1810"/>
              <w:spacing w:after="0"/>
              <w:rPr>
                <w:sz w:val="20"/>
                <w:szCs w:val="20"/>
                <w:color w:val="auto"/>
              </w:rPr>
            </w:pPr>
            <w:r>
              <w:rPr>
                <w:rFonts w:ascii="Arial" w:cs="Arial" w:eastAsia="Arial" w:hAnsi="Arial"/>
                <w:sz w:val="18"/>
                <w:szCs w:val="18"/>
                <w:color w:val="auto"/>
                <w:w w:val="96"/>
              </w:rPr>
              <w:t>ARTICLE 5</w:t>
            </w:r>
          </w:p>
        </w:tc>
        <w:tc>
          <w:tcPr>
            <w:tcW w:w="23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8620" w:type="dxa"/>
            <w:vAlign w:val="bottom"/>
          </w:tcPr>
          <w:p>
            <w:pPr>
              <w:jc w:val="center"/>
              <w:ind w:left="1830"/>
              <w:spacing w:after="0"/>
              <w:rPr>
                <w:sz w:val="20"/>
                <w:szCs w:val="20"/>
                <w:color w:val="auto"/>
              </w:rPr>
            </w:pPr>
            <w:r>
              <w:rPr>
                <w:rFonts w:ascii="Arial" w:cs="Arial" w:eastAsia="Arial" w:hAnsi="Arial"/>
                <w:sz w:val="18"/>
                <w:szCs w:val="18"/>
                <w:color w:val="auto"/>
                <w:w w:val="97"/>
              </w:rPr>
              <w:t>MISCELLANEOUS</w:t>
            </w:r>
          </w:p>
        </w:tc>
        <w:tc>
          <w:tcPr>
            <w:tcW w:w="230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8620" w:type="dxa"/>
            <w:vAlign w:val="bottom"/>
          </w:tcPr>
          <w:p>
            <w:pPr>
              <w:ind w:left="180"/>
              <w:spacing w:after="0"/>
              <w:rPr>
                <w:sz w:val="20"/>
                <w:szCs w:val="20"/>
                <w:color w:val="auto"/>
              </w:rPr>
            </w:pPr>
            <w:r>
              <w:rPr>
                <w:rFonts w:ascii="Arial" w:cs="Arial" w:eastAsia="Arial" w:hAnsi="Arial"/>
                <w:sz w:val="18"/>
                <w:szCs w:val="18"/>
                <w:color w:val="auto"/>
              </w:rPr>
              <w:t>Choice of Law; Submission to Jurisdiction</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8620" w:type="dxa"/>
            <w:vAlign w:val="bottom"/>
          </w:tcPr>
          <w:p>
            <w:pPr>
              <w:ind w:left="180"/>
              <w:spacing w:after="0"/>
              <w:rPr>
                <w:sz w:val="20"/>
                <w:szCs w:val="20"/>
                <w:color w:val="auto"/>
              </w:rPr>
            </w:pPr>
            <w:r>
              <w:rPr>
                <w:rFonts w:ascii="Arial" w:cs="Arial" w:eastAsia="Arial" w:hAnsi="Arial"/>
                <w:sz w:val="18"/>
                <w:szCs w:val="18"/>
                <w:color w:val="auto"/>
              </w:rPr>
              <w:t>Notices</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5.3</w:t>
            </w:r>
          </w:p>
        </w:tc>
        <w:tc>
          <w:tcPr>
            <w:tcW w:w="8620" w:type="dxa"/>
            <w:vAlign w:val="bottom"/>
          </w:tcPr>
          <w:p>
            <w:pPr>
              <w:ind w:left="180"/>
              <w:spacing w:after="0"/>
              <w:rPr>
                <w:sz w:val="20"/>
                <w:szCs w:val="20"/>
                <w:color w:val="auto"/>
              </w:rPr>
            </w:pPr>
            <w:r>
              <w:rPr>
                <w:rFonts w:ascii="Arial" w:cs="Arial" w:eastAsia="Arial" w:hAnsi="Arial"/>
                <w:sz w:val="18"/>
                <w:szCs w:val="18"/>
                <w:color w:val="auto"/>
              </w:rPr>
              <w:t>Entire Agreement; Supersedure</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5.4</w:t>
            </w:r>
          </w:p>
        </w:tc>
        <w:tc>
          <w:tcPr>
            <w:tcW w:w="8620" w:type="dxa"/>
            <w:vAlign w:val="bottom"/>
          </w:tcPr>
          <w:p>
            <w:pPr>
              <w:ind w:left="180"/>
              <w:spacing w:after="0"/>
              <w:rPr>
                <w:sz w:val="20"/>
                <w:szCs w:val="20"/>
                <w:color w:val="auto"/>
              </w:rPr>
            </w:pPr>
            <w:r>
              <w:rPr>
                <w:rFonts w:ascii="Arial" w:cs="Arial" w:eastAsia="Arial" w:hAnsi="Arial"/>
                <w:sz w:val="18"/>
                <w:szCs w:val="18"/>
                <w:color w:val="auto"/>
              </w:rPr>
              <w:t>Effect of Waiver of Consent</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5.5</w:t>
            </w:r>
          </w:p>
        </w:tc>
        <w:tc>
          <w:tcPr>
            <w:tcW w:w="8620" w:type="dxa"/>
            <w:vAlign w:val="bottom"/>
          </w:tcPr>
          <w:p>
            <w:pPr>
              <w:ind w:left="180"/>
              <w:spacing w:after="0"/>
              <w:rPr>
                <w:sz w:val="20"/>
                <w:szCs w:val="20"/>
                <w:color w:val="auto"/>
              </w:rPr>
            </w:pPr>
            <w:r>
              <w:rPr>
                <w:rFonts w:ascii="Arial" w:cs="Arial" w:eastAsia="Arial" w:hAnsi="Arial"/>
                <w:sz w:val="18"/>
                <w:szCs w:val="18"/>
                <w:color w:val="auto"/>
              </w:rPr>
              <w:t>Amendment or Modification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5.6</w:t>
            </w:r>
          </w:p>
        </w:tc>
        <w:tc>
          <w:tcPr>
            <w:tcW w:w="8620" w:type="dxa"/>
            <w:vAlign w:val="bottom"/>
          </w:tcPr>
          <w:p>
            <w:pPr>
              <w:ind w:left="180"/>
              <w:spacing w:after="0"/>
              <w:rPr>
                <w:sz w:val="20"/>
                <w:szCs w:val="20"/>
                <w:color w:val="auto"/>
              </w:rPr>
            </w:pPr>
            <w:r>
              <w:rPr>
                <w:rFonts w:ascii="Arial" w:cs="Arial" w:eastAsia="Arial" w:hAnsi="Arial"/>
                <w:sz w:val="18"/>
                <w:szCs w:val="18"/>
                <w:color w:val="auto"/>
              </w:rPr>
              <w:t>Assignment</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5.7</w:t>
            </w:r>
          </w:p>
        </w:tc>
        <w:tc>
          <w:tcPr>
            <w:tcW w:w="862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5.8</w:t>
            </w:r>
          </w:p>
        </w:tc>
        <w:tc>
          <w:tcPr>
            <w:tcW w:w="862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5.9</w:t>
            </w:r>
          </w:p>
        </w:tc>
        <w:tc>
          <w:tcPr>
            <w:tcW w:w="862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5.10</w:t>
            </w:r>
          </w:p>
        </w:tc>
        <w:tc>
          <w:tcPr>
            <w:tcW w:w="8620" w:type="dxa"/>
            <w:vAlign w:val="bottom"/>
          </w:tcPr>
          <w:p>
            <w:pPr>
              <w:ind w:left="180"/>
              <w:spacing w:after="0"/>
              <w:rPr>
                <w:sz w:val="20"/>
                <w:szCs w:val="20"/>
                <w:color w:val="auto"/>
              </w:rPr>
            </w:pPr>
            <w:r>
              <w:rPr>
                <w:rFonts w:ascii="Arial" w:cs="Arial" w:eastAsia="Arial" w:hAnsi="Arial"/>
                <w:sz w:val="18"/>
                <w:szCs w:val="18"/>
                <w:color w:val="auto"/>
              </w:rPr>
              <w:t>Withholding or Granting of Consent</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5.11</w:t>
            </w:r>
          </w:p>
        </w:tc>
        <w:tc>
          <w:tcPr>
            <w:tcW w:w="8620" w:type="dxa"/>
            <w:vAlign w:val="bottom"/>
          </w:tcPr>
          <w:p>
            <w:pPr>
              <w:ind w:left="180"/>
              <w:spacing w:after="0"/>
              <w:rPr>
                <w:sz w:val="20"/>
                <w:szCs w:val="20"/>
                <w:color w:val="auto"/>
              </w:rPr>
            </w:pPr>
            <w:r>
              <w:rPr>
                <w:rFonts w:ascii="Arial" w:cs="Arial" w:eastAsia="Arial" w:hAnsi="Arial"/>
                <w:sz w:val="18"/>
                <w:szCs w:val="18"/>
                <w:color w:val="auto"/>
              </w:rPr>
              <w:t>U.S. Currency</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5.12</w:t>
            </w:r>
          </w:p>
        </w:tc>
        <w:tc>
          <w:tcPr>
            <w:tcW w:w="8620" w:type="dxa"/>
            <w:vAlign w:val="bottom"/>
          </w:tcPr>
          <w:p>
            <w:pPr>
              <w:ind w:left="180"/>
              <w:spacing w:after="0"/>
              <w:rPr>
                <w:sz w:val="20"/>
                <w:szCs w:val="20"/>
                <w:color w:val="auto"/>
              </w:rPr>
            </w:pPr>
            <w:r>
              <w:rPr>
                <w:rFonts w:ascii="Arial" w:cs="Arial" w:eastAsia="Arial" w:hAnsi="Arial"/>
                <w:sz w:val="18"/>
                <w:szCs w:val="18"/>
                <w:color w:val="auto"/>
              </w:rPr>
              <w:t>Laws and Regulations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5.13</w:t>
            </w:r>
          </w:p>
        </w:tc>
        <w:tc>
          <w:tcPr>
            <w:tcW w:w="8620" w:type="dxa"/>
            <w:vAlign w:val="bottom"/>
          </w:tcPr>
          <w:p>
            <w:pPr>
              <w:ind w:left="180"/>
              <w:spacing w:after="0"/>
              <w:rPr>
                <w:sz w:val="20"/>
                <w:szCs w:val="20"/>
                <w:color w:val="auto"/>
              </w:rPr>
            </w:pPr>
            <w:r>
              <w:rPr>
                <w:rFonts w:ascii="Arial" w:cs="Arial" w:eastAsia="Arial" w:hAnsi="Arial"/>
                <w:sz w:val="18"/>
                <w:szCs w:val="18"/>
                <w:color w:val="auto"/>
              </w:rPr>
              <w:t>Negation of Rights of Third Parties</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5.14</w:t>
            </w:r>
          </w:p>
        </w:tc>
        <w:tc>
          <w:tcPr>
            <w:tcW w:w="862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5.15</w:t>
            </w:r>
          </w:p>
        </w:tc>
        <w:tc>
          <w:tcPr>
            <w:tcW w:w="8620" w:type="dxa"/>
            <w:vAlign w:val="bottom"/>
          </w:tcPr>
          <w:p>
            <w:pPr>
              <w:ind w:left="180"/>
              <w:spacing w:after="0"/>
              <w:rPr>
                <w:sz w:val="20"/>
                <w:szCs w:val="20"/>
                <w:color w:val="auto"/>
              </w:rPr>
            </w:pPr>
            <w:r>
              <w:rPr>
                <w:rFonts w:ascii="Arial" w:cs="Arial" w:eastAsia="Arial" w:hAnsi="Arial"/>
                <w:sz w:val="18"/>
                <w:szCs w:val="18"/>
                <w:color w:val="auto"/>
              </w:rPr>
              <w:t>Successors</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5.16</w:t>
            </w:r>
          </w:p>
        </w:tc>
        <w:tc>
          <w:tcPr>
            <w:tcW w:w="8620" w:type="dxa"/>
            <w:vAlign w:val="bottom"/>
          </w:tcPr>
          <w:p>
            <w:pPr>
              <w:ind w:left="180"/>
              <w:spacing w:after="0"/>
              <w:rPr>
                <w:sz w:val="20"/>
                <w:szCs w:val="20"/>
                <w:color w:val="auto"/>
              </w:rPr>
            </w:pPr>
            <w:r>
              <w:rPr>
                <w:rFonts w:ascii="Arial" w:cs="Arial" w:eastAsia="Arial" w:hAnsi="Arial"/>
                <w:sz w:val="18"/>
                <w:szCs w:val="18"/>
                <w:color w:val="auto"/>
              </w:rPr>
              <w:t>No Recourse Against Officers or Directors</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121" w:right="239" w:bottom="0" w:gutter="0" w:footer="0" w:header="0"/>
        </w:sectPr>
      </w:pPr>
    </w:p>
    <w:bookmarkStart w:id="113" w:name="page114"/>
    <w:bookmarkEnd w:id="113"/>
    <w:p>
      <w:pPr>
        <w:spacing w:after="0" w:line="103" w:lineRule="exact"/>
        <w:rPr>
          <w:sz w:val="20"/>
          <w:szCs w:val="20"/>
          <w:color w:val="auto"/>
        </w:rPr>
      </w:pPr>
    </w:p>
    <w:p>
      <w:pPr>
        <w:spacing w:after="0"/>
        <w:tabs>
          <w:tab w:leader="none" w:pos="660" w:val="left"/>
          <w:tab w:leader="none" w:pos="1132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8"/>
          <w:szCs w:val="18"/>
          <w:color w:val="auto"/>
        </w:rPr>
        <w:t>Legal Compliance</w:t>
      </w:r>
      <w:r>
        <w:rPr>
          <w:sz w:val="20"/>
          <w:szCs w:val="20"/>
          <w:color w:val="auto"/>
        </w:rPr>
        <w:tab/>
      </w:r>
      <w:r>
        <w:rPr>
          <w:rFonts w:ascii="Arial" w:cs="Arial" w:eastAsia="Arial" w:hAnsi="Arial"/>
          <w:sz w:val="14"/>
          <w:szCs w:val="14"/>
          <w:color w:val="auto"/>
        </w:rPr>
        <w:t>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AGREEMENT</w:t>
      </w:r>
    </w:p>
    <w:p>
      <w:pPr>
        <w:spacing w:after="0" w:line="229" w:lineRule="exact"/>
        <w:rPr>
          <w:sz w:val="20"/>
          <w:szCs w:val="20"/>
          <w:color w:val="auto"/>
        </w:rPr>
      </w:pPr>
    </w:p>
    <w:p>
      <w:pPr>
        <w:ind w:right="140" w:firstLine="324"/>
        <w:spacing w:after="0" w:line="244" w:lineRule="auto"/>
        <w:rPr>
          <w:sz w:val="20"/>
          <w:szCs w:val="20"/>
          <w:color w:val="auto"/>
        </w:rPr>
      </w:pPr>
      <w:r>
        <w:rPr>
          <w:rFonts w:ascii="Arial" w:cs="Arial" w:eastAsia="Arial" w:hAnsi="Arial"/>
          <w:sz w:val="18"/>
          <w:szCs w:val="18"/>
          <w:color w:val="auto"/>
        </w:rPr>
        <w:t>This ADMINISTRATIVE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entered into this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October, 2013 (the “</w:t>
      </w:r>
      <w:r>
        <w:rPr>
          <w:rFonts w:ascii="Arial" w:cs="Arial" w:eastAsia="Arial" w:hAnsi="Arial"/>
          <w:sz w:val="18"/>
          <w:szCs w:val="18"/>
          <w:i w:val="1"/>
          <w:iCs w:val="1"/>
          <w:color w:val="auto"/>
        </w:rPr>
        <w:t>Effective Date</w:t>
      </w:r>
      <w:r>
        <w:rPr>
          <w:rFonts w:ascii="Arial" w:cs="Arial" w:eastAsia="Arial" w:hAnsi="Arial"/>
          <w:sz w:val="18"/>
          <w:szCs w:val="18"/>
          <w:color w:val="auto"/>
        </w:rPr>
        <w:t>”), by and among Plains GP Holdings, L.P., a Delaware limited partnership (“</w:t>
      </w:r>
      <w:r>
        <w:rPr>
          <w:rFonts w:ascii="Arial" w:cs="Arial" w:eastAsia="Arial" w:hAnsi="Arial"/>
          <w:sz w:val="18"/>
          <w:szCs w:val="18"/>
          <w:i w:val="1"/>
          <w:iCs w:val="1"/>
          <w:color w:val="auto"/>
        </w:rPr>
        <w:t>PAGP</w:t>
      </w:r>
      <w:r>
        <w:rPr>
          <w:rFonts w:ascii="Arial" w:cs="Arial" w:eastAsia="Arial" w:hAnsi="Arial"/>
          <w:sz w:val="18"/>
          <w:szCs w:val="18"/>
          <w:color w:val="auto"/>
        </w:rPr>
        <w:t>”), PAA GP Holdings LLC, a Delaware limited liability company (“</w:t>
      </w:r>
      <w:r>
        <w:rPr>
          <w:rFonts w:ascii="Arial" w:cs="Arial" w:eastAsia="Arial" w:hAnsi="Arial"/>
          <w:sz w:val="18"/>
          <w:szCs w:val="18"/>
          <w:i w:val="1"/>
          <w:iCs w:val="1"/>
          <w:color w:val="auto"/>
        </w:rPr>
        <w:t>PAGP GP</w:t>
      </w:r>
      <w:r>
        <w:rPr>
          <w:rFonts w:ascii="Arial" w:cs="Arial" w:eastAsia="Arial" w:hAnsi="Arial"/>
          <w:sz w:val="18"/>
          <w:szCs w:val="18"/>
          <w:color w:val="auto"/>
        </w:rPr>
        <w:t>”), Plains All American Pipeline, L.P., a Delaware limited partnership (“</w:t>
      </w:r>
      <w:r>
        <w:rPr>
          <w:rFonts w:ascii="Arial" w:cs="Arial" w:eastAsia="Arial" w:hAnsi="Arial"/>
          <w:sz w:val="18"/>
          <w:szCs w:val="18"/>
          <w:i w:val="1"/>
          <w:iCs w:val="1"/>
          <w:color w:val="auto"/>
        </w:rPr>
        <w:t>PAA</w:t>
      </w:r>
      <w:r>
        <w:rPr>
          <w:rFonts w:ascii="Arial" w:cs="Arial" w:eastAsia="Arial" w:hAnsi="Arial"/>
          <w:sz w:val="18"/>
          <w:szCs w:val="18"/>
          <w:color w:val="auto"/>
        </w:rPr>
        <w:t>”), PAA GP LLC, a Delaware limited liability company (“</w:t>
      </w:r>
      <w:r>
        <w:rPr>
          <w:rFonts w:ascii="Arial" w:cs="Arial" w:eastAsia="Arial" w:hAnsi="Arial"/>
          <w:sz w:val="18"/>
          <w:szCs w:val="18"/>
          <w:i w:val="1"/>
          <w:iCs w:val="1"/>
          <w:color w:val="auto"/>
        </w:rPr>
        <w:t>PAA GP</w:t>
      </w:r>
      <w:r>
        <w:rPr>
          <w:rFonts w:ascii="Arial" w:cs="Arial" w:eastAsia="Arial" w:hAnsi="Arial"/>
          <w:sz w:val="18"/>
          <w:szCs w:val="18"/>
          <w:color w:val="auto"/>
        </w:rPr>
        <w:t>”), Plains AAP, L.P., a Delaware limited partnership (“</w:t>
      </w:r>
      <w:r>
        <w:rPr>
          <w:rFonts w:ascii="Arial" w:cs="Arial" w:eastAsia="Arial" w:hAnsi="Arial"/>
          <w:sz w:val="18"/>
          <w:szCs w:val="18"/>
          <w:i w:val="1"/>
          <w:iCs w:val="1"/>
          <w:color w:val="auto"/>
        </w:rPr>
        <w:t>AAP</w:t>
      </w:r>
      <w:r>
        <w:rPr>
          <w:rFonts w:ascii="Arial" w:cs="Arial" w:eastAsia="Arial" w:hAnsi="Arial"/>
          <w:sz w:val="18"/>
          <w:szCs w:val="18"/>
          <w:color w:val="auto"/>
        </w:rPr>
        <w:t xml:space="preserve">,” together with PAGP, PAGP GP and their direct and indirect subsidiaries (other than members of the GP LLC Group), the </w:t>
      </w:r>
      <w:r>
        <w:rPr>
          <w:rFonts w:ascii="Arial" w:cs="Arial" w:eastAsia="Arial" w:hAnsi="Arial"/>
          <w:sz w:val="18"/>
          <w:szCs w:val="18"/>
          <w:i w:val="1"/>
          <w:iCs w:val="1"/>
          <w:color w:val="auto"/>
        </w:rPr>
        <w:t>“PAGP Entities”</w:t>
      </w:r>
      <w:r>
        <w:rPr>
          <w:rFonts w:ascii="Arial" w:cs="Arial" w:eastAsia="Arial" w:hAnsi="Arial"/>
          <w:sz w:val="18"/>
          <w:szCs w:val="18"/>
          <w:color w:val="auto"/>
        </w:rPr>
        <w:t>) and Plains All American GP LLC, a Delaware limited liability company (“</w:t>
      </w:r>
      <w:r>
        <w:rPr>
          <w:rFonts w:ascii="Arial" w:cs="Arial" w:eastAsia="Arial" w:hAnsi="Arial"/>
          <w:sz w:val="18"/>
          <w:szCs w:val="18"/>
          <w:i w:val="1"/>
          <w:iCs w:val="1"/>
          <w:color w:val="auto"/>
        </w:rPr>
        <w:t>GP LLC</w:t>
      </w:r>
      <w:r>
        <w:rPr>
          <w:rFonts w:ascii="Arial" w:cs="Arial" w:eastAsia="Arial" w:hAnsi="Arial"/>
          <w:sz w:val="18"/>
          <w:szCs w:val="18"/>
          <w:color w:val="auto"/>
        </w:rPr>
        <w:t xml:space="preserve">,” together with PAA GP, PAA and their direct and indirect subsidiaries (other than AAP), the </w:t>
      </w:r>
      <w:r>
        <w:rPr>
          <w:rFonts w:ascii="Arial" w:cs="Arial" w:eastAsia="Arial" w:hAnsi="Arial"/>
          <w:sz w:val="18"/>
          <w:szCs w:val="18"/>
          <w:i w:val="1"/>
          <w:iCs w:val="1"/>
          <w:color w:val="auto"/>
        </w:rPr>
        <w:t>“GP LLC Group”</w:t>
      </w:r>
      <w:r>
        <w:rPr>
          <w:rFonts w:ascii="Arial" w:cs="Arial" w:eastAsia="Arial" w:hAnsi="Arial"/>
          <w:sz w:val="18"/>
          <w:szCs w:val="18"/>
          <w:color w:val="auto"/>
        </w:rPr>
        <w:t>). The above-named entities are sometimes referred to in this Agreement each as a “</w:t>
      </w:r>
      <w:r>
        <w:rPr>
          <w:rFonts w:ascii="Arial" w:cs="Arial" w:eastAsia="Arial" w:hAnsi="Arial"/>
          <w:sz w:val="18"/>
          <w:szCs w:val="18"/>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i w:val="1"/>
          <w:iCs w:val="1"/>
          <w:color w:val="auto"/>
        </w:rPr>
        <w:t>Parties</w:t>
      </w:r>
      <w:r>
        <w:rPr>
          <w:rFonts w:ascii="Arial" w:cs="Arial" w:eastAsia="Arial" w:hAnsi="Arial"/>
          <w:sz w:val="18"/>
          <w:szCs w:val="18"/>
          <w:color w:val="auto"/>
        </w:rPr>
        <w:t xml:space="preserve">.” Capitalized terms not otherwise defined below have the meanings ascribed to such terms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Parties hereto desire, by their execution of this Agreement, to evidence the terms and conditions pursuant to which (i) GP LLC will provide certain services to the PAGP Entities and (ii) certain business opportunities will be allocated among the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 R E E M E N T 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NOW, THEREFORE, in consideration of the premises and the covenants, conditions, and agreements contained herein, and for other good and valuable consideration, the receipt and sufficiency of which are hereby acknowledged, the Parties hereto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The definitions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for all purposes, unless otherwise clearly indicated to the contrary, applied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used in this Agreement.</w:t>
      </w:r>
    </w:p>
    <w:p>
      <w:pPr>
        <w:spacing w:after="0" w:line="162"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18"/>
          <w:szCs w:val="18"/>
          <w:b w:val="1"/>
          <w:bCs w:val="1"/>
          <w:color w:val="auto"/>
        </w:rPr>
        <w:t>1.2 Construction</w:t>
      </w:r>
      <w:r>
        <w:rPr>
          <w:rFonts w:ascii="Arial" w:cs="Arial" w:eastAsia="Arial" w:hAnsi="Arial"/>
          <w:sz w:val="18"/>
          <w:szCs w:val="18"/>
          <w:color w:val="auto"/>
        </w:rPr>
        <w:t>. Unless the context requires otherwise: (a) any pronoun used in this Agreement shall include the corresponding masculine,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8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SERVICES</w:t>
      </w:r>
    </w:p>
    <w:p>
      <w:pPr>
        <w:spacing w:after="0" w:line="207" w:lineRule="exact"/>
        <w:rPr>
          <w:sz w:val="20"/>
          <w:szCs w:val="20"/>
          <w:color w:val="auto"/>
        </w:rPr>
      </w:pPr>
    </w:p>
    <w:p>
      <w:pPr>
        <w:jc w:val="both"/>
        <w:ind w:right="80" w:firstLine="648"/>
        <w:spacing w:after="0" w:line="282" w:lineRule="auto"/>
        <w:rPr>
          <w:sz w:val="20"/>
          <w:szCs w:val="20"/>
          <w:color w:val="auto"/>
        </w:rPr>
      </w:pPr>
      <w:r>
        <w:rPr>
          <w:rFonts w:ascii="Arial" w:cs="Arial" w:eastAsia="Arial" w:hAnsi="Arial"/>
          <w:sz w:val="18"/>
          <w:szCs w:val="18"/>
          <w:b w:val="1"/>
          <w:bCs w:val="1"/>
          <w:color w:val="auto"/>
        </w:rPr>
        <w:t>2.1 GP LLC Services; Term</w:t>
      </w:r>
      <w:r>
        <w:rPr>
          <w:rFonts w:ascii="Arial" w:cs="Arial" w:eastAsia="Arial" w:hAnsi="Arial"/>
          <w:sz w:val="18"/>
          <w:szCs w:val="18"/>
          <w:color w:val="auto"/>
        </w:rPr>
        <w:t>. Beginning on the Effective Date and continuing until such time as this Agreement has been terminated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5.14, subject to the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Article 2 and in exchange for the compensation described in Section 2.2, GP LLC hereby agrees to provide, or to cause the GP LLC Group to provide, the PAGP Entities with such general and administrative services as may be necessary to manage and operate the business, properties and assets of the PAGP Entities; it being understood and agreed by the Parties that in connection with the provision of such services, GP LLC shall employ or otherwise retain the services of such personnel as may be necessary to cause the business, properties and assets of the PAGP Entities to be so managed and operated (individually, a “</w:t>
      </w:r>
      <w:r>
        <w:rPr>
          <w:rFonts w:ascii="Arial" w:cs="Arial" w:eastAsia="Arial" w:hAnsi="Arial"/>
          <w:sz w:val="18"/>
          <w:szCs w:val="18"/>
          <w:i w:val="1"/>
          <w:iCs w:val="1"/>
          <w:color w:val="auto"/>
        </w:rPr>
        <w:t>GP LLC Service</w:t>
      </w:r>
      <w:r>
        <w:rPr>
          <w:rFonts w:ascii="Arial" w:cs="Arial" w:eastAsia="Arial" w:hAnsi="Arial"/>
          <w:sz w:val="18"/>
          <w:szCs w:val="18"/>
          <w:color w:val="auto"/>
        </w:rPr>
        <w:t>” and, collectively, the “</w:t>
      </w:r>
      <w:r>
        <w:rPr>
          <w:rFonts w:ascii="Arial" w:cs="Arial" w:eastAsia="Arial" w:hAnsi="Arial"/>
          <w:sz w:val="18"/>
          <w:szCs w:val="18"/>
          <w:i w:val="1"/>
          <w:iCs w:val="1"/>
          <w:color w:val="auto"/>
        </w:rPr>
        <w:t>GP LLC Services</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GP LLC Compensation</w:t>
      </w:r>
      <w:r>
        <w:rPr>
          <w:rFonts w:ascii="Arial" w:cs="Arial" w:eastAsia="Arial" w:hAnsi="Arial"/>
          <w:sz w:val="16"/>
          <w:szCs w:val="16"/>
          <w:color w:val="auto"/>
        </w:rPr>
        <w:t>.</w:t>
      </w:r>
    </w:p>
    <w:p>
      <w:pPr>
        <w:spacing w:after="0" w:line="229" w:lineRule="exact"/>
        <w:rPr>
          <w:sz w:val="20"/>
          <w:szCs w:val="20"/>
          <w:color w:val="auto"/>
        </w:rPr>
      </w:pPr>
    </w:p>
    <w:p>
      <w:pPr>
        <w:ind w:right="40" w:firstLine="1305"/>
        <w:spacing w:after="0" w:line="269" w:lineRule="auto"/>
        <w:tabs>
          <w:tab w:leader="none" w:pos="1942" w:val="left"/>
        </w:tabs>
        <w:numPr>
          <w:ilvl w:val="0"/>
          <w:numId w:val="255"/>
        </w:numPr>
        <w:rPr>
          <w:rFonts w:ascii="Arial" w:cs="Arial" w:eastAsia="Arial" w:hAnsi="Arial"/>
          <w:sz w:val="17"/>
          <w:szCs w:val="17"/>
          <w:color w:val="auto"/>
        </w:rPr>
      </w:pPr>
      <w:r>
        <w:rPr>
          <w:rFonts w:ascii="Arial" w:cs="Arial" w:eastAsia="Arial" w:hAnsi="Arial"/>
          <w:sz w:val="17"/>
          <w:szCs w:val="17"/>
          <w:i w:val="1"/>
          <w:iCs w:val="1"/>
          <w:color w:val="auto"/>
        </w:rPr>
        <w:t xml:space="preserve">Administrative Services Fee. </w:t>
      </w:r>
      <w:r>
        <w:rPr>
          <w:rFonts w:ascii="Arial" w:cs="Arial" w:eastAsia="Arial" w:hAnsi="Arial"/>
          <w:sz w:val="17"/>
          <w:szCs w:val="17"/>
          <w:color w:val="auto"/>
        </w:rPr>
        <w:t>As compensation for the provision by GP LLC of the GP LLC Services to the PAGP Entities, GP</w:t>
      </w:r>
      <w:r>
        <w:rPr>
          <w:rFonts w:ascii="Arial" w:cs="Arial" w:eastAsia="Arial" w:hAnsi="Arial"/>
          <w:sz w:val="17"/>
          <w:szCs w:val="17"/>
          <w:i w:val="1"/>
          <w:iCs w:val="1"/>
          <w:color w:val="auto"/>
        </w:rPr>
        <w:t xml:space="preserve"> </w:t>
      </w:r>
      <w:r>
        <w:rPr>
          <w:rFonts w:ascii="Arial" w:cs="Arial" w:eastAsia="Arial" w:hAnsi="Arial"/>
          <w:sz w:val="17"/>
          <w:szCs w:val="17"/>
          <w:color w:val="auto"/>
        </w:rPr>
        <w:t>LLC shall be entitled to receive, and AAP agrees to pay to GP LLC, without duplication, $1.5 million annually (the “</w:t>
      </w:r>
      <w:r>
        <w:rPr>
          <w:rFonts w:ascii="Arial" w:cs="Arial" w:eastAsia="Arial" w:hAnsi="Arial"/>
          <w:sz w:val="17"/>
          <w:szCs w:val="17"/>
          <w:i w:val="1"/>
          <w:iCs w:val="1"/>
          <w:color w:val="auto"/>
        </w:rPr>
        <w:t>Administrative Services Fee</w:t>
      </w:r>
      <w:r>
        <w:rPr>
          <w:rFonts w:ascii="Arial" w:cs="Arial" w:eastAsia="Arial" w:hAnsi="Arial"/>
          <w:sz w:val="17"/>
          <w:szCs w:val="17"/>
          <w:color w:val="auto"/>
        </w:rPr>
        <w:t>”). Following the first anniversary of this Agreement, the Administrative Services Fee shall be increased or decreased annually by the percentage increase or decrease, as applicable, in the Consumer Price Index — All Urban Consumers, U.S. City Average, Not Seasonally Adjusted for the applicable year (the “</w:t>
      </w:r>
      <w:r>
        <w:rPr>
          <w:rFonts w:ascii="Arial" w:cs="Arial" w:eastAsia="Arial" w:hAnsi="Arial"/>
          <w:sz w:val="17"/>
          <w:szCs w:val="17"/>
          <w:i w:val="1"/>
          <w:iCs w:val="1"/>
          <w:color w:val="auto"/>
        </w:rPr>
        <w:t>CPI</w:t>
      </w:r>
      <w:r>
        <w:rPr>
          <w:rFonts w:ascii="Arial" w:cs="Arial" w:eastAsia="Arial" w:hAnsi="Arial"/>
          <w:sz w:val="17"/>
          <w:szCs w:val="17"/>
          <w:color w:val="auto"/>
        </w:rPr>
        <w:t xml:space="preserve"> </w:t>
      </w:r>
      <w:r>
        <w:rPr>
          <w:rFonts w:ascii="Arial" w:cs="Arial" w:eastAsia="Arial" w:hAnsi="Arial"/>
          <w:sz w:val="17"/>
          <w:szCs w:val="17"/>
          <w:i w:val="1"/>
          <w:iCs w:val="1"/>
          <w:color w:val="auto"/>
        </w:rPr>
        <w:t>Index</w:t>
      </w:r>
      <w:r>
        <w:rPr>
          <w:rFonts w:ascii="Arial" w:cs="Arial" w:eastAsia="Arial" w:hAnsi="Arial"/>
          <w:sz w:val="17"/>
          <w:szCs w:val="17"/>
          <w:color w:val="auto"/>
        </w:rPr>
        <w:t>”). In making such adjustment, the Administrative Services Fee shall be increased or decreased, as applicable, commencing on January 1, 2015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on each January 1 thereafter, by the CPI Index for the prior year (or longer in the case of the first adjustment on January 1, 2015) based on the most recent information available from the U.S. Department of Labor and similarly increased or decreased, as applicable, on each subsequent January 1 by the CPI Index for the prior year period. In the event that the PAGP Entities make any acquisitions of assets or businesses or the business of the PAGP Entities otherwise changes following the Effective Date or the PAGP Entities become subject to new or modified laws, regulations, listing requirements or accounting rules that, in any case, impact the nature and/or scope of the GP LLC Services, then the Administrative Services Fee shall be appropriately increased or decreased to account for adjustments in the nature and/or scope of the GP LLC Services. The Administrative Services Fee shall be in addition to any reimbursement for direct expenses of the PAGP Entities as provided in Section 2.2(b).</w:t>
      </w:r>
    </w:p>
    <w:p>
      <w:pPr>
        <w:spacing w:after="0" w:line="179" w:lineRule="exact"/>
        <w:rPr>
          <w:rFonts w:ascii="Arial" w:cs="Arial" w:eastAsia="Arial" w:hAnsi="Arial"/>
          <w:sz w:val="17"/>
          <w:szCs w:val="17"/>
          <w:color w:val="auto"/>
        </w:rPr>
      </w:pPr>
    </w:p>
    <w:p>
      <w:pPr>
        <w:ind w:right="60" w:firstLine="1305"/>
        <w:spacing w:after="0" w:line="297" w:lineRule="auto"/>
        <w:tabs>
          <w:tab w:leader="none" w:pos="1952"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for Direct Expenses. </w:t>
      </w:r>
      <w:r>
        <w:rPr>
          <w:rFonts w:ascii="Arial" w:cs="Arial" w:eastAsia="Arial" w:hAnsi="Arial"/>
          <w:sz w:val="16"/>
          <w:szCs w:val="16"/>
          <w:color w:val="auto"/>
        </w:rPr>
        <w:t>It is contemplated that direct expenses for the PAGP Entities, other than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by PAGP, will be paid by AAP. It is contemplated that PAGP income taxes will be paid from PAGP funds. To the extent any member of the GP LLC Group incurs or pays any direct expenses or expenditures on behalf of the PAGP Entities, AAP hereby agrees to reimburse the GP LLC Group for such expenses and expenditures. AAP further agrees to pay or reimburse the GP LLC Group, as applicable, for any GP LLC Franchise Costs. AAP hereby agrees to reimburse the GP LLC Group for any expenses and expenditures incurred or paid in the process of or as a result of PAGP becoming a publicly traded</w:t>
      </w:r>
    </w:p>
    <w:p>
      <w:pPr>
        <w:sectPr>
          <w:pgSz w:w="11900" w:h="16941" w:orient="portrait"/>
          <w:cols w:equalWidth="0" w:num="1">
            <w:col w:w="11420"/>
          </w:cols>
          <w:pgMar w:left="240" w:top="125" w:right="239" w:bottom="0" w:gutter="0" w:footer="0" w:header="0"/>
        </w:sectPr>
      </w:pPr>
    </w:p>
    <w:bookmarkStart w:id="114" w:name="page115"/>
    <w:bookmarkEnd w:id="114"/>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entity, including expenses associated with (i) compensation for new directors of PAGP GP, (ii) incremental director and officer liability insurance, (iii) listing on the New York Stock Exchange, (iv) investor relations, (v) legal, (vi) tax and (vii) accounting. The aggregate amount payable by AAP to the GP LLC Group pursuant to this Section 2.2(b) with respect to a given period of time shall be referred to herein as the “</w:t>
      </w:r>
      <w:r>
        <w:rPr>
          <w:rFonts w:ascii="Arial" w:cs="Arial" w:eastAsia="Arial" w:hAnsi="Arial"/>
          <w:sz w:val="18"/>
          <w:szCs w:val="18"/>
          <w:i w:val="1"/>
          <w:iCs w:val="1"/>
          <w:color w:val="auto"/>
        </w:rPr>
        <w:t>Expense Reimbursement Fee</w:t>
      </w:r>
      <w:r>
        <w:rPr>
          <w:rFonts w:ascii="Arial" w:cs="Arial" w:eastAsia="Arial" w:hAnsi="Arial"/>
          <w:sz w:val="18"/>
          <w:szCs w:val="18"/>
          <w:color w:val="auto"/>
        </w:rPr>
        <w:t>.” The obligation of AAP to reimburse the GP LLC Group pursuant to this Section 2.2(b) shall not be subject to any monetary limitation, and shall be in addition to the Administrative Services Fee contained in Section 2.2(a).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305"/>
        <w:spacing w:after="0" w:line="264" w:lineRule="auto"/>
        <w:tabs>
          <w:tab w:leader="none" w:pos="1955"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To the extent any member of the GP LLC Group incurs or pays any expenses or expenditures not otherwise contemplated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that benefits any PAGP Entity and any member of the GP LLC Group, GP LLC will allocate the costs between PAA and PAGP in its reasonable discretion. Any such costs allocated to PAGP shall be paid by AAP.</w:t>
      </w:r>
    </w:p>
    <w:p>
      <w:pPr>
        <w:spacing w:after="0" w:line="181" w:lineRule="exact"/>
        <w:rPr>
          <w:rFonts w:ascii="Arial" w:cs="Arial" w:eastAsia="Arial" w:hAnsi="Arial"/>
          <w:sz w:val="18"/>
          <w:szCs w:val="18"/>
          <w:color w:val="auto"/>
        </w:rPr>
      </w:pPr>
    </w:p>
    <w:p>
      <w:pPr>
        <w:ind w:right="120" w:firstLine="1305"/>
        <w:spacing w:after="0" w:line="257" w:lineRule="auto"/>
        <w:tabs>
          <w:tab w:leader="none" w:pos="1952"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 xml:space="preserve">Parties’ Intent. </w:t>
      </w:r>
      <w:r>
        <w:rPr>
          <w:rFonts w:ascii="Arial" w:cs="Arial" w:eastAsia="Arial" w:hAnsi="Arial"/>
          <w:sz w:val="18"/>
          <w:szCs w:val="18"/>
          <w:color w:val="auto"/>
        </w:rPr>
        <w:t>The primary purpose of this agreement is to maintain effective and efficient management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and procedures for the benefit of all Parties, and not for any Party to generate profit. In that regard, it is the intention of the Parties that the Administrative Services Fee, the Expense Reimbursement Fee and any other costs allocated to the PAGP Entities and paid by AAP hereunder represent fair and reasonable compensation to GP LLC for the PAGP Entities’ allocable share of all general and administrative expenses and other costs for services borne or performed by GP LLC for the benefit of any PAGP Entity.</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Invoices and Payment</w:t>
      </w:r>
      <w:r>
        <w:rPr>
          <w:rFonts w:ascii="Arial" w:cs="Arial" w:eastAsia="Arial" w:hAnsi="Arial"/>
          <w:sz w:val="16"/>
          <w:szCs w:val="16"/>
          <w:color w:val="auto"/>
        </w:rPr>
        <w:t>.</w:t>
      </w:r>
    </w:p>
    <w:p>
      <w:pPr>
        <w:spacing w:after="0" w:line="229" w:lineRule="exact"/>
        <w:rPr>
          <w:sz w:val="20"/>
          <w:szCs w:val="20"/>
          <w:color w:val="auto"/>
        </w:rPr>
      </w:pPr>
    </w:p>
    <w:p>
      <w:pPr>
        <w:jc w:val="both"/>
        <w:ind w:right="340" w:firstLine="1305"/>
        <w:spacing w:after="0" w:line="264" w:lineRule="auto"/>
        <w:tabs>
          <w:tab w:leader="none" w:pos="1942"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 xml:space="preserve">Administrative Services Fee. </w:t>
      </w:r>
      <w:r>
        <w:rPr>
          <w:rFonts w:ascii="Arial" w:cs="Arial" w:eastAsia="Arial" w:hAnsi="Arial"/>
          <w:sz w:val="18"/>
          <w:szCs w:val="18"/>
          <w:color w:val="auto"/>
        </w:rPr>
        <w:t>The Administrative Services Fee shall be payable in quarterly installments on the last day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fiscal quarter, without invoice, beginning on the last day of the first fiscal quarter of PAGP ending after the date of this Agreement (prorated to account for any partial quarterly period).</w:t>
      </w:r>
    </w:p>
    <w:p>
      <w:pPr>
        <w:spacing w:after="0" w:line="181"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 xml:space="preserve">Expense Reimbursement Fee and other Costs. </w:t>
      </w:r>
      <w:r>
        <w:rPr>
          <w:rFonts w:ascii="Arial" w:cs="Arial" w:eastAsia="Arial" w:hAnsi="Arial"/>
          <w:sz w:val="18"/>
          <w:szCs w:val="18"/>
          <w:color w:val="auto"/>
        </w:rPr>
        <w:t>AAP shall reimburse GP LLC within five (5) days after receipt of an invoice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support for any Expense Reimbursement Fee.</w:t>
      </w:r>
    </w:p>
    <w:p>
      <w:pPr>
        <w:spacing w:after="0" w:line="16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color w:val="auto"/>
        </w:rPr>
        <w:t>2.4 Dispute Regarding Services or Calculation of Costs</w:t>
      </w:r>
      <w:r>
        <w:rPr>
          <w:rFonts w:ascii="Arial" w:cs="Arial" w:eastAsia="Arial" w:hAnsi="Arial"/>
          <w:sz w:val="17"/>
          <w:szCs w:val="17"/>
          <w:color w:val="auto"/>
        </w:rPr>
        <w:t>. Should there be a dispute over the nature or quality of the GP LLC Services, the</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 of any Administrative Services Fee, the calculation of any Expense Reimbursement Fee, or the calculation of any other fee, reimbursement or allocation hereunder, GP LLC and AAP, on behalf of the applicable PAGP Entity or Entities, shall first attempt to resolve such dispute, acting diligently and in good faith, using the past practices of such Parties and documentary evidence of costs as guidelines for such resolution. If GP LLC and AAP, on behalf of the applicable PAGP Entity or Entities, are unable to resolve any such dispute within thirty days, or such additional time as may be reasonable under the circumstances, unless the Parties agree to an alternative dispute resolution process, the dispute shall be referred to the applicable Conflicts Committees of PAA and PAGP for resolution. The Parties agree that the applicable Conflicts Committee shall have the authority to settle any such dispute, in its sole discretion, recognizing that it is the intent of all Parties that the dispute be resolved on a fair and reasonable basis.</w:t>
      </w:r>
    </w:p>
    <w:p>
      <w:pPr>
        <w:spacing w:after="0" w:line="17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2.5 Disputes; Default</w:t>
      </w:r>
      <w:r>
        <w:rPr>
          <w:rFonts w:ascii="Arial" w:cs="Arial" w:eastAsia="Arial" w:hAnsi="Arial"/>
          <w:sz w:val="18"/>
          <w:szCs w:val="18"/>
          <w:color w:val="auto"/>
        </w:rPr>
        <w:t>. Notwithstanding any provision of this Article 2 to the contrary, should AAP fail to pay GP LLC, when due,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owing in respect of the applicable GP LLC Services, including both the Administrative Services Fee and the Expense Reimbursement Fee, except as set forth in the last sentence of this Section 2.5, upon 30 days’ notice, GP LLC may terminate this Article 2 as to those GP LLC Services that relate to the unpaid portion of the invoice. Should there be a dispute as to the propriety of invoiced amounts, AAP shall pay all undisputed amounts on each invoice, but shall be entitled to withhold payment of any amount in dispute and shall promptly notify GP LLC of such disputed amount. GP LLC shall promptly provide AAP with records relating to the disputed amount so as to enable GP</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LLC and AAP to resolve the dispute. So long as such Parties are attempting in good faith to resolve the dispute, GP LLC shall not be entitled to terminate the GP LLC Services that relate to the disputed amount.</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2.6 Representations Regarding Use of Services</w:t>
      </w:r>
      <w:r>
        <w:rPr>
          <w:rFonts w:ascii="Arial" w:cs="Arial" w:eastAsia="Arial" w:hAnsi="Arial"/>
          <w:sz w:val="17"/>
          <w:szCs w:val="17"/>
          <w:color w:val="auto"/>
        </w:rPr>
        <w:t>. The PAGP Entities represent and agree that they will use the GP LLC Services only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all applicable federal, state and local laws and regulations, and in accordance with the reasonable conditions, rules, regulations, and specifications that may be set forth in any manuals, materials, documents, or instructions furnished from time to time by GP LLC to such PAGP Entities. GP LLC reserves the right to take all actions, including, without limitation, termination of any portion of the GP LLC Services for any PAGP Entity that it reasonably believes is required to be terminated in order to assure compliance with applicable laws and regulations.</w:t>
      </w:r>
    </w:p>
    <w:p>
      <w:pPr>
        <w:spacing w:after="0" w:line="1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2.7 Warranties; Indemnification and Limitation of Liability. </w:t>
      </w:r>
      <w:r>
        <w:rPr>
          <w:rFonts w:ascii="Arial" w:cs="Arial" w:eastAsia="Arial" w:hAnsi="Arial"/>
          <w:sz w:val="17"/>
          <w:szCs w:val="17"/>
          <w:color w:val="auto"/>
        </w:rPr>
        <w:t>GP LLC MAKES NO (AND HEREBY DISCLAIMS AND NEGATES ANY</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WARRANTIES OR REPRESENTATIONS WHATSOEVER, EXPRESS OR IMPLIED, WITH RESPECT TO THE GP LLC SERVICES. The PAGP Entities shall indemnify, defend and hold harmless the GP LLC Group and their respective directors, officers, partners, affiliates, agents or employees (the “</w:t>
      </w:r>
      <w:r>
        <w:rPr>
          <w:rFonts w:ascii="Arial" w:cs="Arial" w:eastAsia="Arial" w:hAnsi="Arial"/>
          <w:sz w:val="17"/>
          <w:szCs w:val="17"/>
          <w:i w:val="1"/>
          <w:iCs w:val="1"/>
          <w:color w:val="auto"/>
        </w:rPr>
        <w:t>Indemnified Persons</w:t>
      </w:r>
      <w:r>
        <w:rPr>
          <w:rFonts w:ascii="Arial" w:cs="Arial" w:eastAsia="Arial" w:hAnsi="Arial"/>
          <w:sz w:val="17"/>
          <w:szCs w:val="17"/>
          <w:color w:val="auto"/>
        </w:rPr>
        <w:t>”) from and against, and the PAGP Entities agree that no Indemnified Person shall have any liability to the PAGP Entities or its owners, parents, affiliates, security holders or creditors for, any losses, claims, damages or liabilities (including actions or proceedings in respect thereof) (collectively, “</w:t>
      </w:r>
      <w:r>
        <w:rPr>
          <w:rFonts w:ascii="Arial" w:cs="Arial" w:eastAsia="Arial" w:hAnsi="Arial"/>
          <w:sz w:val="17"/>
          <w:szCs w:val="17"/>
          <w:i w:val="1"/>
          <w:iCs w:val="1"/>
          <w:color w:val="auto"/>
        </w:rPr>
        <w:t>Losses</w:t>
      </w:r>
      <w:r>
        <w:rPr>
          <w:rFonts w:ascii="Arial" w:cs="Arial" w:eastAsia="Arial" w:hAnsi="Arial"/>
          <w:sz w:val="17"/>
          <w:szCs w:val="17"/>
          <w:color w:val="auto"/>
        </w:rPr>
        <w:t>”) related to or arising out of otherwise related to the GP LLC Services, except that the foregoing indemnity shall not apply to any Losses that are finally determined by a court or arbitral tribunal to have resulted primarily from the gross negligence, bad faith or willful misconduct of such Indemnified Person. IN NO EVENT SHALL THE GP LLC GROUP OR THE INDEMNIFIED PERSONS BE LIABLE TO THE PAGP ENTITIES OR TO ANY OTHER PERSON FOR ANY EXEMPLARY, PUNITIVE, INDIRECT, INCIDENTAL, CONSEQUENTIAL, OR SPECIAL DAMAGES RESULTING FROM THE PERFORMANCE OF THE GP LLC SERVICES.</w:t>
      </w:r>
    </w:p>
    <w:p>
      <w:pPr>
        <w:spacing w:after="0" w:line="178"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b w:val="1"/>
          <w:bCs w:val="1"/>
          <w:color w:val="auto"/>
        </w:rPr>
        <w:t>2.8 Force Majeure</w:t>
      </w:r>
      <w:r>
        <w:rPr>
          <w:rFonts w:ascii="Arial" w:cs="Arial" w:eastAsia="Arial" w:hAnsi="Arial"/>
          <w:sz w:val="18"/>
          <w:szCs w:val="18"/>
          <w:color w:val="auto"/>
        </w:rPr>
        <w:t>. GP LLC shall have no obligation to perform the GP LLC Services if its failure to do so is caused by or results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God, governmental action, natural disaster, strike, failure of essential equipment, or any other cause or circumstance, whether similar or dissimilar to the foregoing causes or circumstances, beyond the reasonable control of GP LLC.</w:t>
      </w:r>
    </w:p>
    <w:p>
      <w:pPr>
        <w:spacing w:after="0" w:line="176"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2.9 Affiliates</w:t>
      </w:r>
      <w:r>
        <w:rPr>
          <w:rFonts w:ascii="Arial" w:cs="Arial" w:eastAsia="Arial" w:hAnsi="Arial"/>
          <w:sz w:val="18"/>
          <w:szCs w:val="18"/>
          <w:color w:val="auto"/>
        </w:rPr>
        <w:t>. At its election, GP LLC may cause one or more of its Affiliates or third party contractors, reasonably acceptable to the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receiving any GP LLC Services, to provide such GP LLC Services;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GP LLC shall remain responsible for the provision of such GP LLC Service in accordance with this Agreement.</w:t>
      </w:r>
    </w:p>
    <w:p>
      <w:pPr>
        <w:sectPr>
          <w:pgSz w:w="11900" w:h="16919" w:orient="portrait"/>
          <w:cols w:equalWidth="0" w:num="1">
            <w:col w:w="11400"/>
          </w:cols>
          <w:pgMar w:left="240" w:top="125" w:right="259" w:bottom="0" w:gutter="0" w:footer="0" w:header="0"/>
        </w:sectPr>
      </w:pPr>
    </w:p>
    <w:bookmarkStart w:id="115" w:name="page116"/>
    <w:bookmarkEnd w:id="115"/>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OPPORTUNITIES</w:t>
      </w:r>
    </w:p>
    <w:p>
      <w:pPr>
        <w:spacing w:after="0" w:line="207" w:lineRule="exact"/>
        <w:rPr>
          <w:sz w:val="20"/>
          <w:szCs w:val="20"/>
          <w:color w:val="auto"/>
        </w:rPr>
      </w:pPr>
    </w:p>
    <w:p>
      <w:pPr>
        <w:jc w:val="both"/>
        <w:ind w:right="320" w:firstLine="648"/>
        <w:spacing w:after="0" w:line="266" w:lineRule="auto"/>
        <w:rPr>
          <w:sz w:val="20"/>
          <w:szCs w:val="20"/>
          <w:color w:val="auto"/>
        </w:rPr>
      </w:pPr>
      <w:r>
        <w:rPr>
          <w:rFonts w:ascii="Arial" w:cs="Arial" w:eastAsia="Arial" w:hAnsi="Arial"/>
          <w:sz w:val="18"/>
          <w:szCs w:val="18"/>
          <w:b w:val="1"/>
          <w:bCs w:val="1"/>
          <w:color w:val="auto"/>
        </w:rPr>
        <w:t>3.1 Business Opportunities</w:t>
      </w:r>
      <w:r>
        <w:rPr>
          <w:rFonts w:ascii="Arial" w:cs="Arial" w:eastAsia="Arial" w:hAnsi="Arial"/>
          <w:sz w:val="18"/>
          <w:szCs w:val="18"/>
          <w:color w:val="auto"/>
        </w:rPr>
        <w:t>. If any of the PAGP Entities or any member of the GP LLC Group is offered a business opportunity by a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or discovers a business opportunity, the PAGP Entity or member of the GP LLC Group that is offered or discovers such business opportunity shall promptly advise GP LLC and present such business opportunity to</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PAA. PAA will have the right to pursue such business opportunity. PAGP will have the right to pursue and/or participate in such business opportunity if invited to do so by PAA, or if PAA abandons the business opportunity and GP LLC so notifies PAGP GP.</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AGREEMENTS</w:t>
      </w:r>
    </w:p>
    <w:p>
      <w:pPr>
        <w:spacing w:after="0" w:line="20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color w:val="auto"/>
        </w:rPr>
        <w:t>4.1 Joint Litigation</w:t>
      </w:r>
      <w:r>
        <w:rPr>
          <w:rFonts w:ascii="Arial" w:cs="Arial" w:eastAsia="Arial" w:hAnsi="Arial"/>
          <w:sz w:val="16"/>
          <w:szCs w:val="16"/>
          <w:color w:val="auto"/>
        </w:rPr>
        <w:t>. In any litigation or proceeding involving one or more members of the PAGP Entities and one or more members of the GP</w:t>
      </w:r>
      <w:r>
        <w:rPr>
          <w:rFonts w:ascii="Arial" w:cs="Arial" w:eastAsia="Arial" w:hAnsi="Arial"/>
          <w:sz w:val="16"/>
          <w:szCs w:val="16"/>
          <w:b w:val="1"/>
          <w:bCs w:val="1"/>
          <w:color w:val="auto"/>
        </w:rPr>
        <w:t xml:space="preserve"> </w:t>
      </w:r>
      <w:r>
        <w:rPr>
          <w:rFonts w:ascii="Arial" w:cs="Arial" w:eastAsia="Arial" w:hAnsi="Arial"/>
          <w:sz w:val="16"/>
          <w:szCs w:val="16"/>
          <w:color w:val="auto"/>
        </w:rPr>
        <w:t>LLC Group, GP LLC shall have primary responsibility for assuming the defense of the related claim(s) and may employ counsel to represent jointly the PAGP Entity or PAGP Entities and the member or members of the GP LLC Group, unless PAGP GP has reasonably concluded, based on the advice of counsel, that (a) there may be a legal defense available to any PAGP Entity that is different from or in addition to those available to the GP LLC Group or</w:t>
      </w:r>
    </w:p>
    <w:p>
      <w:pPr>
        <w:spacing w:after="0" w:line="3" w:lineRule="exact"/>
        <w:rPr>
          <w:sz w:val="20"/>
          <w:szCs w:val="20"/>
          <w:color w:val="auto"/>
        </w:rPr>
      </w:pPr>
    </w:p>
    <w:p>
      <w:pPr>
        <w:ind w:right="20" w:firstLine="8"/>
        <w:spacing w:after="0" w:line="253" w:lineRule="auto"/>
        <w:tabs>
          <w:tab w:leader="none" w:pos="25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joint representation of the PAGP Entity or PAGP Entities and the member or members of the GP LLC Group by the same counsel would present a conflict due to actual or potential differing interests between them. In the event that GP LLC assumes the defense of any claim(s) pursuant to this Section 4.1, GP LLC may not settle or compromise any such claim(s) on behalf of any PAGP Entity without the prior written consent of the applicable PAGP Entity. If GP LLC assumes the defense of any claim(s) pursuant to this Section 4.1, GP LLC shall allocate the cost of such defense between the PAGP Entities and the GP LLC Group on a fair and reasonable basis.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4.2 Grant of License. </w:t>
      </w:r>
      <w:r>
        <w:rPr>
          <w:rFonts w:ascii="Arial" w:cs="Arial" w:eastAsia="Arial" w:hAnsi="Arial"/>
          <w:sz w:val="16"/>
          <w:szCs w:val="16"/>
          <w:color w:val="auto"/>
        </w:rPr>
        <w:t>Upon the terms and conditions set forth in this Section 4.2, PAA hereby grants and conveys to each of the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or hereafter comprising a part of the PAGP Entities, a nontransferable, nonexclusive, royalty free right and license (“</w:t>
      </w:r>
      <w:r>
        <w:rPr>
          <w:rFonts w:ascii="Arial" w:cs="Arial" w:eastAsia="Arial" w:hAnsi="Arial"/>
          <w:sz w:val="16"/>
          <w:szCs w:val="16"/>
          <w:i w:val="1"/>
          <w:iCs w:val="1"/>
          <w:color w:val="auto"/>
        </w:rPr>
        <w:t>License</w:t>
      </w:r>
      <w:r>
        <w:rPr>
          <w:rFonts w:ascii="Arial" w:cs="Arial" w:eastAsia="Arial" w:hAnsi="Arial"/>
          <w:sz w:val="16"/>
          <w:szCs w:val="16"/>
          <w:color w:val="auto"/>
        </w:rPr>
        <w:t>”) to use the names “PAA” and “Plains” (the “</w:t>
      </w:r>
      <w:r>
        <w:rPr>
          <w:rFonts w:ascii="Arial" w:cs="Arial" w:eastAsia="Arial" w:hAnsi="Arial"/>
          <w:sz w:val="16"/>
          <w:szCs w:val="16"/>
          <w:i w:val="1"/>
          <w:iCs w:val="1"/>
          <w:color w:val="auto"/>
        </w:rPr>
        <w:t>Names</w:t>
      </w:r>
      <w:r>
        <w:rPr>
          <w:rFonts w:ascii="Arial" w:cs="Arial" w:eastAsia="Arial" w:hAnsi="Arial"/>
          <w:sz w:val="16"/>
          <w:szCs w:val="16"/>
          <w:color w:val="auto"/>
        </w:rPr>
        <w:t>”) and any associated or related marks (the “</w:t>
      </w:r>
      <w:r>
        <w:rPr>
          <w:rFonts w:ascii="Arial" w:cs="Arial" w:eastAsia="Arial" w:hAnsi="Arial"/>
          <w:sz w:val="16"/>
          <w:szCs w:val="16"/>
          <w:i w:val="1"/>
          <w:iCs w:val="1"/>
          <w:color w:val="auto"/>
        </w:rPr>
        <w:t>Marks</w:t>
      </w:r>
      <w:r>
        <w:rPr>
          <w:rFonts w:ascii="Arial" w:cs="Arial" w:eastAsia="Arial" w:hAnsi="Arial"/>
          <w:sz w:val="16"/>
          <w:szCs w:val="16"/>
          <w:color w:val="auto"/>
        </w:rPr>
        <w:t>”). PAGP agrees that ownership of the Names and the Marks and the goodwill relating thereto shall remain vested in PAA both during the term of this License and thereafter, and PAGP further agrees, and agrees to cause the other PAGP Entities, never to challenge, contest or question the validity of PAA’s ownership of the Names and the Marks or any registration thereto by PAA. In connection with the use of the Names and the Marks, PAGP and any other PAGP Entity shall not in any manner represent that they have any ownership in the Names and the Marks or registration thereof except as set forth herein, and PAGP, on behalf of itself and the other PAGP Entities, acknowledges that the use of the Names and the Marks shall not create any right, title or interest in or to the Names and the Marks, and all use of the Names and the Marks by PAGP or any other PAGP Entity, shall inure to the benefit of PAA. PAGP agrees, and agrees to cause the other PAGP Entities, to use the Names and the Marks in accordance with such quality standards established by PAA and communicated to PAGP from time to time, it being understood that the products and services offered by the PAGP Entities immediately before the date of this Agreement are of a quality that is acceptable to PAA and justify the License. The License shall terminate upon a termination of this Agreement pursuant to Section 5.14.</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5.1 Choice of Law; Submission to Jurisdiction</w:t>
      </w:r>
      <w:r>
        <w:rPr>
          <w:rFonts w:ascii="Arial" w:cs="Arial" w:eastAsia="Arial" w:hAnsi="Arial"/>
          <w:sz w:val="18"/>
          <w:szCs w:val="18"/>
          <w:color w:val="auto"/>
        </w:rPr>
        <w:t>. This Agreement shall be subject to and governed by the laws of the State of Texas.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hereby submits to the exclusive jurisdiction of the state and federal courts in the State of Texas and to exclusive venue in Houston, Harris County, Texas.</w:t>
      </w:r>
    </w:p>
    <w:p>
      <w:pPr>
        <w:spacing w:after="0" w:line="176"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b w:val="1"/>
          <w:bCs w:val="1"/>
          <w:color w:val="auto"/>
        </w:rPr>
        <w:t>5.2 Notices</w:t>
      </w:r>
      <w:r>
        <w:rPr>
          <w:rFonts w:ascii="Arial" w:cs="Arial" w:eastAsia="Arial" w:hAnsi="Arial"/>
          <w:sz w:val="17"/>
          <w:szCs w:val="17"/>
          <w:color w:val="auto"/>
        </w:rPr>
        <w:t>. All notices or requests or consents provided for or permitted to be given pursuant to this Agreement must be in writing and must</w:t>
      </w:r>
      <w:r>
        <w:rPr>
          <w:rFonts w:ascii="Arial" w:cs="Arial" w:eastAsia="Arial" w:hAnsi="Arial"/>
          <w:sz w:val="17"/>
          <w:szCs w:val="17"/>
          <w:b w:val="1"/>
          <w:bCs w:val="1"/>
          <w:color w:val="auto"/>
        </w:rPr>
        <w:t xml:space="preserve"> </w:t>
      </w:r>
      <w:r>
        <w:rPr>
          <w:rFonts w:ascii="Arial" w:cs="Arial" w:eastAsia="Arial" w:hAnsi="Arial"/>
          <w:sz w:val="17"/>
          <w:szCs w:val="17"/>
          <w:color w:val="auto"/>
        </w:rPr>
        <w:t>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by notice given in the manner provided in this Section 5.2.</w:t>
      </w:r>
    </w:p>
    <w:p>
      <w:pPr>
        <w:spacing w:after="0" w:line="172"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color w:val="auto"/>
        </w:rPr>
        <w:t>5.3 Entire Agreement; Supersedure</w:t>
      </w:r>
      <w:r>
        <w:rPr>
          <w:rFonts w:ascii="Arial" w:cs="Arial" w:eastAsia="Arial" w:hAnsi="Arial"/>
          <w:sz w:val="17"/>
          <w:szCs w:val="17"/>
          <w:color w:val="auto"/>
        </w:rPr>
        <w:t>. This Agreement constitutes the entire agreement of the Parties relating to the matters contained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superseding all prior contracts or agreements among the Parties, whether oral or written, relating to the matters contained herein.</w:t>
      </w:r>
    </w:p>
    <w:p>
      <w:pPr>
        <w:spacing w:after="0" w:line="138"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5.4 Effect of Waiver of Consent</w:t>
      </w:r>
      <w:r>
        <w:rPr>
          <w:rFonts w:ascii="Arial" w:cs="Arial" w:eastAsia="Arial" w:hAnsi="Arial"/>
          <w:sz w:val="18"/>
          <w:szCs w:val="18"/>
          <w:color w:val="auto"/>
        </w:rPr>
        <w:t>. No Party’s express or implied waiver of, or consent to, any breach or default by any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 Party in default, irrespective of how long such failure continues, shall not constitute a waiver by such Party of its rights hereunder until the applicable statute of limitations period has run.</w:t>
      </w:r>
    </w:p>
    <w:p>
      <w:pPr>
        <w:spacing w:after="0" w:line="18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5.5 Amendment or Modification</w:t>
      </w:r>
      <w:r>
        <w:rPr>
          <w:rFonts w:ascii="Arial" w:cs="Arial" w:eastAsia="Arial" w:hAnsi="Arial"/>
          <w:sz w:val="18"/>
          <w:szCs w:val="18"/>
          <w:color w:val="auto"/>
        </w:rPr>
        <w:t>. This Agreement may be amended or modified from time to time only by the agreement of all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affected by any such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PAGP and PAA may not, without the prior approval of its Conflicts Committee, agree to any amendment or modification of this Agreement that, in the reasonable discretion of PAGP GP or PAA GP, as applicable, will materially and adversely affect the holders of equity interests of PAGP or PAA, as applicable.</w:t>
      </w:r>
    </w:p>
    <w:p>
      <w:pPr>
        <w:spacing w:after="0" w:line="180"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5.6 Assignment</w:t>
      </w:r>
      <w:r>
        <w:rPr>
          <w:rFonts w:ascii="Arial" w:cs="Arial" w:eastAsia="Arial" w:hAnsi="Arial"/>
          <w:sz w:val="18"/>
          <w:szCs w:val="18"/>
          <w:color w:val="auto"/>
        </w:rPr>
        <w:t>. No Party shall have the right to assign or delegate its rights or obligations under this Agreement without the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w:t>
      </w:r>
    </w:p>
    <w:p>
      <w:pPr>
        <w:sectPr>
          <w:pgSz w:w="11900" w:h="16933" w:orient="portrait"/>
          <w:cols w:equalWidth="0" w:num="1">
            <w:col w:w="11400"/>
          </w:cols>
          <w:pgMar w:left="240" w:top="337" w:right="259" w:bottom="0" w:gutter="0" w:footer="0" w:header="0"/>
        </w:sectPr>
      </w:pPr>
    </w:p>
    <w:bookmarkStart w:id="116" w:name="page117"/>
    <w:bookmarkEnd w:id="116"/>
    <w:p>
      <w:pPr>
        <w:ind w:right="200" w:firstLine="648"/>
        <w:spacing w:after="0" w:line="282" w:lineRule="auto"/>
        <w:rPr>
          <w:sz w:val="20"/>
          <w:szCs w:val="20"/>
          <w:color w:val="auto"/>
        </w:rPr>
      </w:pPr>
      <w:r>
        <w:rPr>
          <w:rFonts w:ascii="Arial" w:cs="Arial" w:eastAsia="Arial" w:hAnsi="Arial"/>
          <w:sz w:val="18"/>
          <w:szCs w:val="18"/>
          <w:b w:val="1"/>
          <w:bCs w:val="1"/>
          <w:color w:val="auto"/>
        </w:rPr>
        <w:t>5.7 Counterparts</w:t>
      </w:r>
      <w:r>
        <w:rPr>
          <w:rFonts w:ascii="Arial" w:cs="Arial" w:eastAsia="Arial" w:hAnsi="Arial"/>
          <w:sz w:val="18"/>
          <w:szCs w:val="18"/>
          <w:color w:val="auto"/>
        </w:rPr>
        <w:t>. This Agreement may be executed in any number of counterparts with the same effect as if all Parties had signed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All counterparts shall be construed together and shall constitute one and the same instrument.</w:t>
      </w:r>
    </w:p>
    <w:p>
      <w:pPr>
        <w:spacing w:after="0" w:line="162" w:lineRule="exact"/>
        <w:rPr>
          <w:sz w:val="20"/>
          <w:szCs w:val="20"/>
          <w:color w:val="auto"/>
        </w:rPr>
      </w:pPr>
    </w:p>
    <w:p>
      <w:pPr>
        <w:ind w:right="920" w:firstLine="648"/>
        <w:spacing w:after="0" w:line="282" w:lineRule="auto"/>
        <w:rPr>
          <w:sz w:val="20"/>
          <w:szCs w:val="20"/>
          <w:color w:val="auto"/>
        </w:rPr>
      </w:pPr>
      <w:r>
        <w:rPr>
          <w:rFonts w:ascii="Arial" w:cs="Arial" w:eastAsia="Arial" w:hAnsi="Arial"/>
          <w:sz w:val="18"/>
          <w:szCs w:val="18"/>
          <w:b w:val="1"/>
          <w:bCs w:val="1"/>
          <w:color w:val="auto"/>
        </w:rPr>
        <w:t>5.8 Severability</w:t>
      </w:r>
      <w:r>
        <w:rPr>
          <w:rFonts w:ascii="Arial" w:cs="Arial" w:eastAsia="Arial" w:hAnsi="Arial"/>
          <w:sz w:val="18"/>
          <w:szCs w:val="18"/>
          <w:color w:val="auto"/>
        </w:rPr>
        <w:t>. If any provision of this Agreement or the application thereof to any Party or circumstance shall be held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to any extent, the remainder of this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Agreement and the application of such provision to other Parties or circumstances shall not be affected thereby and shall be enforced to the greatest extent permitted by law.</w:t>
      </w:r>
    </w:p>
    <w:p>
      <w:pPr>
        <w:spacing w:after="0" w:line="166"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5.9 Further Assurances</w:t>
      </w:r>
      <w:r>
        <w:rPr>
          <w:rFonts w:ascii="Arial" w:cs="Arial" w:eastAsia="Arial" w:hAnsi="Arial"/>
          <w:sz w:val="18"/>
          <w:szCs w:val="18"/>
          <w:color w:val="auto"/>
        </w:rPr>
        <w:t>. In connection with this Agreement and all transactions contemplated by this Agreement, each Party hereto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176" w:lineRule="exact"/>
        <w:rPr>
          <w:sz w:val="20"/>
          <w:szCs w:val="20"/>
          <w:color w:val="auto"/>
        </w:rPr>
      </w:pPr>
    </w:p>
    <w:p>
      <w:pPr>
        <w:jc w:val="both"/>
        <w:ind w:right="80" w:firstLine="648"/>
        <w:spacing w:after="0" w:line="314" w:lineRule="auto"/>
        <w:rPr>
          <w:sz w:val="20"/>
          <w:szCs w:val="20"/>
          <w:color w:val="auto"/>
        </w:rPr>
      </w:pPr>
      <w:r>
        <w:rPr>
          <w:rFonts w:ascii="Arial" w:cs="Arial" w:eastAsia="Arial" w:hAnsi="Arial"/>
          <w:sz w:val="16"/>
          <w:szCs w:val="16"/>
          <w:b w:val="1"/>
          <w:bCs w:val="1"/>
          <w:color w:val="auto"/>
        </w:rPr>
        <w:t>5.10 Withholding or Granting of Consent</w:t>
      </w:r>
      <w:r>
        <w:rPr>
          <w:rFonts w:ascii="Arial" w:cs="Arial" w:eastAsia="Arial" w:hAnsi="Arial"/>
          <w:sz w:val="16"/>
          <w:szCs w:val="16"/>
          <w:color w:val="auto"/>
        </w:rPr>
        <w:t>. Unless the consent or approval of a Party is expressly required not to be unreasonably withheld (or</w:t>
      </w:r>
      <w:r>
        <w:rPr>
          <w:rFonts w:ascii="Arial" w:cs="Arial" w:eastAsia="Arial" w:hAnsi="Arial"/>
          <w:sz w:val="16"/>
          <w:szCs w:val="16"/>
          <w:b w:val="1"/>
          <w:bCs w:val="1"/>
          <w:color w:val="auto"/>
        </w:rPr>
        <w:t xml:space="preserve"> </w:t>
      </w:r>
      <w:r>
        <w:rPr>
          <w:rFonts w:ascii="Arial" w:cs="Arial" w:eastAsia="Arial" w:hAnsi="Arial"/>
          <w:sz w:val="16"/>
          <w:szCs w:val="16"/>
          <w:color w:val="auto"/>
        </w:rPr>
        <w:t>words to similar effect), 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spacing w:after="0" w:line="14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5.11 U.S. Currency</w:t>
      </w:r>
      <w:r>
        <w:rPr>
          <w:rFonts w:ascii="Arial" w:cs="Arial" w:eastAsia="Arial" w:hAnsi="Arial"/>
          <w:sz w:val="18"/>
          <w:szCs w:val="18"/>
          <w:color w:val="auto"/>
        </w:rPr>
        <w:t>. All sums and amounts payable or to be payable pursuant to the provisions of this Agreement shall be payable in coin or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of the United States of America that, at the time of payment, is legal tender for the payment of public and private debts in the United States of America.</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5.12 Laws and Regulations</w:t>
      </w:r>
      <w:r>
        <w:rPr>
          <w:rFonts w:ascii="Arial" w:cs="Arial" w:eastAsia="Arial" w:hAnsi="Arial"/>
          <w:sz w:val="18"/>
          <w:szCs w:val="18"/>
          <w:color w:val="auto"/>
        </w:rPr>
        <w:t>. Notwithstanding any provision of this Agreement to the contrary, no Party hereto shall be required to take 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or fail to take any act, under this Agreement if the effect thereof would be to cause such Party to be in violation of any applicable law, statute, rule or regulation.</w:t>
      </w:r>
    </w:p>
    <w:p>
      <w:pPr>
        <w:spacing w:after="0" w:line="17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5.13 Negation of Rights of Third Parties</w:t>
      </w:r>
      <w:r>
        <w:rPr>
          <w:rFonts w:ascii="Arial" w:cs="Arial" w:eastAsia="Arial" w:hAnsi="Arial"/>
          <w:sz w:val="18"/>
          <w:szCs w:val="18"/>
          <w:color w:val="auto"/>
        </w:rPr>
        <w:t>. The provisions of this Agreement are enforceable solely by the Parties, and no limited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PAGP or PAA or other Person shall have the right to enforce any provision of this Agreement or to compel any Party to comply with the terms of this Agreement.</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5.14 Termination. </w:t>
      </w:r>
      <w:r>
        <w:rPr>
          <w:rFonts w:ascii="Arial" w:cs="Arial" w:eastAsia="Arial" w:hAnsi="Arial"/>
          <w:sz w:val="18"/>
          <w:szCs w:val="18"/>
          <w:color w:val="auto"/>
        </w:rPr>
        <w:t>Notwithstanding any other provision of this Agreement, this Agreement shall remain in full force and effect until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mutual agreement of all Parties hereto.</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 xml:space="preserve">Successors. </w:t>
      </w:r>
      <w:r>
        <w:rPr>
          <w:rFonts w:ascii="Arial" w:cs="Arial" w:eastAsia="Arial" w:hAnsi="Arial"/>
          <w:sz w:val="16"/>
          <w:szCs w:val="16"/>
          <w:color w:val="auto"/>
        </w:rPr>
        <w:t>This Agreement shall bind and inure to the benefit of the Parties and to their respective successors and assigns.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5.16 No Recourse Against Officers or Directors</w:t>
      </w:r>
      <w:r>
        <w:rPr>
          <w:rFonts w:ascii="Arial" w:cs="Arial" w:eastAsia="Arial" w:hAnsi="Arial"/>
          <w:sz w:val="18"/>
          <w:szCs w:val="18"/>
          <w:color w:val="auto"/>
        </w:rPr>
        <w:t>. For the avoidance of doubt, the provisions of this Agreement shall not give rise to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recourse against any officer or director of PAGP, PAGP GP, PAA, AAP, PAA GP or GP LLC.</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5.17 Legal Compliance</w:t>
      </w:r>
      <w:r>
        <w:rPr>
          <w:rFonts w:ascii="Arial" w:cs="Arial" w:eastAsia="Arial" w:hAnsi="Arial"/>
          <w:sz w:val="18"/>
          <w:szCs w:val="18"/>
          <w:color w:val="auto"/>
        </w:rPr>
        <w:t>. The Parties acknowledge and agree that this Agreement, and all services provided under this Agreement, are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any and all laws and legal obligations and that this Agreement should be construed and interpreted with this purpose in mind. In this regard, the Parties specifically agree as follows:</w:t>
      </w:r>
    </w:p>
    <w:p>
      <w:pPr>
        <w:spacing w:after="0" w:line="180" w:lineRule="exact"/>
        <w:rPr>
          <w:sz w:val="20"/>
          <w:szCs w:val="20"/>
          <w:color w:val="auto"/>
        </w:rPr>
      </w:pPr>
    </w:p>
    <w:p>
      <w:pPr>
        <w:ind w:left="1940" w:hanging="635"/>
        <w:spacing w:after="0"/>
        <w:tabs>
          <w:tab w:leader="none" w:pos="19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Parties will comply with all equal employment opportunity requirements and other applicable employment laws. Where a joint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combined action is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required by the law in order to comply with an employment obligation, the Parties will cooperate fully and in good faith to comply with the applicable obligation.</w:t>
      </w:r>
    </w:p>
    <w:p>
      <w:pPr>
        <w:spacing w:after="0" w:line="170" w:lineRule="exact"/>
        <w:rPr>
          <w:sz w:val="20"/>
          <w:szCs w:val="20"/>
          <w:color w:val="auto"/>
        </w:rPr>
      </w:pPr>
    </w:p>
    <w:p>
      <w:pPr>
        <w:ind w:firstLine="1305"/>
        <w:spacing w:after="0" w:line="277" w:lineRule="auto"/>
        <w:tabs>
          <w:tab w:leader="none" w:pos="195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Parties agree that they will adhere to the Fair Labor Standards Act of 1938, as amended, any comparable state law and any law regulating the payment of wages or compensation.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WITNESS WHEREOF, the Parties have caused this Agreement to be duly executed by their respective authorized officers as of the date first above written, to be effective as of the Effective Date.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ectPr>
          <w:pgSz w:w="11900" w:h="16838" w:orient="portrait"/>
          <w:cols w:equalWidth="0" w:num="1">
            <w:col w:w="11420"/>
          </w:cols>
          <w:pgMar w:left="240" w:top="337" w:right="239" w:bottom="121" w:gutter="0" w:footer="0" w:header="0"/>
        </w:sect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180"/>
        <w:spacing w:after="0" w:line="286" w:lineRule="auto"/>
        <w:rPr>
          <w:sz w:val="20"/>
          <w:szCs w:val="20"/>
          <w:color w:val="auto"/>
        </w:rPr>
      </w:pPr>
      <w:r>
        <w:rPr>
          <w:rFonts w:ascii="Arial" w:cs="Arial" w:eastAsia="Arial" w:hAnsi="Arial"/>
          <w:sz w:val="17"/>
          <w:szCs w:val="17"/>
          <w:color w:val="auto"/>
        </w:rPr>
        <w:t>PAA GP HOLDINGS LLC Individually and as General Partner of Plains GP Holdings, L.P.</w:t>
      </w:r>
    </w:p>
    <w:p>
      <w:pPr>
        <w:sectPr>
          <w:pgSz w:w="11900" w:h="16838" w:orient="portrait"/>
          <w:cols w:equalWidth="0" w:num="2">
            <w:col w:w="5980" w:space="500"/>
            <w:col w:w="4940"/>
          </w:cols>
          <w:pgMar w:left="240" w:top="337" w:right="239" w:bottom="121" w:gutter="0" w:footer="0" w:header="0"/>
          <w:type w:val="continuous"/>
        </w:sectPr>
      </w:pPr>
    </w:p>
    <w:bookmarkStart w:id="117" w:name="page118"/>
    <w:bookmarkEnd w:id="117"/>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Address for Notice</w:t>
      </w:r>
      <w:r>
        <w:rPr>
          <w:rFonts w:ascii="Arial" w:cs="Arial" w:eastAsia="Arial" w:hAnsi="Arial"/>
          <w:sz w:val="18"/>
          <w:szCs w:val="18"/>
          <w:b w:val="1"/>
          <w:b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(713) 646-4313</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2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w w:val="98"/>
              </w:rPr>
              <w:t>PLAINS ALL AMERICAN GP LLC</w:t>
            </w:r>
            <w:r>
              <w:rPr>
                <w:rFonts w:ascii="Arial" w:cs="Arial" w:eastAsia="Arial" w:hAnsi="Arial"/>
                <w:sz w:val="18"/>
                <w:szCs w:val="18"/>
                <w:b w:val="1"/>
                <w:bCs w:val="1"/>
                <w:color w:val="auto"/>
                <w:w w:val="98"/>
              </w:rPr>
              <w:t>,</w:t>
            </w:r>
            <w:r>
              <w:rPr>
                <w:rFonts w:ascii="Arial" w:cs="Arial" w:eastAsia="Arial" w:hAnsi="Arial"/>
                <w:sz w:val="18"/>
                <w:szCs w:val="18"/>
                <w:color w:val="auto"/>
                <w:w w:val="98"/>
              </w:rPr>
              <w:t xml:space="preserve"> Individually and as General</w:t>
            </w:r>
          </w:p>
        </w:tc>
      </w:tr>
      <w:tr>
        <w:trPr>
          <w:trHeight w:val="216"/>
        </w:trPr>
        <w:tc>
          <w:tcPr>
            <w:tcW w:w="7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4"/>
              </w:rPr>
              <w:t>Partner of Plains AAP, L.P., the General Partner of PAA GP LLC,</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the General Partner of Plains All American Pipeline, L.P.</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Address for Notice</w:t>
      </w:r>
      <w:r>
        <w:rPr>
          <w:rFonts w:ascii="Arial" w:cs="Arial" w:eastAsia="Arial" w:hAnsi="Arial"/>
          <w:sz w:val="18"/>
          <w:szCs w:val="18"/>
          <w:b w:val="1"/>
          <w:b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(713) 646-4313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Services Fee</w:t>
      </w:r>
      <w:r>
        <w:rPr>
          <w:rFonts w:ascii="Arial" w:cs="Arial" w:eastAsia="Arial" w:hAnsi="Arial"/>
          <w:sz w:val="18"/>
          <w:szCs w:val="18"/>
          <w:color w:val="auto"/>
        </w:rPr>
        <w:t>” shall have the meaning set forth in Section 2.2(a).</w:t>
      </w:r>
    </w:p>
    <w:p>
      <w:pPr>
        <w:spacing w:after="0" w:line="225"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shall mean, with respect to any Person, any other Person that directly or indirectly through one or more intermediaries controls, is controlled by or is under common control with, the Person in question. As used herein, the term “</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mean this Administrative Agreement, as it may be amended, modified, or supplemented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Conflicts Committee</w:t>
      </w:r>
      <w:r>
        <w:rPr>
          <w:rFonts w:ascii="Arial" w:cs="Arial" w:eastAsia="Arial" w:hAnsi="Arial"/>
          <w:sz w:val="18"/>
          <w:szCs w:val="18"/>
          <w:color w:val="auto"/>
        </w:rPr>
        <w:t>” has the definition of such committee in the partnership agreements of PAA and PAGP, as applicable.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CPI Index”</w:t>
      </w:r>
      <w:r>
        <w:rPr>
          <w:rFonts w:ascii="Arial" w:cs="Arial" w:eastAsia="Arial" w:hAnsi="Arial"/>
          <w:sz w:val="18"/>
          <w:szCs w:val="18"/>
          <w:color w:val="auto"/>
        </w:rPr>
        <w:t xml:space="preserve"> shall have the meaning set forth in Section 2.2(a).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Expense Reimbursement Fee”</w:t>
      </w:r>
      <w:r>
        <w:rPr>
          <w:rFonts w:ascii="Arial" w:cs="Arial" w:eastAsia="Arial" w:hAnsi="Arial"/>
          <w:sz w:val="18"/>
          <w:szCs w:val="18"/>
          <w:color w:val="auto"/>
        </w:rPr>
        <w:t xml:space="preserve"> shall have the meaning set forth in Section 2.2(b).</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Franchise Costs</w:t>
      </w:r>
      <w:r>
        <w:rPr>
          <w:rFonts w:ascii="Arial" w:cs="Arial" w:eastAsia="Arial" w:hAnsi="Arial"/>
          <w:sz w:val="18"/>
          <w:szCs w:val="18"/>
          <w:color w:val="auto"/>
        </w:rPr>
        <w:t>,” with respect to any Person, shall mean any costs associated with establishing and maintaining the good standing, business existence and operations of a particular entity, including state franchise or business taxes, preparation costs and filing fees.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 Group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 Services</w:t>
      </w:r>
      <w:r>
        <w:rPr>
          <w:rFonts w:ascii="Arial" w:cs="Arial" w:eastAsia="Arial" w:hAnsi="Arial"/>
          <w:sz w:val="18"/>
          <w:szCs w:val="18"/>
          <w:color w:val="auto"/>
        </w:rPr>
        <w:t>” shall have the meaning set forth in Section 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Persons</w:t>
      </w:r>
      <w:r>
        <w:rPr>
          <w:rFonts w:ascii="Arial" w:cs="Arial" w:eastAsia="Arial" w:hAnsi="Arial"/>
          <w:sz w:val="18"/>
          <w:szCs w:val="18"/>
          <w:color w:val="auto"/>
        </w:rPr>
        <w:t>” shall have the meaning set forth in Section 2.7.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w:t>
      </w:r>
      <w:r>
        <w:rPr>
          <w:rFonts w:ascii="Arial" w:cs="Arial" w:eastAsia="Arial" w:hAnsi="Arial"/>
          <w:sz w:val="18"/>
          <w:szCs w:val="18"/>
          <w:color w:val="auto"/>
        </w:rPr>
        <w:t>” shall have the meaning set forth in Section 4.2.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shall have the meaning set forth in Section 2.7.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Marks</w:t>
      </w:r>
      <w:r>
        <w:rPr>
          <w:rFonts w:ascii="Arial" w:cs="Arial" w:eastAsia="Arial" w:hAnsi="Arial"/>
          <w:sz w:val="18"/>
          <w:szCs w:val="18"/>
          <w:color w:val="auto"/>
        </w:rPr>
        <w:t>” shall have the meaning set forth in Section 4.2.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Names</w:t>
      </w:r>
      <w:r>
        <w:rPr>
          <w:rFonts w:ascii="Arial" w:cs="Arial" w:eastAsia="Arial" w:hAnsi="Arial"/>
          <w:sz w:val="18"/>
          <w:szCs w:val="18"/>
          <w:color w:val="auto"/>
        </w:rPr>
        <w:t>” shall have the meaning set forth in Section 4.2.</w:t>
      </w:r>
    </w:p>
    <w:p>
      <w:pPr>
        <w:sectPr>
          <w:pgSz w:w="11900" w:h="16838" w:orient="portrait"/>
          <w:cols w:equalWidth="0" w:num="1">
            <w:col w:w="11420"/>
          </w:cols>
          <w:pgMar w:left="240" w:top="125" w:right="239" w:bottom="0" w:gutter="0" w:footer="0" w:header="0"/>
        </w:sectPr>
      </w:pPr>
    </w:p>
    <w:bookmarkStart w:id="118" w:name="page119"/>
    <w:bookmarkEnd w:id="118"/>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Entities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PAGP GP</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Party</w:t>
      </w:r>
      <w:r>
        <w:rPr>
          <w:rFonts w:ascii="Arial" w:cs="Arial" w:eastAsia="Arial" w:hAnsi="Arial"/>
          <w:sz w:val="18"/>
          <w:szCs w:val="18"/>
          <w:color w:val="auto"/>
        </w:rPr>
        <w:t>” shall mean any one of the Persons that executes this Agreement.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125" w:right="699" w:bottom="1440" w:gutter="0" w:footer="0" w:header="0"/>
        </w:sectPr>
      </w:pPr>
    </w:p>
    <w:bookmarkStart w:id="119" w:name="page120"/>
    <w:bookmarkEnd w:id="119"/>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OTHER PARTIES SIGNATORY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October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This Contribution Agreement, dated as of October 21, 2013 (this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 is by and among Plains GP Holdings, L.P., a Delaware limited partnership (“</w:t>
      </w:r>
      <w:r>
        <w:rPr>
          <w:rFonts w:ascii="Arial" w:cs="Arial" w:eastAsia="Arial" w:hAnsi="Arial"/>
          <w:sz w:val="17"/>
          <w:szCs w:val="17"/>
          <w:u w:val="single" w:color="auto"/>
          <w:color w:val="auto"/>
        </w:rPr>
        <w:t>PAGP</w:t>
      </w:r>
      <w:r>
        <w:rPr>
          <w:rFonts w:ascii="Arial" w:cs="Arial" w:eastAsia="Arial" w:hAnsi="Arial"/>
          <w:sz w:val="17"/>
          <w:szCs w:val="17"/>
          <w:color w:val="auto"/>
        </w:rPr>
        <w:t>”), PAA GP Holdings LLC, a Delaware limited liability company and the general partner of PAGP (“</w:t>
      </w:r>
      <w:r>
        <w:rPr>
          <w:rFonts w:ascii="Arial" w:cs="Arial" w:eastAsia="Arial" w:hAnsi="Arial"/>
          <w:sz w:val="17"/>
          <w:szCs w:val="17"/>
          <w:u w:val="single" w:color="auto"/>
          <w:color w:val="auto"/>
        </w:rPr>
        <w:t>PAGP GP</w:t>
      </w:r>
      <w:r>
        <w:rPr>
          <w:rFonts w:ascii="Arial" w:cs="Arial" w:eastAsia="Arial" w:hAnsi="Arial"/>
          <w:sz w:val="17"/>
          <w:szCs w:val="17"/>
          <w:color w:val="auto"/>
        </w:rPr>
        <w:t>”), the Persons listed under the heading “Existing Owners” on the signature pages hereto (collectively, the “</w:t>
      </w:r>
      <w:r>
        <w:rPr>
          <w:rFonts w:ascii="Arial" w:cs="Arial" w:eastAsia="Arial" w:hAnsi="Arial"/>
          <w:sz w:val="17"/>
          <w:szCs w:val="17"/>
          <w:u w:val="single" w:color="auto"/>
          <w:color w:val="auto"/>
        </w:rPr>
        <w:t>Existing Owners</w:t>
      </w:r>
      <w:r>
        <w:rPr>
          <w:rFonts w:ascii="Arial" w:cs="Arial" w:eastAsia="Arial" w:hAnsi="Arial"/>
          <w:sz w:val="17"/>
          <w:szCs w:val="17"/>
          <w:color w:val="auto"/>
        </w:rPr>
        <w:t xml:space="preserve">”) and the Persons listed under the heading “EMG Seller Parties” on the signature pages hereto (such EMG Seller Parties, together with any Existing Owner who will receive a cash payment as reflected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Sellers</w:t>
      </w:r>
      <w:r>
        <w:rPr>
          <w:rFonts w:ascii="Arial" w:cs="Arial" w:eastAsia="Arial" w:hAnsi="Arial"/>
          <w:sz w:val="17"/>
          <w:szCs w:val="17"/>
          <w:color w:val="auto"/>
        </w:rPr>
        <w:t>”). The above-named Persons are sometimes referred to in this Contribution Agreement each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herein shall have the meanings assigned to such terms in Article 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Owners collectively own 100% of the Class A Units (the “</w:t>
      </w:r>
      <w:r>
        <w:rPr>
          <w:rFonts w:ascii="Arial" w:cs="Arial" w:eastAsia="Arial" w:hAnsi="Arial"/>
          <w:sz w:val="18"/>
          <w:szCs w:val="18"/>
          <w:u w:val="single" w:color="auto"/>
          <w:color w:val="auto"/>
        </w:rPr>
        <w:t>AAP Units</w:t>
      </w:r>
      <w:r>
        <w:rPr>
          <w:rFonts w:ascii="Arial" w:cs="Arial" w:eastAsia="Arial" w:hAnsi="Arial"/>
          <w:sz w:val="18"/>
          <w:szCs w:val="18"/>
          <w:color w:val="auto"/>
        </w:rPr>
        <w:t>”) in Plains AAP, L.P.,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w:t>
      </w:r>
      <w:r>
        <w:rPr>
          <w:rFonts w:ascii="Arial" w:cs="Arial" w:eastAsia="Arial" w:hAnsi="Arial"/>
          <w:sz w:val="18"/>
          <w:szCs w:val="18"/>
          <w:u w:val="single" w:color="auto"/>
          <w:color w:val="auto"/>
        </w:rPr>
        <w:t>AAP</w:t>
      </w:r>
      <w:r>
        <w:rPr>
          <w:rFonts w:ascii="Arial" w:cs="Arial" w:eastAsia="Arial" w:hAnsi="Arial"/>
          <w:sz w:val="18"/>
          <w:szCs w:val="18"/>
          <w:color w:val="auto"/>
        </w:rPr>
        <w:t>”), and 100% of the membership interests in Plains All American GP LLC, a Delaware limited liability company (“</w:t>
      </w:r>
      <w:r>
        <w:rPr>
          <w:rFonts w:ascii="Arial" w:cs="Arial" w:eastAsia="Arial" w:hAnsi="Arial"/>
          <w:sz w:val="18"/>
          <w:szCs w:val="18"/>
          <w:u w:val="single" w:color="auto"/>
          <w:color w:val="auto"/>
        </w:rPr>
        <w:t>GP LLC</w:t>
      </w:r>
      <w:r>
        <w:rPr>
          <w:rFonts w:ascii="Arial" w:cs="Arial" w:eastAsia="Arial" w:hAnsi="Arial"/>
          <w:sz w:val="18"/>
          <w:szCs w:val="18"/>
          <w:color w:val="auto"/>
        </w:rPr>
        <w:t xml:space="preserve">”) (each as reflected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AAP directly owns all of the incentive distribution rights in Plains All American Pipeline, L.P., a Delaware limited partnership</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PAA</w:t>
      </w:r>
      <w:r>
        <w:rPr>
          <w:rFonts w:ascii="Arial" w:cs="Arial" w:eastAsia="Arial" w:hAnsi="Arial"/>
          <w:sz w:val="16"/>
          <w:szCs w:val="16"/>
          <w:color w:val="auto"/>
        </w:rPr>
        <w:t>”), and 100% of the membership interests in PAA GP LLC, a Delaware limited partnership and direct owner of a 2% general partner interest in PAA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GP</w:t>
      </w:r>
      <w:r>
        <w:rPr>
          <w:rFonts w:ascii="Arial" w:cs="Arial" w:eastAsia="Arial" w:hAnsi="Arial"/>
          <w:sz w:val="18"/>
          <w:szCs w:val="18"/>
          <w:color w:val="auto"/>
        </w:rPr>
        <w:t>”);</w:t>
      </w:r>
    </w:p>
    <w:p>
      <w:pPr>
        <w:spacing w:after="0" w:line="207"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PAA Management, L.P., a Delaware limited partnership (“</w:t>
      </w:r>
      <w:r>
        <w:rPr>
          <w:rFonts w:ascii="Arial" w:cs="Arial" w:eastAsia="Arial" w:hAnsi="Arial"/>
          <w:sz w:val="18"/>
          <w:szCs w:val="18"/>
          <w:u w:val="single" w:color="auto"/>
          <w:color w:val="auto"/>
        </w:rPr>
        <w:t>PAA Management</w:t>
      </w:r>
      <w:r>
        <w:rPr>
          <w:rFonts w:ascii="Arial" w:cs="Arial" w:eastAsia="Arial" w:hAnsi="Arial"/>
          <w:sz w:val="18"/>
          <w:szCs w:val="18"/>
          <w:color w:val="auto"/>
        </w:rPr>
        <w:t>”), formed PAGP GP, pursuant to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Act to act as the general partner of PAGP;</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PAA Management and PAGP GP formed PAGP pursuant to the terms of the Delaware Revised Uniform Limited Partnership Act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facilitating the Offering;</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resolutions adopted by GP LLC (on behalf of itself and in its capacity as the general partner of AAP), the 1%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interest in AAP owned by GP LLC has been converted into AAP Units and a non-economic general partner interest in AAP, and GP LLC has effected a pro rata distribution of such AAP Units it received as a result of such conversion to the Existing Owners;</w:t>
      </w:r>
    </w:p>
    <w:p>
      <w:pPr>
        <w:spacing w:after="0" w:line="17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Owners desire to contribute their membership interests in GP LLC to PAGP GP in exchange for the issuance by PAGP GP</w:t>
      </w:r>
      <w:r>
        <w:rPr>
          <w:rFonts w:ascii="Arial" w:cs="Arial" w:eastAsia="Arial" w:hAnsi="Arial"/>
          <w:sz w:val="18"/>
          <w:szCs w:val="18"/>
          <w:b w:val="1"/>
          <w:bCs w:val="1"/>
          <w:color w:val="auto"/>
        </w:rPr>
        <w:t xml:space="preserve"> </w:t>
      </w:r>
      <w:r>
        <w:rPr>
          <w:rFonts w:ascii="Arial" w:cs="Arial" w:eastAsia="Arial" w:hAnsi="Arial"/>
          <w:sz w:val="18"/>
          <w:szCs w:val="18"/>
          <w:color w:val="auto"/>
        </w:rPr>
        <w:t>of membership interests in PAGP GP (the “</w:t>
      </w:r>
      <w:r>
        <w:rPr>
          <w:rFonts w:ascii="Arial" w:cs="Arial" w:eastAsia="Arial" w:hAnsi="Arial"/>
          <w:sz w:val="18"/>
          <w:szCs w:val="18"/>
          <w:u w:val="single" w:color="auto"/>
          <w:color w:val="auto"/>
        </w:rPr>
        <w:t>GP Units</w:t>
      </w:r>
      <w:r>
        <w:rPr>
          <w:rFonts w:ascii="Arial" w:cs="Arial" w:eastAsia="Arial" w:hAnsi="Arial"/>
          <w:sz w:val="18"/>
          <w:szCs w:val="18"/>
          <w:color w:val="auto"/>
        </w:rPr>
        <w:t>”), whereupon the organizational membership interest of PAA Management in PAGP GP shall be cancelled;</w:t>
      </w:r>
    </w:p>
    <w:p>
      <w:pPr>
        <w:spacing w:after="0" w:line="176" w:lineRule="exact"/>
        <w:rPr>
          <w:sz w:val="20"/>
          <w:szCs w:val="20"/>
          <w:color w:val="auto"/>
        </w:rPr>
      </w:pPr>
    </w:p>
    <w:p>
      <w:pPr>
        <w:ind w:right="40" w:firstLine="702"/>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PAGP GP desires to further contribute all of the membership interests in GP LLC received by it from the Existing Owners to PAGP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the continuation of its non-economic general partner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promptly following its receipt of GP Units from PAGP GP, EMG Investment, LLC will make a distribution of a portion of its AAP</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GP Units to the EMG Seller Parties and the EMG Seller Parties have agreed to be Sellers hereunder;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foregoing contributions, the Existing Owners will be issued PAGP Class B Shares as reflected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contributions noted above and as part of the Offering and in exchange for the Consideration, the Sellers desire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transfer to PAGP the interests set forth for such Party in the columns “AAP Units Sold” and “GP Units Sold,” in each case as reflected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Transferred Assets</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mutual covenants, representations, warranties and agreements herein contained, the Parties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set forth below in this ARTICLE I shall have the meanings ascribed to them below:</w:t>
      </w:r>
    </w:p>
    <w:p>
      <w:pPr>
        <w:sectPr>
          <w:pgSz w:w="11900" w:h="16874" w:orient="portrait"/>
          <w:cols w:equalWidth="0" w:num="1">
            <w:col w:w="11420"/>
          </w:cols>
          <w:pgMar w:left="240" w:top="121" w:right="239" w:bottom="0" w:gutter="0" w:footer="0" w:header="0"/>
        </w:sectPr>
      </w:pPr>
    </w:p>
    <w:bookmarkStart w:id="120" w:name="page121"/>
    <w:bookmarkEnd w:id="1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AAP</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AAP Partnership Agreement</w:t>
      </w:r>
      <w:r>
        <w:rPr>
          <w:rFonts w:ascii="Arial" w:cs="Arial" w:eastAsia="Arial" w:hAnsi="Arial"/>
          <w:sz w:val="18"/>
          <w:szCs w:val="18"/>
          <w:color w:val="auto"/>
        </w:rPr>
        <w:t>” has the meaning set forth in Section 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AAP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transactions contemplated pursuant to this Contribution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immediately prior to the closing of the Offering pursuant to the Underwriting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Owners</w:t>
      </w:r>
      <w:r>
        <w:rPr>
          <w:rFonts w:ascii="Arial" w:cs="Arial" w:eastAsia="Arial" w:hAnsi="Arial"/>
          <w:sz w:val="18"/>
          <w:szCs w:val="18"/>
          <w:color w:val="auto"/>
        </w:rPr>
        <w:t>” has the meaning set forth in the introductory paragraph.</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(i) the United States of America, (ii) any state, province, county, municipality or other governmental subdivision within the United States of America, and (iii) any court or any governmental department, commission, board, bureau, agency or other instrumentality of the United States of America, or of any state, province, county, municipality or other governmental subdivision within the United States of America.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 Agreement</w:t>
      </w:r>
      <w:r>
        <w:rPr>
          <w:rFonts w:ascii="Arial" w:cs="Arial" w:eastAsia="Arial" w:hAnsi="Arial"/>
          <w:sz w:val="18"/>
          <w:szCs w:val="18"/>
          <w:color w:val="auto"/>
        </w:rPr>
        <w:t>” has the meaning set forth in Section 5.3.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the initial public offering of the Class A Shares contemplated by the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Proceeds</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Oxy</w:t>
      </w:r>
      <w:r>
        <w:rPr>
          <w:rFonts w:ascii="Arial" w:cs="Arial" w:eastAsia="Arial" w:hAnsi="Arial"/>
          <w:sz w:val="18"/>
          <w:szCs w:val="18"/>
          <w:color w:val="auto"/>
        </w:rPr>
        <w:t>” has the meaning set forth in Section 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GP</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Management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PAGP</w:t>
      </w:r>
      <w:r>
        <w:rPr>
          <w:rFonts w:ascii="Arial" w:cs="Arial" w:eastAsia="Arial" w:hAnsi="Arial"/>
          <w:sz w:val="18"/>
          <w:szCs w:val="18"/>
          <w:color w:val="auto"/>
        </w:rPr>
        <w:t>” has the meaning set forth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PAGP Class B Shares</w:t>
      </w:r>
      <w:r>
        <w:rPr>
          <w:rFonts w:ascii="Arial" w:cs="Arial" w:eastAsia="Arial" w:hAnsi="Arial"/>
          <w:sz w:val="18"/>
          <w:szCs w:val="18"/>
          <w:color w:val="auto"/>
        </w:rPr>
        <w:t>” means the Class B Shares of PAGP, representing limited partner interests in PAGP.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PAGP GP</w:t>
      </w:r>
      <w:r>
        <w:rPr>
          <w:rFonts w:ascii="Arial" w:cs="Arial" w:eastAsia="Arial" w:hAnsi="Arial"/>
          <w:sz w:val="18"/>
          <w:szCs w:val="18"/>
          <w:color w:val="auto"/>
        </w:rPr>
        <w:t>” has the meaning set forth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 or Parties</w:t>
      </w:r>
      <w:r>
        <w:rPr>
          <w:rFonts w:ascii="Arial" w:cs="Arial" w:eastAsia="Arial" w:hAnsi="Arial"/>
          <w:sz w:val="18"/>
          <w:szCs w:val="18"/>
          <w:color w:val="auto"/>
        </w:rPr>
        <w:t>” has the meaning set forth in the introductory paragraph.</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means PAGP’s Registration Statement on Form S-1 filed with the Commission (Registration No. 333-190227),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introductory paragraph.</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w:t>
      </w:r>
      <w:r>
        <w:rPr>
          <w:rFonts w:ascii="Arial" w:cs="Arial" w:eastAsia="Arial" w:hAnsi="Arial"/>
          <w:sz w:val="18"/>
          <w:szCs w:val="18"/>
          <w:color w:val="auto"/>
        </w:rPr>
        <w:t>” means the underwriting discounts and commissions payable by PAGP to the underwriters in connection with the Offering, including in respect of the Option.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Underwriters</w:t>
      </w:r>
      <w:r>
        <w:rPr>
          <w:rFonts w:ascii="Arial" w:cs="Arial" w:eastAsia="Arial" w:hAnsi="Arial"/>
          <w:sz w:val="18"/>
          <w:szCs w:val="18"/>
          <w:color w:val="auto"/>
        </w:rPr>
        <w:t>” means those underwriters listed in the Underwriting 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means that certain Underwriting Agreement among Barclays Capital Inc., as representative of the Underwriters, PAGP GP and PAGP dated as of October 15, 2013.</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532"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AND DISTRIBUTION TRANSACTIONS</w:t>
      </w:r>
    </w:p>
    <w:p>
      <w:pPr>
        <w:spacing w:after="0" w:line="20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u w:val="single" w:color="auto"/>
          <w:color w:val="auto"/>
        </w:rPr>
        <w:t>Section 2.1 Contribution by the Existing Owners of Interests in GP LLC to PAGP GP and PAGP</w:t>
      </w:r>
      <w:r>
        <w:rPr>
          <w:rFonts w:ascii="Arial" w:cs="Arial" w:eastAsia="Arial" w:hAnsi="Arial"/>
          <w:sz w:val="18"/>
          <w:szCs w:val="18"/>
          <w:color w:val="auto"/>
        </w:rPr>
        <w:t>. Each of the Existing Owners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grants, contributes, bargains, assigns, transfers, sets over and delivers to PAGP GP, its successors and assigns, for its and their own use forever, the membership interests in GP LLC of such Existing Owner set forth for such Party in the column “Pre-Closing Percentage Ownership of GP LLC”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exchange for the receipt of the membership interests in PAGP GP set forth for such Party in the column titled “GP Units Received” on </w:t>
      </w:r>
      <w:r>
        <w:rPr>
          <w:rFonts w:ascii="Arial" w:cs="Arial" w:eastAsia="Arial" w:hAnsi="Arial"/>
          <w:sz w:val="18"/>
          <w:szCs w:val="18"/>
          <w:u w:val="single" w:color="auto"/>
          <w:color w:val="auto"/>
        </w:rPr>
        <w:t>Exhibit A</w:t>
      </w:r>
      <w:r>
        <w:rPr>
          <w:rFonts w:ascii="Arial" w:cs="Arial" w:eastAsia="Arial" w:hAnsi="Arial"/>
          <w:sz w:val="18"/>
          <w:szCs w:val="18"/>
          <w:color w:val="auto"/>
        </w:rPr>
        <w:t>. In connection with such contribution, PAA Management hereby agrees to the cancellation of its initial formation interest in PAGP GP. Immediately following such contribution, PAGP GP hereby contributes all of such membership interests in GP LLC to PAGP in exchange for the continuation of its non-economic general partner interest in PAGP.</w:t>
      </w:r>
    </w:p>
    <w:p>
      <w:pPr>
        <w:spacing w:after="0" w:line="189"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u w:val="single" w:color="auto"/>
          <w:color w:val="auto"/>
        </w:rPr>
        <w:t>Section 2.2 Receipt of PAGP Class B Shares</w:t>
      </w:r>
      <w:r>
        <w:rPr>
          <w:rFonts w:ascii="Arial" w:cs="Arial" w:eastAsia="Arial" w:hAnsi="Arial"/>
          <w:sz w:val="18"/>
          <w:szCs w:val="18"/>
          <w:color w:val="auto"/>
        </w:rPr>
        <w:t>. As a result of the contributions by the General Partner described in Section 2.1,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closing of the Offering, PAGP will issue the total number of PAGP Class B Shares set forth at the bottom of the column “PAGP Class B Shares Received”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PAGP GP. Immediately following such issuance, PAGP GP will distribute to each Existing Owner the number of PAGP Class B Shares set forth for such Party in the column “PAGP Class B Shares Received”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0"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u w:val="single" w:color="auto"/>
          <w:color w:val="auto"/>
        </w:rPr>
        <w:t>Section 2.3 Sale of Interests in PAGP GP and AAP</w:t>
      </w:r>
      <w:r>
        <w:rPr>
          <w:rFonts w:ascii="Arial" w:cs="Arial" w:eastAsia="Arial" w:hAnsi="Arial"/>
          <w:sz w:val="16"/>
          <w:szCs w:val="16"/>
          <w:color w:val="auto"/>
        </w:rPr>
        <w:t>. Each Seller hereby grants, contributes, bargains, assigns, sells, transfers, sets over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delivers to PAGP, its successors and assigns, for its and their own use forever, the Transferred Assets owned by such Seller. In exchange for such transfer, each Seller shall in connection with the closing of the Offering receive a cash payment from PAGP in the amount set forth for such Party in the column “Cash Payment”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Consideration</w:t>
      </w:r>
      <w:r>
        <w:rPr>
          <w:rFonts w:ascii="Arial" w:cs="Arial" w:eastAsia="Arial" w:hAnsi="Arial"/>
          <w:sz w:val="16"/>
          <w:szCs w:val="16"/>
          <w:color w:val="auto"/>
        </w:rPr>
        <w:t>”). Each Seller and PAGP shall, upon consummation of the transactions contemplated by this Section 2.3, execute and deliver to each other a cross-receipt acknowledging receipt of the consideration to which such party is entitled pursuant to this Section 2.3.</w:t>
      </w:r>
    </w:p>
    <w:p>
      <w:pPr>
        <w:spacing w:after="0" w:line="15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u w:val="single" w:color="auto"/>
          <w:color w:val="auto"/>
        </w:rPr>
        <w:t>Section 2.4 Resulting Ownership Interests</w:t>
      </w:r>
      <w:r>
        <w:rPr>
          <w:rFonts w:ascii="Arial" w:cs="Arial" w:eastAsia="Arial" w:hAnsi="Arial"/>
          <w:sz w:val="18"/>
          <w:szCs w:val="18"/>
          <w:color w:val="auto"/>
        </w:rPr>
        <w:t>. After giving effect to the transactions contemplated by Sections 2.1, 2.2, 2.3 and 2.5,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Owners will collectively own a 78.9% membership interest in PAGP GP and a 78.9% limited partnership interest in AAP, as reflected on an individual basis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PAGP will own a 21.1% membership interest in PAGP GP and a 21.1% limited partnership interest in AAP. Additionally, PAA Management hereby agrees to the cancellation of its initial limited partner interest in PAGP.</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u w:val="single" w:color="auto"/>
          <w:color w:val="auto"/>
        </w:rPr>
        <w:t>Section 2.5 Underwriter’s Cash Contribution</w:t>
      </w:r>
      <w:r>
        <w:rPr>
          <w:rFonts w:ascii="Arial" w:cs="Arial" w:eastAsia="Arial" w:hAnsi="Arial"/>
          <w:sz w:val="18"/>
          <w:szCs w:val="18"/>
          <w:color w:val="auto"/>
        </w:rPr>
        <w:t>. The Parties acknowledge that, contemporaneously with the execution and delivery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Agreement, the Underwriters are, pursuant to the Underwriting Agreement, making a capital contribution to PAGP of $2.816 billion in cash, (or a net capital contribution of $2.73152 billion after deducting the Spread of $84.48 million) in exchange for the issuance by PAGP to the Underwriters of 128,000,000 Class A Shares, representing a 21.1% limited partner interest in PAGP.</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u w:val="single" w:color="auto"/>
          <w:color w:val="auto"/>
        </w:rPr>
        <w:t>Section 2.6 Payment of Transaction Expenses by PAGP</w:t>
      </w:r>
      <w:r>
        <w:rPr>
          <w:rFonts w:ascii="Arial" w:cs="Arial" w:eastAsia="Arial" w:hAnsi="Arial"/>
          <w:sz w:val="18"/>
          <w:szCs w:val="18"/>
          <w:color w:val="auto"/>
        </w:rPr>
        <w:t>. The Parties hereby acknowledge (a) the incurrence by PAGP,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hereby, of transaction expenses in the estimated amount of approximately $5.0 million (exclusive of the Spread), including reimbursement of certain transaction expenses advanced by certain of the Existing Owners, and (b) the payment by PAGP of $2.72652 billion, representing the net proceeds of the Offering after deducting expenses in a manner consistent with this Section 2.6, to the Sellers as contemplated by Section 2.3 above. The Parties further acknowledge that certain of the transaction expenses incurred by PAGP relate to the Offering and other transaction expenses are not directly related to the Offering but relate generally to the formation and restructuring of PAGP, PAGP GP and related entities. In recognition of the foregoing, the Parties agree that</w:t>
      </w:r>
    </w:p>
    <w:p>
      <w:pPr>
        <w:spacing w:after="0" w:line="2" w:lineRule="exact"/>
        <w:rPr>
          <w:sz w:val="20"/>
          <w:szCs w:val="20"/>
          <w:color w:val="auto"/>
        </w:rPr>
      </w:pPr>
    </w:p>
    <w:p>
      <w:pPr>
        <w:ind w:right="140" w:firstLine="8"/>
        <w:spacing w:after="0" w:line="273" w:lineRule="auto"/>
        <w:tabs>
          <w:tab w:leader="none" w:pos="21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the Sellers receiving cash proceeds in connection with the Offering, as reflected on </w:t>
      </w:r>
      <w:r>
        <w:rPr>
          <w:rFonts w:ascii="Arial" w:cs="Arial" w:eastAsia="Arial" w:hAnsi="Arial"/>
          <w:sz w:val="17"/>
          <w:szCs w:val="17"/>
          <w:u w:val="single" w:color="auto"/>
          <w:color w:val="auto"/>
        </w:rPr>
        <w:t>Exhibit A</w:t>
      </w:r>
      <w:r>
        <w:rPr>
          <w:rFonts w:ascii="Arial" w:cs="Arial" w:eastAsia="Arial" w:hAnsi="Arial"/>
          <w:sz w:val="17"/>
          <w:szCs w:val="17"/>
          <w:color w:val="auto"/>
        </w:rPr>
        <w:t>, will bear 75% of the above described estimated transaction expenses, in proportion to their relative receipt of cash proceeds of the Offering and (ii) PAGP will cause AAP to bear the remainder of such transaction expenses (including any expenses that exceed the estimate described above). The residual transaction expenses to be borne by AAP shall be deducted from the distribution payable to the Existing Owners by AAP with respect to the third quarter of 2013.</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u w:val="single" w:color="auto"/>
          <w:color w:val="auto"/>
        </w:rPr>
        <w:t>Section 2.7</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w:t>
      </w:r>
    </w:p>
    <w:p>
      <w:pPr>
        <w:spacing w:after="0" w:line="229" w:lineRule="exact"/>
        <w:rPr>
          <w:sz w:val="20"/>
          <w:szCs w:val="20"/>
          <w:color w:val="auto"/>
        </w:rPr>
      </w:pPr>
    </w:p>
    <w:p>
      <w:pPr>
        <w:ind w:right="480" w:firstLine="656"/>
        <w:spacing w:after="0" w:line="264" w:lineRule="auto"/>
        <w:tabs>
          <w:tab w:leader="none" w:pos="1294"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Parties agree to treat the transfer and sale of the Transferred Assets by the Sellers to PAGP in exchange for the Consideration as a taxable sale or exchange. The Parties also agree to report such transfer in accordance with the foregoing sentence for all U.S. federal income and any applicable state and local income or franchise tax purposes.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At Closing, each Seller shall provide to PAGP an executed certificate of non-foreign status described in Treasury Regulation § 1.1445-2(b)</w:t>
      </w:r>
    </w:p>
    <w:p>
      <w:pPr>
        <w:spacing w:after="0" w:line="46" w:lineRule="exact"/>
        <w:rPr>
          <w:rFonts w:ascii="Arial" w:cs="Arial" w:eastAsia="Arial" w:hAnsi="Arial"/>
          <w:sz w:val="16"/>
          <w:szCs w:val="16"/>
          <w:color w:val="auto"/>
        </w:rPr>
      </w:pPr>
    </w:p>
    <w:p>
      <w:pPr>
        <w:ind w:right="180" w:firstLine="8"/>
        <w:spacing w:after="0" w:line="255" w:lineRule="auto"/>
        <w:tabs>
          <w:tab w:leader="none" w:pos="25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(individual form) or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(entity form), as appropriate. With respect to any Seller that fails to provide such certificate, PAGP will withhold pursuant to Section 1445 of the Internal Revenue Code cash in an amount equal to 10% of the Consideration delivered to such Seller.</w:t>
      </w:r>
    </w:p>
    <w:p>
      <w:pPr>
        <w:spacing w:after="0" w:line="190" w:lineRule="exact"/>
        <w:rPr>
          <w:rFonts w:ascii="Arial" w:cs="Arial" w:eastAsia="Arial" w:hAnsi="Arial"/>
          <w:sz w:val="18"/>
          <w:szCs w:val="18"/>
          <w:color w:val="auto"/>
        </w:rPr>
      </w:pPr>
    </w:p>
    <w:p>
      <w:pPr>
        <w:ind w:right="240" w:firstLine="656"/>
        <w:spacing w:after="0" w:line="277" w:lineRule="auto"/>
        <w:tabs>
          <w:tab w:leader="none" w:pos="130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Parties agree that the allocations of taxable income of AAP for the 2013 tax year shall be made in a manner that reflects the rights of the Sellers and PAGP to cash distributions as reflected in Section 4.2 of the AAP Partnership Agreement.</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u w:val="single" w:color="auto"/>
          <w:color w:val="auto"/>
        </w:rPr>
        <w:t>Section 2.8 Nature of Existing Owners’ and Sellers’ Obligations and Rights</w:t>
      </w:r>
      <w:r>
        <w:rPr>
          <w:rFonts w:ascii="Arial" w:cs="Arial" w:eastAsia="Arial" w:hAnsi="Arial"/>
          <w:sz w:val="16"/>
          <w:szCs w:val="16"/>
          <w:color w:val="auto"/>
        </w:rPr>
        <w:t>. The respective obligations of each Existing Owner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Seller under this Contribution Agreement are several and not joint with the obligations of any other Existing Owner and Seller, and no Existing Owner or Seller shall be responsible in any way for the performance of the obligations of any other Existing Owner or Seller under this Contribution Agreement. The failure or waiver of performance under this Contribution Agreement by any Existing Owner or Seller, or on its behalf, does not excuse performance by any other Existing Owner or Seller. Nothing contained herein, no transactions contemplated hereby, and no action taken by any Existing Owner or Seller pursuant hereto, shall be deemed to constitute the Existing Owners and/or the Sellers as a partnership, an association, a joint venture or any other kind of entity, or create a presumption that the Existing Owners or the Sellers are in any way acting in concert or as a group with respect to such obligations or the transactions contemplated hereby. Each Existing Owner and each Seller shall be entitled to independently protect and enforce its rights, and 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shall not be necessary for any other Existing Owner or Seller to be joined as an additional party in any proceeding for such purpose.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TRANSACTIONS</w:t>
      </w:r>
    </w:p>
    <w:p>
      <w:pPr>
        <w:spacing w:after="0" w:line="207"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Section 3.1 Over-Allotment Option</w:t>
      </w:r>
      <w:r>
        <w:rPr>
          <w:rFonts w:ascii="Arial" w:cs="Arial" w:eastAsia="Arial" w:hAnsi="Arial"/>
          <w:sz w:val="17"/>
          <w:szCs w:val="17"/>
          <w:color w:val="auto"/>
        </w:rPr>
        <w:t>. The Parties agree that in the event the option granted by PAGP to the Underwriters in the Underwriting</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purchase additional Class A Shares is exercised in whole or in part by the Underwriters (the “</w:t>
      </w:r>
      <w:r>
        <w:rPr>
          <w:rFonts w:ascii="Arial" w:cs="Arial" w:eastAsia="Arial" w:hAnsi="Arial"/>
          <w:sz w:val="17"/>
          <w:szCs w:val="17"/>
          <w:u w:val="single" w:color="auto"/>
          <w:color w:val="auto"/>
        </w:rPr>
        <w:t>Option</w:t>
      </w:r>
      <w:r>
        <w:rPr>
          <w:rFonts w:ascii="Arial" w:cs="Arial" w:eastAsia="Arial" w:hAnsi="Arial"/>
          <w:sz w:val="17"/>
          <w:szCs w:val="17"/>
          <w:color w:val="auto"/>
        </w:rPr>
        <w:t>”), the Underwriters will contribute additional cash to PAGP (the “</w:t>
      </w:r>
      <w:r>
        <w:rPr>
          <w:rFonts w:ascii="Arial" w:cs="Arial" w:eastAsia="Arial" w:hAnsi="Arial"/>
          <w:sz w:val="17"/>
          <w:szCs w:val="17"/>
          <w:u w:val="single" w:color="auto"/>
          <w:color w:val="auto"/>
        </w:rPr>
        <w:t>Option Proceeds</w:t>
      </w:r>
      <w:r>
        <w:rPr>
          <w:rFonts w:ascii="Arial" w:cs="Arial" w:eastAsia="Arial" w:hAnsi="Arial"/>
          <w:sz w:val="17"/>
          <w:szCs w:val="17"/>
          <w:color w:val="auto"/>
        </w:rPr>
        <w:t>”) in exchange for up to an additional 19,200,000 Class A Shares on the basis of the initial public offering price per Class A Share set forth in the Registration Statement, net of the Spread and offering expenses associated with the Option.</w:t>
      </w:r>
    </w:p>
    <w:p>
      <w:pPr>
        <w:spacing w:after="0" w:line="16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u w:val="single" w:color="auto"/>
          <w:color w:val="auto"/>
        </w:rPr>
        <w:t>Section 3.2 Redemption of Class B Shares and AAP Units</w:t>
      </w:r>
      <w:r>
        <w:rPr>
          <w:rFonts w:ascii="Arial" w:cs="Arial" w:eastAsia="Arial" w:hAnsi="Arial"/>
          <w:sz w:val="18"/>
          <w:szCs w:val="18"/>
          <w:color w:val="auto"/>
        </w:rPr>
        <w:t>. The Parties agree, that if the Option is exercised in whole or in part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(a) PAGP will redeem from Oxy Holding Company (Pipeline), Inc. (“</w:t>
      </w:r>
      <w:r>
        <w:rPr>
          <w:rFonts w:ascii="Arial" w:cs="Arial" w:eastAsia="Arial" w:hAnsi="Arial"/>
          <w:sz w:val="18"/>
          <w:szCs w:val="18"/>
          <w:u w:val="single" w:color="auto"/>
          <w:color w:val="auto"/>
        </w:rPr>
        <w:t>Oxy</w:t>
      </w:r>
      <w:r>
        <w:rPr>
          <w:rFonts w:ascii="Arial" w:cs="Arial" w:eastAsia="Arial" w:hAnsi="Arial"/>
          <w:sz w:val="18"/>
          <w:szCs w:val="18"/>
          <w:color w:val="auto"/>
        </w:rPr>
        <w:t>”) a number of PAGP Class B Shares, and purchase from Oxy a corresponding number of AAP Units, equal to the number of Class A Shares purchased by the Underwriters pursuant to the Option for a price equal to the product of (i) the initial public offering price per Class A Share set forth in the Registration Statement, less the Spread and (ii) the number of AAP Units being purchased by PAGP, less the total amount of offering expenses associated with the Option, and (b) Oxy will contribute to PAGP a number of GP Units that equals the number of PAGP Class B Shares redeemed.</w:t>
      </w:r>
    </w:p>
    <w:p>
      <w:pPr>
        <w:spacing w:after="0" w:line="18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REPRESENTATIONS AND WARRANTIES OF THE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EXISTING OWNERS AND THE SELLERS</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Each Existing Owner and each Seller, severally and not jointly, hereby represents and warrants to PAGP with respect to itself, as of the date hereof, as follows:</w:t>
      </w:r>
    </w:p>
    <w:p>
      <w:pPr>
        <w:spacing w:after="0" w:line="170" w:lineRule="exact"/>
        <w:rPr>
          <w:sz w:val="20"/>
          <w:szCs w:val="20"/>
          <w:color w:val="auto"/>
        </w:rPr>
      </w:pPr>
    </w:p>
    <w:p>
      <w:pPr>
        <w:ind w:right="260" w:firstLine="656"/>
        <w:spacing w:after="0" w:line="259" w:lineRule="auto"/>
        <w:tabs>
          <w:tab w:leader="none" w:pos="129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Such Party is an individual or has been duly incorporated or formed and is validly existing in good standing under the laws of its state of incorporation or formation, with all individual, corporate or partnership power and authority necessary to own or hold each such Party’s properties and conduct the businesses in which each such Party is engaged and, to execute and deliver this Contribution Agreement and to consummate the transactions contemplated hereby.</w:t>
      </w:r>
    </w:p>
    <w:p>
      <w:pPr>
        <w:spacing w:after="0" w:line="186" w:lineRule="exact"/>
        <w:rPr>
          <w:rFonts w:ascii="Arial" w:cs="Arial" w:eastAsia="Arial" w:hAnsi="Arial"/>
          <w:sz w:val="18"/>
          <w:szCs w:val="18"/>
          <w:color w:val="auto"/>
        </w:rPr>
      </w:pPr>
    </w:p>
    <w:p>
      <w:pPr>
        <w:jc w:val="both"/>
        <w:ind w:right="380" w:firstLine="656"/>
        <w:spacing w:after="0" w:line="264" w:lineRule="auto"/>
        <w:tabs>
          <w:tab w:leader="none" w:pos="130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Such Party owns the “Pre-Closing Percentage Ownership of AAP Units,” “Pre-Closing Percentage Ownership of GP LLC,” “GP Units Received,” “AAP Units Sold” and “GP Units Sold” set forth opposite such Party’s name in the columns so titled on </w:t>
      </w:r>
      <w:r>
        <w:rPr>
          <w:rFonts w:ascii="Arial" w:cs="Arial" w:eastAsia="Arial" w:hAnsi="Arial"/>
          <w:sz w:val="18"/>
          <w:szCs w:val="18"/>
          <w:u w:val="single" w:color="auto"/>
          <w:color w:val="auto"/>
        </w:rPr>
        <w:t>Exhibit A</w:t>
      </w:r>
      <w:r>
        <w:rPr>
          <w:rFonts w:ascii="Arial" w:cs="Arial" w:eastAsia="Arial" w:hAnsi="Arial"/>
          <w:sz w:val="18"/>
          <w:szCs w:val="18"/>
          <w:color w:val="auto"/>
        </w:rPr>
        <w:t>, free and clear of all liens, encumbrances, security interests, equities, charges or claims.</w:t>
      </w:r>
    </w:p>
    <w:p>
      <w:pPr>
        <w:spacing w:after="0" w:line="181" w:lineRule="exact"/>
        <w:rPr>
          <w:rFonts w:ascii="Arial" w:cs="Arial" w:eastAsia="Arial" w:hAnsi="Arial"/>
          <w:sz w:val="18"/>
          <w:szCs w:val="18"/>
          <w:color w:val="auto"/>
        </w:rPr>
      </w:pPr>
    </w:p>
    <w:p>
      <w:pPr>
        <w:ind w:right="380" w:firstLine="656"/>
        <w:spacing w:after="0" w:line="264" w:lineRule="auto"/>
        <w:tabs>
          <w:tab w:leader="none" w:pos="130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All individual, corporate or partnership action required to be taken by such Party or any of its securityholders for the authorization, execution and delivery of this Contribution Agreement and the consummation of the transactions contemplated by this Contribution Agreement has been validly taken.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3" w:lineRule="auto"/>
        <w:tabs>
          <w:tab w:leader="none" w:pos="130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None of the (i) the execution, delivery and performance of this Contribution Agreement by such Party, or (ii) consummation of the transactions contemplated hereby (A) conflicts with or constitutes a violation of the organizational documents of such Party, (B) conflicts with or constitutes a breach or violation of, or a default (or an event that, with notice or lapse of time or both, would constitute such a default) under, any indenture, mortgage, deed of trust, loan agreement, lease or other agreement or instrument to which such Party is a party or by which such Party or any of its respective properties may be bound, (C) violates any statute, law or regulation or any order, judgment, decree or injunction of any Governmental Authority or body having jurisdiction over such Party, or any of its respective properties or assets, or (D) results in the creation or imposition of any lien, charge or encumbrance upon any property or assets of such Party, which conflicts, breaches, violations, defaults or liens, in the case of clauses (B), (C) or (D), would, individually or in the aggregate, materially impair (i) the transactions contemplated by this Contribution Agreement or (ii) the ownership and use by PAGP of the Transferred Assets at or after the Effective Time.</w:t>
      </w:r>
    </w:p>
    <w:p>
      <w:pPr>
        <w:spacing w:after="0" w:line="197" w:lineRule="exact"/>
        <w:rPr>
          <w:rFonts w:ascii="Arial" w:cs="Arial" w:eastAsia="Arial" w:hAnsi="Arial"/>
          <w:sz w:val="18"/>
          <w:szCs w:val="18"/>
          <w:color w:val="auto"/>
        </w:rPr>
      </w:pPr>
    </w:p>
    <w:p>
      <w:pPr>
        <w:ind w:right="80" w:firstLine="656"/>
        <w:spacing w:after="0" w:line="259" w:lineRule="auto"/>
        <w:tabs>
          <w:tab w:leader="none" w:pos="130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(a “</w:t>
      </w:r>
      <w:r>
        <w:rPr>
          <w:rFonts w:ascii="Arial" w:cs="Arial" w:eastAsia="Arial" w:hAnsi="Arial"/>
          <w:sz w:val="18"/>
          <w:szCs w:val="18"/>
          <w:u w:val="single" w:color="auto"/>
          <w:color w:val="auto"/>
        </w:rPr>
        <w:t>consent</w:t>
      </w:r>
      <w:r>
        <w:rPr>
          <w:rFonts w:ascii="Arial" w:cs="Arial" w:eastAsia="Arial" w:hAnsi="Arial"/>
          <w:sz w:val="18"/>
          <w:szCs w:val="18"/>
          <w:color w:val="auto"/>
        </w:rPr>
        <w:t>”) of or with any Governmental Authority or body having jurisdiction over such Party or any of its respective properties is required in connection with (i) the execution, delivery and performance of this Contribution Agreement by such Party, or (ii) the consummation by such Party of the transactions contemplated by this Contribution Agreement, except for such consents that have been obtained.</w:t>
      </w:r>
    </w:p>
    <w:p>
      <w:pPr>
        <w:spacing w:after="0" w:line="1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APPROVALS</w:t>
      </w:r>
    </w:p>
    <w:p>
      <w:pPr>
        <w:spacing w:after="0" w:line="20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u w:val="single" w:color="auto"/>
          <w:color w:val="auto"/>
        </w:rPr>
        <w:t>Section 5.1 Consent to Contribution Agreement Transactions</w:t>
      </w:r>
      <w:r>
        <w:rPr>
          <w:rFonts w:ascii="Arial" w:cs="Arial" w:eastAsia="Arial" w:hAnsi="Arial"/>
          <w:sz w:val="17"/>
          <w:szCs w:val="17"/>
          <w:color w:val="auto"/>
        </w:rPr>
        <w:t>. Each of the Existing Owners and the Sellers, on behalf of themselves, GP</w:t>
      </w:r>
      <w:r>
        <w:rPr>
          <w:rFonts w:ascii="Arial" w:cs="Arial" w:eastAsia="Arial" w:hAnsi="Arial"/>
          <w:sz w:val="17"/>
          <w:szCs w:val="17"/>
          <w:b w:val="1"/>
          <w:bCs w:val="1"/>
          <w:color w:val="auto"/>
        </w:rPr>
        <w:t xml:space="preserve"> </w:t>
      </w:r>
      <w:r>
        <w:rPr>
          <w:rFonts w:ascii="Arial" w:cs="Arial" w:eastAsia="Arial" w:hAnsi="Arial"/>
          <w:sz w:val="17"/>
          <w:szCs w:val="17"/>
          <w:color w:val="auto"/>
        </w:rPr>
        <w:t>LLC and AAP, in their capacity as members of GP LLC and in their capacity as holders of AAP Units, and in GP LLC’s capacity as the general partner of AAP, hereby ratifies, authorizes, approves, confirms and consents to, in all respects, the terms and provisions of, and the transactions contemplated by, this Contribution Agreement. Without limiting the generality of the foregoing, each Party (i) deems the transfers of AAP Units and membership interests in GP LLC and, if applicable the transfers of PAGP Class B Shares, pursuant to Article II or Article III hereof, when consummated in accordance with this Contribution Agreement, to have satisfied all requirements for the effectiveness of such transfers under the AAP Partnership Agreement (including, as in effect prior to the date hereof) and the GP LLC Agreement (including, as in effect prior to the date hereof); and (ii) permanently, irrevocably and unconditionally waives any right or power it might have to prevent, alter, encumber, rescind or nullify any of such transfers, including a waiver of any right of first refusal it may hold pursuant to Section 7.8 of the AAP Partnership Agreement (including, as in effect prior to the date hereof) and/or Section 9.8 of the GP LLC Agreement (including, as in effect prior to the date hereof) with respect to such transfers.</w:t>
      </w:r>
    </w:p>
    <w:p>
      <w:pPr>
        <w:spacing w:after="0" w:line="17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u w:val="single" w:color="auto"/>
          <w:color w:val="auto"/>
        </w:rPr>
        <w:t>Section 5.2 Amendment and Restatement of the Limited Partnership Agreement of AAP</w:t>
      </w:r>
      <w:r>
        <w:rPr>
          <w:rFonts w:ascii="Arial" w:cs="Arial" w:eastAsia="Arial" w:hAnsi="Arial"/>
          <w:sz w:val="18"/>
          <w:szCs w:val="18"/>
          <w:color w:val="auto"/>
        </w:rPr>
        <w:t>. Each of the Existing Owners,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themselves, GP LLC and AAP, in their capacity as members of GP LLC, and in GP LLC’s capacity as the general partner of AAP, hereby ratifies, authorizes, approves, adopts and confirms, in all respects, the terms and</w:t>
      </w:r>
    </w:p>
    <w:p>
      <w:pPr>
        <w:sectPr>
          <w:pgSz w:w="11900" w:h="16838" w:orient="portrait"/>
          <w:cols w:equalWidth="0" w:num="1">
            <w:col w:w="11400"/>
          </w:cols>
          <w:pgMar w:left="240" w:top="125" w:right="25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23" w:name="page124"/>
    <w:bookmarkEnd w:id="123"/>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provisions of the Seventh Amended and Restated Limited Partnership Agreement of AAP,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AAP</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w:t>
      </w:r>
    </w:p>
    <w:p>
      <w:pPr>
        <w:spacing w:after="0" w:line="166"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b w:val="1"/>
          <w:bCs w:val="1"/>
          <w:u w:val="single" w:color="auto"/>
          <w:color w:val="auto"/>
        </w:rPr>
        <w:t>Section 5.3 Amendment and Restatement of the Limited Liability Company Agreement of GP LLC</w:t>
      </w:r>
      <w:r>
        <w:rPr>
          <w:rFonts w:ascii="Arial" w:cs="Arial" w:eastAsia="Arial" w:hAnsi="Arial"/>
          <w:sz w:val="18"/>
          <w:szCs w:val="18"/>
          <w:color w:val="auto"/>
        </w:rPr>
        <w:t>. Each of the Existing Owners,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behalf of themselves and GP LLC, in their capacity as members of GP LLC, hereby ratifies, authorizes, approves, adopts and confirms, in all respects, the terms and provisions of the Sixth Amended and Restated Limited Liability Company Agreement of GP LLC,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GP LLC Agreement</w:t>
      </w:r>
      <w:r>
        <w:rPr>
          <w:rFonts w:ascii="Arial" w:cs="Arial" w:eastAsia="Arial" w:hAnsi="Arial"/>
          <w:sz w:val="18"/>
          <w:szCs w:val="18"/>
          <w:color w:val="auto"/>
        </w:rPr>
        <w:t>”).</w:t>
      </w:r>
    </w:p>
    <w:p>
      <w:pPr>
        <w:spacing w:after="0" w:line="180"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u w:val="single" w:color="auto"/>
          <w:color w:val="auto"/>
        </w:rPr>
        <w:t>Section 5.4 Amendment and Restatement of the Limited Liability Company Agreement of PAGP GP</w:t>
      </w:r>
      <w:r>
        <w:rPr>
          <w:rFonts w:ascii="Arial" w:cs="Arial" w:eastAsia="Arial" w:hAnsi="Arial"/>
          <w:sz w:val="18"/>
          <w:szCs w:val="18"/>
          <w:color w:val="auto"/>
        </w:rPr>
        <w:t>. Each of the Existing Owners,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behalf of themselves and PAGP GP, in their capacity as members of PAGP GP, hereby ratifies, authorizes, approves, adopts and confirms, in all respects, the terms and provisions of the Amended and Restated Limited Liability Company Agreement of PAGP GP, substantially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ASSURANCES</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From time to time after the Effective Time, and without any further consideration, the Parties agree to execute, acknowledge and deliver all such additional deeds, assignments, bills of sale, conveyances, instruments, notices, releases, acquittances and other documents, and will do all such other acts and things, all in accordance with applicable law, as may be necessary or appropriate (a) more fully to assure that the applicable Parties own all of the properties, rights, titles, interests, estates, remedies, powers and privileges granted by this Contribution Agreement, or which are intended to be so granted, or (b) more fully and effectively to vest in the applicable Parties and their respective successors and assigns beneficial and record title to the interests contributed and assigned by this Contribution Agreement or intended so to be, and (c) more fully and effectively to carry out the purposes and intent of this Contribution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TIME</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Notwithstanding anything contained in this Contribution Agreement to the contrary, none of the provisions of ARTICLE II or ARTICLE III of this Contribution Agreement shall be operative or have any effect prior to the Effective Time; immediately following the Effective Time all the provisions of ARTICLE II of this Contribution Agreement shall be effective and operative, without further action by any Party hereto; and to the extent the Option is exercised by the Underwriters, the transactions contemplated by the ARTICLE III shall be effective and operative at the closing of the Option, in accordance with ARTICLE III.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460" w:firstLine="648"/>
        <w:spacing w:after="0" w:line="313" w:lineRule="auto"/>
        <w:rPr>
          <w:sz w:val="20"/>
          <w:szCs w:val="20"/>
          <w:color w:val="auto"/>
        </w:rPr>
      </w:pPr>
      <w:r>
        <w:rPr>
          <w:rFonts w:ascii="Arial" w:cs="Arial" w:eastAsia="Arial" w:hAnsi="Arial"/>
          <w:sz w:val="17"/>
          <w:szCs w:val="17"/>
          <w:b w:val="1"/>
          <w:bCs w:val="1"/>
          <w:u w:val="single" w:color="auto"/>
          <w:color w:val="auto"/>
        </w:rPr>
        <w:t>Section 8.1 Indemnification by the Existing Owners and Sellers</w:t>
      </w:r>
      <w:r>
        <w:rPr>
          <w:rFonts w:ascii="Arial" w:cs="Arial" w:eastAsia="Arial" w:hAnsi="Arial"/>
          <w:sz w:val="17"/>
          <w:szCs w:val="17"/>
          <w:color w:val="auto"/>
        </w:rPr>
        <w:t>. Subject to the other provisions of this ARTICLE VIII, each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Owner and each Seller agrees, severally and not jointly, to indemnify, defend and hold harmless PAGP from and against any losses,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damages, liabilities, claims, demands, causes of action, judgments, settlements, fines, penalties, costs and expenses (including, without limitation, court costs and reasonable attorney’s fees and expert fees) of any and every kind and character (“</w:t>
      </w:r>
      <w:r>
        <w:rPr>
          <w:rFonts w:ascii="Arial" w:cs="Arial" w:eastAsia="Arial" w:hAnsi="Arial"/>
          <w:sz w:val="16"/>
          <w:szCs w:val="16"/>
          <w:u w:val="single" w:color="auto"/>
          <w:color w:val="auto"/>
        </w:rPr>
        <w:t>Losses</w:t>
      </w:r>
      <w:r>
        <w:rPr>
          <w:rFonts w:ascii="Arial" w:cs="Arial" w:eastAsia="Arial" w:hAnsi="Arial"/>
          <w:sz w:val="16"/>
          <w:szCs w:val="16"/>
          <w:color w:val="auto"/>
        </w:rPr>
        <w:t>”), insofar as such Losses arise out of or are based upon:</w:t>
      </w:r>
    </w:p>
    <w:p>
      <w:pPr>
        <w:spacing w:after="0" w:line="124" w:lineRule="exact"/>
        <w:rPr>
          <w:sz w:val="20"/>
          <w:szCs w:val="20"/>
          <w:color w:val="auto"/>
        </w:rPr>
      </w:pPr>
    </w:p>
    <w:p>
      <w:pPr>
        <w:ind w:right="160" w:firstLine="656"/>
        <w:spacing w:after="0" w:line="286" w:lineRule="auto"/>
        <w:tabs>
          <w:tab w:leader="none" w:pos="129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the failure of such Existing Owner or Seller to transfer to PAGP GP and PAGP good and valid title to the equity interests set forth such Existing Owner’s or Seller’s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free and clear of all liens, encumbrances, security interests, equities, charges or claims (other than as may arise or exist under the AAP Partnership Agreement), pursuant to the terms of this Contribution Agreement;</w:t>
      </w:r>
    </w:p>
    <w:p>
      <w:pPr>
        <w:spacing w:after="0" w:line="165" w:lineRule="exact"/>
        <w:rPr>
          <w:rFonts w:ascii="Arial" w:cs="Arial" w:eastAsia="Arial" w:hAnsi="Arial"/>
          <w:sz w:val="17"/>
          <w:szCs w:val="17"/>
          <w:color w:val="auto"/>
        </w:rPr>
      </w:pPr>
    </w:p>
    <w:p>
      <w:pPr>
        <w:ind w:right="300" w:firstLine="656"/>
        <w:spacing w:after="0" w:line="342" w:lineRule="auto"/>
        <w:tabs>
          <w:tab w:leader="none" w:pos="130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failure of such Existing Owner or Seller to have as of the Closing any consent or approval of a Governmental Authority necessary to allow the transfer by such Existing Owner or Seller of its portion of the membership interest in GP LLC or the Transferred Assets, as applicable; and</w:t>
      </w:r>
    </w:p>
    <w:p>
      <w:pPr>
        <w:spacing w:after="0" w:line="123" w:lineRule="exact"/>
        <w:rPr>
          <w:rFonts w:ascii="Arial" w:cs="Arial" w:eastAsia="Arial" w:hAnsi="Arial"/>
          <w:sz w:val="16"/>
          <w:szCs w:val="16"/>
          <w:color w:val="auto"/>
        </w:rPr>
      </w:pPr>
    </w:p>
    <w:p>
      <w:pPr>
        <w:ind w:right="60" w:firstLine="656"/>
        <w:spacing w:after="0" w:line="264" w:lineRule="auto"/>
        <w:tabs>
          <w:tab w:leader="none" w:pos="130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federal, state and local income tax liabilities attributable to the Transferred Assets allocable to such Existing Owner or Seller prior to the Closing, including any such income tax liabilities of any Seller that may result from the consummation of the transactions contemplated by this Contribution Agreement.</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u w:val="single" w:color="auto"/>
          <w:color w:val="auto"/>
        </w:rPr>
        <w:t>Section 8.2</w:t>
      </w:r>
      <w:r>
        <w:rPr>
          <w:sz w:val="20"/>
          <w:szCs w:val="20"/>
          <w:color w:val="auto"/>
        </w:rPr>
        <w:tab/>
      </w:r>
      <w:r>
        <w:rPr>
          <w:rFonts w:ascii="Arial" w:cs="Arial" w:eastAsia="Arial" w:hAnsi="Arial"/>
          <w:sz w:val="16"/>
          <w:szCs w:val="16"/>
          <w:b w:val="1"/>
          <w:bCs w:val="1"/>
          <w:u w:val="single" w:color="auto"/>
          <w:color w:val="auto"/>
        </w:rPr>
        <w:t>Indemnification Procedure</w:t>
      </w:r>
      <w:r>
        <w:rPr>
          <w:rFonts w:ascii="Arial" w:cs="Arial" w:eastAsia="Arial" w:hAnsi="Arial"/>
          <w:sz w:val="16"/>
          <w:szCs w:val="16"/>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As used in this Section 8.2, the term “Indemnifying Party” refers to the Existing Owners; and the term “Indemnified Party” refers to PAGP.</w:t>
      </w:r>
    </w:p>
    <w:p>
      <w:pPr>
        <w:spacing w:after="0" w:line="248" w:lineRule="exact"/>
        <w:rPr>
          <w:rFonts w:ascii="Arial" w:cs="Arial" w:eastAsia="Arial" w:hAnsi="Arial"/>
          <w:sz w:val="16"/>
          <w:szCs w:val="16"/>
          <w:color w:val="auto"/>
        </w:rPr>
      </w:pPr>
    </w:p>
    <w:p>
      <w:pPr>
        <w:ind w:right="220" w:firstLine="656"/>
        <w:spacing w:after="0" w:line="264" w:lineRule="auto"/>
        <w:tabs>
          <w:tab w:leader="none" w:pos="130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Indemnified Party agrees that within a reasonable period of time after it becomes aware of facts giving rise to a claim for indemnification under this ARTICLE VIII, it will provide notice thereof in writing to the Indemnifying Party, specifying the nature of and specific basis for such claim.</w:t>
      </w:r>
    </w:p>
    <w:p>
      <w:pPr>
        <w:spacing w:after="0" w:line="181" w:lineRule="exact"/>
        <w:rPr>
          <w:rFonts w:ascii="Arial" w:cs="Arial" w:eastAsia="Arial" w:hAnsi="Arial"/>
          <w:sz w:val="18"/>
          <w:szCs w:val="18"/>
          <w:color w:val="auto"/>
        </w:rPr>
      </w:pPr>
    </w:p>
    <w:p>
      <w:pPr>
        <w:ind w:firstLine="656"/>
        <w:spacing w:after="0" w:line="297" w:lineRule="auto"/>
        <w:tabs>
          <w:tab w:leader="none" w:pos="130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The Indemnifying Party shall have the right to control, at its sole cost and expense, all aspects of the defense of (and any counterclaims with respect to) any claims brought against the Indemnified Party that are covered by the indemnification under this ARTICLE VIII, including, without limitation, the selection of counsel, determination of whether to appeal any decision of any Governmental Authority and the settling of any such matter or any issues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settlement shall be entered into without the consent of the Indemnified Party (which consent shall not be unreasonably withheld) unless it includes a full release of the Indemnified Party from such matter or issues, as the case may be.</w:t>
      </w:r>
    </w:p>
    <w:p>
      <w:pPr>
        <w:spacing w:after="0" w:line="158" w:lineRule="exact"/>
        <w:rPr>
          <w:rFonts w:ascii="Arial" w:cs="Arial" w:eastAsia="Arial" w:hAnsi="Arial"/>
          <w:sz w:val="16"/>
          <w:szCs w:val="16"/>
          <w:color w:val="auto"/>
        </w:rPr>
      </w:pPr>
    </w:p>
    <w:p>
      <w:pPr>
        <w:ind w:right="60" w:firstLine="656"/>
        <w:spacing w:after="0" w:line="312" w:lineRule="auto"/>
        <w:tabs>
          <w:tab w:leader="none" w:pos="130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Indemnified Party agrees to cooperate fully with the Indemnifying Party, with respect to (i) its pursuit of insurance coverage or recoveries with respect to the claims covered by the indemnification under this ARTICLE VIII and (ii) all aspects of the defense of any claims covered by the indemnification under this ARTICLE VIII, including, without limitation, the prompt furnishing to the Indemnifying Party of any correspondence or other</w:t>
      </w:r>
    </w:p>
    <w:p>
      <w:pPr>
        <w:sectPr>
          <w:pgSz w:w="11900" w:h="16912" w:orient="portrait"/>
          <w:cols w:equalWidth="0" w:num="1">
            <w:col w:w="11420"/>
          </w:cols>
          <w:pgMar w:left="240" w:top="584" w:right="239" w:bottom="0" w:gutter="0" w:footer="0" w:header="0"/>
        </w:sectPr>
      </w:pPr>
    </w:p>
    <w:bookmarkStart w:id="124" w:name="page125"/>
    <w:bookmarkEnd w:id="124"/>
    <w:p>
      <w:pPr>
        <w:spacing w:after="0" w:line="1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notice relating thereto that the Indemnified Party may receive, permitting the name of the Indemnified Party to be utilized in connection with such defense, the making available to the Indemnifying Party of any files, records or other information of the Indemnified Party that the Indemnifying Party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considers relevant to such defense and the making available to the Indemnifying Party of any employees of the Indemnified Party; provided, however, that in connection therewith the Indemnifying Party agrees to use reasonable efforts to minimize the impact thereof on the operations of the Indemnified Party and further agrees to maintain the confidentiality of all files, records, and other information furnished by the Indemnified Party pursuant to this Section 8.2. In no event shall the obligation of the Indemnified Party to cooperate with the Indemnifying Party as set forth in the immediately preceding sentence be construed as imposing upon the Indemnified Party an obligation to hire and pay for counsel in connection with the defense of any claims covered by the indemnification set forth in this ARTICLE VIII provided, however, that the Indemnified Party may, at its own option, cost and expense, hire and pay for counsel in connection with any such defense. The Indemnifying Party agrees to keep any such counsel hired by the Indemnified Party informed as to the status of any such defense, but the Indemnifying Party shall have the right to retain sole control over such defense.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00" w:firstLine="648"/>
        <w:spacing w:after="0" w:line="313" w:lineRule="auto"/>
        <w:rPr>
          <w:sz w:val="20"/>
          <w:szCs w:val="20"/>
          <w:color w:val="auto"/>
        </w:rPr>
      </w:pPr>
      <w:r>
        <w:rPr>
          <w:rFonts w:ascii="Arial" w:cs="Arial" w:eastAsia="Arial" w:hAnsi="Arial"/>
          <w:sz w:val="17"/>
          <w:szCs w:val="17"/>
          <w:b w:val="1"/>
          <w:bCs w:val="1"/>
          <w:u w:val="single" w:color="auto"/>
          <w:color w:val="auto"/>
        </w:rPr>
        <w:t>Section 9.1 Order of Completion of Transactions</w:t>
      </w:r>
      <w:r>
        <w:rPr>
          <w:rFonts w:ascii="Arial" w:cs="Arial" w:eastAsia="Arial" w:hAnsi="Arial"/>
          <w:sz w:val="17"/>
          <w:szCs w:val="17"/>
          <w:color w:val="auto"/>
        </w:rPr>
        <w:t>. The transactions provided for in ARTICLE II shall be completed immediately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the Effective Time. The transactions provided for in ARTICLE III shall be completed as reflected therein in connection with the closing of the Option.</w:t>
      </w:r>
    </w:p>
    <w:p>
      <w:pPr>
        <w:spacing w:after="0" w:line="13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b w:val="1"/>
          <w:bCs w:val="1"/>
          <w:u w:val="single" w:color="auto"/>
          <w:color w:val="auto"/>
        </w:rPr>
        <w:t>Section 9.2 Headings; References; Interpretation</w:t>
      </w:r>
      <w:r>
        <w:rPr>
          <w:rFonts w:ascii="Arial" w:cs="Arial" w:eastAsia="Arial" w:hAnsi="Arial"/>
          <w:sz w:val="17"/>
          <w:szCs w:val="17"/>
          <w:color w:val="auto"/>
        </w:rPr>
        <w:t>. All Article and Section headings in this Contribution Agreement are for convenience</w:t>
      </w:r>
      <w:r>
        <w:rPr>
          <w:rFonts w:ascii="Arial" w:cs="Arial" w:eastAsia="Arial" w:hAnsi="Arial"/>
          <w:sz w:val="17"/>
          <w:szCs w:val="17"/>
          <w:b w:val="1"/>
          <w:bCs w:val="1"/>
          <w:color w:val="auto"/>
        </w:rPr>
        <w:t xml:space="preserve"> </w:t>
      </w:r>
      <w:r>
        <w:rPr>
          <w:rFonts w:ascii="Arial" w:cs="Arial" w:eastAsia="Arial" w:hAnsi="Arial"/>
          <w:sz w:val="17"/>
          <w:szCs w:val="17"/>
          <w:color w:val="auto"/>
        </w:rPr>
        <w:t>only and shall not be deemed to control or affect the meaning or construction of any of the provisions hereof. The words “hereof,” “herein” and “hereunder” and words of similar import, when used in this Contribution Agreement, shall refer to this Contribution Agreement as a whole, including, without limitation, all Exhibits attached hereto, and not to any particular provision of this Contribution Agreement. All personal pronouns used in this Contribution Agreement, whether used in the masculine, feminine or neuter gender, shall include all other genders, and the singular shall include the plural and vice versa.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w:t>
      </w:r>
    </w:p>
    <w:p>
      <w:pPr>
        <w:spacing w:after="0" w:line="174"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u w:val="single" w:color="auto"/>
          <w:color w:val="auto"/>
        </w:rPr>
        <w:t>Section 9.3 Successors and Assigns</w:t>
      </w:r>
      <w:r>
        <w:rPr>
          <w:rFonts w:ascii="Arial" w:cs="Arial" w:eastAsia="Arial" w:hAnsi="Arial"/>
          <w:sz w:val="18"/>
          <w:szCs w:val="18"/>
          <w:color w:val="auto"/>
        </w:rPr>
        <w:t>. The Contribution Agreement shall be binding upon and inure to the benefit of the Parties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successors and assigns.</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u w:val="single" w:color="auto"/>
          <w:color w:val="auto"/>
        </w:rPr>
        <w:t>Section 9.4 No Third Party Rights</w:t>
      </w:r>
      <w:r>
        <w:rPr>
          <w:rFonts w:ascii="Arial" w:cs="Arial" w:eastAsia="Arial" w:hAnsi="Arial"/>
          <w:sz w:val="18"/>
          <w:szCs w:val="18"/>
          <w:color w:val="auto"/>
        </w:rPr>
        <w:t>. The provisions of this Contribution Agreement are intended to bind the Parties as to each other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intended to and do not create rights in any other person or confer upon any other person any benefits, rights or remedies and no person is or is intended to be a third party beneficiary of any of the provisions of this Contribution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u w:val="single" w:color="auto"/>
          <w:color w:val="auto"/>
        </w:rPr>
        <w:t>Section 9.5 Counterparts</w:t>
      </w:r>
      <w:r>
        <w:rPr>
          <w:rFonts w:ascii="Arial" w:cs="Arial" w:eastAsia="Arial" w:hAnsi="Arial"/>
          <w:sz w:val="18"/>
          <w:szCs w:val="18"/>
          <w:color w:val="auto"/>
        </w:rPr>
        <w:t>. This Contribution Agreement may be executed in any number of counterparts,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agreement binding on the Parties hereto.</w:t>
      </w:r>
    </w:p>
    <w:p>
      <w:pPr>
        <w:spacing w:after="0" w:line="162"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b w:val="1"/>
          <w:bCs w:val="1"/>
          <w:u w:val="single" w:color="auto"/>
          <w:color w:val="auto"/>
        </w:rPr>
        <w:t>Section 9.6 Governing Law</w:t>
      </w:r>
      <w:r>
        <w:rPr>
          <w:rFonts w:ascii="Arial" w:cs="Arial" w:eastAsia="Arial" w:hAnsi="Arial"/>
          <w:sz w:val="17"/>
          <w:szCs w:val="17"/>
          <w:color w:val="auto"/>
        </w:rPr>
        <w:t>. This Contribution Agreement shall be governed by, and construed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Texas applicable to contracts made and to be performed wholly within such state without giving effect to conflict of law principles thereof.</w:t>
      </w:r>
    </w:p>
    <w:p>
      <w:pPr>
        <w:spacing w:after="0" w:line="138"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u w:val="single" w:color="auto"/>
          <w:color w:val="auto"/>
        </w:rPr>
        <w:t>Section 9.7 Severability</w:t>
      </w:r>
      <w:r>
        <w:rPr>
          <w:rFonts w:ascii="Arial" w:cs="Arial" w:eastAsia="Arial" w:hAnsi="Arial"/>
          <w:sz w:val="18"/>
          <w:szCs w:val="18"/>
          <w:color w:val="auto"/>
        </w:rPr>
        <w:t>. If any of the provisions of this Contribution Agreement are held by any court of competent jurisdiction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contravene, or to be invalid under, the laws of any political body having jurisdiction over the subject matter hereof, such contravention or invalidity shall not invalidate the entire Contribution Agreement. Instead, this Contribution Agreement shall be construed as if it did not contain the particular provision or provisions held to be invalid and an equitable adjustment shall be made and necessary provision added so as to give effect to the intention of the Parties as expressed in this Contribution Agreement at the time of execution of this Contribution Agreement.</w:t>
      </w:r>
    </w:p>
    <w:p>
      <w:pPr>
        <w:spacing w:after="0" w:line="184"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u w:val="single" w:color="auto"/>
          <w:color w:val="auto"/>
        </w:rPr>
        <w:t>Section 9.8 Amendment or Modification</w:t>
      </w:r>
      <w:r>
        <w:rPr>
          <w:rFonts w:ascii="Arial" w:cs="Arial" w:eastAsia="Arial" w:hAnsi="Arial"/>
          <w:sz w:val="18"/>
          <w:szCs w:val="18"/>
          <w:color w:val="auto"/>
        </w:rPr>
        <w:t>. This Contribution Agreement may be amended or modified from time to time only by the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all the Parties. Each such instrument shall be reduced to writing and shall be designated on its face as an Amendment to this Contribution Agreement.</w:t>
      </w:r>
    </w:p>
    <w:p>
      <w:pPr>
        <w:spacing w:after="0" w:line="17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u w:val="single" w:color="auto"/>
          <w:color w:val="auto"/>
        </w:rPr>
        <w:t>Section 9.9 Integration</w:t>
      </w:r>
      <w:r>
        <w:rPr>
          <w:rFonts w:ascii="Arial" w:cs="Arial" w:eastAsia="Arial" w:hAnsi="Arial"/>
          <w:sz w:val="18"/>
          <w:szCs w:val="18"/>
          <w:color w:val="auto"/>
        </w:rPr>
        <w:t>. This Contribution Agreement and the instruments referenced herein supersede all previous understandings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among the Parties, whether oral or written, with respect to their subject matter. This Contribution Agreement and such instruments contain the entire understanding of the Parties with respect to the subject matter hereof and thereof. No understanding, representation, promise or agreement, whether oral or written, is intended to be or shall be included in or form part of this Contribution Agreement unless it is contained in a written amendment hereto executed by the parties hereto after the date of this Contribution Agreement.</w:t>
      </w:r>
    </w:p>
    <w:p>
      <w:pPr>
        <w:spacing w:after="0" w:line="184"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u w:val="single" w:color="auto"/>
          <w:color w:val="auto"/>
        </w:rPr>
        <w:t>Section 9.10 Deed; Bill of Sale; Assignment</w:t>
      </w:r>
      <w:r>
        <w:rPr>
          <w:rFonts w:ascii="Arial" w:cs="Arial" w:eastAsia="Arial" w:hAnsi="Arial"/>
          <w:sz w:val="18"/>
          <w:szCs w:val="18"/>
          <w:color w:val="auto"/>
        </w:rPr>
        <w:t>. To the extent required and permitted by applicable law, this Contribution Agreement shall also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“deed,” “bill of sale” or “assignment” of the assets and interests referenced herein.</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u w:val="single" w:color="auto"/>
          <w:color w:val="auto"/>
        </w:rPr>
        <w:t>Section 9.11 EMG Seller Parties</w:t>
      </w:r>
      <w:r>
        <w:rPr>
          <w:rFonts w:ascii="Arial" w:cs="Arial" w:eastAsia="Arial" w:hAnsi="Arial"/>
          <w:sz w:val="17"/>
          <w:szCs w:val="17"/>
          <w:color w:val="auto"/>
        </w:rPr>
        <w:t>. Each of the Persons identified as an EMG Seller Party (collectively, the “</w:t>
      </w:r>
      <w:r>
        <w:rPr>
          <w:rFonts w:ascii="Arial" w:cs="Arial" w:eastAsia="Arial" w:hAnsi="Arial"/>
          <w:sz w:val="17"/>
          <w:szCs w:val="17"/>
          <w:u w:val="single" w:color="auto"/>
          <w:color w:val="auto"/>
        </w:rPr>
        <w:t>EMG Seller Parties</w:t>
      </w:r>
      <w:r>
        <w:rPr>
          <w:rFonts w:ascii="Arial" w:cs="Arial" w:eastAsia="Arial" w:hAnsi="Arial"/>
          <w:sz w:val="17"/>
          <w:szCs w:val="17"/>
          <w:color w:val="auto"/>
        </w:rPr>
        <w:t>”) by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correspondence delivered to PAGP from John T. Raymond, in his capacity as attorney-in-fact for the EMG Seller Parties, have granted John T. Raymond a power-of-attorney with full power and authority to execute and deliver this Contribution Agreement. EMG Investment, LLC or its authorized representative has delivered to PAGP an agreement evidencing such power-of-attorney. EMG Investment, LLC represents and warrants to PAGP that such power-of-attorney remains in full force and effect as of the date hereof. The EMG Seller Parties or their authorized representative have provided PAGP with certain notice, wiring and other information requested by PAGP by separate letter.</w:t>
      </w:r>
    </w:p>
    <w:p>
      <w:pPr>
        <w:sectPr>
          <w:pgSz w:w="11900" w:h="16851" w:orient="portrait"/>
          <w:cols w:equalWidth="0" w:num="1">
            <w:col w:w="11400"/>
          </w:cols>
          <w:pgMar w:left="240" w:top="125" w:right="25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51" w:orient="portrait"/>
          <w:cols w:equalWidth="0" w:num="1">
            <w:col w:w="11400"/>
          </w:cols>
          <w:pgMar w:left="240" w:top="125" w:right="259" w:bottom="0" w:gutter="0" w:footer="0" w:header="0"/>
          <w:type w:val="continuous"/>
        </w:sectPr>
      </w:pPr>
    </w:p>
    <w:bookmarkStart w:id="125" w:name="page126"/>
    <w:bookmarkEnd w:id="125"/>
    <w:p>
      <w:pPr>
        <w:jc w:val="center"/>
        <w:ind w:right="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signature pages follow</w:t>
      </w:r>
      <w:r>
        <w:rPr>
          <w:rFonts w:ascii="Arial" w:cs="Arial" w:eastAsia="Arial" w:hAnsi="Arial"/>
          <w:sz w:val="18"/>
          <w:szCs w:val="18"/>
          <w:b w:val="1"/>
          <w:bCs w:val="1"/>
          <w:color w:val="auto"/>
        </w:rPr>
        <w:t>]</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to this Contribution Agreement have caused it to be duly executed as of the date first above written.</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gridSpan w:val="2"/>
          </w:tcPr>
          <w:p>
            <w:pPr>
              <w:spacing w:after="0"/>
              <w:rPr>
                <w:sz w:val="20"/>
                <w:szCs w:val="20"/>
                <w:color w:val="auto"/>
              </w:rPr>
            </w:pPr>
            <w:r>
              <w:rPr>
                <w:rFonts w:ascii="Arial" w:cs="Arial" w:eastAsia="Arial" w:hAnsi="Arial"/>
                <w:sz w:val="18"/>
                <w:szCs w:val="18"/>
                <w:color w:val="auto"/>
              </w:rPr>
              <w:t>PAA GP HOLDINGS LLC,</w:t>
            </w:r>
          </w:p>
        </w:tc>
      </w:tr>
      <w:tr>
        <w:trPr>
          <w:trHeight w:val="230"/>
        </w:trPr>
        <w:tc>
          <w:tcPr>
            <w:tcW w:w="8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160"/>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8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160"/>
              <w:spacing w:after="0"/>
              <w:rPr>
                <w:sz w:val="20"/>
                <w:szCs w:val="20"/>
                <w:color w:val="auto"/>
              </w:rPr>
            </w:pPr>
            <w:r>
              <w:rPr>
                <w:rFonts w:ascii="Arial" w:cs="Arial" w:eastAsia="Arial" w:hAnsi="Arial"/>
                <w:sz w:val="18"/>
                <w:szCs w:val="18"/>
                <w:color w:val="auto"/>
              </w:rPr>
              <w:t>Executive Vice President,</w:t>
            </w:r>
          </w:p>
        </w:tc>
      </w:tr>
      <w:tr>
        <w:trPr>
          <w:trHeight w:val="230"/>
        </w:trPr>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General Counsel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PAA GP HOLDINGS LLC</w:t>
            </w:r>
          </w:p>
        </w:tc>
      </w:tr>
      <w:tr>
        <w:trPr>
          <w:trHeight w:val="648"/>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8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r>
        <w:trPr>
          <w:trHeight w:val="230"/>
        </w:trPr>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General Counsel and Secretary</w:t>
            </w:r>
          </w:p>
        </w:tc>
      </w:tr>
    </w:tbl>
    <w:p>
      <w:pPr>
        <w:spacing w:after="0" w:line="202"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EXISTING OWNERS: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OXY HOLDING COMPANY (PIPELINE), INC.</w:t>
      </w:r>
    </w:p>
    <w:p>
      <w:pPr>
        <w:spacing w:after="0" w:line="200" w:lineRule="exact"/>
        <w:rPr>
          <w:sz w:val="20"/>
          <w:szCs w:val="20"/>
          <w:color w:val="auto"/>
        </w:rPr>
      </w:pPr>
    </w:p>
    <w:p>
      <w:pPr>
        <w:spacing w:after="0" w:line="24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Todd A. Stevens</w:t>
            </w:r>
          </w:p>
        </w:tc>
      </w:tr>
      <w:tr>
        <w:trPr>
          <w:trHeight w:val="195"/>
        </w:trPr>
        <w:tc>
          <w:tcPr>
            <w:tcW w:w="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60"/>
              <w:spacing w:after="0" w:line="195" w:lineRule="exact"/>
              <w:rPr>
                <w:sz w:val="20"/>
                <w:szCs w:val="20"/>
                <w:color w:val="auto"/>
              </w:rPr>
            </w:pPr>
            <w:r>
              <w:rPr>
                <w:rFonts w:ascii="Arial" w:cs="Arial" w:eastAsia="Arial" w:hAnsi="Arial"/>
                <w:sz w:val="18"/>
                <w:szCs w:val="18"/>
                <w:color w:val="auto"/>
              </w:rPr>
              <w:t>Todd A. Stevens</w:t>
            </w:r>
          </w:p>
        </w:tc>
      </w:tr>
      <w:tr>
        <w:trPr>
          <w:trHeight w:val="230"/>
        </w:trPr>
        <w:tc>
          <w:tcPr>
            <w:tcW w:w="8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EMG INVESTMENT, LLC</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spacing w:after="0"/>
              <w:rPr>
                <w:sz w:val="20"/>
                <w:szCs w:val="20"/>
                <w:color w:val="auto"/>
              </w:rPr>
            </w:pPr>
            <w:r>
              <w:rPr>
                <w:rFonts w:ascii="Arial" w:cs="Arial" w:eastAsia="Arial" w:hAnsi="Arial"/>
                <w:sz w:val="18"/>
                <w:szCs w:val="18"/>
                <w:color w:val="auto"/>
              </w:rPr>
              <w:t>EMG Admin LP, its manager</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spacing w:after="0"/>
              <w:rPr>
                <w:sz w:val="20"/>
                <w:szCs w:val="20"/>
                <w:color w:val="auto"/>
              </w:rPr>
            </w:pPr>
            <w:r>
              <w:rPr>
                <w:rFonts w:ascii="Arial" w:cs="Arial" w:eastAsia="Arial" w:hAnsi="Arial"/>
                <w:sz w:val="18"/>
                <w:szCs w:val="18"/>
                <w:color w:val="auto"/>
              </w:rPr>
              <w:t>EMG Admin, LLC, its general partner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T. Raymond</w:t>
            </w:r>
          </w:p>
        </w:tc>
      </w:tr>
      <w:tr>
        <w:trPr>
          <w:trHeight w:val="195"/>
        </w:trPr>
        <w:tc>
          <w:tcPr>
            <w:tcW w:w="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60"/>
              <w:spacing w:after="0" w:line="195" w:lineRule="exact"/>
              <w:rPr>
                <w:sz w:val="20"/>
                <w:szCs w:val="20"/>
                <w:color w:val="auto"/>
              </w:rPr>
            </w:pPr>
            <w:r>
              <w:rPr>
                <w:rFonts w:ascii="Arial" w:cs="Arial" w:eastAsia="Arial" w:hAnsi="Arial"/>
                <w:sz w:val="18"/>
                <w:szCs w:val="18"/>
                <w:color w:val="auto"/>
              </w:rPr>
              <w:t>John T. Raymond</w:t>
            </w:r>
          </w:p>
        </w:tc>
      </w:tr>
      <w:tr>
        <w:trPr>
          <w:trHeight w:val="230"/>
        </w:trPr>
        <w:tc>
          <w:tcPr>
            <w:tcW w:w="8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KAFU HOLDINGS,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spacing w:after="0"/>
              <w:rPr>
                <w:sz w:val="20"/>
                <w:szCs w:val="20"/>
                <w:color w:val="auto"/>
              </w:rPr>
            </w:pPr>
            <w:r>
              <w:rPr>
                <w:rFonts w:ascii="Arial" w:cs="Arial" w:eastAsia="Arial" w:hAnsi="Arial"/>
                <w:sz w:val="18"/>
                <w:szCs w:val="18"/>
                <w:color w:val="auto"/>
              </w:rPr>
              <w:t>KAFU Holdings, LLC, its general partner</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60"/>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8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General Counsel</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KA FIRST RESERVE XII, LLC</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60"/>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8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General Counsel</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PAA MANAGEMENT,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spacing w:after="0"/>
              <w:rPr>
                <w:sz w:val="20"/>
                <w:szCs w:val="20"/>
                <w:color w:val="auto"/>
              </w:rPr>
            </w:pPr>
            <w:r>
              <w:rPr>
                <w:rFonts w:ascii="Arial" w:cs="Arial" w:eastAsia="Arial" w:hAnsi="Arial"/>
                <w:sz w:val="18"/>
                <w:szCs w:val="18"/>
                <w:color w:val="auto"/>
              </w:rPr>
              <w:t>PAA Management LLC, its general partner</w:t>
            </w:r>
          </w:p>
        </w:tc>
      </w:tr>
    </w:tbl>
    <w:p>
      <w:pPr>
        <w:sectPr>
          <w:pgSz w:w="11900" w:h="16838" w:orient="portrait"/>
          <w:cols w:equalWidth="0" w:num="1">
            <w:col w:w="10760"/>
          </w:cols>
          <w:pgMar w:left="900" w:top="729" w:right="239" w:bottom="0" w:gutter="0" w:footer="0" w:header="0"/>
        </w:sectPr>
      </w:pPr>
    </w:p>
    <w:bookmarkStart w:id="126" w:name="page127"/>
    <w:bookmarkEnd w:id="126"/>
    <w:p>
      <w:pPr>
        <w:spacing w:after="0" w:line="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 Swanson</w:t>
            </w:r>
          </w:p>
        </w:tc>
      </w:tr>
      <w:tr>
        <w:trPr>
          <w:trHeight w:val="195"/>
        </w:trPr>
        <w:tc>
          <w:tcPr>
            <w:tcW w:w="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6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8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Executive Vice President, Treasurer and</w:t>
            </w:r>
          </w:p>
        </w:tc>
      </w:tr>
      <w:tr>
        <w:trPr>
          <w:trHeight w:val="230"/>
        </w:trPr>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Signature Page to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w w:val="96"/>
              </w:rPr>
              <w:t>STROME PAA, L.P.</w:t>
            </w:r>
          </w:p>
        </w:tc>
        <w:tc>
          <w:tcPr>
            <w:tcW w:w="410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spacing w:after="0"/>
              <w:rPr>
                <w:sz w:val="20"/>
                <w:szCs w:val="20"/>
                <w:color w:val="auto"/>
              </w:rPr>
            </w:pPr>
            <w:r>
              <w:rPr>
                <w:rFonts w:ascii="Arial" w:cs="Arial" w:eastAsia="Arial" w:hAnsi="Arial"/>
                <w:sz w:val="18"/>
                <w:szCs w:val="18"/>
                <w:color w:val="auto"/>
              </w:rPr>
              <w:t>Strome Investment Management, LP,</w:t>
            </w:r>
          </w:p>
        </w:tc>
      </w:tr>
      <w:tr>
        <w:trPr>
          <w:trHeight w:val="230"/>
        </w:trPr>
        <w:tc>
          <w:tcPr>
            <w:tcW w:w="84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E Strome</w:t>
            </w:r>
          </w:p>
        </w:tc>
      </w:tr>
      <w:tr>
        <w:trPr>
          <w:trHeight w:val="195"/>
        </w:trPr>
        <w:tc>
          <w:tcPr>
            <w:tcW w:w="84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ind w:left="20"/>
              <w:spacing w:after="0" w:line="195" w:lineRule="exact"/>
              <w:rPr>
                <w:sz w:val="20"/>
                <w:szCs w:val="20"/>
                <w:color w:val="auto"/>
              </w:rPr>
            </w:pPr>
            <w:r>
              <w:rPr>
                <w:rFonts w:ascii="Arial" w:cs="Arial" w:eastAsia="Arial" w:hAnsi="Arial"/>
                <w:sz w:val="18"/>
                <w:szCs w:val="18"/>
                <w:color w:val="auto"/>
              </w:rPr>
              <w:t>Mark E. Strome</w:t>
            </w:r>
          </w:p>
        </w:tc>
      </w:tr>
      <w:tr>
        <w:trPr>
          <w:trHeight w:val="230"/>
        </w:trPr>
        <w:tc>
          <w:tcPr>
            <w:tcW w:w="8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MARK E. STROME LIVING TRUST</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E Strome</w:t>
            </w:r>
          </w:p>
        </w:tc>
      </w:tr>
      <w:tr>
        <w:trPr>
          <w:trHeight w:val="195"/>
        </w:trPr>
        <w:tc>
          <w:tcPr>
            <w:tcW w:w="84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ind w:left="20"/>
              <w:spacing w:after="0" w:line="195" w:lineRule="exact"/>
              <w:rPr>
                <w:sz w:val="20"/>
                <w:szCs w:val="20"/>
                <w:color w:val="auto"/>
              </w:rPr>
            </w:pPr>
            <w:r>
              <w:rPr>
                <w:rFonts w:ascii="Arial" w:cs="Arial" w:eastAsia="Arial" w:hAnsi="Arial"/>
                <w:sz w:val="18"/>
                <w:szCs w:val="18"/>
                <w:color w:val="auto"/>
              </w:rPr>
              <w:t>Mark E. Strome</w:t>
            </w:r>
          </w:p>
        </w:tc>
      </w:tr>
      <w:tr>
        <w:trPr>
          <w:trHeight w:val="230"/>
        </w:trPr>
        <w:tc>
          <w:tcPr>
            <w:tcW w:w="8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20"/>
              <w:spacing w:after="0"/>
              <w:rPr>
                <w:sz w:val="20"/>
                <w:szCs w:val="20"/>
                <w:color w:val="auto"/>
              </w:rPr>
            </w:pPr>
            <w:r>
              <w:rPr>
                <w:rFonts w:ascii="Arial" w:cs="Arial" w:eastAsia="Arial" w:hAnsi="Arial"/>
                <w:sz w:val="18"/>
                <w:szCs w:val="18"/>
                <w:color w:val="auto"/>
              </w:rPr>
              <w:t>Settlor &amp; Trustee</w:t>
            </w:r>
          </w:p>
        </w:tc>
      </w:tr>
      <w:tr>
        <w:trPr>
          <w:trHeight w:val="648"/>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WINDY, L.L.C.</w:t>
            </w:r>
          </w:p>
        </w:tc>
        <w:tc>
          <w:tcPr>
            <w:tcW w:w="4100" w:type="dxa"/>
            <w:vAlign w:val="bottom"/>
          </w:tcPr>
          <w:p>
            <w:pPr>
              <w:spacing w:after="0"/>
              <w:rPr>
                <w:sz w:val="24"/>
                <w:szCs w:val="24"/>
                <w:color w:val="auto"/>
              </w:rPr>
            </w:pP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 David Scott</w:t>
            </w:r>
          </w:p>
        </w:tc>
      </w:tr>
      <w:tr>
        <w:trPr>
          <w:trHeight w:val="195"/>
        </w:trPr>
        <w:tc>
          <w:tcPr>
            <w:tcW w:w="84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ind w:left="20"/>
              <w:spacing w:after="0" w:line="195" w:lineRule="exact"/>
              <w:rPr>
                <w:sz w:val="20"/>
                <w:szCs w:val="20"/>
                <w:color w:val="auto"/>
              </w:rPr>
            </w:pPr>
            <w:r>
              <w:rPr>
                <w:rFonts w:ascii="Arial" w:cs="Arial" w:eastAsia="Arial" w:hAnsi="Arial"/>
                <w:sz w:val="18"/>
                <w:szCs w:val="18"/>
                <w:color w:val="auto"/>
              </w:rPr>
              <w:t>W. David Scott</w:t>
            </w:r>
          </w:p>
        </w:tc>
      </w:tr>
      <w:tr>
        <w:trPr>
          <w:trHeight w:val="230"/>
        </w:trPr>
        <w:tc>
          <w:tcPr>
            <w:tcW w:w="8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20"/>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LYNX HOLDINGS I, LLC</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T. Raymond</w:t>
            </w:r>
          </w:p>
        </w:tc>
      </w:tr>
      <w:tr>
        <w:trPr>
          <w:trHeight w:val="195"/>
        </w:trPr>
        <w:tc>
          <w:tcPr>
            <w:tcW w:w="84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ind w:left="20"/>
              <w:spacing w:after="0" w:line="195" w:lineRule="exact"/>
              <w:rPr>
                <w:sz w:val="20"/>
                <w:szCs w:val="20"/>
                <w:color w:val="auto"/>
              </w:rPr>
            </w:pPr>
            <w:r>
              <w:rPr>
                <w:rFonts w:ascii="Arial" w:cs="Arial" w:eastAsia="Arial" w:hAnsi="Arial"/>
                <w:sz w:val="18"/>
                <w:szCs w:val="18"/>
                <w:color w:val="auto"/>
              </w:rPr>
              <w:t>John T. Raymond</w:t>
            </w:r>
          </w:p>
        </w:tc>
      </w:tr>
      <w:tr>
        <w:trPr>
          <w:trHeight w:val="230"/>
        </w:trPr>
        <w:tc>
          <w:tcPr>
            <w:tcW w:w="8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20"/>
              <w:spacing w:after="0"/>
              <w:rPr>
                <w:sz w:val="20"/>
                <w:szCs w:val="20"/>
                <w:color w:val="auto"/>
              </w:rPr>
            </w:pPr>
            <w:r>
              <w:rPr>
                <w:rFonts w:ascii="Arial" w:cs="Arial" w:eastAsia="Arial" w:hAnsi="Arial"/>
                <w:sz w:val="18"/>
                <w:szCs w:val="18"/>
                <w:color w:val="auto"/>
              </w:rPr>
              <w:t>Sole Member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KAFU HOLDINGS II,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spacing w:after="0"/>
              <w:rPr>
                <w:sz w:val="20"/>
                <w:szCs w:val="20"/>
                <w:color w:val="auto"/>
              </w:rPr>
            </w:pPr>
            <w:r>
              <w:rPr>
                <w:rFonts w:ascii="Arial" w:cs="Arial" w:eastAsia="Arial" w:hAnsi="Arial"/>
                <w:sz w:val="18"/>
                <w:szCs w:val="18"/>
                <w:color w:val="auto"/>
              </w:rPr>
              <w:t>KAFU Holdings, LLC, its general partner</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84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ind w:left="20"/>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8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20"/>
              <w:spacing w:after="0"/>
              <w:rPr>
                <w:sz w:val="20"/>
                <w:szCs w:val="20"/>
                <w:color w:val="auto"/>
              </w:rPr>
            </w:pPr>
            <w:r>
              <w:rPr>
                <w:rFonts w:ascii="Arial" w:cs="Arial" w:eastAsia="Arial" w:hAnsi="Arial"/>
                <w:sz w:val="18"/>
                <w:szCs w:val="18"/>
                <w:color w:val="auto"/>
              </w:rPr>
              <w:t>General Counsel</w:t>
            </w:r>
          </w:p>
        </w:tc>
      </w:tr>
    </w:tbl>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Signature Page to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KAYNE ANDERSON MLP INVESTMENT COMPANY</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60"/>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8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General Counsel</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KAYNE ANDERSON ENERGY DEVELOPMENT COMPANY</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60"/>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8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0220"/>
          </w:cols>
          <w:pgMar w:left="1440" w:top="557" w:right="239" w:bottom="0" w:gutter="0" w:footer="0" w:header="0"/>
        </w:sectPr>
      </w:pPr>
    </w:p>
    <w:bookmarkStart w:id="127" w:name="page128"/>
    <w:bookmarkEnd w:id="127"/>
    <w:p>
      <w:pPr>
        <w:jc w:val="right"/>
        <w:ind w:right="1000"/>
        <w:spacing w:after="0"/>
        <w:rPr>
          <w:sz w:val="20"/>
          <w:szCs w:val="20"/>
          <w:color w:val="auto"/>
        </w:rPr>
      </w:pPr>
      <w:r>
        <w:rPr>
          <w:rFonts w:ascii="Arial" w:cs="Arial" w:eastAsia="Arial" w:hAnsi="Arial"/>
          <w:sz w:val="18"/>
          <w:szCs w:val="18"/>
          <w:b w:val="1"/>
          <w:bCs w:val="1"/>
          <w:color w:val="auto"/>
        </w:rPr>
        <w:t>KAYNE ANDERSON MIDSTREAM/ENERGY FUND, INC.</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Shladovsky</w:t>
            </w:r>
          </w:p>
        </w:tc>
      </w:tr>
      <w:tr>
        <w:trPr>
          <w:trHeight w:val="195"/>
        </w:trPr>
        <w:tc>
          <w:tcPr>
            <w:tcW w:w="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60"/>
              <w:spacing w:after="0" w:line="195" w:lineRule="exact"/>
              <w:rPr>
                <w:sz w:val="20"/>
                <w:szCs w:val="20"/>
                <w:color w:val="auto"/>
              </w:rPr>
            </w:pPr>
            <w:r>
              <w:rPr>
                <w:rFonts w:ascii="Arial" w:cs="Arial" w:eastAsia="Arial" w:hAnsi="Arial"/>
                <w:sz w:val="18"/>
                <w:szCs w:val="18"/>
                <w:color w:val="auto"/>
              </w:rPr>
              <w:t>David Shladovsky</w:t>
            </w:r>
          </w:p>
        </w:tc>
      </w:tr>
      <w:tr>
        <w:trPr>
          <w:trHeight w:val="230"/>
        </w:trPr>
        <w:tc>
          <w:tcPr>
            <w:tcW w:w="8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JAY CHERNOSKY</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Jay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PAUL N. RIDDLE</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Paul N. Riddle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RUSSELL T. CLINGMAN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Russell T. Clingman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DAVID E. HUMPHREYS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E.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Signature Page to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PHILIP J. TRINDER</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 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36188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KIPP PAA TRUST</w:t>
            </w:r>
          </w:p>
        </w:tc>
        <w:tc>
          <w:tcPr>
            <w:tcW w:w="4160" w:type="dxa"/>
            <w:vAlign w:val="bottom"/>
          </w:tcPr>
          <w:p>
            <w:pPr>
              <w:spacing w:after="0"/>
              <w:rPr>
                <w:sz w:val="20"/>
                <w:szCs w:val="20"/>
                <w:color w:val="auto"/>
              </w:rPr>
            </w:pP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Christine Kipp</w:t>
            </w:r>
          </w:p>
        </w:tc>
      </w:tr>
      <w:tr>
        <w:trPr>
          <w:trHeight w:val="195"/>
        </w:trPr>
        <w:tc>
          <w:tcPr>
            <w:tcW w:w="840" w:type="dxa"/>
            <w:vAlign w:val="bottom"/>
          </w:tcPr>
          <w:p>
            <w:pPr>
              <w:spacing w:after="0"/>
              <w:rPr>
                <w:sz w:val="16"/>
                <w:szCs w:val="16"/>
                <w:color w:val="auto"/>
              </w:rPr>
            </w:pPr>
          </w:p>
        </w:tc>
        <w:tc>
          <w:tcPr>
            <w:tcW w:w="70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80"/>
              <w:spacing w:after="0" w:line="195" w:lineRule="exact"/>
              <w:rPr>
                <w:sz w:val="20"/>
                <w:szCs w:val="20"/>
                <w:color w:val="auto"/>
              </w:rPr>
            </w:pPr>
            <w:r>
              <w:rPr>
                <w:rFonts w:ascii="Arial" w:cs="Arial" w:eastAsia="Arial" w:hAnsi="Arial"/>
                <w:sz w:val="18"/>
                <w:szCs w:val="18"/>
                <w:color w:val="auto"/>
              </w:rPr>
              <w:t>Christine Kipp</w:t>
            </w:r>
          </w:p>
        </w:tc>
      </w:tr>
      <w:tr>
        <w:trPr>
          <w:trHeight w:val="230"/>
        </w:trPr>
        <w:tc>
          <w:tcPr>
            <w:tcW w:w="84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80"/>
              <w:spacing w:after="0"/>
              <w:rPr>
                <w:sz w:val="20"/>
                <w:szCs w:val="20"/>
                <w:color w:val="auto"/>
              </w:rPr>
            </w:pPr>
            <w:r>
              <w:rPr>
                <w:rFonts w:ascii="Arial" w:cs="Arial" w:eastAsia="Arial" w:hAnsi="Arial"/>
                <w:sz w:val="18"/>
                <w:szCs w:val="18"/>
                <w:color w:val="auto"/>
              </w:rPr>
              <w:t>Trustee</w:t>
            </w:r>
          </w:p>
        </w:tc>
      </w:tr>
      <w:tr>
        <w:trPr>
          <w:trHeight w:val="608"/>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EMG SELLERS:</w:t>
            </w:r>
          </w:p>
        </w:tc>
        <w:tc>
          <w:tcPr>
            <w:tcW w:w="4160" w:type="dxa"/>
            <w:vAlign w:val="bottom"/>
          </w:tcPr>
          <w:p>
            <w:pPr>
              <w:spacing w:after="0"/>
              <w:rPr>
                <w:sz w:val="24"/>
                <w:szCs w:val="24"/>
                <w:color w:val="auto"/>
              </w:rPr>
            </w:pP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669"/>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EMG SELLER PARTIES</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gridSpan w:val="3"/>
          </w:tcPr>
          <w:p>
            <w:pPr>
              <w:spacing w:after="0"/>
              <w:rPr>
                <w:sz w:val="20"/>
                <w:szCs w:val="20"/>
                <w:color w:val="auto"/>
              </w:rPr>
            </w:pPr>
            <w:r>
              <w:rPr>
                <w:rFonts w:ascii="Arial" w:cs="Arial" w:eastAsia="Arial" w:hAnsi="Arial"/>
                <w:sz w:val="18"/>
                <w:szCs w:val="18"/>
                <w:color w:val="auto"/>
                <w:w w:val="94"/>
              </w:rPr>
              <w:t>John T. Raymond, as attorney-in-fact for each of the EMG Seller</w:t>
            </w:r>
          </w:p>
        </w:tc>
      </w:tr>
      <w:tr>
        <w:trPr>
          <w:trHeight w:val="230"/>
        </w:trPr>
        <w:tc>
          <w:tcPr>
            <w:tcW w:w="84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Parties</w:t>
            </w:r>
          </w:p>
        </w:tc>
        <w:tc>
          <w:tcPr>
            <w:tcW w:w="4160" w:type="dxa"/>
            <w:vAlign w:val="bottom"/>
          </w:tcPr>
          <w:p>
            <w:pPr>
              <w:spacing w:after="0"/>
              <w:rPr>
                <w:sz w:val="20"/>
                <w:szCs w:val="20"/>
                <w:color w:val="auto"/>
              </w:rPr>
            </w:pP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T. Raymond</w:t>
            </w:r>
          </w:p>
        </w:tc>
      </w:tr>
      <w:tr>
        <w:trPr>
          <w:trHeight w:val="224"/>
        </w:trPr>
        <w:tc>
          <w:tcPr>
            <w:tcW w:w="84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Name:</w:t>
            </w:r>
          </w:p>
        </w:tc>
        <w:tc>
          <w:tcPr>
            <w:tcW w:w="4160" w:type="dxa"/>
            <w:vAlign w:val="bottom"/>
          </w:tcPr>
          <w:p>
            <w:pPr>
              <w:ind w:left="80"/>
              <w:spacing w:after="0"/>
              <w:rPr>
                <w:sz w:val="20"/>
                <w:szCs w:val="20"/>
                <w:color w:val="auto"/>
              </w:rPr>
            </w:pPr>
            <w:r>
              <w:rPr>
                <w:rFonts w:ascii="Arial" w:cs="Arial" w:eastAsia="Arial" w:hAnsi="Arial"/>
                <w:sz w:val="18"/>
                <w:szCs w:val="18"/>
                <w:color w:val="auto"/>
              </w:rPr>
              <w:t>John T. Raymond</w:t>
            </w:r>
          </w:p>
        </w:tc>
      </w:tr>
    </w:tbl>
    <w:p>
      <w:pPr>
        <w:spacing w:after="0" w:line="187"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Signature Page to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w:t>
      </w:r>
    </w:p>
    <w:p>
      <w:pPr>
        <w:spacing w:after="0" w:line="20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u w:val="single" w:color="auto"/>
          <w:color w:val="auto"/>
        </w:rPr>
        <w:t>Purpose of the Plan</w:t>
      </w:r>
      <w:r>
        <w:rPr>
          <w:rFonts w:ascii="Arial" w:cs="Arial" w:eastAsia="Arial" w:hAnsi="Arial"/>
          <w:sz w:val="18"/>
          <w:szCs w:val="18"/>
          <w:color w:val="auto"/>
        </w:rPr>
        <w:t>. The Plains GP Holdings, L.P. Long-Term Incentive Plan (the “</w:t>
      </w:r>
      <w:r>
        <w:rPr>
          <w:rFonts w:ascii="Arial" w:cs="Arial" w:eastAsia="Arial" w:hAnsi="Arial"/>
          <w:sz w:val="18"/>
          <w:szCs w:val="18"/>
          <w:b w:val="1"/>
          <w:bCs w:val="1"/>
          <w:i w:val="1"/>
          <w:iCs w:val="1"/>
          <w:u w:val="single" w:color="auto"/>
          <w:color w:val="auto"/>
        </w:rPr>
        <w:t>Plan</w:t>
      </w:r>
      <w:r>
        <w:rPr>
          <w:rFonts w:ascii="Arial" w:cs="Arial" w:eastAsia="Arial" w:hAnsi="Arial"/>
          <w:sz w:val="18"/>
          <w:szCs w:val="18"/>
          <w:color w:val="auto"/>
        </w:rPr>
        <w:t>”) has been adopted by PAA GP Holdings LLC, a Delaware limited liability company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the general partner of Plains GP Holdings, L.P., a Delaware limited partnership (the “</w:t>
      </w:r>
      <w:r>
        <w:rPr>
          <w:rFonts w:ascii="Arial" w:cs="Arial" w:eastAsia="Arial" w:hAnsi="Arial"/>
          <w:sz w:val="18"/>
          <w:szCs w:val="18"/>
          <w:b w:val="1"/>
          <w:bCs w:val="1"/>
          <w:i w:val="1"/>
          <w:iCs w:val="1"/>
          <w:u w:val="single" w:color="auto"/>
          <w:color w:val="auto"/>
        </w:rPr>
        <w:t>Partnership</w:t>
      </w:r>
      <w:r>
        <w:rPr>
          <w:rFonts w:ascii="Arial" w:cs="Arial" w:eastAsia="Arial" w:hAnsi="Arial"/>
          <w:sz w:val="18"/>
          <w:szCs w:val="18"/>
          <w:color w:val="auto"/>
        </w:rPr>
        <w:t>”), and is intended to align the interests of the employees of the Company and its Affiliates and the directors of the Company with those of the Partnership’s shareholders by providing such employees and directors incentive compensation awards that reward achievement of targeted distribution levels and other business objectives. The Plan is also intended to enhance the ability of the Company, the Partnership and their Affiliates to attract the services of individuals who are essential for the growth and profitability of the Partnership and to encourage such individuals to devote their best efforts to advancing the business of the Partnership and its Affiliates.</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1" w:lineRule="exact"/>
        <w:rPr>
          <w:sz w:val="20"/>
          <w:szCs w:val="20"/>
          <w:color w:val="auto"/>
        </w:rPr>
      </w:pPr>
    </w:p>
    <w:p>
      <w:pPr>
        <w:jc w:val="both"/>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4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 Option, Restricted Share, Phantom Share or Share Appreciation Right granted under the Plan, and may include any tandem DERs granted with respect to a Phantom Share, Option or Share Appreciation Right.</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written agreement by which an Award shall be evidenced, and which may describe any terms, conditions, criteria, restrictions or other elements of such Award as determined by the Committee in its discretion.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4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a committee of, and appointed by, the Board to administer the Plan; provided, however, that in the absence of the Board’s appointment of a committee to administer the Plan, the Compensation Committee of the Board shall serve as the Committee.</w:t>
      </w:r>
    </w:p>
    <w:p>
      <w:pPr>
        <w:spacing w:after="0" w:line="138" w:lineRule="exact"/>
        <w:rPr>
          <w:sz w:val="20"/>
          <w:szCs w:val="20"/>
          <w:color w:val="auto"/>
        </w:rPr>
      </w:pPr>
    </w:p>
    <w:p>
      <w:pPr>
        <w:ind w:right="3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DER</w:t>
      </w:r>
      <w:r>
        <w:rPr>
          <w:rFonts w:ascii="Arial" w:cs="Arial" w:eastAsia="Arial" w:hAnsi="Arial"/>
          <w:sz w:val="17"/>
          <w:szCs w:val="17"/>
          <w:color w:val="auto"/>
        </w:rPr>
        <w:t>” means a contingent right, granted in tandem with a specific Option, Share Appreciation Right or Phantom Share, to receive an amount in cash equal to the cash distributions made by the Partnership with respect to a Share during the period such Award is outstanding.</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who is not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employee of the Company or an Affiliate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as of a given date means the closing sales price of a Share on the nearest trading date immediately preceding such given date or as defined in an Award Agreement (other than with respect to establishing the exercise price of an Option or Share Appreciation Right). In the event Shares are not publicly traded at the time a determination of fair market value is required to be made hereunder, the determination of fair market value shall be made in good faith by the Committee.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Shares granted under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Employee or Director granted an Award under the Plan.</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62" w:lineRule="exact"/>
        <w:rPr>
          <w:sz w:val="20"/>
          <w:szCs w:val="20"/>
          <w:color w:val="auto"/>
        </w:rPr>
      </w:pPr>
    </w:p>
    <w:p>
      <w:pPr>
        <w:ind w:right="5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Phantom Share</w:t>
      </w:r>
      <w:r>
        <w:rPr>
          <w:rFonts w:ascii="Arial" w:cs="Arial" w:eastAsia="Arial" w:hAnsi="Arial"/>
          <w:sz w:val="18"/>
          <w:szCs w:val="18"/>
          <w:color w:val="auto"/>
        </w:rPr>
        <w:t>” means a phantom (notional) Share granted under the Plan that upon vesting entitles the Participant to receive a Share or an amount of cash equal to the Fair Market Value of a Share, as determined by the Committee in its discretion and as provided in the applicable Award Agreement.</w:t>
      </w:r>
    </w:p>
    <w:p>
      <w:pPr>
        <w:spacing w:after="0" w:line="176" w:lineRule="exact"/>
        <w:rPr>
          <w:sz w:val="20"/>
          <w:szCs w:val="20"/>
          <w:color w:val="auto"/>
        </w:rPr>
      </w:pPr>
    </w:p>
    <w:p>
      <w:pPr>
        <w:jc w:val="both"/>
        <w:ind w:right="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 the period established by the Committee with respect to an Award during which the Award or Share may remain subject to restrictions established by the Committee, including without limitation a period during which such Award or Share is subject to forfeiture or restrictions on transfer, or is not yet exercisable by or payable to the Participant, as the case may be. As the context requires, the word “vest” and its derivatives refers to the lapse of some or all, as the case may be, of the restrictions imposed during such Restricted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w:t>
      </w:r>
      <w:r>
        <w:rPr>
          <w:rFonts w:ascii="Arial" w:cs="Arial" w:eastAsia="Arial" w:hAnsi="Arial"/>
          <w:sz w:val="18"/>
          <w:szCs w:val="18"/>
          <w:color w:val="auto"/>
        </w:rPr>
        <w:t>” means a Share delivered under the Plan that is subject to a Restricted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16b-3</w:t>
      </w:r>
      <w:r>
        <w:rPr>
          <w:rFonts w:ascii="Arial" w:cs="Arial" w:eastAsia="Arial" w:hAnsi="Arial"/>
          <w:sz w:val="16"/>
          <w:szCs w:val="16"/>
          <w:color w:val="auto"/>
        </w:rPr>
        <w:t>” means Rule 16b-3 promulgated by the SEC under the Exchange Act, or any successor rule or regulation thereto as in effect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SDR</w:t>
      </w:r>
      <w:r>
        <w:rPr>
          <w:rFonts w:ascii="Arial" w:cs="Arial" w:eastAsia="Arial" w:hAnsi="Arial"/>
          <w:sz w:val="18"/>
          <w:szCs w:val="18"/>
          <w:color w:val="auto"/>
        </w:rPr>
        <w:t>” means a distribution made by the Partnership with respect to a Restricted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successor thereto.</w:t>
      </w:r>
    </w:p>
    <w:p>
      <w:pPr>
        <w:sectPr>
          <w:pgSz w:w="11900" w:h="16838" w:orient="portrait"/>
          <w:cols w:equalWidth="0" w:num="1">
            <w:col w:w="11420"/>
          </w:cols>
          <w:pgMar w:left="240" w:top="121" w:right="239" w:bottom="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Class A share of the Partnership.</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Appreciation Right</w:t>
      </w:r>
      <w:r>
        <w:rPr>
          <w:rFonts w:ascii="Arial" w:cs="Arial" w:eastAsia="Arial" w:hAnsi="Arial"/>
          <w:sz w:val="18"/>
          <w:szCs w:val="18"/>
          <w:color w:val="auto"/>
        </w:rPr>
        <w:t>” means an Award that, upon exercise, entitles the holder to receive the excess of the Fair Market Value of Share on the exercise date over the exercise price established for such Share Appreciation Right. Such excess may be paid in cash and/or in Shares as determined by the Committee in its discretion and as provided in the applicable Award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b w:val="1"/>
          <w:bCs w:val="1"/>
          <w:u w:val="single" w:color="auto"/>
          <w:color w:val="auto"/>
        </w:rPr>
        <w:t>Administration</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83" w:lineRule="auto"/>
        <w:tabs>
          <w:tab w:leader="none" w:pos="1294" w:val="left"/>
        </w:tabs>
        <w:numPr>
          <w:ilvl w:val="1"/>
          <w:numId w:val="268"/>
        </w:numPr>
        <w:rPr>
          <w:rFonts w:ascii="Arial" w:cs="Arial" w:eastAsia="Arial" w:hAnsi="Arial"/>
          <w:sz w:val="16"/>
          <w:szCs w:val="16"/>
          <w:color w:val="auto"/>
        </w:rPr>
      </w:pPr>
      <w:r>
        <w:rPr>
          <w:rFonts w:ascii="Arial" w:cs="Arial" w:eastAsia="Arial" w:hAnsi="Arial"/>
          <w:sz w:val="16"/>
          <w:szCs w:val="16"/>
          <w:i w:val="1"/>
          <w:iCs w:val="1"/>
          <w:color w:val="auto"/>
        </w:rPr>
        <w:t>Authority of the Committee</w:t>
      </w:r>
      <w:r>
        <w:rPr>
          <w:rFonts w:ascii="Arial" w:cs="Arial" w:eastAsia="Arial" w:hAnsi="Arial"/>
          <w:sz w:val="16"/>
          <w:szCs w:val="16"/>
          <w:color w:val="auto"/>
        </w:rPr>
        <w:t>. The Plan shall be administered by the Committee. A majority of the Committee shall constitute a quorum,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acts of a majority of the members of the Committee who are present at any meeting thereof at which a quorum is present, or acts unanimously approved by the members of the Committee in writing, shall be the acts of the Committee. Subject to the following and applicable law, the Committee, in its sole discretion, may delegate any or all of its powers and duties under the Plan, including the power to grant Awards under the Plan, to the Chief Executive Officer of the Company, subject to such limitations on such delegated powers and duties as the Committee may impose, if any. Upon any such delegation all references in the Plan to the “</w:t>
      </w:r>
      <w:r>
        <w:rPr>
          <w:rFonts w:ascii="Arial" w:cs="Arial" w:eastAsia="Arial" w:hAnsi="Arial"/>
          <w:sz w:val="16"/>
          <w:szCs w:val="16"/>
          <w:b w:val="1"/>
          <w:bCs w:val="1"/>
          <w:i w:val="1"/>
          <w:iCs w:val="1"/>
          <w:u w:val="single" w:color="auto"/>
          <w:color w:val="auto"/>
        </w:rPr>
        <w:t>Committee</w:t>
      </w:r>
      <w:r>
        <w:rPr>
          <w:rFonts w:ascii="Arial" w:cs="Arial" w:eastAsia="Arial" w:hAnsi="Arial"/>
          <w:sz w:val="16"/>
          <w:szCs w:val="16"/>
          <w:color w:val="auto"/>
        </w:rPr>
        <w:t>”, other than in Section 7, shall be deemed to include the Chief Executive Officer; provided, however, that such delegation shall not limit the Chief Executive Officer’s right to receive Awards under the Plan. Notwithstanding the foregoing, the Chief Executive Officer may not grant Awards to, or take any action with respect to any Award previously granted to, a person who is an officer subject to Rule 16b-3 or a member of the Board.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w:t>
      </w:r>
    </w:p>
    <w:p>
      <w:pPr>
        <w:spacing w:after="0" w:line="5" w:lineRule="exact"/>
        <w:rPr>
          <w:rFonts w:ascii="Arial" w:cs="Arial" w:eastAsia="Arial" w:hAnsi="Arial"/>
          <w:sz w:val="16"/>
          <w:szCs w:val="16"/>
          <w:color w:val="auto"/>
        </w:rPr>
      </w:pPr>
    </w:p>
    <w:p>
      <w:pPr>
        <w:ind w:right="60" w:firstLine="8"/>
        <w:spacing w:after="0" w:line="252" w:lineRule="auto"/>
        <w:tabs>
          <w:tab w:leader="none" w:pos="31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determine the number of Shares to be covered by Awards; (iv) determine the terms and conditions of any Award; (v) determine whether, to what extent, and under what circumstances Awards may be settled (including settlement in cash), exercised, canceled, or forfeited; (vi) interpret and administer the Plan and any instrument or agreement relating to an Award made under the Plan; (vii) establish, amend, suspend, or waive such rules and regulations and appoint such agents as it shall deem appropriate for the proper administration of the Plan; and (viii) make any other determination and take any other action that the Committee deems necessary or desirable for the administration of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the Partnership, any of their Affiliates, any Participant, and any beneficiary of any Award.</w:t>
      </w:r>
    </w:p>
    <w:p>
      <w:pPr>
        <w:spacing w:after="0" w:line="191" w:lineRule="exact"/>
        <w:rPr>
          <w:rFonts w:ascii="Arial" w:cs="Arial" w:eastAsia="Arial" w:hAnsi="Arial"/>
          <w:sz w:val="18"/>
          <w:szCs w:val="18"/>
          <w:color w:val="auto"/>
        </w:rPr>
      </w:pPr>
    </w:p>
    <w:p>
      <w:pPr>
        <w:ind w:firstLine="656"/>
        <w:spacing w:after="0" w:line="255" w:lineRule="auto"/>
        <w:tabs>
          <w:tab w:leader="none" w:pos="1304" w:val="left"/>
        </w:tabs>
        <w:numPr>
          <w:ilvl w:val="1"/>
          <w:numId w:val="269"/>
        </w:numPr>
        <w:rPr>
          <w:rFonts w:ascii="Arial" w:cs="Arial" w:eastAsia="Arial" w:hAnsi="Arial"/>
          <w:sz w:val="18"/>
          <w:szCs w:val="18"/>
          <w:color w:val="auto"/>
        </w:rPr>
      </w:pPr>
      <w:r>
        <w:rPr>
          <w:rFonts w:ascii="Arial" w:cs="Arial" w:eastAsia="Arial" w:hAnsi="Arial"/>
          <w:sz w:val="18"/>
          <w:szCs w:val="18"/>
          <w:i w:val="1"/>
          <w:iCs w:val="1"/>
          <w:color w:val="auto"/>
        </w:rPr>
        <w:t>Authority of a Subcommittee of the Committee</w:t>
      </w:r>
      <w:r>
        <w:rPr>
          <w:rFonts w:ascii="Arial" w:cs="Arial" w:eastAsia="Arial" w:hAnsi="Arial"/>
          <w:sz w:val="18"/>
          <w:szCs w:val="18"/>
          <w:color w:val="auto"/>
        </w:rPr>
        <w:t>. At any time that a member of the Committee is not a “nonemployee director”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Rule 16b-3 (a “</w:t>
      </w:r>
      <w:r>
        <w:rPr>
          <w:rFonts w:ascii="Arial" w:cs="Arial" w:eastAsia="Arial" w:hAnsi="Arial"/>
          <w:sz w:val="18"/>
          <w:szCs w:val="18"/>
          <w:b w:val="1"/>
          <w:bCs w:val="1"/>
          <w:u w:val="single" w:color="auto"/>
          <w:color w:val="auto"/>
        </w:rPr>
        <w:t>Qualified Member</w:t>
      </w:r>
      <w:r>
        <w:rPr>
          <w:rFonts w:ascii="Arial" w:cs="Arial" w:eastAsia="Arial" w:hAnsi="Arial"/>
          <w:sz w:val="18"/>
          <w:szCs w:val="18"/>
          <w:color w:val="auto"/>
        </w:rPr>
        <w:t>”), any action of the Committee relating to an Award granted or to be granted to a Participant who is then subject to Section 16 of the Exchange Act in respect of the Partnership may be taken either (i) by a subcommittee, designated by the Committee, composed solely of two or more Qualified Members, or (ii) by the Committee but with each such member who is not a Qualified Member abstaining or recusing himself or herself from such action; provided, however, that upon such abstention or recusal the Committee remains composed solely of two or more Qualified Members. Such action, authorized by such a subcommittee or by the Committee upon the abstention or recusal of such non-Qualified Member(s), shall be the action of the Committee for all purposes of the Plan.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b w:val="1"/>
          <w:bCs w:val="1"/>
          <w:u w:val="single" w:color="auto"/>
          <w:color w:val="auto"/>
        </w:rPr>
        <w:t>Shares</w:t>
      </w:r>
      <w:r>
        <w:rPr>
          <w:rFonts w:ascii="Arial" w:cs="Arial" w:eastAsia="Arial" w:hAnsi="Arial"/>
          <w:sz w:val="15"/>
          <w:szCs w:val="15"/>
          <w:color w:val="auto"/>
        </w:rPr>
        <w:t>.</w:t>
      </w:r>
    </w:p>
    <w:p>
      <w:pPr>
        <w:spacing w:after="0" w:line="229" w:lineRule="exact"/>
        <w:rPr>
          <w:sz w:val="20"/>
          <w:szCs w:val="20"/>
          <w:color w:val="auto"/>
        </w:rPr>
      </w:pPr>
    </w:p>
    <w:p>
      <w:pPr>
        <w:ind w:right="100" w:firstLine="1305"/>
        <w:spacing w:after="0" w:line="291" w:lineRule="auto"/>
        <w:tabs>
          <w:tab w:leader="none" w:pos="1942" w:val="left"/>
        </w:tabs>
        <w:numPr>
          <w:ilvl w:val="1"/>
          <w:numId w:val="270"/>
        </w:numPr>
        <w:rPr>
          <w:rFonts w:ascii="Arial" w:cs="Arial" w:eastAsia="Arial" w:hAnsi="Arial"/>
          <w:sz w:val="16"/>
          <w:szCs w:val="16"/>
          <w:color w:val="auto"/>
        </w:rPr>
      </w:pPr>
      <w:r>
        <w:rPr>
          <w:rFonts w:ascii="Arial" w:cs="Arial" w:eastAsia="Arial" w:hAnsi="Arial"/>
          <w:sz w:val="16"/>
          <w:szCs w:val="16"/>
          <w:i w:val="1"/>
          <w:iCs w:val="1"/>
          <w:color w:val="auto"/>
        </w:rPr>
        <w:t>Limits on Shares Deliverable</w:t>
      </w:r>
      <w:r>
        <w:rPr>
          <w:rFonts w:ascii="Arial" w:cs="Arial" w:eastAsia="Arial" w:hAnsi="Arial"/>
          <w:sz w:val="16"/>
          <w:szCs w:val="16"/>
          <w:color w:val="auto"/>
        </w:rPr>
        <w:t>. Subject to adjustment as provided in Section 4(c), the number of Shares that may be actually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with respect to Awards under the Plan is 10,000,000. If any Award is forfeited, cancelled, exercised or otherwise terminated without the actual delivery of Shares pursuant to such Award, or if any Shares under an Award are held back to cover the exercise price or tax withholding, then, in either such case, the Shares underlying such Awards that are so forfeited, cancelled, exercised or otherwise terminated without the actual delivery of Shares or held back shall be available to satisfy future Awards under the Plan; provided, however, the issuance of a Restricted Share will be an “actual delivery” for purposes of the preceding; thus, any Restricted Share used to cover an exercise price or tax withholding obligation shall not become available to satisfy future Awards under the Plan. There shall not be any limitation on the number of Awards that may be granted and paid in cash.</w:t>
      </w:r>
    </w:p>
    <w:p>
      <w:pPr>
        <w:spacing w:after="0" w:line="167" w:lineRule="exact"/>
        <w:rPr>
          <w:rFonts w:ascii="Arial" w:cs="Arial" w:eastAsia="Arial" w:hAnsi="Arial"/>
          <w:sz w:val="16"/>
          <w:szCs w:val="16"/>
          <w:color w:val="auto"/>
        </w:rPr>
      </w:pPr>
    </w:p>
    <w:p>
      <w:pPr>
        <w:ind w:left="1960" w:hanging="655"/>
        <w:spacing w:after="0"/>
        <w:tabs>
          <w:tab w:leader="none" w:pos="1960" w:val="left"/>
        </w:tabs>
        <w:numPr>
          <w:ilvl w:val="1"/>
          <w:numId w:val="270"/>
        </w:numPr>
        <w:rPr>
          <w:rFonts w:ascii="Arial" w:cs="Arial" w:eastAsia="Arial" w:hAnsi="Arial"/>
          <w:sz w:val="17"/>
          <w:szCs w:val="17"/>
          <w:color w:val="auto"/>
        </w:rPr>
      </w:pPr>
      <w:r>
        <w:rPr>
          <w:rFonts w:ascii="Arial" w:cs="Arial" w:eastAsia="Arial" w:hAnsi="Arial"/>
          <w:sz w:val="17"/>
          <w:szCs w:val="17"/>
          <w:i w:val="1"/>
          <w:iCs w:val="1"/>
          <w:color w:val="auto"/>
        </w:rPr>
        <w:t>Sources of Shares Deliverable under Awards</w:t>
      </w:r>
      <w:r>
        <w:rPr>
          <w:rFonts w:ascii="Arial" w:cs="Arial" w:eastAsia="Arial" w:hAnsi="Arial"/>
          <w:sz w:val="17"/>
          <w:szCs w:val="17"/>
          <w:color w:val="auto"/>
        </w:rPr>
        <w:t>. Any Shares delivered pursuant to an Award shall consist, in whole or in part, of</w:t>
      </w:r>
    </w:p>
    <w:p>
      <w:pPr>
        <w:spacing w:after="0" w:line="34" w:lineRule="exact"/>
        <w:rPr>
          <w:rFonts w:ascii="Arial" w:cs="Arial" w:eastAsia="Arial" w:hAnsi="Arial"/>
          <w:sz w:val="17"/>
          <w:szCs w:val="17"/>
          <w:color w:val="auto"/>
        </w:rPr>
      </w:pPr>
    </w:p>
    <w:p>
      <w:pPr>
        <w:ind w:right="80" w:firstLine="8"/>
        <w:spacing w:after="0" w:line="261" w:lineRule="auto"/>
        <w:tabs>
          <w:tab w:leader="none" w:pos="21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Shares acquired in the open market, (ii) Shares acquired from the Partnership, any Affiliate of the Partnership or any other Person or (iii) any combination of the foregoing.</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271"/>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8" w:lineRule="auto"/>
        <w:tabs>
          <w:tab w:leader="none" w:pos="1966"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Certain Restructurings</w:t>
      </w:r>
      <w:r>
        <w:rPr>
          <w:rFonts w:ascii="Arial" w:cs="Arial" w:eastAsia="Arial" w:hAnsi="Arial"/>
          <w:sz w:val="16"/>
          <w:szCs w:val="16"/>
          <w:color w:val="auto"/>
        </w:rPr>
        <w:t>. Upon the occurrence of any “equity restructuring” event that could result in an additional compensation expense to the Company or the Partnership pursuant to the provisions of FASB Accounting Standards Codification Topic 718 if adjustments to Awards with respect to such event were discretionary, the Committee shall equitably adjust the number and type of Shares covered by each outstanding Award and the terms and conditions, including the exercise price and performance criteria (if any), of such Award to equitably reflect such restructuring event and shall adjust the number and type of Shares (or other securities or property) with respect to which Awards may be granted after such event. Upon the occurrence of any other similar event that would not result in an accounting charge under FASB Accounting Standards Codification Topic 718 if the adjustment to Awards with respect to such event were subject to discretionary action, the Committee shall have complete discretion to adjust Awards in such manner as it deems appropriate with respect to such other event. In the event the Committee makes any adjustment pursuant to the foregoing provisions of this Section 4(c)(i), the Committee shall make a corresponding and proportionate adjustment with respect to the maximum number of Shares that may be delivered with respect to Awards under the Plan as provided in Section 4(a) and the kind of Shares or other securities available for grant under the Plan.</w:t>
      </w:r>
    </w:p>
    <w:p>
      <w:pPr>
        <w:spacing w:after="0" w:line="169" w:lineRule="exact"/>
        <w:rPr>
          <w:rFonts w:ascii="Arial" w:cs="Arial" w:eastAsia="Arial" w:hAnsi="Arial"/>
          <w:sz w:val="16"/>
          <w:szCs w:val="16"/>
          <w:color w:val="auto"/>
        </w:rPr>
      </w:pPr>
    </w:p>
    <w:p>
      <w:pPr>
        <w:ind w:right="440" w:firstLine="1305"/>
        <w:spacing w:after="0" w:line="257" w:lineRule="auto"/>
        <w:tabs>
          <w:tab w:leader="none" w:pos="1976"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Other Adjustments</w:t>
      </w:r>
      <w:r>
        <w:rPr>
          <w:rFonts w:ascii="Arial" w:cs="Arial" w:eastAsia="Arial" w:hAnsi="Arial"/>
          <w:sz w:val="18"/>
          <w:szCs w:val="18"/>
          <w:color w:val="auto"/>
        </w:rPr>
        <w:t>. Subject to, and without limiting the scope of, the provisions of Section 4(c)(i), in the event that the Committee determines that any distribution (whether in the form of cash, Shares, other securities, or other property), recapitalization, split, reverse split, reorganization, merger, change of control, consolidation, split-up, spin-off, combination, repurchase, or exchange of Shares or other securities of the Partnership, issuance of warrants or other rights to purchase Shares or other securities of the Partnership, or other similar transaction or event affects the Shares such that an adjustment is determined by the Committee,</w:t>
      </w:r>
    </w:p>
    <w:p>
      <w:pPr>
        <w:sectPr>
          <w:pgSz w:w="11900" w:h="16838" w:orient="portrait"/>
          <w:cols w:equalWidth="0" w:num="1">
            <w:col w:w="11400"/>
          </w:cols>
          <w:pgMar w:left="240" w:top="121" w:right="259" w:bottom="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its sole discretion, to be appropriate in order to prevent dilution or enlargement of the benefits or potential benefits intended to be made available under the Plan, then the Committee shall, in such manner as it may deem equitable, adjust any or all of (A) the number and type of Shares (or other securities or property) with respect to which Awards may be granted, (B) the number and type of Shares (or other securities or property) subject to outstanding Awards, and (C) the grant or exercise price with respect to any Award or, if deemed appropriate, make provision for a cash payment to the holder of an outstanding Award; provided, that the number of Shares subject to any Award shall always be a whole number. Further, upon the occurrence of any event described in the preceding sentence, the Committee, acting in its sole discretion without the consent or approval of any holder, may effect one or more of the following alternatives, which may vary among individual holders and which may vary among Awards: (I) remove any applicable forfeiture restrictions on any Award;</w:t>
      </w:r>
    </w:p>
    <w:p>
      <w:pPr>
        <w:spacing w:after="0" w:line="3" w:lineRule="exact"/>
        <w:rPr>
          <w:sz w:val="20"/>
          <w:szCs w:val="20"/>
          <w:color w:val="auto"/>
        </w:rPr>
      </w:pPr>
    </w:p>
    <w:p>
      <w:pPr>
        <w:ind w:firstLine="8"/>
        <w:spacing w:after="0" w:line="267" w:lineRule="auto"/>
        <w:tabs>
          <w:tab w:leader="none" w:pos="28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accelerate the time of exercisability or the time at which the Restricted Period shall lapse to a specific date specified by the Committee; (III) require the mandatory surrender to the Company or the Partnership by selected holders of some or all of the outstanding Awards held by such holders (irrespective of whether such Awards are then subject to a Restricted Period or other restrictions pursuant to the Plan) as of a date specified by the Committee, in which event the Committee shall thereupon cancel such Awards and cause the Company, the Partnership or an Affiliate thereof to pay to each holder an amount of cash per Share equal to the per Share value as determined by the Committee as of the date determined by the Committee to be the date of cancellation and surrender of such Awards less the exercise price, if any, applicable to such Awards; provided, however, that to the extent the exercise price of an Option or a Share Appreciation Right exceeds such per Share value as determined by the Committee, no consideration will be paid with respect to that Award; (IV) cancel Awards that remain subject to a Restricted Period as of a date specified by the Committee without payment of any consideration to the Participant for such Awards; or (V) make such adjustments to Awards then outstanding as the Committee deems appropriate to reflect such event (including, but not limited to, the substitution of new awards for Awards); provided, however, that the Committee may determine in its sole discretion that no adjustment is necessary to Awards then outstanding.</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b w:val="1"/>
          <w:bCs w:val="1"/>
          <w:u w:val="single" w:color="auto"/>
          <w:color w:val="auto"/>
        </w:rPr>
        <w:t>Eligibility</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Employee or Director shall be eligible to be designated a Participant and receive an Award under the Plan.</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b w:val="1"/>
          <w:bCs w:val="1"/>
          <w:u w:val="single" w:color="auto"/>
          <w:color w:val="auto"/>
        </w:rPr>
        <w:t>Awards</w:t>
      </w:r>
      <w:r>
        <w:rPr>
          <w:rFonts w:ascii="Arial" w:cs="Arial" w:eastAsia="Arial" w:hAnsi="Arial"/>
          <w:sz w:val="15"/>
          <w:szCs w:val="15"/>
          <w:color w:val="auto"/>
        </w:rPr>
        <w:t>.</w:t>
      </w:r>
    </w:p>
    <w:p>
      <w:pPr>
        <w:spacing w:after="0" w:line="229" w:lineRule="exact"/>
        <w:rPr>
          <w:sz w:val="20"/>
          <w:szCs w:val="20"/>
          <w:color w:val="auto"/>
        </w:rPr>
      </w:pPr>
    </w:p>
    <w:p>
      <w:pPr>
        <w:ind w:right="40" w:firstLine="1305"/>
        <w:spacing w:after="0" w:line="259" w:lineRule="auto"/>
        <w:tabs>
          <w:tab w:leader="none" w:pos="1942"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Committee shall have the authority to determine the Employees and Directors to whom Options shall be granted,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to be covered by each Option, whether DERs are granted with respect to such Option, the purchase price therefor and the conditions and limitations applicable to the exercise of the Option, including the following terms and conditions and such additional terms and conditions, as the Committee shall determine, that are not inconsistent with the provisions of the Plan.</w:t>
      </w:r>
    </w:p>
    <w:p>
      <w:pPr>
        <w:spacing w:after="0" w:line="186" w:lineRule="exact"/>
        <w:rPr>
          <w:rFonts w:ascii="Arial" w:cs="Arial" w:eastAsia="Arial" w:hAnsi="Arial"/>
          <w:sz w:val="18"/>
          <w:szCs w:val="18"/>
          <w:color w:val="auto"/>
        </w:rPr>
      </w:pPr>
    </w:p>
    <w:p>
      <w:pPr>
        <w:ind w:left="660" w:right="180" w:firstLine="1293"/>
        <w:spacing w:after="0" w:line="277" w:lineRule="auto"/>
        <w:tabs>
          <w:tab w:leader="none" w:pos="2626"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purchase price per Share purchasable under an Option shall be determined by the Committee at the time the Option is granted but may not be less than the Fair Market Value of a Share as of the date of grant.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1293"/>
        <w:spacing w:after="0" w:line="276" w:lineRule="auto"/>
        <w:tabs>
          <w:tab w:leader="none" w:pos="2636" w:val="left"/>
        </w:tabs>
        <w:numPr>
          <w:ilvl w:val="1"/>
          <w:numId w:val="275"/>
        </w:numPr>
        <w:rPr>
          <w:rFonts w:ascii="Arial" w:cs="Arial" w:eastAsia="Arial" w:hAnsi="Arial"/>
          <w:sz w:val="17"/>
          <w:szCs w:val="17"/>
          <w:color w:val="auto"/>
        </w:rPr>
      </w:pPr>
      <w:r>
        <w:rPr>
          <w:rFonts w:ascii="Arial" w:cs="Arial" w:eastAsia="Arial" w:hAnsi="Arial"/>
          <w:sz w:val="17"/>
          <w:szCs w:val="17"/>
          <w:u w:val="single" w:color="auto"/>
          <w:color w:val="auto"/>
        </w:rPr>
        <w:t>Time and Method of Exercise</w:t>
      </w:r>
      <w:r>
        <w:rPr>
          <w:rFonts w:ascii="Arial" w:cs="Arial" w:eastAsia="Arial" w:hAnsi="Arial"/>
          <w:sz w:val="17"/>
          <w:szCs w:val="17"/>
          <w:color w:val="auto"/>
        </w:rPr>
        <w:t>. The Committee shall determine the Restricted Period, i.e., the time or times at which an Option may be exercised in whole or in part, and the method or methods by which payment of the exercise price with respect thereto may be made or deemed to have been made, which may include, without limitation, cash, check acceptable to the Company, a “cashless-broker” exercise through procedures approved by the Company, other securities or other property, a note (in a form acceptable to the Company), or any combination thereof, having a Fair Market Value on the exercise date equal to the relevant exercise price.</w:t>
      </w:r>
    </w:p>
    <w:p>
      <w:pPr>
        <w:spacing w:after="0" w:line="172" w:lineRule="exact"/>
        <w:rPr>
          <w:rFonts w:ascii="Arial" w:cs="Arial" w:eastAsia="Arial" w:hAnsi="Arial"/>
          <w:sz w:val="17"/>
          <w:szCs w:val="17"/>
          <w:color w:val="auto"/>
        </w:rPr>
      </w:pPr>
    </w:p>
    <w:p>
      <w:pPr>
        <w:ind w:left="660" w:right="500" w:firstLine="1293"/>
        <w:spacing w:after="0" w:line="312" w:lineRule="auto"/>
        <w:tabs>
          <w:tab w:leader="none" w:pos="2645"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Forfeitures</w:t>
      </w:r>
      <w:r>
        <w:rPr>
          <w:rFonts w:ascii="Arial" w:cs="Arial" w:eastAsia="Arial" w:hAnsi="Arial"/>
          <w:sz w:val="16"/>
          <w:szCs w:val="16"/>
          <w:color w:val="auto"/>
        </w:rPr>
        <w:t>. Except as otherwise provided in the terms of the Option Award Agreement, upon termination of a Participant’s employment with the Company and its Affiliates or membership on the Board, whichever is applicable, for any reason during the applicable Restricted Period, all outstanding Options awarded to the Participant shall be automatically forfeited on such termination.</w:t>
      </w:r>
    </w:p>
    <w:p>
      <w:pPr>
        <w:spacing w:after="0" w:line="146" w:lineRule="exact"/>
        <w:rPr>
          <w:rFonts w:ascii="Arial" w:cs="Arial" w:eastAsia="Arial" w:hAnsi="Arial"/>
          <w:sz w:val="16"/>
          <w:szCs w:val="16"/>
          <w:color w:val="auto"/>
        </w:rPr>
      </w:pPr>
    </w:p>
    <w:p>
      <w:pPr>
        <w:ind w:left="660" w:right="240" w:firstLine="1293"/>
        <w:spacing w:after="0" w:line="259" w:lineRule="auto"/>
        <w:tabs>
          <w:tab w:leader="none" w:pos="2622"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Option DERs</w:t>
      </w:r>
      <w:r>
        <w:rPr>
          <w:rFonts w:ascii="Arial" w:cs="Arial" w:eastAsia="Arial" w:hAnsi="Arial"/>
          <w:sz w:val="18"/>
          <w:szCs w:val="18"/>
          <w:color w:val="auto"/>
        </w:rPr>
        <w:t>. To the extent provided by the Committee, in its discretion, an Option may include a tandem DER grant, which may provide that such DERs shall be paid directly to the Participant, be credited to a bookkeeping account (with or without interest in the discretion of the Committee) subject to the same vesting restrictions as the tandem Options Award, or be subject to such other provisions or restrictions as determined by the Committee in its discretion.</w:t>
      </w:r>
    </w:p>
    <w:p>
      <w:pPr>
        <w:spacing w:after="0" w:line="186" w:lineRule="exact"/>
        <w:rPr>
          <w:rFonts w:ascii="Arial" w:cs="Arial" w:eastAsia="Arial" w:hAnsi="Arial"/>
          <w:sz w:val="18"/>
          <w:szCs w:val="18"/>
          <w:color w:val="auto"/>
        </w:rPr>
      </w:pPr>
    </w:p>
    <w:p>
      <w:pPr>
        <w:ind w:right="140" w:firstLine="1305"/>
        <w:spacing w:after="0" w:line="302" w:lineRule="auto"/>
        <w:tabs>
          <w:tab w:leader="none" w:pos="1952" w:val="left"/>
        </w:tabs>
        <w:numPr>
          <w:ilvl w:val="0"/>
          <w:numId w:val="276"/>
        </w:numPr>
        <w:rPr>
          <w:rFonts w:ascii="Arial" w:cs="Arial" w:eastAsia="Arial" w:hAnsi="Arial"/>
          <w:sz w:val="16"/>
          <w:szCs w:val="16"/>
          <w:color w:val="auto"/>
        </w:rPr>
      </w:pPr>
      <w:r>
        <w:rPr>
          <w:rFonts w:ascii="Arial" w:cs="Arial" w:eastAsia="Arial" w:hAnsi="Arial"/>
          <w:sz w:val="16"/>
          <w:szCs w:val="16"/>
          <w:i w:val="1"/>
          <w:iCs w:val="1"/>
          <w:color w:val="auto"/>
        </w:rPr>
        <w:t>Restricted Shares and Phantom Shares</w:t>
      </w:r>
      <w:r>
        <w:rPr>
          <w:rFonts w:ascii="Arial" w:cs="Arial" w:eastAsia="Arial" w:hAnsi="Arial"/>
          <w:sz w:val="16"/>
          <w:szCs w:val="16"/>
          <w:color w:val="auto"/>
        </w:rPr>
        <w:t>. The Committee shall have the authority to determine the Employees and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whom Restricted Shares or Phantom Shares shall be granted, the number of Restricted Shares or Phantom Shares to be granted to each such Participant, the Restricted Period, the conditions under which the Restricted Shares or Phantom Shares may become vested or forfeited, and such other terms and conditions as the Committee may establish with respect to such Awards, including whether DERs are granted with respect to the Phantom Shares.</w:t>
      </w:r>
    </w:p>
    <w:p>
      <w:pPr>
        <w:spacing w:after="0" w:line="154" w:lineRule="exact"/>
        <w:rPr>
          <w:rFonts w:ascii="Arial" w:cs="Arial" w:eastAsia="Arial" w:hAnsi="Arial"/>
          <w:sz w:val="16"/>
          <w:szCs w:val="16"/>
          <w:color w:val="auto"/>
        </w:rPr>
      </w:pPr>
    </w:p>
    <w:p>
      <w:pPr>
        <w:jc w:val="both"/>
        <w:ind w:left="660" w:right="120" w:firstLine="1293"/>
        <w:spacing w:after="0" w:line="259" w:lineRule="auto"/>
        <w:tabs>
          <w:tab w:leader="none" w:pos="2626"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DERs</w:t>
      </w:r>
      <w:r>
        <w:rPr>
          <w:rFonts w:ascii="Arial" w:cs="Arial" w:eastAsia="Arial" w:hAnsi="Arial"/>
          <w:sz w:val="18"/>
          <w:szCs w:val="18"/>
          <w:color w:val="auto"/>
        </w:rPr>
        <w:t>. To the extent provided by the Committee, in its discretion, a Phantom Share Award may include a tandem DER grant, which may provide that such DERs shall be paid directly to the Participant, be credited to a bookkeeping account (with or without interest in the discretion of the Committee) subject to the same vesting restrictions as the tandem Phantom Share Award, or be subject to such other provisions or restrictions as determined by the Committee in its discretion.</w:t>
      </w:r>
    </w:p>
    <w:p>
      <w:pPr>
        <w:spacing w:after="0" w:line="186" w:lineRule="exact"/>
        <w:rPr>
          <w:rFonts w:ascii="Arial" w:cs="Arial" w:eastAsia="Arial" w:hAnsi="Arial"/>
          <w:sz w:val="18"/>
          <w:szCs w:val="18"/>
          <w:color w:val="auto"/>
        </w:rPr>
      </w:pPr>
    </w:p>
    <w:p>
      <w:pPr>
        <w:ind w:left="660" w:right="20" w:firstLine="1293"/>
        <w:spacing w:after="0" w:line="257" w:lineRule="auto"/>
        <w:tabs>
          <w:tab w:leader="none" w:pos="2636"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SDRs</w:t>
      </w:r>
      <w:r>
        <w:rPr>
          <w:rFonts w:ascii="Arial" w:cs="Arial" w:eastAsia="Arial" w:hAnsi="Arial"/>
          <w:sz w:val="18"/>
          <w:szCs w:val="18"/>
          <w:color w:val="auto"/>
        </w:rPr>
        <w:t>. To the extent provided by the Committee, in its discretion, a Restricted Shares Award Agreement may provide that distributions made by the Partnership with respect to the Restricted Shares shall be subject to the same forfeiture and other restrictions as the Restricted Share and, if restricted, such distributions shall be held, without interest, until the Restricted Share vests or is forfeited with the SDR being paid or forfeited at the same time, as the case may be. Absent such a restriction on the SDRs in the Award Agreement, SDRs shall be paid to the holder of the Restricted Share without restriction.</w:t>
      </w:r>
    </w:p>
    <w:p>
      <w:pPr>
        <w:sectPr>
          <w:pgSz w:w="11900" w:h="16838" w:orient="portrait"/>
          <w:cols w:equalWidth="0" w:num="1">
            <w:col w:w="11420"/>
          </w:cols>
          <w:pgMar w:left="240" w:top="125" w:right="239" w:bottom="26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60" w:gutter="0" w:footer="0" w:header="0"/>
          <w:type w:val="continuous"/>
        </w:sectPr>
      </w:pPr>
    </w:p>
    <w:bookmarkStart w:id="131" w:name="page132"/>
    <w:bookmarkEnd w:id="131"/>
    <w:p>
      <w:pPr>
        <w:jc w:val="both"/>
        <w:ind w:left="640" w:right="200" w:firstLine="1293"/>
        <w:spacing w:after="0" w:line="259" w:lineRule="auto"/>
        <w:tabs>
          <w:tab w:leader="none" w:pos="2625"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Except as otherwise provided in the terms of the Restricted Shares or Phantom Shares Award Agreement, upon termination of a Participant’s employment with the Company and its Affiliates or membership on the Board, whichever is applicable, for any reason during the applicable Restricted Period, all outstanding Restricted Shares and Phantom Shares awarded to the Participant shall be automatically forfeited on such termination.</w:t>
      </w:r>
    </w:p>
    <w:p>
      <w:pPr>
        <w:spacing w:after="0" w:line="186" w:lineRule="exact"/>
        <w:rPr>
          <w:rFonts w:ascii="Arial" w:cs="Arial" w:eastAsia="Arial" w:hAnsi="Arial"/>
          <w:sz w:val="18"/>
          <w:szCs w:val="18"/>
          <w:color w:val="auto"/>
        </w:rPr>
      </w:pPr>
    </w:p>
    <w:p>
      <w:pPr>
        <w:ind w:left="2600" w:hanging="667"/>
        <w:spacing w:after="0"/>
        <w:tabs>
          <w:tab w:leader="none" w:pos="2600"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80" w:right="160" w:firstLine="1301"/>
        <w:spacing w:after="0" w:line="312" w:lineRule="auto"/>
        <w:tabs>
          <w:tab w:leader="none" w:pos="3245" w:val="left"/>
        </w:tabs>
        <w:numPr>
          <w:ilvl w:val="2"/>
          <w:numId w:val="277"/>
        </w:numPr>
        <w:rPr>
          <w:rFonts w:ascii="Arial" w:cs="Arial" w:eastAsia="Arial" w:hAnsi="Arial"/>
          <w:sz w:val="16"/>
          <w:szCs w:val="16"/>
          <w:color w:val="auto"/>
        </w:rPr>
      </w:pPr>
      <w:r>
        <w:rPr>
          <w:rFonts w:ascii="Arial" w:cs="Arial" w:eastAsia="Arial" w:hAnsi="Arial"/>
          <w:sz w:val="16"/>
          <w:szCs w:val="16"/>
          <w:u w:val="single" w:color="auto"/>
          <w:color w:val="auto"/>
        </w:rPr>
        <w:t>Phantom Shares</w:t>
      </w:r>
      <w:r>
        <w:rPr>
          <w:rFonts w:ascii="Arial" w:cs="Arial" w:eastAsia="Arial" w:hAnsi="Arial"/>
          <w:sz w:val="16"/>
          <w:szCs w:val="16"/>
          <w:color w:val="auto"/>
        </w:rPr>
        <w:t>. Upon or as soon as reasonably practical following the vesting of each Phantom Share, subject to the provisions of Section 8(b), the Participant shall be entitled to receive from the Company one Share or cash equal to the Fair Market Value of a Share, as determined by the Committee in its discretion and as provided in the applicable Award Agreement.</w:t>
      </w:r>
    </w:p>
    <w:p>
      <w:pPr>
        <w:spacing w:after="0" w:line="146" w:lineRule="exact"/>
        <w:rPr>
          <w:rFonts w:ascii="Arial" w:cs="Arial" w:eastAsia="Arial" w:hAnsi="Arial"/>
          <w:sz w:val="16"/>
          <w:szCs w:val="16"/>
          <w:color w:val="auto"/>
        </w:rPr>
      </w:pPr>
    </w:p>
    <w:p>
      <w:pPr>
        <w:ind w:left="1280" w:right="360" w:firstLine="1301"/>
        <w:spacing w:after="0" w:line="264" w:lineRule="auto"/>
        <w:tabs>
          <w:tab w:leader="none" w:pos="3235" w:val="left"/>
        </w:tabs>
        <w:numPr>
          <w:ilvl w:val="2"/>
          <w:numId w:val="277"/>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 Upon or as soon as reasonably practical following the vesting of each Restricted Share, subject to the provisions of Section 8(b), the Participant shall be entitled to have the relevant restrictions removed from his or her Share certificate.</w:t>
      </w:r>
    </w:p>
    <w:p>
      <w:pPr>
        <w:spacing w:after="0" w:line="181" w:lineRule="exact"/>
        <w:rPr>
          <w:rFonts w:ascii="Arial" w:cs="Arial" w:eastAsia="Arial" w:hAnsi="Arial"/>
          <w:sz w:val="18"/>
          <w:szCs w:val="18"/>
          <w:color w:val="auto"/>
        </w:rPr>
      </w:pPr>
    </w:p>
    <w:p>
      <w:pPr>
        <w:ind w:left="-20" w:right="200" w:firstLine="1305"/>
        <w:spacing w:after="0" w:line="257" w:lineRule="auto"/>
        <w:tabs>
          <w:tab w:leader="none" w:pos="1935"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Share Appreciation Rights</w:t>
      </w:r>
      <w:r>
        <w:rPr>
          <w:rFonts w:ascii="Arial" w:cs="Arial" w:eastAsia="Arial" w:hAnsi="Arial"/>
          <w:sz w:val="18"/>
          <w:szCs w:val="18"/>
          <w:color w:val="auto"/>
        </w:rPr>
        <w:t>. The Committee shall have the authority to determine the Employees and Directors to whom Share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shall be granted, the number of Shares to be covered by each Award Agreement, whether DERs are granted with respect to such Share Appreciation Rights, the exercise price therefor and the conditions and limitations applicable to the exercise of the Share Appreciation Rights, including the following terms and conditions and such additional terms and conditions, as the Committee shall determine, that are not inconsistent with the provisions of the Plan.</w:t>
      </w:r>
    </w:p>
    <w:p>
      <w:pPr>
        <w:spacing w:after="0" w:line="188" w:lineRule="exact"/>
        <w:rPr>
          <w:rFonts w:ascii="Arial" w:cs="Arial" w:eastAsia="Arial" w:hAnsi="Arial"/>
          <w:sz w:val="18"/>
          <w:szCs w:val="18"/>
          <w:color w:val="auto"/>
        </w:rPr>
      </w:pPr>
    </w:p>
    <w:p>
      <w:pPr>
        <w:ind w:left="640" w:right="300" w:firstLine="1293"/>
        <w:spacing w:after="0" w:line="308" w:lineRule="auto"/>
        <w:tabs>
          <w:tab w:leader="none" w:pos="2606" w:val="left"/>
        </w:tabs>
        <w:numPr>
          <w:ilvl w:val="1"/>
          <w:numId w:val="27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Share Appreciation Right shall be determined by the Committee at the time the Share Appreciation Rights are granted but may not be less than the Fair Market Value of a Share as of the date of grant.</w:t>
      </w:r>
    </w:p>
    <w:p>
      <w:pPr>
        <w:spacing w:after="0" w:line="146" w:lineRule="exact"/>
        <w:rPr>
          <w:rFonts w:ascii="Arial" w:cs="Arial" w:eastAsia="Arial" w:hAnsi="Arial"/>
          <w:sz w:val="17"/>
          <w:szCs w:val="17"/>
          <w:color w:val="auto"/>
        </w:rPr>
      </w:pPr>
    </w:p>
    <w:p>
      <w:pPr>
        <w:ind w:left="640" w:right="740" w:firstLine="1293"/>
        <w:spacing w:after="0" w:line="277" w:lineRule="auto"/>
        <w:tabs>
          <w:tab w:leader="none" w:pos="2616"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Time of Exercise</w:t>
      </w:r>
      <w:r>
        <w:rPr>
          <w:rFonts w:ascii="Arial" w:cs="Arial" w:eastAsia="Arial" w:hAnsi="Arial"/>
          <w:sz w:val="18"/>
          <w:szCs w:val="18"/>
          <w:color w:val="auto"/>
        </w:rPr>
        <w:t>. The Committee shall determine the Restricted Period, i.e., the time or times at which a Share Appreciation Right may be exercised in whole or in part.</w:t>
      </w:r>
    </w:p>
    <w:p>
      <w:pPr>
        <w:spacing w:after="0" w:line="170" w:lineRule="exact"/>
        <w:rPr>
          <w:rFonts w:ascii="Arial" w:cs="Arial" w:eastAsia="Arial" w:hAnsi="Arial"/>
          <w:sz w:val="18"/>
          <w:szCs w:val="18"/>
          <w:color w:val="auto"/>
        </w:rPr>
      </w:pPr>
    </w:p>
    <w:p>
      <w:pPr>
        <w:ind w:left="640" w:right="20" w:firstLine="1293"/>
        <w:spacing w:after="0" w:line="259" w:lineRule="auto"/>
        <w:tabs>
          <w:tab w:leader="none" w:pos="2625"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Except as otherwise provided in the terms of the Share Appreciation Rights Award Agreement, upon termination of a Participant’s employment with the Company and its Affiliates or membership on the Board, whichever is applicable, for any reason during the applicable Restricted Period, all outstanding Share Appreciation Rights awarded to the Participant shall be automatically forfeited on such termination.</w:t>
      </w:r>
    </w:p>
    <w:p>
      <w:pPr>
        <w:spacing w:after="0" w:line="186" w:lineRule="exact"/>
        <w:rPr>
          <w:rFonts w:ascii="Arial" w:cs="Arial" w:eastAsia="Arial" w:hAnsi="Arial"/>
          <w:sz w:val="18"/>
          <w:szCs w:val="18"/>
          <w:color w:val="auto"/>
        </w:rPr>
      </w:pPr>
    </w:p>
    <w:p>
      <w:pPr>
        <w:jc w:val="both"/>
        <w:ind w:left="640" w:right="80" w:firstLine="1293"/>
        <w:spacing w:after="0" w:line="264" w:lineRule="auto"/>
        <w:tabs>
          <w:tab w:leader="none" w:pos="2602"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Share Appreciation Rights DERs</w:t>
      </w:r>
      <w:r>
        <w:rPr>
          <w:rFonts w:ascii="Arial" w:cs="Arial" w:eastAsia="Arial" w:hAnsi="Arial"/>
          <w:sz w:val="18"/>
          <w:szCs w:val="18"/>
          <w:color w:val="auto"/>
        </w:rPr>
        <w:t>. To the extent provided by the Committee, in its discretion, a Share Appreciation Right may include a tandem DER grant, which may provide that such DERs shall be paid directly to the Participant, be credited to a bookkeeping account (with or without interest in the discretion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color w:val="auto"/>
        </w:rPr>
        <w:t>Committee) subject to the same vesting restrictions as the tandem Share Appreciation Rights Award, or be subject to such other provisions or restrictions as determined by the Committee in its discretion.</w:t>
      </w:r>
    </w:p>
    <w:p>
      <w:pPr>
        <w:spacing w:after="0" w:line="170" w:lineRule="exact"/>
        <w:rPr>
          <w:sz w:val="20"/>
          <w:szCs w:val="20"/>
          <w:color w:val="auto"/>
        </w:rPr>
      </w:pPr>
    </w:p>
    <w:p>
      <w:pPr>
        <w:ind w:left="1940" w:hanging="655"/>
        <w:spacing w:after="0"/>
        <w:tabs>
          <w:tab w:leader="none" w:pos="194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20" w:firstLine="1293"/>
        <w:spacing w:after="0" w:line="257" w:lineRule="auto"/>
        <w:tabs>
          <w:tab w:leader="none" w:pos="2606"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Awards May Be Granted Separately or Together</w:t>
      </w:r>
      <w:r>
        <w:rPr>
          <w:rFonts w:ascii="Arial" w:cs="Arial" w:eastAsia="Arial" w:hAnsi="Arial"/>
          <w:sz w:val="18"/>
          <w:szCs w:val="18"/>
          <w:color w:val="auto"/>
        </w:rPr>
        <w:t>. Awards may, in the discretion of the Committee, be granted either alone or in addition to, in tandem with, or in substitution for any other Award granted under the Plan or any award granted under any other plan of the Company or any Affiliate of the Company. Awards (including, without limitation, DERs) granted in addition to or in tandem with other Awards or awards granted under any other plan of the Company or any Affiliate of the Company may be granted either at the same time as or at a different time from the grant of such other Awards or awards.</w:t>
      </w:r>
    </w:p>
    <w:p>
      <w:pPr>
        <w:spacing w:after="0" w:line="188" w:lineRule="exact"/>
        <w:rPr>
          <w:rFonts w:ascii="Arial" w:cs="Arial" w:eastAsia="Arial" w:hAnsi="Arial"/>
          <w:sz w:val="18"/>
          <w:szCs w:val="18"/>
          <w:color w:val="auto"/>
        </w:rPr>
      </w:pPr>
    </w:p>
    <w:p>
      <w:pPr>
        <w:ind w:left="2620" w:hanging="687"/>
        <w:spacing w:after="0"/>
        <w:tabs>
          <w:tab w:leader="none" w:pos="2620"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Limits on Transfer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right="200" w:firstLine="1301"/>
        <w:spacing w:after="0" w:line="264" w:lineRule="auto"/>
        <w:tabs>
          <w:tab w:leader="none" w:pos="3245" w:val="left"/>
        </w:tabs>
        <w:numPr>
          <w:ilvl w:val="2"/>
          <w:numId w:val="279"/>
        </w:numPr>
        <w:rPr>
          <w:rFonts w:ascii="Arial" w:cs="Arial" w:eastAsia="Arial" w:hAnsi="Arial"/>
          <w:sz w:val="18"/>
          <w:szCs w:val="18"/>
          <w:color w:val="auto"/>
        </w:rPr>
      </w:pPr>
      <w:r>
        <w:rPr>
          <w:rFonts w:ascii="Arial" w:cs="Arial" w:eastAsia="Arial" w:hAnsi="Arial"/>
          <w:sz w:val="18"/>
          <w:szCs w:val="18"/>
          <w:color w:val="auto"/>
        </w:rPr>
        <w:t>Except as provided in (C) below, each Option and Share Appreciation Right shall be exercisable only by the Participant during the Participant’s lifetime, or by the person to whom the Participant’s rights shall pass by will or the laws of descent and distribution.</w:t>
      </w:r>
    </w:p>
    <w:p>
      <w:pPr>
        <w:spacing w:after="0" w:line="181" w:lineRule="exact"/>
        <w:rPr>
          <w:rFonts w:ascii="Arial" w:cs="Arial" w:eastAsia="Arial" w:hAnsi="Arial"/>
          <w:sz w:val="18"/>
          <w:szCs w:val="18"/>
          <w:color w:val="auto"/>
        </w:rPr>
      </w:pPr>
    </w:p>
    <w:p>
      <w:pPr>
        <w:ind w:left="1280" w:right="460" w:firstLine="1301"/>
        <w:spacing w:after="0" w:line="259" w:lineRule="auto"/>
        <w:tabs>
          <w:tab w:leader="none" w:pos="3235" w:val="left"/>
        </w:tabs>
        <w:numPr>
          <w:ilvl w:val="2"/>
          <w:numId w:val="279"/>
        </w:numPr>
        <w:rPr>
          <w:rFonts w:ascii="Arial" w:cs="Arial" w:eastAsia="Arial" w:hAnsi="Arial"/>
          <w:sz w:val="18"/>
          <w:szCs w:val="18"/>
          <w:color w:val="auto"/>
        </w:rPr>
      </w:pPr>
      <w:r>
        <w:rPr>
          <w:rFonts w:ascii="Arial" w:cs="Arial" w:eastAsia="Arial" w:hAnsi="Arial"/>
          <w:sz w:val="18"/>
          <w:szCs w:val="18"/>
          <w:color w:val="auto"/>
        </w:rPr>
        <w:t>Except as provided in (C) below, no Award and no right under any such Award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the Partnership or any of their Affiliates.</w:t>
      </w:r>
    </w:p>
    <w:p>
      <w:pPr>
        <w:spacing w:after="0" w:line="186" w:lineRule="exact"/>
        <w:rPr>
          <w:rFonts w:ascii="Arial" w:cs="Arial" w:eastAsia="Arial" w:hAnsi="Arial"/>
          <w:sz w:val="18"/>
          <w:szCs w:val="18"/>
          <w:color w:val="auto"/>
        </w:rPr>
      </w:pPr>
    </w:p>
    <w:p>
      <w:pPr>
        <w:ind w:left="1280" w:firstLine="1301"/>
        <w:spacing w:after="0" w:line="259" w:lineRule="auto"/>
        <w:tabs>
          <w:tab w:leader="none" w:pos="3235" w:val="left"/>
        </w:tabs>
        <w:numPr>
          <w:ilvl w:val="2"/>
          <w:numId w:val="279"/>
        </w:numPr>
        <w:rPr>
          <w:rFonts w:ascii="Arial" w:cs="Arial" w:eastAsia="Arial" w:hAnsi="Arial"/>
          <w:sz w:val="18"/>
          <w:szCs w:val="18"/>
          <w:color w:val="auto"/>
        </w:rPr>
      </w:pPr>
      <w:r>
        <w:rPr>
          <w:rFonts w:ascii="Arial" w:cs="Arial" w:eastAsia="Arial" w:hAnsi="Arial"/>
          <w:sz w:val="18"/>
          <w:szCs w:val="18"/>
          <w:color w:val="auto"/>
        </w:rPr>
        <w:t>To the extent specifically provided by the Committee with respect to an Option or Share Appreciation Rights Award Agreement, an Option or Share Appreciation Right may be transferred by a Participant without consideration to immediate family members or related family trusts, limited partnerships or similar entities or on such terms and conditions as the Committee may from time to time establish.</w:t>
      </w:r>
    </w:p>
    <w:p>
      <w:pPr>
        <w:spacing w:after="0" w:line="186" w:lineRule="exact"/>
        <w:rPr>
          <w:rFonts w:ascii="Arial" w:cs="Arial" w:eastAsia="Arial" w:hAnsi="Arial"/>
          <w:sz w:val="18"/>
          <w:szCs w:val="18"/>
          <w:color w:val="auto"/>
        </w:rPr>
      </w:pPr>
    </w:p>
    <w:p>
      <w:pPr>
        <w:ind w:left="2620" w:hanging="687"/>
        <w:spacing w:after="0"/>
        <w:tabs>
          <w:tab w:leader="none" w:pos="2620"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Term of Awards</w:t>
      </w:r>
      <w:r>
        <w:rPr>
          <w:rFonts w:ascii="Arial" w:cs="Arial" w:eastAsia="Arial" w:hAnsi="Arial"/>
          <w:sz w:val="18"/>
          <w:szCs w:val="18"/>
          <w:color w:val="auto"/>
        </w:rPr>
        <w:t>. The term of each Award shall be for such period as may be determined by the Committee.</w:t>
      </w:r>
    </w:p>
    <w:p>
      <w:pPr>
        <w:spacing w:after="0" w:line="225" w:lineRule="exact"/>
        <w:rPr>
          <w:rFonts w:ascii="Arial" w:cs="Arial" w:eastAsia="Arial" w:hAnsi="Arial"/>
          <w:sz w:val="18"/>
          <w:szCs w:val="18"/>
          <w:color w:val="auto"/>
        </w:rPr>
      </w:pPr>
    </w:p>
    <w:p>
      <w:pPr>
        <w:ind w:left="640" w:right="40" w:firstLine="1293"/>
        <w:spacing w:after="0" w:line="276" w:lineRule="auto"/>
        <w:tabs>
          <w:tab w:leader="none" w:pos="2602"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Share Restrictions</w:t>
      </w:r>
      <w:r>
        <w:rPr>
          <w:rFonts w:ascii="Arial" w:cs="Arial" w:eastAsia="Arial" w:hAnsi="Arial"/>
          <w:sz w:val="17"/>
          <w:szCs w:val="17"/>
          <w:color w:val="auto"/>
        </w:rPr>
        <w:t>. All Shares or other securities of the Partnership (whether or not in certificated form)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Shares or other securities are then listed, and any applicable federal or state laws, and the Committee may cause a legend or legends to be put on any certificates, if applicable, to make appropriate reference to such restrictions.</w:t>
      </w:r>
    </w:p>
    <w:p>
      <w:pPr>
        <w:sectPr>
          <w:pgSz w:w="11900" w:h="16838" w:orient="portrait"/>
          <w:cols w:equalWidth="0" w:num="1">
            <w:col w:w="11400"/>
          </w:cols>
          <w:pgMar w:left="260" w:top="341" w:right="239" w:bottom="0" w:gutter="0" w:footer="0" w:header="0"/>
        </w:sectPr>
      </w:pPr>
    </w:p>
    <w:bookmarkStart w:id="132" w:name="page133"/>
    <w:bookmarkEnd w:id="132"/>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592" w:hanging="647"/>
        <w:spacing w:after="0"/>
        <w:tabs>
          <w:tab w:leader="none" w:pos="2592"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Consideration for Grants</w:t>
      </w:r>
      <w:r>
        <w:rPr>
          <w:rFonts w:ascii="Arial" w:cs="Arial" w:eastAsia="Arial" w:hAnsi="Arial"/>
          <w:sz w:val="17"/>
          <w:szCs w:val="17"/>
          <w:color w:val="auto"/>
        </w:rPr>
        <w:t>. Awards may be granted for such consideration, including services, as the Committee</w:t>
      </w:r>
    </w:p>
    <w:p>
      <w:pPr>
        <w:spacing w:after="0" w:line="3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determines.</w:t>
      </w:r>
    </w:p>
    <w:p>
      <w:pPr>
        <w:spacing w:after="0" w:line="211" w:lineRule="exact"/>
        <w:rPr>
          <w:sz w:val="20"/>
          <w:szCs w:val="20"/>
          <w:color w:val="auto"/>
        </w:rPr>
      </w:pPr>
    </w:p>
    <w:p>
      <w:pPr>
        <w:ind w:left="652" w:right="60" w:firstLine="1293"/>
        <w:spacing w:after="0" w:line="288" w:lineRule="auto"/>
        <w:tabs>
          <w:tab w:leader="none" w:pos="2614"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Delivery of Shares or other Securities and Payment by Participant of Consideration</w:t>
      </w:r>
      <w:r>
        <w:rPr>
          <w:rFonts w:ascii="Arial" w:cs="Arial" w:eastAsia="Arial" w:hAnsi="Arial"/>
          <w:sz w:val="16"/>
          <w:szCs w:val="16"/>
          <w:color w:val="auto"/>
        </w:rPr>
        <w:t>. Notwithstanding anything in the Plan or any Award Agreement to the contrary, delivery of Shares pursuant to the exercise or vesting of an Award may be deferred for any period during which, in the good faith determination of the Committee, the Company is not reasonably able to obtain Shares to deliver pursuant to such Award without violating the rules or regulations of any applicable law or securities exchange. No Shares or other securities shall be delivered pursuant to any Award until payment in full of any amount required to be paid pursuant to the Plan or the applicable Award Agreement (including, without limitation, any exercise price or tax withholding) is received by the Company. Such payment may be made by such method or methods and in such form or forms as the Committee shall determine, including without limitation cash, other Awards, withholding of Shares, cashless broker exercises with simultaneous sale, or any combination thereof; provided that the combined value, as determined by the Committee, of all cash and cash equivalents and the Fair Market Value of any such Shares or other property so tendered to the Company, as of the date of such tender, is at least equal to the full amount required to be paid to the Company pursuant to the Plan or the applicable Award Agreement.</w:t>
      </w:r>
    </w:p>
    <w:p>
      <w:pPr>
        <w:spacing w:after="0" w:line="169" w:lineRule="exact"/>
        <w:rPr>
          <w:rFonts w:ascii="Arial" w:cs="Arial" w:eastAsia="Arial" w:hAnsi="Arial"/>
          <w:sz w:val="16"/>
          <w:szCs w:val="16"/>
          <w:color w:val="auto"/>
        </w:rPr>
      </w:pPr>
    </w:p>
    <w:p>
      <w:pPr>
        <w:ind w:left="652" w:right="160" w:firstLine="1293"/>
        <w:spacing w:after="0" w:line="277" w:lineRule="auto"/>
        <w:tabs>
          <w:tab w:leader="none" w:pos="2623"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If specifically provided in an Award Agreement, upon a change of control (as defined in the Award Agreement) the Award may automatically vest and be payable or become exercisable in full, as the case may be.</w:t>
      </w:r>
    </w:p>
    <w:p>
      <w:pPr>
        <w:spacing w:after="0" w:line="170" w:lineRule="exact"/>
        <w:rPr>
          <w:rFonts w:ascii="Arial" w:cs="Arial" w:eastAsia="Arial" w:hAnsi="Arial"/>
          <w:sz w:val="18"/>
          <w:szCs w:val="18"/>
          <w:color w:val="auto"/>
        </w:rPr>
      </w:pPr>
    </w:p>
    <w:p>
      <w:pPr>
        <w:ind w:left="652" w:firstLine="1293"/>
        <w:spacing w:after="0" w:line="259" w:lineRule="auto"/>
        <w:tabs>
          <w:tab w:leader="none" w:pos="2633"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Awards may be granted under the Plan in substitution for similar awards held by individuals who become employees as a result of a merger, consolidation or acquisition by the Company or an Affiliate of the Company of another entity or the assets of another entity. To the extent permitted by Section 409A of the Code and the regulations thereunder, such substitute Awards may have exercise prices less than the Fair Market Value of a Share on the date of such substitution.</w:t>
      </w:r>
    </w:p>
    <w:p>
      <w:pPr>
        <w:spacing w:after="0" w:line="186" w:lineRule="exact"/>
        <w:rPr>
          <w:rFonts w:ascii="Arial" w:cs="Arial" w:eastAsia="Arial" w:hAnsi="Arial"/>
          <w:sz w:val="18"/>
          <w:szCs w:val="18"/>
          <w:color w:val="auto"/>
        </w:rPr>
      </w:pPr>
    </w:p>
    <w:p>
      <w:pPr>
        <w:ind w:left="652" w:right="160" w:firstLine="1293"/>
        <w:spacing w:after="0" w:line="289" w:lineRule="auto"/>
        <w:tabs>
          <w:tab w:leader="none" w:pos="2614"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Prohibition on Repricing of Certain Awards</w:t>
      </w:r>
      <w:r>
        <w:rPr>
          <w:rFonts w:ascii="Arial" w:cs="Arial" w:eastAsia="Arial" w:hAnsi="Arial"/>
          <w:sz w:val="16"/>
          <w:szCs w:val="16"/>
          <w:color w:val="auto"/>
        </w:rPr>
        <w:t>. Subject to the provisions of Section 4(c) and Section 7(c), the terms of outstanding Award Agreements may not be amended without the approval of the Partnership’s shareholders so as to (A) reduce the Share exercise price of any outstanding Options or Share Appreciation Rights, (B) cancel any outstanding Options or Share Appreciation Rights in exchange for cash or other Awards when the Option or Share Appreciation Right exercise price per Share exceeds the Fair Market Value of the underlying Share or (C) otherwise reprice any Option or Share Appreciation Right under generally accepted accounting principles. Subject to Section 4(c), Section 7(c) and Section 8(m), the Committee shall have the authority, without the approval of the Partnership’s shareholders, to amend any outstanding Award to increase the per Share exercise price of any outstanding Options or Share Appreciation Rights or to cancel and replace any outstanding Options or Share Appreciation Rights with the grant of Options or Share Appreciation Rights having a per Share exercise price that is equal to or greater than the per Share exercise price of the original Options or Share Appreciation Rights.</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tabs>
          <w:tab w:leader="none" w:pos="1932"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b w:val="1"/>
          <w:bCs w:val="1"/>
          <w:u w:val="single" w:color="auto"/>
          <w:color w:val="auto"/>
        </w:rPr>
        <w:t>Amendment and Termination</w:t>
      </w:r>
      <w:r>
        <w:rPr>
          <w:rFonts w:ascii="Arial" w:cs="Arial" w:eastAsia="Arial" w:hAnsi="Arial"/>
          <w:sz w:val="16"/>
          <w:szCs w:val="16"/>
          <w:color w:val="auto"/>
        </w:rPr>
        <w:t>. Except to the extent prohibited by applicable law:</w:t>
      </w:r>
    </w:p>
    <w:p>
      <w:pPr>
        <w:spacing w:after="0" w:line="229" w:lineRule="exact"/>
        <w:rPr>
          <w:sz w:val="20"/>
          <w:szCs w:val="20"/>
          <w:color w:val="auto"/>
        </w:rPr>
      </w:pPr>
    </w:p>
    <w:p>
      <w:pPr>
        <w:ind w:left="-8" w:right="20" w:firstLine="1305"/>
        <w:spacing w:after="0" w:line="259" w:lineRule="auto"/>
        <w:tabs>
          <w:tab w:leader="none" w:pos="1934" w:val="left"/>
        </w:tabs>
        <w:numPr>
          <w:ilvl w:val="1"/>
          <w:numId w:val="282"/>
        </w:numPr>
        <w:rPr>
          <w:rFonts w:ascii="Arial" w:cs="Arial" w:eastAsia="Arial" w:hAnsi="Arial"/>
          <w:sz w:val="18"/>
          <w:szCs w:val="18"/>
          <w:color w:val="auto"/>
        </w:rPr>
      </w:pPr>
      <w:r>
        <w:rPr>
          <w:rFonts w:ascii="Arial" w:cs="Arial" w:eastAsia="Arial" w:hAnsi="Arial"/>
          <w:sz w:val="18"/>
          <w:szCs w:val="18"/>
          <w:i w:val="1"/>
          <w:iCs w:val="1"/>
          <w:color w:val="auto"/>
        </w:rPr>
        <w:t>Amendments to the Plan</w:t>
      </w:r>
      <w:r>
        <w:rPr>
          <w:rFonts w:ascii="Arial" w:cs="Arial" w:eastAsia="Arial" w:hAnsi="Arial"/>
          <w:sz w:val="18"/>
          <w:szCs w:val="18"/>
          <w:color w:val="auto"/>
        </w:rPr>
        <w:t>. Except as required by applicable law or the rules of the principal securities exchange 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and subject to Section 7(b) below, the Board or the Committee may amend, alter, suspend, discontinue, or terminate the Plan in any manner, including increasing the number of Shares available for Awards under the Plan, without the consent of any partner, Participant, other holder or beneficiary of an Award, or other Person.</w:t>
      </w:r>
    </w:p>
    <w:p>
      <w:pPr>
        <w:spacing w:after="0" w:line="186" w:lineRule="exact"/>
        <w:rPr>
          <w:rFonts w:ascii="Arial" w:cs="Arial" w:eastAsia="Arial" w:hAnsi="Arial"/>
          <w:sz w:val="18"/>
          <w:szCs w:val="18"/>
          <w:color w:val="auto"/>
        </w:rPr>
      </w:pPr>
    </w:p>
    <w:p>
      <w:pPr>
        <w:ind w:left="-8" w:right="40" w:firstLine="1305"/>
        <w:spacing w:after="0" w:line="288" w:lineRule="auto"/>
        <w:tabs>
          <w:tab w:leader="none" w:pos="1944" w:val="left"/>
        </w:tabs>
        <w:numPr>
          <w:ilvl w:val="1"/>
          <w:numId w:val="282"/>
        </w:numPr>
        <w:rPr>
          <w:rFonts w:ascii="Arial" w:cs="Arial" w:eastAsia="Arial" w:hAnsi="Arial"/>
          <w:sz w:val="16"/>
          <w:szCs w:val="16"/>
          <w:color w:val="auto"/>
        </w:rPr>
      </w:pPr>
      <w:r>
        <w:rPr>
          <w:rFonts w:ascii="Arial" w:cs="Arial" w:eastAsia="Arial" w:hAnsi="Arial"/>
          <w:sz w:val="16"/>
          <w:szCs w:val="16"/>
          <w:i w:val="1"/>
          <w:iCs w:val="1"/>
          <w:color w:val="auto"/>
        </w:rPr>
        <w:t>Amendments to Awards</w:t>
      </w:r>
      <w:r>
        <w:rPr>
          <w:rFonts w:ascii="Arial" w:cs="Arial" w:eastAsia="Arial" w:hAnsi="Arial"/>
          <w:sz w:val="16"/>
          <w:szCs w:val="16"/>
          <w:color w:val="auto"/>
        </w:rPr>
        <w:t>. Subject to Section 7(a), the Committee may waive any conditions or rights under, amend any terms of, or</w:t>
      </w:r>
      <w:r>
        <w:rPr>
          <w:rFonts w:ascii="Arial" w:cs="Arial" w:eastAsia="Arial" w:hAnsi="Arial"/>
          <w:sz w:val="16"/>
          <w:szCs w:val="16"/>
          <w:i w:val="1"/>
          <w:iCs w:val="1"/>
          <w:color w:val="auto"/>
        </w:rPr>
        <w:t xml:space="preserve"> </w:t>
      </w:r>
      <w:r>
        <w:rPr>
          <w:rFonts w:ascii="Arial" w:cs="Arial" w:eastAsia="Arial" w:hAnsi="Arial"/>
          <w:sz w:val="16"/>
          <w:szCs w:val="16"/>
          <w:color w:val="auto"/>
        </w:rPr>
        <w:t>alter any Award theretofore granted (including without limitation requiring or allowing for an election to settle an Award in cash), provided no change, other than pursuant to Section 4(c) or Section 7(c), in any Award shall (i) materially reduce the benefit to a Participant without the consent of such Participant or</w:t>
      </w:r>
    </w:p>
    <w:p>
      <w:pPr>
        <w:ind w:left="272" w:hanging="272"/>
        <w:spacing w:after="0"/>
        <w:tabs>
          <w:tab w:leader="none" w:pos="27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cause the Plan or such Award to fail to comply with the requirements of Section 409A of the Code.</w:t>
      </w:r>
    </w:p>
    <w:p>
      <w:pPr>
        <w:spacing w:after="0" w:line="210" w:lineRule="exact"/>
        <w:rPr>
          <w:rFonts w:ascii="Arial" w:cs="Arial" w:eastAsia="Arial" w:hAnsi="Arial"/>
          <w:sz w:val="18"/>
          <w:szCs w:val="18"/>
          <w:color w:val="auto"/>
        </w:rPr>
      </w:pPr>
    </w:p>
    <w:p>
      <w:pPr>
        <w:ind w:left="-8" w:firstLine="1305"/>
        <w:spacing w:after="0" w:line="273" w:lineRule="auto"/>
        <w:tabs>
          <w:tab w:leader="none" w:pos="1947" w:val="left"/>
        </w:tabs>
        <w:numPr>
          <w:ilvl w:val="1"/>
          <w:numId w:val="283"/>
        </w:numPr>
        <w:rPr>
          <w:rFonts w:ascii="Arial" w:cs="Arial" w:eastAsia="Arial" w:hAnsi="Arial"/>
          <w:sz w:val="17"/>
          <w:szCs w:val="17"/>
          <w:color w:val="auto"/>
        </w:rPr>
      </w:pPr>
      <w:r>
        <w:rPr>
          <w:rFonts w:ascii="Arial" w:cs="Arial" w:eastAsia="Arial" w:hAnsi="Arial"/>
          <w:sz w:val="17"/>
          <w:szCs w:val="17"/>
          <w:i w:val="1"/>
          <w:iCs w:val="1"/>
          <w:color w:val="auto"/>
        </w:rPr>
        <w:t>Adjustment of Awards Upon the Occurrence of Certain Unusual or Nonrecurring Events</w:t>
      </w:r>
      <w:r>
        <w:rPr>
          <w:rFonts w:ascii="Arial" w:cs="Arial" w:eastAsia="Arial" w:hAnsi="Arial"/>
          <w:sz w:val="17"/>
          <w:szCs w:val="17"/>
          <w:color w:val="auto"/>
        </w:rPr>
        <w:t>. The Committee is hereby authorized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adjustments in the terms and conditions of, and the criteria included in, Awards in recognition of unusual or nonrecurring events (including, without limitation, the events described in Section 4(c)) affecting the Partnership or the financial statements of the Partnership, or of changes in applicable laws, regulations, or accounting principles, whenever the Committee determines that such adjustments are appropriate in order to prevent dilution or enlargement of the benefits or potential benefits intended to be made available under the Plan or such Award; provided, however, that no such adjustment may be made that would cause the Plan or such Award to fail to comply with the requirements of Section 409A of the Code.</w:t>
      </w:r>
    </w:p>
    <w:p>
      <w:pPr>
        <w:spacing w:after="0" w:line="174" w:lineRule="exact"/>
        <w:rPr>
          <w:sz w:val="20"/>
          <w:szCs w:val="20"/>
          <w:color w:val="auto"/>
        </w:rPr>
      </w:pPr>
    </w:p>
    <w:p>
      <w:pPr>
        <w:ind w:left="652"/>
        <w:spacing w:after="0"/>
        <w:tabs>
          <w:tab w:leader="none" w:pos="1932"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b w:val="1"/>
          <w:bCs w:val="1"/>
          <w:u w:val="single" w:color="auto"/>
          <w:color w:val="auto"/>
        </w:rPr>
        <w:t>General Provisions</w:t>
      </w:r>
      <w:r>
        <w:rPr>
          <w:rFonts w:ascii="Arial" w:cs="Arial" w:eastAsia="Arial" w:hAnsi="Arial"/>
          <w:sz w:val="15"/>
          <w:szCs w:val="15"/>
          <w:color w:val="auto"/>
        </w:rPr>
        <w:t>.</w:t>
      </w:r>
    </w:p>
    <w:p>
      <w:pPr>
        <w:spacing w:after="0" w:line="229" w:lineRule="exact"/>
        <w:rPr>
          <w:sz w:val="20"/>
          <w:szCs w:val="20"/>
          <w:color w:val="auto"/>
        </w:rPr>
      </w:pPr>
    </w:p>
    <w:p>
      <w:pPr>
        <w:ind w:left="-8" w:right="560" w:firstLine="1305"/>
        <w:spacing w:after="0" w:line="308" w:lineRule="auto"/>
        <w:tabs>
          <w:tab w:leader="none" w:pos="1934" w:val="left"/>
        </w:tabs>
        <w:numPr>
          <w:ilvl w:val="0"/>
          <w:numId w:val="284"/>
        </w:numPr>
        <w:rPr>
          <w:rFonts w:ascii="Arial" w:cs="Arial" w:eastAsia="Arial" w:hAnsi="Arial"/>
          <w:sz w:val="17"/>
          <w:szCs w:val="17"/>
          <w:color w:val="auto"/>
        </w:rPr>
      </w:pPr>
      <w:r>
        <w:rPr>
          <w:rFonts w:ascii="Arial" w:cs="Arial" w:eastAsia="Arial" w:hAnsi="Arial"/>
          <w:sz w:val="17"/>
          <w:szCs w:val="17"/>
          <w:i w:val="1"/>
          <w:iCs w:val="1"/>
          <w:color w:val="auto"/>
        </w:rPr>
        <w:t>No Rights to Award</w:t>
      </w:r>
      <w:r>
        <w:rPr>
          <w:rFonts w:ascii="Arial" w:cs="Arial" w:eastAsia="Arial" w:hAnsi="Arial"/>
          <w:sz w:val="17"/>
          <w:szCs w:val="17"/>
          <w:color w:val="auto"/>
        </w:rPr>
        <w:t>. No Person shall have any claim to be granted any Award under the Plan, and there is no obligation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uniformity of treatment of Participants. The terms and conditions of Awards need not be the same with respect to each recipient.</w:t>
      </w:r>
    </w:p>
    <w:p>
      <w:pPr>
        <w:spacing w:after="0" w:line="146" w:lineRule="exact"/>
        <w:rPr>
          <w:rFonts w:ascii="Arial" w:cs="Arial" w:eastAsia="Arial" w:hAnsi="Arial"/>
          <w:sz w:val="17"/>
          <w:szCs w:val="17"/>
          <w:color w:val="auto"/>
        </w:rPr>
      </w:pPr>
    </w:p>
    <w:p>
      <w:pPr>
        <w:ind w:left="-8" w:right="60" w:firstLine="1305"/>
        <w:spacing w:after="0" w:line="276" w:lineRule="auto"/>
        <w:tabs>
          <w:tab w:leader="none" w:pos="1944" w:val="left"/>
        </w:tabs>
        <w:numPr>
          <w:ilvl w:val="0"/>
          <w:numId w:val="284"/>
        </w:numPr>
        <w:rPr>
          <w:rFonts w:ascii="Arial" w:cs="Arial" w:eastAsia="Arial" w:hAnsi="Arial"/>
          <w:sz w:val="17"/>
          <w:szCs w:val="17"/>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The Company or any Affiliate of the Company is authorized to withhold from any Award, from any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due or transfer made under any Award or from any compensation or other amount owing to a Participant the amount (in cash, Shares, other securities, Shares that would otherwise be issued pursuant to such Award or other property) of any applicable taxes payable in respect of the grant of an Award, its exercise, the lapse of restrictions thereon, or any payment or transfer under an Award or under the Plan and to take such other action as may be necessary in the opinion of the Company to satisfy its withholding obligations for the payment of such taxes.</w:t>
      </w:r>
    </w:p>
    <w:p>
      <w:pPr>
        <w:spacing w:after="0" w:line="172" w:lineRule="exact"/>
        <w:rPr>
          <w:rFonts w:ascii="Arial" w:cs="Arial" w:eastAsia="Arial" w:hAnsi="Arial"/>
          <w:sz w:val="17"/>
          <w:szCs w:val="17"/>
          <w:color w:val="auto"/>
        </w:rPr>
      </w:pPr>
    </w:p>
    <w:p>
      <w:pPr>
        <w:jc w:val="both"/>
        <w:ind w:left="-8" w:right="120" w:firstLine="1305"/>
        <w:spacing w:after="0" w:line="264" w:lineRule="auto"/>
        <w:tabs>
          <w:tab w:leader="none" w:pos="1947" w:val="left"/>
        </w:tabs>
        <w:numPr>
          <w:ilvl w:val="0"/>
          <w:numId w:val="284"/>
        </w:numPr>
        <w:rPr>
          <w:rFonts w:ascii="Arial" w:cs="Arial" w:eastAsia="Arial" w:hAnsi="Arial"/>
          <w:sz w:val="18"/>
          <w:szCs w:val="18"/>
          <w:color w:val="auto"/>
        </w:rPr>
      </w:pPr>
      <w:r>
        <w:rPr>
          <w:rFonts w:ascii="Arial" w:cs="Arial" w:eastAsia="Arial" w:hAnsi="Arial"/>
          <w:sz w:val="18"/>
          <w:szCs w:val="18"/>
          <w:i w:val="1"/>
          <w:iCs w:val="1"/>
          <w:color w:val="auto"/>
        </w:rPr>
        <w:t>No Right to Employment or Services</w:t>
      </w:r>
      <w:r>
        <w:rPr>
          <w:rFonts w:ascii="Arial" w:cs="Arial" w:eastAsia="Arial" w:hAnsi="Arial"/>
          <w:sz w:val="18"/>
          <w:szCs w:val="18"/>
          <w:color w:val="auto"/>
        </w:rPr>
        <w:t>. The grant of an Award shall not be construed as giving a Participant the right to be retained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employ of the Company or any of its Affiliates, or to remain on the Board, as applicable. Further, the Company or an Affiliate of the Company may at any time dismiss a Participant from employment, free from any liability or</w:t>
      </w:r>
    </w:p>
    <w:p>
      <w:pPr>
        <w:sectPr>
          <w:pgSz w:w="11900" w:h="16838" w:orient="portrait"/>
          <w:cols w:equalWidth="0" w:num="1">
            <w:col w:w="11392"/>
          </w:cols>
          <w:pgMar w:left="248" w:top="125" w:right="259" w:bottom="0" w:gutter="0" w:footer="0" w:header="0"/>
        </w:sectPr>
      </w:pP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25" w:right="259"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color w:val="auto"/>
        </w:rPr>
        <w:t>any claim under the Plan, unless otherwise expressly provided in the Plan, any Award Agreement or other agreement.</w:t>
      </w:r>
    </w:p>
    <w:p>
      <w:pPr>
        <w:spacing w:after="0" w:line="225" w:lineRule="exact"/>
        <w:rPr>
          <w:sz w:val="20"/>
          <w:szCs w:val="20"/>
          <w:color w:val="auto"/>
        </w:rPr>
      </w:pPr>
    </w:p>
    <w:p>
      <w:pPr>
        <w:ind w:right="540" w:firstLine="1305"/>
        <w:spacing w:after="0" w:line="277" w:lineRule="auto"/>
        <w:tabs>
          <w:tab w:leader="none" w:pos="1952"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in accordance with the laws of the State of Delaware without regard to its conflict of laws principles.</w:t>
      </w:r>
    </w:p>
    <w:p>
      <w:pPr>
        <w:spacing w:after="0" w:line="170"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is or becomes or is deemed to be invalid, illegal, or unenforceable in any</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8" w:lineRule="exact"/>
        <w:rPr>
          <w:rFonts w:ascii="Arial" w:cs="Arial" w:eastAsia="Arial" w:hAnsi="Arial"/>
          <w:sz w:val="18"/>
          <w:szCs w:val="18"/>
          <w:color w:val="auto"/>
        </w:rPr>
      </w:pPr>
    </w:p>
    <w:p>
      <w:pPr>
        <w:ind w:right="20" w:firstLine="1305"/>
        <w:spacing w:after="0" w:line="257" w:lineRule="auto"/>
        <w:tabs>
          <w:tab w:leader="none" w:pos="1949"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Other Laws</w:t>
      </w:r>
      <w:r>
        <w:rPr>
          <w:rFonts w:ascii="Arial" w:cs="Arial" w:eastAsia="Arial" w:hAnsi="Arial"/>
          <w:sz w:val="18"/>
          <w:szCs w:val="18"/>
          <w:color w:val="auto"/>
        </w:rPr>
        <w:t>. The Committee may refuse to issue or transfer any Shares or other consideration under an Award if,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it determines that the issuance or transfer of such Shares or such other consideration might violate any applicable law or regulation, the rules of the principal securities exchange on which the Shares are then traded, or entitle the Partnership or an Affiliate of the Partnership to recover the same under Section 16(b) of the Exchange Act, and any payment tendered to the Company by a Participant, other holder or beneficiary in connection with the exercise of such Award shall be promptly refunded to the relevant Participant, holder or beneficiary.</w:t>
      </w:r>
    </w:p>
    <w:p>
      <w:pPr>
        <w:spacing w:after="0" w:line="188" w:lineRule="exact"/>
        <w:rPr>
          <w:rFonts w:ascii="Arial" w:cs="Arial" w:eastAsia="Arial" w:hAnsi="Arial"/>
          <w:sz w:val="18"/>
          <w:szCs w:val="18"/>
          <w:color w:val="auto"/>
        </w:rPr>
      </w:pPr>
    </w:p>
    <w:p>
      <w:pPr>
        <w:ind w:right="20" w:firstLine="1305"/>
        <w:spacing w:after="0" w:line="279" w:lineRule="auto"/>
        <w:tabs>
          <w:tab w:leader="none" w:pos="1965" w:val="left"/>
        </w:tabs>
        <w:numPr>
          <w:ilvl w:val="0"/>
          <w:numId w:val="285"/>
        </w:numPr>
        <w:rPr>
          <w:rFonts w:ascii="Arial" w:cs="Arial" w:eastAsia="Arial" w:hAnsi="Arial"/>
          <w:sz w:val="17"/>
          <w:szCs w:val="17"/>
          <w:color w:val="auto"/>
        </w:rPr>
      </w:pPr>
      <w:r>
        <w:rPr>
          <w:rFonts w:ascii="Arial" w:cs="Arial" w:eastAsia="Arial" w:hAnsi="Arial"/>
          <w:sz w:val="17"/>
          <w:szCs w:val="17"/>
          <w:i w:val="1"/>
          <w:iCs w:val="1"/>
          <w:color w:val="auto"/>
        </w:rPr>
        <w:t>No Trust or Fund Created</w:t>
      </w:r>
      <w:r>
        <w:rPr>
          <w:rFonts w:ascii="Arial" w:cs="Arial" w:eastAsia="Arial" w:hAnsi="Arial"/>
          <w:sz w:val="17"/>
          <w:szCs w:val="17"/>
          <w:color w:val="auto"/>
        </w:rPr>
        <w:t>. Neither the Plan nor any Award shall create or be construed to create a trust or separate fund of any</w:t>
      </w:r>
      <w:r>
        <w:rPr>
          <w:rFonts w:ascii="Arial" w:cs="Arial" w:eastAsia="Arial" w:hAnsi="Arial"/>
          <w:sz w:val="17"/>
          <w:szCs w:val="17"/>
          <w:i w:val="1"/>
          <w:iCs w:val="1"/>
          <w:color w:val="auto"/>
        </w:rPr>
        <w:t xml:space="preserve"> </w:t>
      </w:r>
      <w:r>
        <w:rPr>
          <w:rFonts w:ascii="Arial" w:cs="Arial" w:eastAsia="Arial" w:hAnsi="Arial"/>
          <w:sz w:val="17"/>
          <w:szCs w:val="17"/>
          <w:color w:val="auto"/>
        </w:rPr>
        <w:t>kind or a fiduciary relationship between the Company or any participating Affiliate of the Company and a Participant or any other Person. To the extent that any Person acquires a right to receive payments from the Company or any participating Affiliate of the Company pursuant to an Award, such right shall be no greater than the right of any general unsecured creditor of the Company or any participating Affiliate of the Company.</w:t>
      </w:r>
    </w:p>
    <w:p>
      <w:pPr>
        <w:spacing w:after="0" w:line="171"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No Fractional Shares</w:t>
      </w:r>
      <w:r>
        <w:rPr>
          <w:rFonts w:ascii="Arial" w:cs="Arial" w:eastAsia="Arial" w:hAnsi="Arial"/>
          <w:sz w:val="18"/>
          <w:szCs w:val="18"/>
          <w:color w:val="auto"/>
        </w:rPr>
        <w:t>. No fractional Shares shall be issued or delivered pursuant to the Plan or any Award, and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shall determine whether cash, other securities, or other property shall be paid or transferred in lieu of any fractional Shares or whether such fractional Shares or any rights thereto shall be canceled, terminated, or otherwise eliminated.</w:t>
      </w:r>
    </w:p>
    <w:p>
      <w:pPr>
        <w:spacing w:after="0" w:line="181" w:lineRule="exact"/>
        <w:rPr>
          <w:rFonts w:ascii="Arial" w:cs="Arial" w:eastAsia="Arial" w:hAnsi="Arial"/>
          <w:sz w:val="18"/>
          <w:szCs w:val="18"/>
          <w:color w:val="auto"/>
        </w:rPr>
      </w:pPr>
    </w:p>
    <w:p>
      <w:pPr>
        <w:ind w:right="340" w:firstLine="1305"/>
        <w:spacing w:after="0" w:line="342" w:lineRule="auto"/>
        <w:tabs>
          <w:tab w:leader="none" w:pos="1966" w:val="left"/>
        </w:tabs>
        <w:numPr>
          <w:ilvl w:val="0"/>
          <w:numId w:val="285"/>
        </w:numPr>
        <w:rPr>
          <w:rFonts w:ascii="Arial" w:cs="Arial" w:eastAsia="Arial" w:hAnsi="Arial"/>
          <w:sz w:val="16"/>
          <w:szCs w:val="16"/>
          <w:color w:val="auto"/>
        </w:rPr>
      </w:pPr>
      <w:r>
        <w:rPr>
          <w:rFonts w:ascii="Arial" w:cs="Arial" w:eastAsia="Arial" w:hAnsi="Arial"/>
          <w:sz w:val="16"/>
          <w:szCs w:val="16"/>
          <w:i w:val="1"/>
          <w:iCs w:val="1"/>
          <w:color w:val="auto"/>
        </w:rPr>
        <w:t>Headings</w:t>
      </w:r>
      <w:r>
        <w:rPr>
          <w:rFonts w:ascii="Arial" w:cs="Arial" w:eastAsia="Arial" w:hAnsi="Arial"/>
          <w:sz w:val="16"/>
          <w:szCs w:val="16"/>
          <w:color w:val="auto"/>
        </w:rPr>
        <w:t>. Headings are given to the Sections and subsections of the Plan solely as a convenience to facilitate reference. Such</w:t>
      </w:r>
      <w:r>
        <w:rPr>
          <w:rFonts w:ascii="Arial" w:cs="Arial" w:eastAsia="Arial" w:hAnsi="Arial"/>
          <w:sz w:val="16"/>
          <w:szCs w:val="16"/>
          <w:i w:val="1"/>
          <w:iCs w:val="1"/>
          <w:color w:val="auto"/>
        </w:rPr>
        <w:t xml:space="preserve"> </w:t>
      </w:r>
      <w:r>
        <w:rPr>
          <w:rFonts w:ascii="Arial" w:cs="Arial" w:eastAsia="Arial" w:hAnsi="Arial"/>
          <w:sz w:val="16"/>
          <w:szCs w:val="16"/>
          <w:color w:val="auto"/>
        </w:rPr>
        <w:t>headings shall not be deemed in any way material or relevant to the construction or interpretation of the Plan or any provision thereof.</w:t>
      </w:r>
    </w:p>
    <w:p>
      <w:pPr>
        <w:spacing w:after="0" w:line="123" w:lineRule="exact"/>
        <w:rPr>
          <w:rFonts w:ascii="Arial" w:cs="Arial" w:eastAsia="Arial" w:hAnsi="Arial"/>
          <w:sz w:val="16"/>
          <w:szCs w:val="16"/>
          <w:color w:val="auto"/>
        </w:rPr>
      </w:pPr>
    </w:p>
    <w:p>
      <w:pPr>
        <w:ind w:right="40" w:firstLine="1305"/>
        <w:spacing w:after="0" w:line="277" w:lineRule="auto"/>
        <w:tabs>
          <w:tab w:leader="none" w:pos="1953"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Facility Payment</w:t>
      </w:r>
      <w:r>
        <w:rPr>
          <w:rFonts w:ascii="Arial" w:cs="Arial" w:eastAsia="Arial" w:hAnsi="Arial"/>
          <w:sz w:val="18"/>
          <w:szCs w:val="18"/>
          <w:color w:val="auto"/>
        </w:rPr>
        <w:t>. Any amounts payable hereunder to any person under legal disability or who, in the judgment of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is unable to properly manage his financial affairs, may be paid to the legal representative of such person, or may be applied for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benefit of such person in any manner which the Committee may select, and the Company shall be relieved of any further liability for payment of such amounts.</w:t>
      </w:r>
    </w:p>
    <w:p>
      <w:pPr>
        <w:spacing w:after="0" w:line="170" w:lineRule="exact"/>
        <w:rPr>
          <w:sz w:val="20"/>
          <w:szCs w:val="20"/>
          <w:color w:val="auto"/>
        </w:rPr>
      </w:pPr>
    </w:p>
    <w:p>
      <w:pPr>
        <w:ind w:right="120" w:firstLine="1305"/>
        <w:spacing w:after="0" w:line="279" w:lineRule="auto"/>
        <w:tabs>
          <w:tab w:leader="none" w:pos="1952" w:val="left"/>
        </w:tabs>
        <w:numPr>
          <w:ilvl w:val="0"/>
          <w:numId w:val="286"/>
        </w:numPr>
        <w:rPr>
          <w:rFonts w:ascii="Arial" w:cs="Arial" w:eastAsia="Arial" w:hAnsi="Arial"/>
          <w:sz w:val="17"/>
          <w:szCs w:val="17"/>
          <w:color w:val="auto"/>
        </w:rPr>
      </w:pPr>
      <w:r>
        <w:rPr>
          <w:rFonts w:ascii="Arial" w:cs="Arial" w:eastAsia="Arial" w:hAnsi="Arial"/>
          <w:sz w:val="17"/>
          <w:szCs w:val="17"/>
          <w:i w:val="1"/>
          <w:iCs w:val="1"/>
          <w:color w:val="auto"/>
        </w:rPr>
        <w:t>Participation by Affiliates</w:t>
      </w:r>
      <w:r>
        <w:rPr>
          <w:rFonts w:ascii="Arial" w:cs="Arial" w:eastAsia="Arial" w:hAnsi="Arial"/>
          <w:sz w:val="17"/>
          <w:szCs w:val="17"/>
          <w:color w:val="auto"/>
        </w:rPr>
        <w:t>. In making Awards to Employees employed by an Affiliate of the Company, the Committee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acting on behalf of the Affiliate of the Company, and to the extent the Partnership has an obligation to reimburse the Company for compensation paid to Employees for services rendered for the benefit of the Partnership, such reimbursement payments may be made by the Partnership directly to the Affiliate of the Company, and, if made to the Company, shall be received by the Company as agent for the Affiliate of the Company.</w:t>
      </w:r>
    </w:p>
    <w:p>
      <w:pPr>
        <w:spacing w:after="0" w:line="171" w:lineRule="exact"/>
        <w:rPr>
          <w:rFonts w:ascii="Arial" w:cs="Arial" w:eastAsia="Arial" w:hAnsi="Arial"/>
          <w:sz w:val="17"/>
          <w:szCs w:val="17"/>
          <w:color w:val="auto"/>
        </w:rPr>
      </w:pPr>
    </w:p>
    <w:p>
      <w:pPr>
        <w:ind w:right="220" w:firstLine="1305"/>
        <w:spacing w:after="0" w:line="277" w:lineRule="auto"/>
        <w:tabs>
          <w:tab w:leader="none" w:pos="1966" w:val="left"/>
        </w:tabs>
        <w:numPr>
          <w:ilvl w:val="0"/>
          <w:numId w:val="286"/>
        </w:numPr>
        <w:rPr>
          <w:rFonts w:ascii="Arial" w:cs="Arial" w:eastAsia="Arial" w:hAnsi="Arial"/>
          <w:sz w:val="18"/>
          <w:szCs w:val="18"/>
          <w:color w:val="auto"/>
        </w:rPr>
      </w:pPr>
      <w:r>
        <w:rPr>
          <w:rFonts w:ascii="Arial" w:cs="Arial" w:eastAsia="Arial" w:hAnsi="Arial"/>
          <w:sz w:val="18"/>
          <w:szCs w:val="18"/>
          <w:i w:val="1"/>
          <w:iCs w:val="1"/>
          <w:color w:val="auto"/>
        </w:rPr>
        <w:t>Gender and Number</w:t>
      </w:r>
      <w:r>
        <w:rPr>
          <w:rFonts w:ascii="Arial" w:cs="Arial" w:eastAsia="Arial" w:hAnsi="Arial"/>
          <w:sz w:val="18"/>
          <w:szCs w:val="18"/>
          <w:color w:val="auto"/>
        </w:rPr>
        <w:t>. Words in the masculine gender shall include the feminine gender, the plural shall include the singular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singular shall include the plural.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86"/>
        </w:numPr>
        <w:rPr>
          <w:rFonts w:ascii="Arial" w:cs="Arial" w:eastAsia="Arial" w:hAnsi="Arial"/>
          <w:sz w:val="18"/>
          <w:szCs w:val="18"/>
          <w:color w:val="auto"/>
        </w:rPr>
      </w:pPr>
      <w:r>
        <w:rPr>
          <w:rFonts w:ascii="Arial" w:cs="Arial" w:eastAsia="Arial" w:hAnsi="Arial"/>
          <w:sz w:val="18"/>
          <w:szCs w:val="18"/>
          <w:i w:val="1"/>
          <w:iCs w:val="1"/>
          <w:color w:val="auto"/>
        </w:rPr>
        <w:t>Compliance with 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0" w:firstLine="1293"/>
        <w:spacing w:after="0" w:line="289" w:lineRule="auto"/>
        <w:tabs>
          <w:tab w:leader="none" w:pos="2626"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Nothing in the Plan or any Award Agreement shall operate or be construed to cause the Plan or an Award to fail to comply with Section 409A of the Code. The applicable provisions of Section 409A of the Code and the regulations thereunder are hereby incorporated by reference into and shall control over any Plan or Award Agreement provision in conflict therewith or that would cause a failure of compliance thereunder, to the extent necessary to resolve such conflict or obviate such failure. Subject to any other restrictions or limitations contained herein, in the event that a “specified employee” (as defined under Section 409A of the Code and the regulations thereunder) becomes entitled to a payment under an Award that constitutes a “deferral of compensation” (as defined under Section 409A of the Code and the regulations thereunder) on account of a “separation from service” (as defined under Section 409A of the Code and the regulations thereunder), to the extent required by the Code, such payment shall not occur until the date that is six months plus one day from the date of such separation from service. Any amount that is otherwise payable within the six-month period described herein will be aggregated and paid in a lump sum without interest.</w:t>
      </w:r>
    </w:p>
    <w:p>
      <w:pPr>
        <w:spacing w:after="0" w:line="166" w:lineRule="exact"/>
        <w:rPr>
          <w:rFonts w:ascii="Arial" w:cs="Arial" w:eastAsia="Arial" w:hAnsi="Arial"/>
          <w:sz w:val="16"/>
          <w:szCs w:val="16"/>
          <w:color w:val="auto"/>
        </w:rPr>
      </w:pPr>
    </w:p>
    <w:p>
      <w:pPr>
        <w:ind w:left="660" w:firstLine="1293"/>
        <w:spacing w:after="0" w:line="270" w:lineRule="auto"/>
        <w:tabs>
          <w:tab w:leader="none" w:pos="2636" w:val="left"/>
        </w:tabs>
        <w:numPr>
          <w:ilvl w:val="1"/>
          <w:numId w:val="286"/>
        </w:numPr>
        <w:rPr>
          <w:rFonts w:ascii="Arial" w:cs="Arial" w:eastAsia="Arial" w:hAnsi="Arial"/>
          <w:sz w:val="17"/>
          <w:szCs w:val="17"/>
          <w:color w:val="auto"/>
        </w:rPr>
      </w:pPr>
      <w:r>
        <w:rPr>
          <w:rFonts w:ascii="Arial" w:cs="Arial" w:eastAsia="Arial" w:hAnsi="Arial"/>
          <w:sz w:val="17"/>
          <w:szCs w:val="17"/>
          <w:u w:val="single" w:color="auto"/>
          <w:color w:val="auto"/>
        </w:rPr>
        <w:t>Application to Specific Awards</w:t>
      </w:r>
      <w:r>
        <w:rPr>
          <w:rFonts w:ascii="Arial" w:cs="Arial" w:eastAsia="Arial" w:hAnsi="Arial"/>
          <w:sz w:val="17"/>
          <w:szCs w:val="17"/>
          <w:color w:val="auto"/>
        </w:rPr>
        <w:t>. It is the intent that each Award shall either (A) qualify as a “short term deferral” as such phrase is used in Section 1.409A-1 of the U.S. Treasury Regulations or (B) comply with the requirements of Section 409A of the Code. In that regard, notwithstanding anything in any Award to the contrary (but subject to an express provision in an Award Agreement authorized by the Committee in its discretion to override the provisions of this Section 8(m)(ii)): (I) in no event shall payment of or under an Award be made later than 2½ months following the year in which such payment ceases to be subject to a substantial risk of forfeiture for purposes of Section 409A; and (II) for any Award in which all or a portion becomes “nonforfeitable” upon the occurrence of an event, the relevant provisions of such Award shall be deemed to include a proviso that (x) to the extent all requirements for vesting but for the passage of time have been met as of the occurrence of such event, payment shall be made as of the next following Distribution Date and (y) to the extent additional vesting would require the achievement of additional performance thresholds (e.g.,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505" w:gutter="0" w:footer="0" w:header="0"/>
        </w:sectPr>
      </w:pPr>
    </w:p>
    <w:bookmarkStart w:id="134" w:name="page135"/>
    <w:bookmarkEnd w:id="134"/>
    <w:p>
      <w:pPr>
        <w:ind w:left="660" w:right="20"/>
        <w:spacing w:after="0" w:line="297" w:lineRule="auto"/>
        <w:rPr>
          <w:sz w:val="20"/>
          <w:szCs w:val="20"/>
          <w:color w:val="auto"/>
        </w:rPr>
      </w:pPr>
      <w:r>
        <w:rPr>
          <w:rFonts w:ascii="Arial" w:cs="Arial" w:eastAsia="Arial" w:hAnsi="Arial"/>
          <w:sz w:val="16"/>
          <w:szCs w:val="16"/>
          <w:color w:val="auto"/>
        </w:rPr>
        <w:t>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term “</w:t>
      </w:r>
      <w:r>
        <w:rPr>
          <w:rFonts w:ascii="Arial" w:cs="Arial" w:eastAsia="Arial" w:hAnsi="Arial"/>
          <w:sz w:val="16"/>
          <w:szCs w:val="16"/>
          <w:b w:val="1"/>
          <w:bCs w:val="1"/>
          <w:i w:val="1"/>
          <w:iCs w:val="1"/>
          <w:u w:val="single" w:color="auto"/>
          <w:color w:val="auto"/>
        </w:rPr>
        <w:t>Distribution Date</w:t>
      </w:r>
      <w:r>
        <w:rPr>
          <w:rFonts w:ascii="Arial" w:cs="Arial" w:eastAsia="Arial" w:hAnsi="Arial"/>
          <w:sz w:val="16"/>
          <w:szCs w:val="16"/>
          <w:color w:val="auto"/>
        </w:rPr>
        <w:t>”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b w:val="1"/>
          <w:bCs w:val="1"/>
          <w:u w:val="single" w:color="auto"/>
          <w:color w:val="auto"/>
        </w:rPr>
        <w:t>Term of the Plan</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Plan shall be effective on the date on which it is adopted by the Board and shall continue until the earliest of (i) the date terminated by the Board or the Committee or (ii) the date that all available Shares under the Plan have been paid or issued to Participants. However, unless otherwise expressly provided in the Plan or in an applicable Award Agreement, any Award granted prior to such termination, and the authority of the Board or the Committee under the Plan or an Award Agreement to amend, alter, adjust, suspend, discontinue, or terminate any such Award or to waive any conditions or rights under such Award, shall extend beyond such termination date.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WAIVER AGREEMENT</w:t>
      </w:r>
    </w:p>
    <w:p>
      <w:pPr>
        <w:spacing w:after="0" w:line="22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WAIVER AGREEMENT (this “</w:t>
      </w:r>
      <w:r>
        <w:rPr>
          <w:rFonts w:ascii="Arial" w:cs="Arial" w:eastAsia="Arial" w:hAnsi="Arial"/>
          <w:sz w:val="18"/>
          <w:szCs w:val="18"/>
          <w:b w:val="1"/>
          <w:bCs w:val="1"/>
          <w:i w:val="1"/>
          <w:iCs w:val="1"/>
          <w:color w:val="auto"/>
        </w:rPr>
        <w:t>Waiver Agreement</w:t>
      </w:r>
      <w:r>
        <w:rPr>
          <w:rFonts w:ascii="Arial" w:cs="Arial" w:eastAsia="Arial" w:hAnsi="Arial"/>
          <w:sz w:val="18"/>
          <w:szCs w:val="18"/>
          <w:color w:val="auto"/>
        </w:rPr>
        <w:t>”), dated as of October 21, 2013, with respect to the AMENDED AND RESTATED EMPLOYMENT AGREEMENT dated as of June 30, 2001, as amended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Plains All American GP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Greg L. Armstrong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340" w:right="120" w:firstLine="478"/>
        <w:spacing w:after="0" w:line="264" w:lineRule="auto"/>
        <w:tabs>
          <w:tab w:leader="none" w:pos="136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Capitalized terms not otherwise defined in this Waiver Agreement are used with the meanings ascribed to such terms in the Agreement, or if not defined in the Agreement, with the meanings ascribed to such terms in that certain Sixth Amended and Restated Limited Liability Company Agreement of the Company dated of even date herewith.</w:t>
      </w:r>
    </w:p>
    <w:p>
      <w:pPr>
        <w:spacing w:after="0" w:line="181" w:lineRule="exact"/>
        <w:rPr>
          <w:rFonts w:ascii="Arial" w:cs="Arial" w:eastAsia="Arial" w:hAnsi="Arial"/>
          <w:sz w:val="18"/>
          <w:szCs w:val="18"/>
          <w:color w:val="auto"/>
        </w:rPr>
      </w:pPr>
    </w:p>
    <w:p>
      <w:pPr>
        <w:ind w:left="340" w:right="20" w:firstLine="478"/>
        <w:spacing w:after="0" w:line="291" w:lineRule="auto"/>
        <w:tabs>
          <w:tab w:leader="none" w:pos="135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Section 8(d)(ii) of the Agreement provides that if the Employee shall terminate his employment upon a Change in Control of the Company pursuant to clause (D) of Section 7(d)(i) of the Agreement, then the Employee will be paid a lump sum amount, and further, pursuant to Section 8(f) of the Agreement, if the Employee shall terminate his employment under such circumstances, then the Employee will be entitled to continue to participate in certain health-and-accident plans or arrangements of the Company and pursuant to the Prior Waivers (as defined below) shall be entitled to immediately vest in any and all unvested long term incentive arrangements outstanding under the Company’s 1998 Long Term Incentive Plan or the 2005 Long Term Incentive Plan (such entitlement to a lump sum amount, continued participation in such plans or arrangements and immediate vesting under the applicable long term incentive plans being referred to collectively herein as the “</w:t>
      </w:r>
      <w:r>
        <w:rPr>
          <w:rFonts w:ascii="Arial" w:cs="Arial" w:eastAsia="Arial" w:hAnsi="Arial"/>
          <w:sz w:val="16"/>
          <w:szCs w:val="16"/>
          <w:b w:val="1"/>
          <w:bCs w:val="1"/>
          <w:i w:val="1"/>
          <w:iCs w:val="1"/>
          <w:color w:val="auto"/>
        </w:rPr>
        <w:t>Separation Benefits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340" w:hanging="522"/>
        <w:spacing w:after="0"/>
        <w:tabs>
          <w:tab w:leader="none" w:pos="13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By separate Waiver Agreements between the Company and Employee dated August 12, 2005 and December 23, 2010 (collectively, the</w:t>
      </w:r>
    </w:p>
    <w:p>
      <w:pPr>
        <w:spacing w:after="0" w:line="46" w:lineRule="exact"/>
        <w:rPr>
          <w:sz w:val="20"/>
          <w:szCs w:val="20"/>
          <w:color w:val="auto"/>
        </w:rPr>
      </w:pPr>
    </w:p>
    <w:p>
      <w:pPr>
        <w:ind w:left="340" w:right="8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Prior Waiver Agreements</w:t>
      </w:r>
      <w:r>
        <w:rPr>
          <w:rFonts w:ascii="Arial" w:cs="Arial" w:eastAsia="Arial" w:hAnsi="Arial"/>
          <w:sz w:val="17"/>
          <w:szCs w:val="17"/>
          <w:color w:val="auto"/>
        </w:rPr>
        <w:t>”), Employee has previously agreed to conditionally waive certain rights under the Agreement that would have been triggered but for such waivers, in each case subject to the specific terms and conditions set forth in each of the Prior Waiver Agreements.</w:t>
      </w:r>
    </w:p>
    <w:p>
      <w:pPr>
        <w:spacing w:after="0" w:line="162" w:lineRule="exact"/>
        <w:rPr>
          <w:sz w:val="20"/>
          <w:szCs w:val="20"/>
          <w:color w:val="auto"/>
        </w:rPr>
      </w:pPr>
    </w:p>
    <w:p>
      <w:pPr>
        <w:ind w:left="340" w:right="80" w:firstLine="478"/>
        <w:spacing w:after="0" w:line="302" w:lineRule="auto"/>
        <w:tabs>
          <w:tab w:leader="none" w:pos="136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Plains GP Holdings, L.P., a Delaware limited partnership (“</w:t>
      </w:r>
      <w:r>
        <w:rPr>
          <w:rFonts w:ascii="Arial" w:cs="Arial" w:eastAsia="Arial" w:hAnsi="Arial"/>
          <w:sz w:val="16"/>
          <w:szCs w:val="16"/>
          <w:b w:val="1"/>
          <w:bCs w:val="1"/>
          <w:i w:val="1"/>
          <w:iCs w:val="1"/>
          <w:color w:val="auto"/>
        </w:rPr>
        <w:t>PAGP</w:t>
      </w:r>
      <w:r>
        <w:rPr>
          <w:rFonts w:ascii="Arial" w:cs="Arial" w:eastAsia="Arial" w:hAnsi="Arial"/>
          <w:sz w:val="16"/>
          <w:szCs w:val="16"/>
          <w:color w:val="auto"/>
        </w:rPr>
        <w:t>”), was formed in July 2013, and in connection with an initial public offering of equity interests by PAGP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the existing owners of the Company intend to contribute all of their respective membership interests in the Company to the general partner of PAGP (the “</w:t>
      </w:r>
      <w:r>
        <w:rPr>
          <w:rFonts w:ascii="Arial" w:cs="Arial" w:eastAsia="Arial" w:hAnsi="Arial"/>
          <w:sz w:val="16"/>
          <w:szCs w:val="16"/>
          <w:b w:val="1"/>
          <w:bCs w:val="1"/>
          <w:i w:val="1"/>
          <w:iCs w:val="1"/>
          <w:color w:val="auto"/>
        </w:rPr>
        <w:t>Initial Contribution</w:t>
      </w:r>
      <w:r>
        <w:rPr>
          <w:rFonts w:ascii="Arial" w:cs="Arial" w:eastAsia="Arial" w:hAnsi="Arial"/>
          <w:sz w:val="16"/>
          <w:szCs w:val="16"/>
          <w:color w:val="auto"/>
        </w:rPr>
        <w:t>”), whereupon the general partner of PAGP intends to contribute such interests to PAGP (such contribution, together with the Initial Contribution, referred to collectively as the “</w:t>
      </w:r>
      <w:r>
        <w:rPr>
          <w:rFonts w:ascii="Arial" w:cs="Arial" w:eastAsia="Arial" w:hAnsi="Arial"/>
          <w:sz w:val="16"/>
          <w:szCs w:val="16"/>
          <w:b w:val="1"/>
          <w:bCs w:val="1"/>
          <w:i w:val="1"/>
          <w:iCs w:val="1"/>
          <w:color w:val="auto"/>
        </w:rPr>
        <w:t>Membership Interest Contribution</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340" w:right="380" w:firstLine="478"/>
        <w:spacing w:after="0" w:line="277" w:lineRule="auto"/>
        <w:tabs>
          <w:tab w:leader="none" w:pos="134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Company and the Employee desire to enter this Waiver Agreement to clarify and agree upon the effect of the Membership Interest Contribution and IPO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WAIVER</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that regard, for good and valuable consideration, the receipt and sufficiency of which are hereby acknowledged, the Company and the Employee hereby agree as follows:</w:t>
      </w:r>
    </w:p>
    <w:p>
      <w:pPr>
        <w:spacing w:after="0" w:line="170" w:lineRule="exact"/>
        <w:rPr>
          <w:sz w:val="20"/>
          <w:szCs w:val="20"/>
          <w:color w:val="auto"/>
        </w:rPr>
      </w:pPr>
    </w:p>
    <w:p>
      <w:pPr>
        <w:ind w:right="100" w:firstLine="656"/>
        <w:spacing w:after="0" w:line="259" w:lineRule="auto"/>
        <w:tabs>
          <w:tab w:leader="none" w:pos="1368" w:val="left"/>
        </w:tabs>
        <w:numPr>
          <w:ilvl w:val="0"/>
          <w:numId w:val="289"/>
        </w:numPr>
        <w:rPr>
          <w:rFonts w:ascii="Arial" w:cs="Arial" w:eastAsia="Arial" w:hAnsi="Arial"/>
          <w:sz w:val="18"/>
          <w:szCs w:val="18"/>
          <w:b w:val="1"/>
          <w:bCs w:val="1"/>
          <w:color w:val="auto"/>
        </w:rPr>
      </w:pPr>
      <w:r>
        <w:rPr>
          <w:rFonts w:ascii="Arial" w:cs="Arial" w:eastAsia="Arial" w:hAnsi="Arial"/>
          <w:sz w:val="18"/>
          <w:szCs w:val="18"/>
          <w:u w:val="single" w:color="auto"/>
          <w:color w:val="auto"/>
        </w:rPr>
        <w:t>Acknowledgement and Waiver</w:t>
      </w:r>
      <w:r>
        <w:rPr>
          <w:rFonts w:ascii="Arial" w:cs="Arial" w:eastAsia="Arial" w:hAnsi="Arial"/>
          <w:sz w:val="18"/>
          <w:szCs w:val="18"/>
          <w:color w:val="auto"/>
        </w:rPr>
        <w:t>. The Company and the Employee both acknowledge that the Membership Interest Contribution and/or the IPO would constitute a Change in Control of the Company, and that without this Waiver Agreement, Employee would have the power under Section 7(d) of the Agreement to terminate his employment (the “</w:t>
      </w:r>
      <w:r>
        <w:rPr>
          <w:rFonts w:ascii="Arial" w:cs="Arial" w:eastAsia="Arial" w:hAnsi="Arial"/>
          <w:sz w:val="18"/>
          <w:szCs w:val="18"/>
          <w:b w:val="1"/>
          <w:bCs w:val="1"/>
          <w:i w:val="1"/>
          <w:iCs w:val="1"/>
          <w:color w:val="auto"/>
        </w:rPr>
        <w:t>Termination Power</w:t>
      </w:r>
      <w:r>
        <w:rPr>
          <w:rFonts w:ascii="Arial" w:cs="Arial" w:eastAsia="Arial" w:hAnsi="Arial"/>
          <w:sz w:val="18"/>
          <w:szCs w:val="18"/>
          <w:color w:val="auto"/>
        </w:rPr>
        <w:t>”) and, having done so, would have the right to the Separation Benefits (the “</w:t>
      </w:r>
      <w:r>
        <w:rPr>
          <w:rFonts w:ascii="Arial" w:cs="Arial" w:eastAsia="Arial" w:hAnsi="Arial"/>
          <w:sz w:val="18"/>
          <w:szCs w:val="18"/>
          <w:b w:val="1"/>
          <w:bCs w:val="1"/>
          <w:i w:val="1"/>
          <w:iCs w:val="1"/>
          <w:color w:val="auto"/>
        </w:rPr>
        <w:t>Benefit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right="40" w:firstLine="656"/>
        <w:spacing w:after="0" w:line="255" w:lineRule="auto"/>
        <w:tabs>
          <w:tab w:leader="none" w:pos="1368" w:val="left"/>
        </w:tabs>
        <w:numPr>
          <w:ilvl w:val="0"/>
          <w:numId w:val="289"/>
        </w:numPr>
        <w:rPr>
          <w:rFonts w:ascii="Arial" w:cs="Arial" w:eastAsia="Arial" w:hAnsi="Arial"/>
          <w:sz w:val="18"/>
          <w:szCs w:val="18"/>
          <w:b w:val="1"/>
          <w:bCs w:val="1"/>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Subject to the terms and conditions contained herein, the Employee waives his Termination Power and the Benefit Right, in each case only with respect to the Membership Interest Contribution and the IPO (the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The Waiver is limited to the effects under the Agreement of the Membership Interest Contribution and the IPO, and does not waive any other provisions of the Agreement nor the effects of any past, present or future transaction constituting a Change in Control of the Company (or any other Good Reason). Specifically, except as expressly provided hereunder with respect to the Membership Interest Contribution and the IPO, the Waiver does not constitute a release or waiver by Employee of any rights or benefits under the Prior Waiver Agreements.</w:t>
      </w:r>
    </w:p>
    <w:p>
      <w:pPr>
        <w:spacing w:after="0" w:line="193" w:lineRule="exact"/>
        <w:rPr>
          <w:rFonts w:ascii="Arial" w:cs="Arial" w:eastAsia="Arial" w:hAnsi="Arial"/>
          <w:sz w:val="18"/>
          <w:szCs w:val="18"/>
          <w:b w:val="1"/>
          <w:bCs w:val="1"/>
          <w:color w:val="auto"/>
        </w:rPr>
      </w:pPr>
    </w:p>
    <w:p>
      <w:pPr>
        <w:ind w:right="40" w:firstLine="656"/>
        <w:spacing w:after="0" w:line="264" w:lineRule="auto"/>
        <w:tabs>
          <w:tab w:leader="none" w:pos="1368" w:val="left"/>
        </w:tabs>
        <w:numPr>
          <w:ilvl w:val="0"/>
          <w:numId w:val="289"/>
        </w:numPr>
        <w:rPr>
          <w:rFonts w:ascii="Arial" w:cs="Arial" w:eastAsia="Arial" w:hAnsi="Arial"/>
          <w:sz w:val="18"/>
          <w:szCs w:val="18"/>
          <w:b w:val="1"/>
          <w:bCs w:val="1"/>
          <w:color w:val="auto"/>
        </w:rPr>
      </w:pPr>
      <w:r>
        <w:rPr>
          <w:rFonts w:ascii="Arial" w:cs="Arial" w:eastAsia="Arial" w:hAnsi="Arial"/>
          <w:sz w:val="18"/>
          <w:szCs w:val="18"/>
          <w:u w:val="single" w:color="auto"/>
          <w:color w:val="auto"/>
        </w:rPr>
        <w:t>Change in Control of the Company Definition; No other Changes to Agreement</w:t>
      </w:r>
      <w:r>
        <w:rPr>
          <w:rFonts w:ascii="Arial" w:cs="Arial" w:eastAsia="Arial" w:hAnsi="Arial"/>
          <w:sz w:val="18"/>
          <w:szCs w:val="18"/>
          <w:color w:val="auto"/>
        </w:rPr>
        <w:t>. Effective upon the closing of the IPO, the definition of “Change in Control of the Company” in the Agreement shall be modified as follows: A “Change in Control of the Company” shall conclusively be deemed to have occurred at any time following the closing of the initial public offering of Plains GP Holdings, L.P. (“PAGP”) if:</w:t>
      </w:r>
    </w:p>
    <w:p>
      <w:pPr>
        <w:spacing w:after="0" w:line="181" w:lineRule="exact"/>
        <w:rPr>
          <w:rFonts w:ascii="Arial" w:cs="Arial" w:eastAsia="Arial" w:hAnsi="Arial"/>
          <w:sz w:val="18"/>
          <w:szCs w:val="18"/>
          <w:b w:val="1"/>
          <w:bCs w:val="1"/>
          <w:color w:val="auto"/>
        </w:rPr>
      </w:pPr>
    </w:p>
    <w:p>
      <w:pPr>
        <w:ind w:left="660" w:right="60" w:firstLine="1293"/>
        <w:spacing w:after="0" w:line="259" w:lineRule="auto"/>
        <w:tabs>
          <w:tab w:leader="none" w:pos="2666"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the Company or 50% or more of the outstanding limited partnership interests of PAGP;</w:t>
      </w:r>
    </w:p>
    <w:p>
      <w:pPr>
        <w:spacing w:after="0" w:line="186" w:lineRule="exact"/>
        <w:rPr>
          <w:rFonts w:ascii="Arial" w:cs="Arial" w:eastAsia="Arial" w:hAnsi="Arial"/>
          <w:sz w:val="18"/>
          <w:szCs w:val="18"/>
          <w:color w:val="auto"/>
        </w:rPr>
      </w:pPr>
    </w:p>
    <w:p>
      <w:pPr>
        <w:ind w:left="660" w:right="60" w:firstLine="1293"/>
        <w:spacing w:after="0" w:line="259" w:lineRule="auto"/>
        <w:tabs>
          <w:tab w:leader="none" w:pos="267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a Delaware limited liability company (“PAGP GP”);</w:t>
      </w:r>
    </w:p>
    <w:p>
      <w:pPr>
        <w:spacing w:after="0" w:line="186" w:lineRule="exact"/>
        <w:rPr>
          <w:rFonts w:ascii="Arial" w:cs="Arial" w:eastAsia="Arial" w:hAnsi="Arial"/>
          <w:sz w:val="18"/>
          <w:szCs w:val="18"/>
          <w:color w:val="auto"/>
        </w:rPr>
      </w:pPr>
    </w:p>
    <w:p>
      <w:pPr>
        <w:ind w:left="2680" w:hanging="727"/>
        <w:spacing w:after="0"/>
        <w:tabs>
          <w:tab w:leader="none" w:pos="268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PAGP ceases to beneficially own, directly or indirectly, more than 50% of the membership interest in the Company;</w:t>
      </w:r>
    </w:p>
    <w:p>
      <w:pPr>
        <w:spacing w:after="0" w:line="236" w:lineRule="exact"/>
        <w:rPr>
          <w:rFonts w:ascii="Arial" w:cs="Arial" w:eastAsia="Arial" w:hAnsi="Arial"/>
          <w:sz w:val="17"/>
          <w:szCs w:val="17"/>
          <w:color w:val="auto"/>
        </w:rPr>
      </w:pPr>
    </w:p>
    <w:p>
      <w:pPr>
        <w:ind w:left="660" w:right="200" w:firstLine="1293"/>
        <w:spacing w:after="0" w:line="277" w:lineRule="auto"/>
        <w:tabs>
          <w:tab w:leader="none" w:pos="2666" w:val="left"/>
        </w:tabs>
        <w:numPr>
          <w:ilvl w:val="1"/>
          <w:numId w:val="289"/>
        </w:numPr>
        <w:rPr>
          <w:rFonts w:ascii="Arial" w:cs="Arial" w:eastAsia="Arial" w:hAnsi="Arial"/>
          <w:sz w:val="18"/>
          <w:szCs w:val="18"/>
          <w:color w:val="auto"/>
        </w:rPr>
      </w:pPr>
      <w:r>
        <w:rPr>
          <w:rFonts w:ascii="Arial" w:cs="Arial" w:eastAsia="Arial" w:hAnsi="Arial"/>
          <w:sz w:val="18"/>
          <w:szCs w:val="18"/>
          <w:color w:val="auto"/>
        </w:rPr>
        <w:t>KAFU Holdings, L.P. and its affiliates, Lynx Holdings I, LLC and its affiliates, Oxy Holding Company (Pipeline), Inc. and its affiliates, Mark Strome and</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136" w:name="page137"/>
    <w:bookmarkEnd w:id="136"/>
    <w:p>
      <w:pPr>
        <w:ind w:left="660"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 affiliates, Windy, LLC and its affiliates, PAA Management, L.P. and its affiliates, PAGP and its affiliates, Jay Chernosky, Kipp PAA Trust, Paul Riddle, Russell Clingman, David Humphreys and Philip Trinder (collectively, the “Owner Affiliates”), cease to beneficially own, directly or indirectly, more than 50% of the membership interest in PAGP GP; or</w:t>
      </w:r>
    </w:p>
    <w:p>
      <w:pPr>
        <w:spacing w:after="0" w:line="181" w:lineRule="exact"/>
        <w:rPr>
          <w:sz w:val="20"/>
          <w:szCs w:val="20"/>
          <w:color w:val="auto"/>
        </w:rPr>
      </w:pPr>
    </w:p>
    <w:p>
      <w:pPr>
        <w:ind w:left="660" w:right="60" w:firstLine="1293"/>
        <w:spacing w:after="0" w:line="257" w:lineRule="auto"/>
        <w:tabs>
          <w:tab w:leader="none" w:pos="266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there has been a direct or indirect transfer, sale, exchange or other disposition in a single transaction or series of transactions (whether by merger or otherwise) of all or substantially all of the assets of PAGP or Plains All American Pipeline, L.P.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than the modification of the Change in Control of the Company definition or the Waiver as described herein, the Agreement remains in full force and effect.</w:t>
      </w:r>
    </w:p>
    <w:p>
      <w:pPr>
        <w:spacing w:after="0" w:line="170" w:lineRule="exact"/>
        <w:rPr>
          <w:sz w:val="20"/>
          <w:szCs w:val="20"/>
          <w:color w:val="auto"/>
        </w:rPr>
      </w:pPr>
    </w:p>
    <w:p>
      <w:pPr>
        <w:ind w:firstLine="656"/>
        <w:spacing w:after="0" w:line="257" w:lineRule="auto"/>
        <w:tabs>
          <w:tab w:leader="none" w:pos="1368" w:val="left"/>
        </w:tabs>
        <w:numPr>
          <w:ilvl w:val="0"/>
          <w:numId w:val="291"/>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spacing w:after="0" w:line="188" w:lineRule="exact"/>
        <w:rPr>
          <w:rFonts w:ascii="Arial" w:cs="Arial" w:eastAsia="Arial" w:hAnsi="Arial"/>
          <w:sz w:val="18"/>
          <w:szCs w:val="18"/>
          <w:b w:val="1"/>
          <w:bCs w:val="1"/>
          <w:color w:val="auto"/>
        </w:rPr>
      </w:pPr>
    </w:p>
    <w:p>
      <w:pPr>
        <w:ind w:right="360" w:firstLine="656"/>
        <w:spacing w:after="0" w:line="342" w:lineRule="auto"/>
        <w:tabs>
          <w:tab w:leader="none" w:pos="1368" w:val="left"/>
        </w:tabs>
        <w:numPr>
          <w:ilvl w:val="0"/>
          <w:numId w:val="291"/>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Subject to the terms hereof, this Waiver Agreement contains the entire understanding of the parties in respect of its subject matter and supersedes all prior oral and written agreements and understandings between the parties with respect to such subject matter.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Waiver Agreement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GP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L. ARMSTRONG</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Waiver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WAIVER AGREEMENT</w:t>
      </w:r>
    </w:p>
    <w:p>
      <w:pPr>
        <w:spacing w:after="0" w:line="22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WAIVER AGREEMENT (this “</w:t>
      </w:r>
      <w:r>
        <w:rPr>
          <w:rFonts w:ascii="Arial" w:cs="Arial" w:eastAsia="Arial" w:hAnsi="Arial"/>
          <w:sz w:val="18"/>
          <w:szCs w:val="18"/>
          <w:b w:val="1"/>
          <w:bCs w:val="1"/>
          <w:i w:val="1"/>
          <w:iCs w:val="1"/>
          <w:color w:val="auto"/>
        </w:rPr>
        <w:t>Waiver Agreement</w:t>
      </w:r>
      <w:r>
        <w:rPr>
          <w:rFonts w:ascii="Arial" w:cs="Arial" w:eastAsia="Arial" w:hAnsi="Arial"/>
          <w:sz w:val="18"/>
          <w:szCs w:val="18"/>
          <w:color w:val="auto"/>
        </w:rPr>
        <w:t>”), dated as of October 21, 2013, with respect to the AMENDED AND RESTATED EMPLOYMENT AGREEMENT dated as of June 30, 2001, as amended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Plains All American GP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Harry N. Pefanis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340" w:right="160" w:firstLine="478"/>
        <w:spacing w:after="0" w:line="264" w:lineRule="auto"/>
        <w:tabs>
          <w:tab w:leader="none" w:pos="132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Capitalized terms not otherwise defined in this Waiver Agreement are used with the meanings ascribed to such terms in the Agreement, or if not defined in the Agreement, with the meanings ascribed to such terms in that certain Sixth Amended and Restated Limited Liability Company Agreement of the Company dated of even date herewith.</w:t>
      </w:r>
    </w:p>
    <w:p>
      <w:pPr>
        <w:spacing w:after="0" w:line="181" w:lineRule="exact"/>
        <w:rPr>
          <w:rFonts w:ascii="Arial" w:cs="Arial" w:eastAsia="Arial" w:hAnsi="Arial"/>
          <w:sz w:val="18"/>
          <w:szCs w:val="18"/>
          <w:color w:val="auto"/>
        </w:rPr>
      </w:pPr>
    </w:p>
    <w:p>
      <w:pPr>
        <w:ind w:left="340" w:right="20" w:firstLine="478"/>
        <w:spacing w:after="0" w:line="291" w:lineRule="auto"/>
        <w:tabs>
          <w:tab w:leader="none" w:pos="131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Section 8(d)(ii) of the Agreement provides that if the Employee shall terminate his employment upon a Change in Control of the Company pursuant to clause (D) of Section 7(d)(i) of the Agreement, then the Employee will be paid a lump sum amount, and further, pursuant to Section 8(f) of the Agreement, if the Employee shall terminate his employment under such circumstances, then the Employee will be entitled to continue to participate in certain health-and-accident plans or arrangements of the Company and pursuant to the Prior Waivers (as defined below) shall be entitled to immediately vest in any and all unvested long term incentive arrangements outstanding under the Company’s 1998 Long Term Incentive Plan or the 2005 Long Term Incentive Plan (such entitlement to a lump sum amount, continued participation in such plans or arrangements and immediate vesting under the applicable long term incentive plans being referred to collectively herein as the “</w:t>
      </w:r>
      <w:r>
        <w:rPr>
          <w:rFonts w:ascii="Arial" w:cs="Arial" w:eastAsia="Arial" w:hAnsi="Arial"/>
          <w:sz w:val="16"/>
          <w:szCs w:val="16"/>
          <w:b w:val="1"/>
          <w:bCs w:val="1"/>
          <w:i w:val="1"/>
          <w:iCs w:val="1"/>
          <w:color w:val="auto"/>
        </w:rPr>
        <w:t>Separation Benefits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300" w:hanging="482"/>
        <w:spacing w:after="0"/>
        <w:tabs>
          <w:tab w:leader="none" w:pos="130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By separate Waiver Agreements between the Company and Employee dated August 12, 2005 and December 23, 2010 (collectively, the</w:t>
      </w:r>
    </w:p>
    <w:p>
      <w:pPr>
        <w:spacing w:after="0" w:line="46" w:lineRule="exact"/>
        <w:rPr>
          <w:sz w:val="20"/>
          <w:szCs w:val="20"/>
          <w:color w:val="auto"/>
        </w:rPr>
      </w:pPr>
    </w:p>
    <w:p>
      <w:pPr>
        <w:ind w:left="340" w:right="8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Prior Waiver Agreements</w:t>
      </w:r>
      <w:r>
        <w:rPr>
          <w:rFonts w:ascii="Arial" w:cs="Arial" w:eastAsia="Arial" w:hAnsi="Arial"/>
          <w:sz w:val="17"/>
          <w:szCs w:val="17"/>
          <w:color w:val="auto"/>
        </w:rPr>
        <w:t>”), Employee has previously agreed to conditionally waive certain rights under the Agreement that would have been triggered but for such waivers, in each case subject to the specific terms and conditions set forth in each of the Prior Waiver Agreements.</w:t>
      </w:r>
    </w:p>
    <w:p>
      <w:pPr>
        <w:spacing w:after="0" w:line="162" w:lineRule="exact"/>
        <w:rPr>
          <w:sz w:val="20"/>
          <w:szCs w:val="20"/>
          <w:color w:val="auto"/>
        </w:rPr>
      </w:pPr>
    </w:p>
    <w:p>
      <w:pPr>
        <w:ind w:left="340" w:right="80" w:firstLine="478"/>
        <w:spacing w:after="0" w:line="302" w:lineRule="auto"/>
        <w:tabs>
          <w:tab w:leader="none" w:pos="132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Plains GP Holdings, L.P., a Delaware limited partnership (“</w:t>
      </w:r>
      <w:r>
        <w:rPr>
          <w:rFonts w:ascii="Arial" w:cs="Arial" w:eastAsia="Arial" w:hAnsi="Arial"/>
          <w:sz w:val="16"/>
          <w:szCs w:val="16"/>
          <w:b w:val="1"/>
          <w:bCs w:val="1"/>
          <w:i w:val="1"/>
          <w:iCs w:val="1"/>
          <w:color w:val="auto"/>
        </w:rPr>
        <w:t>PAGP</w:t>
      </w:r>
      <w:r>
        <w:rPr>
          <w:rFonts w:ascii="Arial" w:cs="Arial" w:eastAsia="Arial" w:hAnsi="Arial"/>
          <w:sz w:val="16"/>
          <w:szCs w:val="16"/>
          <w:color w:val="auto"/>
        </w:rPr>
        <w:t>”), was formed in July 2013, and in connection with an initial public offering of equity interests by PAGP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the existing owners of the Company intend to contribute all of their respective membership interests in the Company to the general partner of PAGP (the “</w:t>
      </w:r>
      <w:r>
        <w:rPr>
          <w:rFonts w:ascii="Arial" w:cs="Arial" w:eastAsia="Arial" w:hAnsi="Arial"/>
          <w:sz w:val="16"/>
          <w:szCs w:val="16"/>
          <w:b w:val="1"/>
          <w:bCs w:val="1"/>
          <w:i w:val="1"/>
          <w:iCs w:val="1"/>
          <w:color w:val="auto"/>
        </w:rPr>
        <w:t>Initial Contribution</w:t>
      </w:r>
      <w:r>
        <w:rPr>
          <w:rFonts w:ascii="Arial" w:cs="Arial" w:eastAsia="Arial" w:hAnsi="Arial"/>
          <w:sz w:val="16"/>
          <w:szCs w:val="16"/>
          <w:color w:val="auto"/>
        </w:rPr>
        <w:t>”), whereupon the general partner of PAGP intends to contribute such interests to PAGP (such contribution, together with the Initial Contribution, referred to collectively as the “</w:t>
      </w:r>
      <w:r>
        <w:rPr>
          <w:rFonts w:ascii="Arial" w:cs="Arial" w:eastAsia="Arial" w:hAnsi="Arial"/>
          <w:sz w:val="16"/>
          <w:szCs w:val="16"/>
          <w:b w:val="1"/>
          <w:bCs w:val="1"/>
          <w:i w:val="1"/>
          <w:iCs w:val="1"/>
          <w:color w:val="auto"/>
        </w:rPr>
        <w:t>Membership Interest Contribution</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340" w:right="400" w:firstLine="478"/>
        <w:spacing w:after="0" w:line="277" w:lineRule="auto"/>
        <w:tabs>
          <w:tab w:leader="none" w:pos="131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 and the Employee desire to enter this Waiver Agreement to clarify and agree upon the effect of the Membership Interest Contribution and IPO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WAIVER</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that regard, for good and valuable consideration, the receipt and sufficiency of which are hereby acknowledged, the Company and the Employee hereby agree as follows:</w:t>
      </w:r>
    </w:p>
    <w:p>
      <w:pPr>
        <w:spacing w:after="0" w:line="170" w:lineRule="exact"/>
        <w:rPr>
          <w:sz w:val="20"/>
          <w:szCs w:val="20"/>
          <w:color w:val="auto"/>
        </w:rPr>
      </w:pPr>
    </w:p>
    <w:p>
      <w:pPr>
        <w:jc w:val="both"/>
        <w:ind w:right="180" w:firstLine="656"/>
        <w:spacing w:after="0" w:line="259" w:lineRule="auto"/>
        <w:tabs>
          <w:tab w:leader="none" w:pos="1296" w:val="left"/>
        </w:tabs>
        <w:numPr>
          <w:ilvl w:val="0"/>
          <w:numId w:val="294"/>
        </w:numPr>
        <w:rPr>
          <w:rFonts w:ascii="Arial" w:cs="Arial" w:eastAsia="Arial" w:hAnsi="Arial"/>
          <w:sz w:val="18"/>
          <w:szCs w:val="18"/>
          <w:b w:val="1"/>
          <w:bCs w:val="1"/>
          <w:color w:val="auto"/>
        </w:rPr>
      </w:pPr>
      <w:r>
        <w:rPr>
          <w:rFonts w:ascii="Arial" w:cs="Arial" w:eastAsia="Arial" w:hAnsi="Arial"/>
          <w:sz w:val="18"/>
          <w:szCs w:val="18"/>
          <w:u w:val="single" w:color="auto"/>
          <w:color w:val="auto"/>
        </w:rPr>
        <w:t>Acknowledgement and Waiver</w:t>
      </w:r>
      <w:r>
        <w:rPr>
          <w:rFonts w:ascii="Arial" w:cs="Arial" w:eastAsia="Arial" w:hAnsi="Arial"/>
          <w:sz w:val="18"/>
          <w:szCs w:val="18"/>
          <w:color w:val="auto"/>
        </w:rPr>
        <w:t>. The Company and the Employee both acknowledge that the Membership Interest Contribution and/or the IPO would constitute a Change in Control of the Company, and that without this Waiver Agreement, Employee would have the power under Section 7(d) of the Agreement to terminate his employment (the “</w:t>
      </w:r>
      <w:r>
        <w:rPr>
          <w:rFonts w:ascii="Arial" w:cs="Arial" w:eastAsia="Arial" w:hAnsi="Arial"/>
          <w:sz w:val="18"/>
          <w:szCs w:val="18"/>
          <w:b w:val="1"/>
          <w:bCs w:val="1"/>
          <w:i w:val="1"/>
          <w:iCs w:val="1"/>
          <w:color w:val="auto"/>
        </w:rPr>
        <w:t>Termination Power</w:t>
      </w:r>
      <w:r>
        <w:rPr>
          <w:rFonts w:ascii="Arial" w:cs="Arial" w:eastAsia="Arial" w:hAnsi="Arial"/>
          <w:sz w:val="18"/>
          <w:szCs w:val="18"/>
          <w:color w:val="auto"/>
        </w:rPr>
        <w:t>”) and, having done so, would have the right to the Separation Benefits (the “</w:t>
      </w:r>
      <w:r>
        <w:rPr>
          <w:rFonts w:ascii="Arial" w:cs="Arial" w:eastAsia="Arial" w:hAnsi="Arial"/>
          <w:sz w:val="18"/>
          <w:szCs w:val="18"/>
          <w:b w:val="1"/>
          <w:bCs w:val="1"/>
          <w:i w:val="1"/>
          <w:iCs w:val="1"/>
          <w:color w:val="auto"/>
        </w:rPr>
        <w:t>Benefit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right="40" w:firstLine="656"/>
        <w:spacing w:after="0" w:line="255" w:lineRule="auto"/>
        <w:tabs>
          <w:tab w:leader="none" w:pos="1296" w:val="left"/>
        </w:tabs>
        <w:numPr>
          <w:ilvl w:val="0"/>
          <w:numId w:val="294"/>
        </w:numPr>
        <w:rPr>
          <w:rFonts w:ascii="Arial" w:cs="Arial" w:eastAsia="Arial" w:hAnsi="Arial"/>
          <w:sz w:val="18"/>
          <w:szCs w:val="18"/>
          <w:b w:val="1"/>
          <w:bCs w:val="1"/>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Subject to the terms and conditions contained herein, the Employee waives his Termination Power and the Benefit Right, in each case only with respect to the Membership Interest Contribution and the IPO (the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The Waiver is limited to the effects under the Agreement of the Membership Interest Contribution and the IPO, and does not waive any other provisions of the Agreement nor the effects of any past, present or future transaction constituting a Change in Control of the Company (or any other Good Reason). Specifically, except as expressly provided hereunder with respect to the Membership Interest Contribution and the IPO, the Waiver does not constitute a release or waiver by Employee of any rights or benefits under the Prior Waiver Agreements.</w:t>
      </w:r>
    </w:p>
    <w:p>
      <w:pPr>
        <w:spacing w:after="0" w:line="193" w:lineRule="exact"/>
        <w:rPr>
          <w:rFonts w:ascii="Arial" w:cs="Arial" w:eastAsia="Arial" w:hAnsi="Arial"/>
          <w:sz w:val="18"/>
          <w:szCs w:val="18"/>
          <w:b w:val="1"/>
          <w:bCs w:val="1"/>
          <w:color w:val="auto"/>
        </w:rPr>
      </w:pPr>
    </w:p>
    <w:p>
      <w:pPr>
        <w:ind w:right="40" w:firstLine="656"/>
        <w:spacing w:after="0" w:line="264" w:lineRule="auto"/>
        <w:tabs>
          <w:tab w:leader="none" w:pos="1296" w:val="left"/>
        </w:tabs>
        <w:numPr>
          <w:ilvl w:val="0"/>
          <w:numId w:val="294"/>
        </w:numPr>
        <w:rPr>
          <w:rFonts w:ascii="Arial" w:cs="Arial" w:eastAsia="Arial" w:hAnsi="Arial"/>
          <w:sz w:val="18"/>
          <w:szCs w:val="18"/>
          <w:b w:val="1"/>
          <w:bCs w:val="1"/>
          <w:color w:val="auto"/>
        </w:rPr>
      </w:pPr>
      <w:r>
        <w:rPr>
          <w:rFonts w:ascii="Arial" w:cs="Arial" w:eastAsia="Arial" w:hAnsi="Arial"/>
          <w:sz w:val="18"/>
          <w:szCs w:val="18"/>
          <w:u w:val="single" w:color="auto"/>
          <w:color w:val="auto"/>
        </w:rPr>
        <w:t>Change in Control of the Company Definition; No other Changes to Agreement</w:t>
      </w:r>
      <w:r>
        <w:rPr>
          <w:rFonts w:ascii="Arial" w:cs="Arial" w:eastAsia="Arial" w:hAnsi="Arial"/>
          <w:sz w:val="18"/>
          <w:szCs w:val="18"/>
          <w:color w:val="auto"/>
        </w:rPr>
        <w:t>. Effective upon the closing of the IPO, the definition of “Change in Control of the Company” in the Agreement shall be modified as follows: A “Change in Control of the Company” shall conclusively be deemed to have occurred at any time following the closing of the initial public offering of Plains GP Holdings, L.P. (“PAGP”) if:</w:t>
      </w:r>
    </w:p>
    <w:p>
      <w:pPr>
        <w:spacing w:after="0" w:line="181" w:lineRule="exact"/>
        <w:rPr>
          <w:rFonts w:ascii="Arial" w:cs="Arial" w:eastAsia="Arial" w:hAnsi="Arial"/>
          <w:sz w:val="18"/>
          <w:szCs w:val="18"/>
          <w:b w:val="1"/>
          <w:bCs w:val="1"/>
          <w:color w:val="auto"/>
        </w:rPr>
      </w:pPr>
    </w:p>
    <w:p>
      <w:pPr>
        <w:ind w:left="660" w:right="100" w:firstLine="1293"/>
        <w:spacing w:after="0" w:line="259" w:lineRule="auto"/>
        <w:tabs>
          <w:tab w:leader="none" w:pos="262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the Company or 50% or more of the outstanding limited partnership interests of PAGP;</w:t>
      </w:r>
    </w:p>
    <w:p>
      <w:pPr>
        <w:spacing w:after="0" w:line="186" w:lineRule="exact"/>
        <w:rPr>
          <w:rFonts w:ascii="Arial" w:cs="Arial" w:eastAsia="Arial" w:hAnsi="Arial"/>
          <w:sz w:val="18"/>
          <w:szCs w:val="18"/>
          <w:color w:val="auto"/>
        </w:rPr>
      </w:pPr>
    </w:p>
    <w:p>
      <w:pPr>
        <w:ind w:left="660" w:right="100" w:firstLine="1293"/>
        <w:spacing w:after="0" w:line="259" w:lineRule="auto"/>
        <w:tabs>
          <w:tab w:leader="none" w:pos="263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a Delaware limited liability company (“PAGP GP”);</w:t>
      </w:r>
    </w:p>
    <w:p>
      <w:pPr>
        <w:spacing w:after="0" w:line="186" w:lineRule="exact"/>
        <w:rPr>
          <w:rFonts w:ascii="Arial" w:cs="Arial" w:eastAsia="Arial" w:hAnsi="Arial"/>
          <w:sz w:val="18"/>
          <w:szCs w:val="18"/>
          <w:color w:val="auto"/>
        </w:rPr>
      </w:pPr>
    </w:p>
    <w:p>
      <w:pPr>
        <w:ind w:left="2640" w:hanging="687"/>
        <w:spacing w:after="0"/>
        <w:tabs>
          <w:tab w:leader="none" w:pos="264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PAGP ceases to beneficially own, directly or indirectly, more than 50% of the membership interest in the Company;</w:t>
      </w:r>
    </w:p>
    <w:p>
      <w:pPr>
        <w:spacing w:after="0" w:line="236" w:lineRule="exact"/>
        <w:rPr>
          <w:rFonts w:ascii="Arial" w:cs="Arial" w:eastAsia="Arial" w:hAnsi="Arial"/>
          <w:sz w:val="17"/>
          <w:szCs w:val="17"/>
          <w:color w:val="auto"/>
        </w:rPr>
      </w:pPr>
    </w:p>
    <w:p>
      <w:pPr>
        <w:ind w:left="660" w:right="260" w:firstLine="1293"/>
        <w:spacing w:after="0" w:line="277" w:lineRule="auto"/>
        <w:tabs>
          <w:tab w:leader="none" w:pos="262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KAFU Holdings, L.P. and its affiliates, Lynx Holdings I, LLC and its affiliates, Oxy Holding Company (Pipeline), Inc. and its affiliates, Mark Strome and</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138" w:name="page139"/>
    <w:bookmarkEnd w:id="138"/>
    <w:p>
      <w:pPr>
        <w:ind w:left="660"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 affiliates, Windy, LLC and its affiliates, PAA Management, L.P. and its affiliates, PAGP and its affiliates, Jay Chernosky, Kipp PAA Trust, Paul Riddle, Russell Clingman, David Humphreys and Philip Trinder (collectively, the “Owner Affiliates”), cease to beneficially own, directly or indirectly, more than 50% of the membership interest in PAGP GP; or</w:t>
      </w:r>
    </w:p>
    <w:p>
      <w:pPr>
        <w:spacing w:after="0" w:line="181" w:lineRule="exact"/>
        <w:rPr>
          <w:sz w:val="20"/>
          <w:szCs w:val="20"/>
          <w:color w:val="auto"/>
        </w:rPr>
      </w:pPr>
    </w:p>
    <w:p>
      <w:pPr>
        <w:ind w:left="660" w:right="60" w:firstLine="1293"/>
        <w:spacing w:after="0" w:line="257" w:lineRule="auto"/>
        <w:tabs>
          <w:tab w:leader="none" w:pos="261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there has been a direct or indirect transfer, sale, exchange or other disposition in a single transaction or series of transactions (whether by merger or otherwise) of all or substantially all of the assets of PAGP or Plains All American Pipeline, L.P.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than the modification of the Change in Control of the Company definition or the Waiver as described herein, the Agreement remains in full force and effect.</w:t>
      </w:r>
    </w:p>
    <w:p>
      <w:pPr>
        <w:spacing w:after="0" w:line="170" w:lineRule="exact"/>
        <w:rPr>
          <w:sz w:val="20"/>
          <w:szCs w:val="20"/>
          <w:color w:val="auto"/>
        </w:rPr>
      </w:pPr>
    </w:p>
    <w:p>
      <w:pPr>
        <w:ind w:firstLine="656"/>
        <w:spacing w:after="0" w:line="257" w:lineRule="auto"/>
        <w:tabs>
          <w:tab w:leader="none" w:pos="1296" w:val="left"/>
        </w:tabs>
        <w:numPr>
          <w:ilvl w:val="0"/>
          <w:numId w:val="296"/>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spacing w:after="0" w:line="188" w:lineRule="exact"/>
        <w:rPr>
          <w:rFonts w:ascii="Arial" w:cs="Arial" w:eastAsia="Arial" w:hAnsi="Arial"/>
          <w:sz w:val="18"/>
          <w:szCs w:val="18"/>
          <w:b w:val="1"/>
          <w:bCs w:val="1"/>
          <w:color w:val="auto"/>
        </w:rPr>
      </w:pPr>
    </w:p>
    <w:p>
      <w:pPr>
        <w:ind w:right="440" w:firstLine="656"/>
        <w:spacing w:after="0" w:line="342" w:lineRule="auto"/>
        <w:tabs>
          <w:tab w:leader="none" w:pos="1296" w:val="left"/>
        </w:tabs>
        <w:numPr>
          <w:ilvl w:val="0"/>
          <w:numId w:val="296"/>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Subject to the terms hereof, this Waiver Agreement contains the entire understanding of the parties in respect of its subject matter and supersedes all prior oral and written agreements and understandings between the parties with respect to such subject matter.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Waiver Agreement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GP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HARRY N. PEFANIS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Harry N. Pefanis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Waiver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39" w:name="page140"/>
    <w:bookmarkEnd w:id="139"/>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 CLASS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UNITS AGREEMENT</w:t>
      </w:r>
    </w:p>
    <w:p>
      <w:pPr>
        <w:spacing w:after="0" w:line="211"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This First Amendment to Plains AAP, L.P. Class B Restricted Units Agreement (this “Amendment”) is entered into on this 18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October, 2013 by and between Plains AAP, L.P., a Delaware limited partnership (the “Partnership”) and the undersigned individual (“Executive”).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Partnership and Executive have previously entered into one or more Plains AAP, L.P. Class B Restricted Unit Agreements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on the signature page hereto (such agreement(s) being herein referred to as the “Class B Agreements”).</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owners of Class A Units in the Partnership intend to consummate an initial public offering (the “GP IPO”) of equity interests in a</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formed entity named Plains GP Holdings, L.P., which entity will use the net proceeds from such offering to purchase an interest in the Partnership from such owners.</w:t>
      </w:r>
    </w:p>
    <w:p>
      <w:pPr>
        <w:spacing w:after="0" w:line="176"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consummation of the GP IPO, Executive and the Partnership desire to enter into this Amendment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evidencing certain mutually beneficial amendments to the Class B Agreements.</w:t>
      </w:r>
    </w:p>
    <w:p>
      <w:pPr>
        <w:spacing w:after="0" w:line="162" w:lineRule="exact"/>
        <w:rPr>
          <w:sz w:val="20"/>
          <w:szCs w:val="20"/>
          <w:color w:val="auto"/>
        </w:rPr>
      </w:pPr>
    </w:p>
    <w:p>
      <w:pPr>
        <w:ind w:right="300" w:firstLine="648"/>
        <w:spacing w:after="0" w:line="314"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agreements set forth herein and other good and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the Partnership and Executive hereby agree as follows, effective upon the consummation of the GP IPO (it being further agreed that any capitalized term used herein but not defined shall have the meaning given such term in the Class B Agreements):</w:t>
      </w:r>
    </w:p>
    <w:p>
      <w:pPr>
        <w:spacing w:after="0" w:line="146" w:lineRule="exact"/>
        <w:rPr>
          <w:sz w:val="20"/>
          <w:szCs w:val="20"/>
          <w:color w:val="auto"/>
        </w:rPr>
      </w:pPr>
    </w:p>
    <w:p>
      <w:pPr>
        <w:jc w:val="both"/>
        <w:ind w:left="980" w:right="80" w:hanging="324"/>
        <w:spacing w:after="0" w:line="312" w:lineRule="auto"/>
        <w:tabs>
          <w:tab w:leader="none" w:pos="980" w:val="left"/>
        </w:tabs>
        <w:numPr>
          <w:ilvl w:val="0"/>
          <w:numId w:val="297"/>
        </w:numPr>
        <w:rPr>
          <w:rFonts w:ascii="Arial" w:cs="Arial" w:eastAsia="Arial" w:hAnsi="Arial"/>
          <w:sz w:val="16"/>
          <w:szCs w:val="16"/>
          <w:color w:val="auto"/>
        </w:rPr>
      </w:pPr>
      <w:r>
        <w:rPr>
          <w:rFonts w:ascii="Arial" w:cs="Arial" w:eastAsia="Arial" w:hAnsi="Arial"/>
          <w:sz w:val="16"/>
          <w:szCs w:val="16"/>
          <w:i w:val="1"/>
          <w:iCs w:val="1"/>
          <w:u w:val="single" w:color="auto"/>
          <w:color w:val="auto"/>
        </w:rPr>
        <w:t>Definition of Granted Units</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recapitalization of the Partnership that will take place in connection with the closing of the GP IPO and</w:t>
      </w:r>
      <w:r>
        <w:rPr>
          <w:rFonts w:ascii="Arial" w:cs="Arial" w:eastAsia="Arial" w:hAnsi="Arial"/>
          <w:sz w:val="16"/>
          <w:szCs w:val="16"/>
          <w:i w:val="1"/>
          <w:iCs w:val="1"/>
          <w:color w:val="auto"/>
        </w:rPr>
        <w:t xml:space="preserve"> </w:t>
      </w:r>
      <w:r>
        <w:rPr>
          <w:rFonts w:ascii="Arial" w:cs="Arial" w:eastAsia="Arial" w:hAnsi="Arial"/>
          <w:sz w:val="16"/>
          <w:szCs w:val="16"/>
          <w:color w:val="auto"/>
        </w:rPr>
        <w:t>as contemplated by Section 3.5(a) of the Class B Agreements, the phrase “Granted Units” as used under any Class B Agreement shall mean the number of Class B Units identified on the signature page hereto as the “Post IPO Class B Units” associated with such Class B Agreement.</w:t>
      </w:r>
    </w:p>
    <w:p>
      <w:pPr>
        <w:spacing w:after="0" w:line="146" w:lineRule="exact"/>
        <w:rPr>
          <w:rFonts w:ascii="Arial" w:cs="Arial" w:eastAsia="Arial" w:hAnsi="Arial"/>
          <w:sz w:val="16"/>
          <w:szCs w:val="16"/>
          <w:color w:val="auto"/>
        </w:rPr>
      </w:pPr>
    </w:p>
    <w:p>
      <w:pPr>
        <w:ind w:left="980" w:right="80" w:hanging="324"/>
        <w:spacing w:after="0" w:line="277" w:lineRule="auto"/>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 of GP IPO</w:t>
      </w:r>
      <w:r>
        <w:rPr>
          <w:rFonts w:ascii="Arial" w:cs="Arial" w:eastAsia="Arial" w:hAnsi="Arial"/>
          <w:sz w:val="18"/>
          <w:szCs w:val="18"/>
          <w:i w:val="1"/>
          <w:iCs w:val="1"/>
          <w:color w:val="auto"/>
        </w:rPr>
        <w:t xml:space="preserve">. </w:t>
      </w:r>
      <w:r>
        <w:rPr>
          <w:rFonts w:ascii="Arial" w:cs="Arial" w:eastAsia="Arial" w:hAnsi="Arial"/>
          <w:sz w:val="18"/>
          <w:szCs w:val="18"/>
          <w:color w:val="auto"/>
        </w:rPr>
        <w:t>The definition of the term “GP IPO” in Article 1 of the Class B Agreements is hereby deleted and replaced in its entirety</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w:t>
      </w:r>
    </w:p>
    <w:p>
      <w:pPr>
        <w:spacing w:after="0" w:line="166" w:lineRule="exact"/>
        <w:rPr>
          <w:sz w:val="20"/>
          <w:szCs w:val="20"/>
          <w:color w:val="auto"/>
        </w:rPr>
      </w:pPr>
    </w:p>
    <w:p>
      <w:pPr>
        <w:ind w:left="130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GP IPO</w:t>
      </w:r>
      <w:r>
        <w:rPr>
          <w:rFonts w:ascii="Arial" w:cs="Arial" w:eastAsia="Arial" w:hAnsi="Arial"/>
          <w:sz w:val="18"/>
          <w:szCs w:val="18"/>
          <w:color w:val="auto"/>
        </w:rPr>
        <w:t>” means the initial public offering of Class A shares by the IPO Entity as contemplated by that certain Registration Statement on Form S-1 filed with the Securities and Exchange Commission (Registration No. 333-190227), as amended.</w:t>
      </w:r>
    </w:p>
    <w:p>
      <w:pPr>
        <w:spacing w:after="0" w:line="166" w:lineRule="exact"/>
        <w:rPr>
          <w:sz w:val="20"/>
          <w:szCs w:val="20"/>
          <w:color w:val="auto"/>
        </w:rPr>
      </w:pPr>
    </w:p>
    <w:p>
      <w:pPr>
        <w:ind w:left="980" w:right="260" w:hanging="324"/>
        <w:spacing w:after="0" w:line="277" w:lineRule="auto"/>
        <w:tabs>
          <w:tab w:leader="none" w:pos="980" w:val="left"/>
        </w:tabs>
        <w:numPr>
          <w:ilvl w:val="0"/>
          <w:numId w:val="298"/>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 of IPO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The definition of the term “IPO Entity” in Article 1 of the Class B Agreements is hereby deleted and replaced in its</w:t>
      </w:r>
      <w:r>
        <w:rPr>
          <w:rFonts w:ascii="Arial" w:cs="Arial" w:eastAsia="Arial" w:hAnsi="Arial"/>
          <w:sz w:val="18"/>
          <w:szCs w:val="18"/>
          <w:i w:val="1"/>
          <w:iCs w:val="1"/>
          <w:color w:val="auto"/>
        </w:rPr>
        <w:t xml:space="preserve"> </w:t>
      </w:r>
      <w:r>
        <w:rPr>
          <w:rFonts w:ascii="Arial" w:cs="Arial" w:eastAsia="Arial" w:hAnsi="Arial"/>
          <w:sz w:val="18"/>
          <w:szCs w:val="18"/>
          <w:color w:val="auto"/>
        </w:rPr>
        <w:t>entirety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Entity</w:t>
      </w:r>
      <w:r>
        <w:rPr>
          <w:rFonts w:ascii="Arial" w:cs="Arial" w:eastAsia="Arial" w:hAnsi="Arial"/>
          <w:sz w:val="18"/>
          <w:szCs w:val="18"/>
          <w:color w:val="auto"/>
        </w:rPr>
        <w:t>” means Plains GP Holdings, L.P., 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right="400" w:hanging="324"/>
        <w:spacing w:after="0" w:line="277" w:lineRule="auto"/>
        <w:tabs>
          <w:tab w:leader="none" w:pos="980" w:val="left"/>
        </w:tabs>
        <w:numPr>
          <w:ilvl w:val="0"/>
          <w:numId w:val="299"/>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 of Partnership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definition of the term “Partnership Agreement” in Article 1 of the Class B Agreements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deleted and replaced in its entirety as follows:</w:t>
      </w:r>
    </w:p>
    <w:p>
      <w:pPr>
        <w:spacing w:after="0" w:line="166" w:lineRule="exact"/>
        <w:rPr>
          <w:sz w:val="20"/>
          <w:szCs w:val="20"/>
          <w:color w:val="auto"/>
        </w:rPr>
      </w:pPr>
    </w:p>
    <w:p>
      <w:pPr>
        <w:ind w:left="130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Agreement</w:t>
      </w:r>
      <w:r>
        <w:rPr>
          <w:rFonts w:ascii="Arial" w:cs="Arial" w:eastAsia="Arial" w:hAnsi="Arial"/>
          <w:sz w:val="18"/>
          <w:szCs w:val="18"/>
          <w:color w:val="auto"/>
        </w:rPr>
        <w:t>” means that certain Seventh Amended and Restated Agreement of Limited Partnership of Plains AAP, L.P. dated as of closing date of the GP IPO, as such agreement may be amended or restated from time to time.</w:t>
      </w:r>
    </w:p>
    <w:p>
      <w:pPr>
        <w:spacing w:after="0" w:line="166" w:lineRule="exact"/>
        <w:rPr>
          <w:sz w:val="20"/>
          <w:szCs w:val="20"/>
          <w:color w:val="auto"/>
        </w:rPr>
      </w:pPr>
    </w:p>
    <w:p>
      <w:pPr>
        <w:ind w:left="980" w:right="120" w:hanging="324"/>
        <w:spacing w:after="0" w:line="264" w:lineRule="auto"/>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of Exhibit A Conversion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 of Exhibit A to each Class B Agreement is hereby deleted in its entirety,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Partnership acknowledge and agree that the conversion rights attributable to the Granted Units shall be governed by Section 7.10 of the Partnership Agreement.</w:t>
      </w:r>
    </w:p>
    <w:p>
      <w:pPr>
        <w:spacing w:after="0" w:line="181" w:lineRule="exact"/>
        <w:rPr>
          <w:rFonts w:ascii="Arial" w:cs="Arial" w:eastAsia="Arial" w:hAnsi="Arial"/>
          <w:sz w:val="18"/>
          <w:szCs w:val="18"/>
          <w:color w:val="auto"/>
        </w:rPr>
      </w:pPr>
    </w:p>
    <w:p>
      <w:pPr>
        <w:jc w:val="both"/>
        <w:ind w:left="980" w:right="40" w:hanging="324"/>
        <w:spacing w:after="0" w:line="264" w:lineRule="auto"/>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acknowledges that the consummation of the GP IPO does not constitute a “Change in Control” under the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Executive and the Partnership agree that the definition of the term “Change in Control” in Article 1 of the Class B Agreements is hereby deleted and replaced in its entirety as follows: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determination by the Board that one of the following events has occurred:</w:t>
      </w:r>
    </w:p>
    <w:p>
      <w:pPr>
        <w:spacing w:after="0" w:line="229" w:lineRule="exact"/>
        <w:rPr>
          <w:sz w:val="20"/>
          <w:szCs w:val="20"/>
          <w:color w:val="auto"/>
        </w:rPr>
      </w:pPr>
    </w:p>
    <w:p>
      <w:pPr>
        <w:ind w:left="1620" w:right="60" w:hanging="315"/>
        <w:spacing w:after="0" w:line="264" w:lineRule="auto"/>
        <w:tabs>
          <w:tab w:leader="none" w:pos="161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Persons who own member interests in PAA GP Holdings, LLC immediately following the closing of the GP IPO, including the IPO Entity, and the respective Affiliates of such Persons (such owners and Affiliates being referred to as the “Owner Affiliates”), cease to own directly or indirectly at least 50% of the membership interests of such entity;</w:t>
      </w:r>
    </w:p>
    <w:p>
      <w:pPr>
        <w:spacing w:after="0" w:line="181" w:lineRule="exact"/>
        <w:rPr>
          <w:rFonts w:ascii="Arial" w:cs="Arial" w:eastAsia="Arial" w:hAnsi="Arial"/>
          <w:sz w:val="18"/>
          <w:szCs w:val="18"/>
          <w:color w:val="auto"/>
        </w:rPr>
      </w:pPr>
    </w:p>
    <w:p>
      <w:pPr>
        <w:ind w:left="1620" w:right="100" w:hanging="315"/>
        <w:spacing w:after="0" w:line="259" w:lineRule="auto"/>
        <w:tabs>
          <w:tab w:leader="none" w:pos="162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(x) a “person” or “group” other than the Owner Affiliates becomes the “beneficial owner” directly or indirectly of 25% or more of the member interest in the general partner of the IPO Entity,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(y) the member interest beneficially owned by such “person” or “group” exceeds the aggregate member interest in the general partner of the IPO Entity beneficially owned, directly or indirectly, by the Owner Affiliates; or</w:t>
      </w:r>
    </w:p>
    <w:p>
      <w:pPr>
        <w:spacing w:after="0" w:line="186" w:lineRule="exact"/>
        <w:rPr>
          <w:rFonts w:ascii="Arial" w:cs="Arial" w:eastAsia="Arial" w:hAnsi="Arial"/>
          <w:sz w:val="18"/>
          <w:szCs w:val="18"/>
          <w:color w:val="auto"/>
        </w:rPr>
      </w:pPr>
    </w:p>
    <w:p>
      <w:pPr>
        <w:ind w:left="1620" w:right="40" w:hanging="315"/>
        <w:spacing w:after="0" w:line="257" w:lineRule="auto"/>
        <w:tabs>
          <w:tab w:leader="none" w:pos="163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direct or indirect transfer, sale, exchange or other disposition in a single transaction or series of transaction (whether by merger or otherwise) of all or substantially all of the assets of the IPO Entity or the MLP to one or more Persons who are not Affiliates of the IPO Entity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Except as amended by this Amendment, the Class B Agreements shall remain in full force and effect according to their respective terms. The undersigned hereby execute this Amendment to be effective for all purposes upon the consummation of the IPO.</w:t>
      </w:r>
    </w:p>
    <w:p>
      <w:pPr>
        <w:sectPr>
          <w:pgSz w:w="11900" w:h="16861" w:orient="portrait"/>
          <w:cols w:equalWidth="0" w:num="1">
            <w:col w:w="11420"/>
          </w:cols>
          <w:pgMar w:left="240" w:top="121" w:right="239" w:bottom="0" w:gutter="0" w:footer="0" w:header="0"/>
        </w:sectPr>
      </w:pPr>
    </w:p>
    <w:bookmarkStart w:id="140" w:name="page141"/>
    <w:bookmarkEnd w:id="140"/>
    <w:p>
      <w:pPr>
        <w:jc w:val="center"/>
        <w:ind w:right="4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520"/>
        <w:spacing w:after="0"/>
        <w:rPr>
          <w:sz w:val="20"/>
          <w:szCs w:val="20"/>
          <w:color w:val="auto"/>
        </w:rPr>
      </w:pPr>
      <w:r>
        <w:rPr>
          <w:rFonts w:ascii="Arial" w:cs="Arial" w:eastAsia="Arial" w:hAnsi="Arial"/>
          <w:sz w:val="17"/>
          <w:szCs w:val="17"/>
          <w:color w:val="auto"/>
        </w:rPr>
        <w:t>«Executive»</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AMENDMENT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AAP, L.P. CLASS B</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RESTRICTED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AAP,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Plains All American GP,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By:</w:t>
            </w:r>
          </w:p>
        </w:tc>
        <w:tc>
          <w:tcPr>
            <w:tcW w:w="14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6"/>
                <w:szCs w:val="16"/>
                <w:color w:val="auto"/>
              </w:rPr>
            </w:pPr>
          </w:p>
        </w:tc>
        <w:tc>
          <w:tcPr>
            <w:tcW w:w="20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Richard McGee</w:t>
            </w:r>
          </w:p>
        </w:tc>
        <w:tc>
          <w:tcPr>
            <w:tcW w:w="2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160" w:type="dxa"/>
            <w:vAlign w:val="bottom"/>
            <w:gridSpan w:val="3"/>
          </w:tcPr>
          <w:p>
            <w:pPr>
              <w:ind w:left="140"/>
              <w:spacing w:after="0"/>
              <w:rPr>
                <w:sz w:val="20"/>
                <w:szCs w:val="20"/>
                <w:color w:val="auto"/>
              </w:rPr>
            </w:pPr>
            <w:r>
              <w:rPr>
                <w:rFonts w:ascii="Arial" w:cs="Arial" w:eastAsia="Arial" w:hAnsi="Arial"/>
                <w:sz w:val="18"/>
                <w:szCs w:val="18"/>
                <w:b w:val="1"/>
                <w:bCs w:val="1"/>
                <w:color w:val="auto"/>
                <w:w w:val="93"/>
              </w:rPr>
              <w:t>Executive Vice President</w:t>
            </w: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0" w:type="dxa"/>
            <w:vAlign w:val="bottom"/>
            <w:gridSpan w:val="5"/>
          </w:tcPr>
          <w:p>
            <w:pPr>
              <w:spacing w:after="0"/>
              <w:rPr>
                <w:sz w:val="20"/>
                <w:szCs w:val="20"/>
                <w:color w:val="auto"/>
              </w:rPr>
            </w:pPr>
            <w:r>
              <w:rPr>
                <w:rFonts w:ascii="Arial" w:cs="Arial" w:eastAsia="Arial" w:hAnsi="Arial"/>
                <w:sz w:val="18"/>
                <w:szCs w:val="18"/>
                <w:b w:val="1"/>
                <w:bCs w:val="1"/>
                <w:color w:val="auto"/>
              </w:rPr>
              <w:t>EXECUTIVE:</w:t>
            </w:r>
          </w:p>
        </w:tc>
        <w:tc>
          <w:tcPr>
            <w:tcW w:w="2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00" w:type="dxa"/>
            <w:vAlign w:val="bottom"/>
            <w:gridSpan w:val="5"/>
          </w:tcPr>
          <w:p>
            <w:pPr>
              <w:spacing w:after="0"/>
              <w:rPr>
                <w:sz w:val="20"/>
                <w:szCs w:val="20"/>
                <w:color w:val="auto"/>
              </w:rPr>
            </w:pPr>
            <w:r>
              <w:rPr>
                <w:rFonts w:ascii="Arial" w:cs="Arial" w:eastAsia="Arial" w:hAnsi="Arial"/>
                <w:sz w:val="18"/>
                <w:szCs w:val="18"/>
                <w:color w:val="auto"/>
              </w:rPr>
              <w:t>«Executive»</w:t>
            </w: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Original Granted Class B Units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3"/>
              </w:rPr>
              <w:t>Post IPO Class B Units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«GrantDate1»</w:t>
            </w:r>
          </w:p>
        </w:tc>
        <w:tc>
          <w:tcPr>
            <w:tcW w:w="504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«OriginalGrants1»</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«PostIPOGrants1»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«GrantDate2»</w:t>
            </w:r>
          </w:p>
        </w:tc>
        <w:tc>
          <w:tcPr>
            <w:tcW w:w="504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«OriginalGrants2»</w:t>
            </w: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«PostIPOGrants2»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D4D3C4"/>
    <w:multiLevelType w:val="hybridMultilevel"/>
    <w:lvl w:ilvl="0">
      <w:lvlJc w:val="left"/>
      <w:lvlText w:val="·"/>
      <w:numFmt w:val="bullet"/>
      <w:start w:val="1"/>
    </w:lvl>
    <w:lvl w:ilvl="1">
      <w:lvlJc w:val="left"/>
      <w:lvlText w:val="(%2)"/>
      <w:numFmt w:val="lowerRoman"/>
      <w:start w:val="1"/>
    </w:lvl>
  </w:abstractNum>
  <w:abstractNum w:abstractNumId="1">
    <w:nsid w:val="746F2E30"/>
    <w:multiLevelType w:val="hybridMultilevel"/>
    <w:lvl w:ilvl="0">
      <w:lvlJc w:val="left"/>
      <w:lvlText w:val="(%1)"/>
      <w:numFmt w:val="lowerLetter"/>
      <w:start w:val="1"/>
    </w:lvl>
  </w:abstractNum>
  <w:abstractNum w:abstractNumId="2">
    <w:nsid w:val="6FDE8AF6"/>
    <w:multiLevelType w:val="hybridMultilevel"/>
    <w:lvl w:ilvl="0">
      <w:lvlJc w:val="left"/>
      <w:lvlText w:val="%1"/>
      <w:numFmt w:val="lowerLetter"/>
      <w:start w:val="1"/>
    </w:lvl>
    <w:lvl w:ilvl="1">
      <w:lvlJc w:val="left"/>
      <w:lvlText w:val="(%2)"/>
      <w:numFmt w:val="lowerLetter"/>
      <w:start w:val="1"/>
    </w:lvl>
  </w:abstractNum>
  <w:abstractNum w:abstractNumId="3">
    <w:nsid w:val="3FC32E20"/>
    <w:multiLevelType w:val="hybridMultilevel"/>
    <w:lvl w:ilvl="0">
      <w:lvlJc w:val="left"/>
      <w:lvlText w:val="(%1)"/>
      <w:numFmt w:val="lowerLetter"/>
      <w:start w:val="22"/>
    </w:lvl>
    <w:lvl w:ilvl="1">
      <w:lvlJc w:val="left"/>
      <w:lvlText w:val="%2"/>
      <w:numFmt w:val="lowerLetter"/>
      <w:start w:val="1"/>
    </w:lvl>
  </w:abstractNum>
  <w:abstractNum w:abstractNumId="4">
    <w:nsid w:val="49C0E823"/>
    <w:multiLevelType w:val="hybridMultilevel"/>
    <w:lvl w:ilvl="0">
      <w:lvlJc w:val="left"/>
      <w:lvlText w:val="(%1)"/>
      <w:numFmt w:val="lowerRoman"/>
      <w:start w:val="1"/>
    </w:lvl>
  </w:abstractNum>
  <w:abstractNum w:abstractNumId="5">
    <w:nsid w:val="14D53685"/>
    <w:multiLevelType w:val="hybridMultilevel"/>
    <w:lvl w:ilvl="0">
      <w:lvlJc w:val="left"/>
      <w:lvlText w:val="(%1)"/>
      <w:numFmt w:val="lowerRoman"/>
      <w:start w:val="1"/>
    </w:lvl>
  </w:abstractNum>
  <w:abstractNum w:abstractNumId="6">
    <w:nsid w:val="230F856C"/>
    <w:multiLevelType w:val="hybridMultilevel"/>
    <w:lvl w:ilvl="0">
      <w:lvlJc w:val="left"/>
      <w:lvlText w:val="(%1)"/>
      <w:numFmt w:val="lowerLetter"/>
      <w:start w:val="2"/>
    </w:lvl>
  </w:abstractNum>
  <w:abstractNum w:abstractNumId="7">
    <w:nsid w:val="6EAA85FB"/>
    <w:multiLevelType w:val="hybridMultilevel"/>
    <w:lvl w:ilvl="0">
      <w:lvlJc w:val="left"/>
      <w:lvlText w:val="(%1)"/>
      <w:numFmt w:val="lowerLetter"/>
      <w:start w:val="1"/>
    </w:lvl>
  </w:abstractNum>
  <w:abstractNum w:abstractNumId="8">
    <w:nsid w:val="3F06ECB2"/>
    <w:multiLevelType w:val="hybridMultilevel"/>
    <w:lvl w:ilvl="0">
      <w:lvlJc w:val="left"/>
      <w:lvlText w:val="%1"/>
      <w:numFmt w:val="lowerLetter"/>
      <w:start w:val="1"/>
    </w:lvl>
    <w:lvl w:ilvl="1">
      <w:lvlJc w:val="left"/>
      <w:lvlText w:val="(%2)"/>
      <w:numFmt w:val="lowerRoman"/>
      <w:start w:val="1"/>
    </w:lvl>
  </w:abstractNum>
  <w:abstractNum w:abstractNumId="9">
    <w:nsid w:val="3B594807"/>
    <w:multiLevelType w:val="hybridMultilevel"/>
    <w:lvl w:ilvl="0">
      <w:lvlJc w:val="left"/>
      <w:lvlText w:val="(%1)"/>
      <w:numFmt w:val="lowerLetter"/>
      <w:start w:val="2"/>
    </w:lvl>
    <w:lvl w:ilvl="1">
      <w:lvlJc w:val="left"/>
      <w:lvlText w:val="%2"/>
      <w:numFmt w:val="lowerRoman"/>
      <w:start w:val="1"/>
    </w:lvl>
  </w:abstractNum>
  <w:abstractNum w:abstractNumId="10">
    <w:nsid w:val="6CAA2304"/>
    <w:multiLevelType w:val="hybridMultilevel"/>
    <w:lvl w:ilvl="0">
      <w:lvlJc w:val="left"/>
      <w:lvlText w:val="%1"/>
      <w:numFmt w:val="lowerLetter"/>
      <w:start w:val="1"/>
    </w:lvl>
    <w:lvl w:ilvl="1">
      <w:lvlJc w:val="left"/>
      <w:lvlText w:val="(%2)"/>
      <w:numFmt w:val="lowerLetter"/>
      <w:start w:val="3"/>
    </w:lvl>
  </w:abstractNum>
  <w:abstractNum w:abstractNumId="11">
    <w:nsid w:val="3F7C2FF4"/>
    <w:multiLevelType w:val="hybridMultilevel"/>
    <w:lvl w:ilvl="0">
      <w:lvlJc w:val="left"/>
      <w:lvlText w:val="(%1)"/>
      <w:numFmt w:val="lowerLetter"/>
      <w:start w:val="35"/>
    </w:lvl>
    <w:lvl w:ilvl="1">
      <w:lvlJc w:val="left"/>
      <w:lvlText w:val="%2"/>
      <w:numFmt w:val="lowerLetter"/>
      <w:start w:val="1"/>
    </w:lvl>
  </w:abstractNum>
  <w:abstractNum w:abstractNumId="12">
    <w:nsid w:val="25413BEC"/>
    <w:multiLevelType w:val="hybridMultilevel"/>
    <w:lvl w:ilvl="0">
      <w:lvlJc w:val="left"/>
      <w:lvlText w:val="(%1)"/>
      <w:numFmt w:val="upperLetter"/>
      <w:start w:val="2"/>
    </w:lvl>
    <w:lvl w:ilvl="1">
      <w:lvlJc w:val="left"/>
      <w:lvlText w:val="(%2)"/>
      <w:numFmt w:val="lowerLetter"/>
      <w:start w:val="4"/>
    </w:lvl>
  </w:abstractNum>
  <w:abstractNum w:abstractNumId="13">
    <w:nsid w:val="17180B0B"/>
    <w:multiLevelType w:val="hybridMultilevel"/>
    <w:lvl w:ilvl="0">
      <w:lvlJc w:val="left"/>
      <w:lvlText w:val="(%1)"/>
      <w:numFmt w:val="lowerLetter"/>
      <w:start w:val="1"/>
    </w:lvl>
    <w:lvl w:ilvl="1">
      <w:lvlJc w:val="left"/>
      <w:lvlText w:val="(%2)"/>
      <w:numFmt w:val="lowerRoman"/>
      <w:start w:val="1"/>
    </w:lvl>
  </w:abstractNum>
  <w:abstractNum w:abstractNumId="14">
    <w:nsid w:val="579328B9"/>
    <w:multiLevelType w:val="hybridMultilevel"/>
    <w:lvl w:ilvl="0">
      <w:lvlJc w:val="left"/>
      <w:lvlText w:val="(%1)"/>
      <w:numFmt w:val="lowerLetter"/>
      <w:start w:val="1"/>
    </w:lvl>
  </w:abstractNum>
  <w:abstractNum w:abstractNumId="15">
    <w:nsid w:val="5D205E20"/>
    <w:multiLevelType w:val="hybridMultilevel"/>
    <w:lvl w:ilvl="0">
      <w:lvlJc w:val="left"/>
      <w:lvlText w:val="(%1)"/>
      <w:numFmt w:val="lowerLetter"/>
      <w:start w:val="3"/>
    </w:lvl>
  </w:abstractNum>
  <w:abstractNum w:abstractNumId="16">
    <w:nsid w:val="11CCA8BA"/>
    <w:multiLevelType w:val="hybridMultilevel"/>
    <w:lvl w:ilvl="0">
      <w:lvlJc w:val="left"/>
      <w:lvlText w:val="(%1)"/>
      <w:numFmt w:val="lowerLetter"/>
      <w:start w:val="1"/>
    </w:lvl>
  </w:abstractNum>
  <w:abstractNum w:abstractNumId="17">
    <w:nsid w:val="4D32AB86"/>
    <w:multiLevelType w:val="hybridMultilevel"/>
    <w:lvl w:ilvl="0">
      <w:lvlJc w:val="left"/>
      <w:lvlText w:val="%1"/>
      <w:numFmt w:val="lowerLetter"/>
      <w:start w:val="1"/>
    </w:lvl>
    <w:lvl w:ilvl="1">
      <w:lvlJc w:val="left"/>
      <w:lvlText w:val="(%2)"/>
      <w:numFmt w:val="lowerLetter"/>
      <w:start w:val="2"/>
    </w:lvl>
  </w:abstractNum>
  <w:abstractNum w:abstractNumId="18">
    <w:nsid w:val="3F07ACC3"/>
    <w:multiLevelType w:val="hybridMultilevel"/>
    <w:lvl w:ilvl="0">
      <w:lvlJc w:val="left"/>
      <w:lvlText w:val="(%1)"/>
      <w:numFmt w:val="lowerLetter"/>
      <w:start w:val="35"/>
    </w:lvl>
    <w:lvl w:ilvl="1">
      <w:lvlJc w:val="left"/>
      <w:lvlText w:val="(%2)"/>
      <w:numFmt w:val="lowerLetter"/>
      <w:start w:val="4"/>
    </w:lvl>
  </w:abstractNum>
  <w:abstractNum w:abstractNumId="19">
    <w:nsid w:val="6B47F63E"/>
    <w:multiLevelType w:val="hybridMultilevel"/>
    <w:lvl w:ilvl="0">
      <w:lvlJc w:val="left"/>
      <w:lvlText w:val="(%1)"/>
      <w:numFmt w:val="lowerLetter"/>
      <w:start w:val="1"/>
    </w:lvl>
  </w:abstractNum>
  <w:abstractNum w:abstractNumId="20">
    <w:nsid w:val="5CB44A05"/>
    <w:multiLevelType w:val="hybridMultilevel"/>
    <w:lvl w:ilvl="0">
      <w:lvlJc w:val="left"/>
      <w:lvlText w:val="%1"/>
      <w:numFmt w:val="lowerLetter"/>
      <w:start w:val="1"/>
    </w:lvl>
    <w:lvl w:ilvl="1">
      <w:lvlJc w:val="left"/>
      <w:lvlText w:val="(%2)"/>
      <w:numFmt w:val="lowerLetter"/>
      <w:start w:val="1"/>
    </w:lvl>
  </w:abstractNum>
  <w:abstractNum w:abstractNumId="21">
    <w:nsid w:val="16CF80F1"/>
    <w:multiLevelType w:val="hybridMultilevel"/>
    <w:lvl w:ilvl="0">
      <w:lvlJc w:val="left"/>
      <w:lvlText w:val="(%1)"/>
      <w:numFmt w:val="lowerLetter"/>
      <w:start w:val="9"/>
    </w:lvl>
    <w:lvl w:ilvl="1">
      <w:lvlJc w:val="left"/>
      <w:lvlText w:val="(%2)"/>
      <w:numFmt w:val="lowerLetter"/>
      <w:start w:val="2"/>
    </w:lvl>
  </w:abstractNum>
  <w:abstractNum w:abstractNumId="22">
    <w:nsid w:val="1C695DEC"/>
    <w:multiLevelType w:val="hybridMultilevel"/>
    <w:lvl w:ilvl="0">
      <w:lvlJc w:val="left"/>
      <w:lvlText w:val="(%1)"/>
      <w:numFmt w:val="lowerLetter"/>
      <w:start w:val="1"/>
    </w:lvl>
  </w:abstractNum>
  <w:abstractNum w:abstractNumId="23">
    <w:nsid w:val="3FCFAED9"/>
    <w:multiLevelType w:val="hybridMultilevel"/>
    <w:lvl w:ilvl="0">
      <w:lvlJc w:val="left"/>
      <w:lvlText w:val="(%1)"/>
      <w:numFmt w:val="lowerLetter"/>
      <w:start w:val="2"/>
    </w:lvl>
  </w:abstractNum>
  <w:abstractNum w:abstractNumId="24">
    <w:nsid w:val="F856867"/>
    <w:multiLevelType w:val="hybridMultilevel"/>
    <w:lvl w:ilvl="0">
      <w:lvlJc w:val="left"/>
      <w:lvlText w:val="(%1)"/>
      <w:numFmt w:val="lowerLetter"/>
      <w:start w:val="1"/>
    </w:lvl>
    <w:lvl w:ilvl="1">
      <w:lvlJc w:val="left"/>
      <w:lvlText w:val="(%2)"/>
      <w:numFmt w:val="lowerLetter"/>
      <w:start w:val="9"/>
    </w:lvl>
  </w:abstractNum>
  <w:abstractNum w:abstractNumId="25">
    <w:nsid w:val="11B1CC33"/>
    <w:multiLevelType w:val="hybridMultilevel"/>
    <w:lvl w:ilvl="0">
      <w:lvlJc w:val="left"/>
      <w:lvlText w:val="(%1)"/>
      <w:numFmt w:val="lowerRoman"/>
      <w:start w:val="2"/>
    </w:lvl>
  </w:abstractNum>
  <w:abstractNum w:abstractNumId="26">
    <w:nsid w:val="2E22FBB7"/>
    <w:multiLevelType w:val="hybridMultilevel"/>
    <w:lvl w:ilvl="0">
      <w:lvlJc w:val="left"/>
      <w:lvlText w:val="%1"/>
      <w:numFmt w:val="lowerLetter"/>
      <w:start w:val="1"/>
    </w:lvl>
    <w:lvl w:ilvl="1">
      <w:lvlJc w:val="left"/>
      <w:lvlText w:val="(%2)"/>
      <w:numFmt w:val="lowerRoman"/>
      <w:start w:val="3"/>
    </w:lvl>
  </w:abstractNum>
  <w:abstractNum w:abstractNumId="27">
    <w:nsid w:val="29934699"/>
    <w:multiLevelType w:val="hybridMultilevel"/>
    <w:lvl w:ilvl="0">
      <w:lvlJc w:val="left"/>
      <w:lvlText w:val="(%1)"/>
      <w:numFmt w:val="lowerLetter"/>
      <w:start w:val="2"/>
    </w:lvl>
    <w:lvl w:ilvl="1">
      <w:lvlJc w:val="left"/>
      <w:lvlText w:val="%2"/>
      <w:numFmt w:val="lowerRoman"/>
      <w:start w:val="1"/>
    </w:lvl>
  </w:abstractNum>
  <w:abstractNum w:abstractNumId="28">
    <w:nsid w:val="77485850"/>
    <w:multiLevelType w:val="hybridMultilevel"/>
    <w:lvl w:ilvl="0">
      <w:lvlJc w:val="left"/>
      <w:lvlText w:val="(%1)"/>
      <w:numFmt w:val="lowerLetter"/>
      <w:start w:val="1"/>
    </w:lvl>
  </w:abstractNum>
  <w:abstractNum w:abstractNumId="29">
    <w:nsid w:val="744939A3"/>
    <w:multiLevelType w:val="hybridMultilevel"/>
    <w:lvl w:ilvl="0">
      <w:lvlJc w:val="left"/>
      <w:lvlText w:val="(%1)"/>
      <w:numFmt w:val="lowerLetter"/>
      <w:start w:val="1"/>
    </w:lvl>
  </w:abstractNum>
  <w:abstractNum w:abstractNumId="30">
    <w:nsid w:val="4FA0D2E3"/>
    <w:multiLevelType w:val="hybridMultilevel"/>
    <w:lvl w:ilvl="0">
      <w:lvlJc w:val="left"/>
      <w:lvlText w:val="(%1)"/>
      <w:numFmt w:val="lowerLetter"/>
      <w:start w:val="2"/>
    </w:lvl>
  </w:abstractNum>
  <w:abstractNum w:abstractNumId="31">
    <w:nsid w:val="6B1D2C14"/>
    <w:multiLevelType w:val="hybridMultilevel"/>
    <w:lvl w:ilvl="0">
      <w:lvlJc w:val="left"/>
      <w:lvlText w:val="(%1)"/>
      <w:numFmt w:val="lowerLetter"/>
      <w:start w:val="3"/>
    </w:lvl>
  </w:abstractNum>
  <w:abstractNum w:abstractNumId="32">
    <w:nsid w:val="68B867D3"/>
    <w:multiLevelType w:val="hybridMultilevel"/>
    <w:lvl w:ilvl="0">
      <w:lvlJc w:val="left"/>
      <w:lvlText w:val="(%1)"/>
      <w:numFmt w:val="lowerLetter"/>
      <w:start w:val="1"/>
    </w:lvl>
  </w:abstractNum>
  <w:abstractNum w:abstractNumId="33">
    <w:nsid w:val="3F7F5DD9"/>
    <w:multiLevelType w:val="hybridMultilevel"/>
    <w:lvl w:ilvl="0">
      <w:lvlJc w:val="left"/>
      <w:lvlText w:val="(%1)"/>
      <w:numFmt w:val="lowerLetter"/>
      <w:start w:val="1"/>
    </w:lvl>
  </w:abstractNum>
  <w:abstractNum w:abstractNumId="34">
    <w:nsid w:val="2AE05A34"/>
    <w:multiLevelType w:val="hybridMultilevel"/>
    <w:lvl w:ilvl="0">
      <w:lvlJc w:val="left"/>
      <w:lvlText w:val="(%1)"/>
      <w:numFmt w:val="lowerLetter"/>
      <w:start w:val="1"/>
    </w:lvl>
  </w:abstractNum>
  <w:abstractNum w:abstractNumId="35">
    <w:nsid w:val="32794FF7"/>
    <w:multiLevelType w:val="hybridMultilevel"/>
    <w:lvl w:ilvl="0">
      <w:lvlJc w:val="left"/>
      <w:lvlText w:val="(%1)"/>
      <w:numFmt w:val="lowerLetter"/>
      <w:start w:val="2"/>
    </w:lvl>
  </w:abstractNum>
  <w:abstractNum w:abstractNumId="36">
    <w:nsid w:val="5454945E"/>
    <w:multiLevelType w:val="hybridMultilevel"/>
    <w:lvl w:ilvl="0">
      <w:lvlJc w:val="left"/>
      <w:lvlText w:val="(%1)"/>
      <w:numFmt w:val="lowerLetter"/>
      <w:start w:val="1"/>
    </w:lvl>
  </w:abstractNum>
  <w:abstractNum w:abstractNumId="37">
    <w:nsid w:val="4DEFDFA0"/>
    <w:multiLevelType w:val="hybridMultilevel"/>
    <w:lvl w:ilvl="0">
      <w:lvlJc w:val="left"/>
      <w:lvlText w:val="(%1)"/>
      <w:numFmt w:val="lowerRoman"/>
      <w:start w:val="1"/>
    </w:lvl>
  </w:abstractNum>
  <w:abstractNum w:abstractNumId="38">
    <w:nsid w:val="2123D5F2"/>
    <w:multiLevelType w:val="hybridMultilevel"/>
    <w:lvl w:ilvl="0">
      <w:lvlJc w:val="left"/>
      <w:lvlText w:val="(%1)"/>
      <w:numFmt w:val="lowerRoman"/>
      <w:start w:val="9"/>
    </w:lvl>
  </w:abstractNum>
  <w:abstractNum w:abstractNumId="39">
    <w:nsid w:val="135B8110"/>
    <w:multiLevelType w:val="hybridMultilevel"/>
    <w:lvl w:ilvl="0">
      <w:lvlJc w:val="left"/>
      <w:lvlText w:val="%1"/>
      <w:numFmt w:val="lowerLetter"/>
      <w:start w:val="1"/>
    </w:lvl>
    <w:lvl w:ilvl="1">
      <w:lvlJc w:val="left"/>
      <w:lvlText w:val="(%2)"/>
      <w:numFmt w:val="lowerRoman"/>
      <w:start w:val="12"/>
    </w:lvl>
  </w:abstractNum>
  <w:abstractNum w:abstractNumId="40">
    <w:nsid w:val="94927A8"/>
    <w:multiLevelType w:val="hybridMultilevel"/>
    <w:lvl w:ilvl="0">
      <w:lvlJc w:val="left"/>
      <w:lvlText w:val="(%1)"/>
      <w:numFmt w:val="lowerLetter"/>
      <w:start w:val="2"/>
    </w:lvl>
    <w:lvl w:ilvl="1">
      <w:lvlJc w:val="left"/>
      <w:lvlText w:val="%2"/>
      <w:numFmt w:val="lowerRoman"/>
      <w:start w:val="1"/>
    </w:lvl>
  </w:abstractNum>
  <w:abstractNum w:abstractNumId="41">
    <w:nsid w:val="DCDF8F6"/>
    <w:multiLevelType w:val="hybridMultilevel"/>
    <w:lvl w:ilvl="0">
      <w:lvlJc w:val="left"/>
      <w:lvlText w:val="(%1)"/>
      <w:numFmt w:val="lowerLetter"/>
      <w:start w:val="1"/>
    </w:lvl>
  </w:abstractNum>
  <w:abstractNum w:abstractNumId="42">
    <w:nsid w:val="52D7B105"/>
    <w:multiLevelType w:val="hybridMultilevel"/>
    <w:lvl w:ilvl="0">
      <w:lvlJc w:val="left"/>
      <w:lvlText w:val="(%1)"/>
      <w:numFmt w:val="lowerLetter"/>
      <w:start w:val="3"/>
    </w:lvl>
  </w:abstractNum>
  <w:abstractNum w:abstractNumId="43">
    <w:nsid w:val="2E8A6394"/>
    <w:multiLevelType w:val="hybridMultilevel"/>
    <w:lvl w:ilvl="0">
      <w:lvlJc w:val="left"/>
      <w:lvlText w:val="(%1)"/>
      <w:numFmt w:val="lowerLetter"/>
      <w:start w:val="1"/>
    </w:lvl>
  </w:abstractNum>
  <w:abstractNum w:abstractNumId="44">
    <w:nsid w:val="24E60401"/>
    <w:multiLevelType w:val="hybridMultilevel"/>
    <w:lvl w:ilvl="0">
      <w:lvlJc w:val="left"/>
      <w:lvlText w:val="%1"/>
      <w:numFmt w:val="lowerLetter"/>
      <w:start w:val="1"/>
    </w:lvl>
    <w:lvl w:ilvl="1">
      <w:lvlJc w:val="left"/>
      <w:lvlText w:val="(%2)"/>
      <w:numFmt w:val="lowerLetter"/>
      <w:start w:val="3"/>
    </w:lvl>
  </w:abstractNum>
  <w:abstractNum w:abstractNumId="45">
    <w:nsid w:val="2A6AD9BE"/>
    <w:multiLevelType w:val="hybridMultilevel"/>
    <w:lvl w:ilvl="0">
      <w:lvlJc w:val="left"/>
      <w:lvlText w:val="(%1)"/>
      <w:numFmt w:val="lowerLetter"/>
      <w:start w:val="9"/>
    </w:lvl>
    <w:lvl w:ilvl="1">
      <w:lvlJc w:val="left"/>
      <w:lvlText w:val="%2"/>
      <w:numFmt w:val="lowerLetter"/>
      <w:start w:val="1"/>
    </w:lvl>
  </w:abstractNum>
  <w:abstractNum w:abstractNumId="46">
    <w:nsid w:val="BAAC1B4"/>
    <w:multiLevelType w:val="hybridMultilevel"/>
    <w:lvl w:ilvl="0">
      <w:lvlJc w:val="left"/>
      <w:lvlText w:val="(%1)"/>
      <w:numFmt w:val="lowerLetter"/>
      <w:start w:val="1"/>
    </w:lvl>
  </w:abstractNum>
  <w:abstractNum w:abstractNumId="47">
    <w:nsid w:val="36B2ACBC"/>
    <w:multiLevelType w:val="hybridMultilevel"/>
    <w:lvl w:ilvl="0">
      <w:lvlJc w:val="left"/>
      <w:lvlText w:val="(%1)"/>
      <w:numFmt w:val="lowerLetter"/>
      <w:start w:val="1"/>
    </w:lvl>
  </w:abstractNum>
  <w:abstractNum w:abstractNumId="48">
    <w:nsid w:val="779D8544"/>
    <w:multiLevelType w:val="hybridMultilevel"/>
    <w:lvl w:ilvl="0">
      <w:lvlJc w:val="left"/>
      <w:lvlText w:val="(%1)"/>
      <w:numFmt w:val="lowerLetter"/>
      <w:start w:val="2"/>
    </w:lvl>
  </w:abstractNum>
  <w:abstractNum w:abstractNumId="49">
    <w:nsid w:val="4AB26E78"/>
    <w:multiLevelType w:val="hybridMultilevel"/>
    <w:lvl w:ilvl="0">
      <w:lvlJc w:val="left"/>
      <w:lvlText w:val="(%1)"/>
      <w:numFmt w:val="lowerLetter"/>
      <w:start w:val="7"/>
    </w:lvl>
  </w:abstractNum>
  <w:abstractNum w:abstractNumId="50">
    <w:nsid w:val="21FAA2FA"/>
    <w:multiLevelType w:val="hybridMultilevel"/>
    <w:lvl w:ilvl="0">
      <w:lvlJc w:val="left"/>
      <w:lvlText w:val="(%1)"/>
      <w:numFmt w:val="lowerLetter"/>
      <w:start w:val="1"/>
    </w:lvl>
  </w:abstractNum>
  <w:abstractNum w:abstractNumId="51">
    <w:nsid w:val="5451CF49"/>
    <w:multiLevelType w:val="hybridMultilevel"/>
    <w:lvl w:ilvl="0">
      <w:lvlJc w:val="left"/>
      <w:lvlText w:val="(%1)"/>
      <w:numFmt w:val="lowerLetter"/>
      <w:start w:val="2"/>
    </w:lvl>
  </w:abstractNum>
  <w:abstractNum w:abstractNumId="52">
    <w:nsid w:val="6181EF69"/>
    <w:multiLevelType w:val="hybridMultilevel"/>
    <w:lvl w:ilvl="0">
      <w:lvlJc w:val="left"/>
      <w:lvlText w:val="(%1)"/>
      <w:numFmt w:val="lowerLetter"/>
      <w:start w:val="1"/>
    </w:lvl>
  </w:abstractNum>
  <w:abstractNum w:abstractNumId="53">
    <w:nsid w:val="3E6400E6"/>
    <w:multiLevelType w:val="hybridMultilevel"/>
    <w:lvl w:ilvl="0">
      <w:lvlJc w:val="left"/>
      <w:lvlText w:val="(%1)"/>
      <w:numFmt w:val="lowerLetter"/>
      <w:start w:val="3"/>
    </w:lvl>
  </w:abstractNum>
  <w:abstractNum w:abstractNumId="54">
    <w:nsid w:val="14217E23"/>
    <w:multiLevelType w:val="hybridMultilevel"/>
    <w:lvl w:ilvl="0">
      <w:lvlJc w:val="left"/>
      <w:lvlText w:val="(%1)"/>
      <w:numFmt w:val="lowerLetter"/>
      <w:start w:val="4"/>
    </w:lvl>
  </w:abstractNum>
  <w:abstractNum w:abstractNumId="55">
    <w:nsid w:val="710757D0"/>
    <w:multiLevelType w:val="hybridMultilevel"/>
    <w:lvl w:ilvl="0">
      <w:lvlJc w:val="left"/>
      <w:lvlText w:val="(%1)"/>
      <w:numFmt w:val="lowerLetter"/>
      <w:start w:val="5"/>
    </w:lvl>
  </w:abstractNum>
  <w:abstractNum w:abstractNumId="56">
    <w:nsid w:val="5015CD1A"/>
    <w:multiLevelType w:val="hybridMultilevel"/>
    <w:lvl w:ilvl="0">
      <w:lvlJc w:val="left"/>
      <w:lvlText w:val="(%1)"/>
      <w:numFmt w:val="lowerLetter"/>
      <w:start w:val="1"/>
    </w:lvl>
  </w:abstractNum>
  <w:abstractNum w:abstractNumId="57">
    <w:nsid w:val="424479DA"/>
    <w:multiLevelType w:val="hybridMultilevel"/>
    <w:lvl w:ilvl="0">
      <w:lvlJc w:val="left"/>
      <w:lvlText w:val="(%1)"/>
      <w:numFmt w:val="lowerLetter"/>
      <w:start w:val="1"/>
    </w:lvl>
  </w:abstractNum>
  <w:abstractNum w:abstractNumId="58">
    <w:nsid w:val="1A9A9E69"/>
    <w:multiLevelType w:val="hybridMultilevel"/>
    <w:lvl w:ilvl="0">
      <w:lvlJc w:val="left"/>
      <w:lvlText w:val="(%1)"/>
      <w:numFmt w:val="lowerLetter"/>
      <w:start w:val="1"/>
    </w:lvl>
  </w:abstractNum>
  <w:abstractNum w:abstractNumId="59">
    <w:nsid w:val="475E256A"/>
    <w:multiLevelType w:val="hybridMultilevel"/>
    <w:lvl w:ilvl="0">
      <w:lvlJc w:val="left"/>
      <w:lvlText w:val="(%1)"/>
      <w:numFmt w:val="lowerLetter"/>
      <w:start w:val="1"/>
    </w:lvl>
  </w:abstractNum>
  <w:abstractNum w:abstractNumId="60">
    <w:nsid w:val="368DB37E"/>
    <w:multiLevelType w:val="hybridMultilevel"/>
    <w:lvl w:ilvl="0">
      <w:lvlJc w:val="left"/>
      <w:lvlText w:val="(%1)"/>
      <w:numFmt w:val="lowerLetter"/>
      <w:start w:val="4"/>
    </w:lvl>
  </w:abstractNum>
  <w:abstractNum w:abstractNumId="61">
    <w:nsid w:val="6A3B714C"/>
    <w:multiLevelType w:val="hybridMultilevel"/>
    <w:lvl w:ilvl="0">
      <w:lvlJc w:val="left"/>
      <w:lvlText w:val="(%1)"/>
      <w:numFmt w:val="lowerLetter"/>
      <w:start w:val="1"/>
    </w:lvl>
    <w:lvl w:ilvl="1">
      <w:lvlJc w:val="left"/>
      <w:lvlText w:val="(%2)"/>
      <w:numFmt w:val="lowerRoman"/>
      <w:start w:val="1"/>
    </w:lvl>
  </w:abstractNum>
  <w:abstractNum w:abstractNumId="62">
    <w:nsid w:val="327B517E"/>
    <w:multiLevelType w:val="hybridMultilevel"/>
    <w:lvl w:ilvl="0">
      <w:lvlJc w:val="left"/>
      <w:lvlText w:val="(%1)"/>
      <w:numFmt w:val="lowerRoman"/>
      <w:start w:val="5"/>
    </w:lvl>
  </w:abstractNum>
  <w:abstractNum w:abstractNumId="63">
    <w:nsid w:val="1F461B51"/>
    <w:multiLevelType w:val="hybridMultilevel"/>
    <w:lvl w:ilvl="0">
      <w:lvlJc w:val="left"/>
      <w:lvlText w:val="(%1)"/>
      <w:numFmt w:val="lowerLetter"/>
      <w:start w:val="2"/>
    </w:lvl>
  </w:abstractNum>
  <w:abstractNum w:abstractNumId="64">
    <w:nsid w:val="29BACF25"/>
    <w:multiLevelType w:val="hybridMultilevel"/>
    <w:lvl w:ilvl="0">
      <w:lvlJc w:val="left"/>
      <w:lvlText w:val="%1"/>
      <w:numFmt w:val="lowerLetter"/>
      <w:start w:val="1"/>
    </w:lvl>
    <w:lvl w:ilvl="1">
      <w:lvlJc w:val="left"/>
      <w:lvlText w:val="(%2)"/>
      <w:numFmt w:val="lowerLetter"/>
      <w:start w:val="1"/>
    </w:lvl>
  </w:abstractNum>
  <w:abstractNum w:abstractNumId="65">
    <w:nsid w:val="5D5BABB3"/>
    <w:multiLevelType w:val="hybridMultilevel"/>
    <w:lvl w:ilvl="0">
      <w:lvlJc w:val="left"/>
      <w:lvlText w:val="(%1)"/>
      <w:numFmt w:val="lowerLetter"/>
      <w:start w:val="35"/>
    </w:lvl>
    <w:lvl w:ilvl="1">
      <w:lvlJc w:val="left"/>
      <w:lvlText w:val="%2"/>
      <w:numFmt w:val="lowerLetter"/>
      <w:start w:val="1"/>
    </w:lvl>
  </w:abstractNum>
  <w:abstractNum w:abstractNumId="66">
    <w:nsid w:val="51BF6B48"/>
    <w:multiLevelType w:val="hybridMultilevel"/>
    <w:lvl w:ilvl="0">
      <w:lvlJc w:val="left"/>
      <w:lvlText w:val="(%1)"/>
      <w:numFmt w:val="lowerLetter"/>
      <w:start w:val="2"/>
    </w:lvl>
  </w:abstractNum>
  <w:abstractNum w:abstractNumId="67">
    <w:nsid w:val="7E0F6384"/>
    <w:multiLevelType w:val="hybridMultilevel"/>
    <w:lvl w:ilvl="0">
      <w:lvlJc w:val="left"/>
      <w:lvlText w:val="(%1)"/>
      <w:numFmt w:val="lowerLetter"/>
      <w:start w:val="1"/>
    </w:lvl>
  </w:abstractNum>
  <w:abstractNum w:abstractNumId="68">
    <w:nsid w:val="2B4B8B53"/>
    <w:multiLevelType w:val="hybridMultilevel"/>
    <w:lvl w:ilvl="0">
      <w:lvlJc w:val="left"/>
      <w:lvlText w:val="(%1)"/>
      <w:numFmt w:val="lowerRoman"/>
      <w:start w:val="1"/>
    </w:lvl>
  </w:abstractNum>
  <w:abstractNum w:abstractNumId="69">
    <w:nsid w:val="72E3413A"/>
    <w:multiLevelType w:val="hybridMultilevel"/>
    <w:lvl w:ilvl="0">
      <w:lvlJc w:val="left"/>
      <w:lvlText w:val="(%1)"/>
      <w:numFmt w:val="lowerLetter"/>
      <w:start w:val="1"/>
    </w:lvl>
  </w:abstractNum>
  <w:abstractNum w:abstractNumId="70">
    <w:nsid w:val="116AE494"/>
    <w:multiLevelType w:val="hybridMultilevel"/>
    <w:lvl w:ilvl="0">
      <w:lvlJc w:val="left"/>
      <w:lvlText w:val="(%1)"/>
      <w:numFmt w:val="lowerLetter"/>
      <w:start w:val="3"/>
    </w:lvl>
  </w:abstractNum>
  <w:abstractNum w:abstractNumId="71">
    <w:nsid w:val="3494B2FB"/>
    <w:multiLevelType w:val="hybridMultilevel"/>
    <w:lvl w:ilvl="0">
      <w:lvlJc w:val="left"/>
      <w:lvlText w:val="(%1)"/>
      <w:numFmt w:val="lowerLetter"/>
      <w:start w:val="1"/>
    </w:lvl>
  </w:abstractNum>
  <w:abstractNum w:abstractNumId="72">
    <w:nsid w:val="B13A31"/>
    <w:multiLevelType w:val="hybridMultilevel"/>
    <w:lvl w:ilvl="0">
      <w:lvlJc w:val="left"/>
      <w:lvlText w:val="(%1)"/>
      <w:numFmt w:val="lowerLetter"/>
      <w:start w:val="5"/>
    </w:lvl>
  </w:abstractNum>
  <w:abstractNum w:abstractNumId="73">
    <w:nsid w:val="64429599"/>
    <w:multiLevelType w:val="hybridMultilevel"/>
    <w:lvl w:ilvl="0">
      <w:lvlJc w:val="left"/>
      <w:lvlText w:val="(%1)"/>
      <w:numFmt w:val="lowerLetter"/>
      <w:start w:val="13"/>
    </w:lvl>
  </w:abstractNum>
  <w:abstractNum w:abstractNumId="74">
    <w:nsid w:val="631F1690"/>
    <w:multiLevelType w:val="hybridMultilevel"/>
    <w:lvl w:ilvl="0">
      <w:lvlJc w:val="left"/>
      <w:lvlText w:val="(%1)"/>
      <w:numFmt w:val="lowerLetter"/>
      <w:start w:val="1"/>
    </w:lvl>
  </w:abstractNum>
  <w:abstractNum w:abstractNumId="75">
    <w:nsid w:val="25973E32"/>
    <w:multiLevelType w:val="hybridMultilevel"/>
    <w:lvl w:ilvl="0">
      <w:lvlJc w:val="left"/>
      <w:lvlText w:val="(%1)"/>
      <w:numFmt w:val="lowerLetter"/>
      <w:start w:val="4"/>
    </w:lvl>
  </w:abstractNum>
  <w:abstractNum w:abstractNumId="76">
    <w:nsid w:val="EAD6F57"/>
    <w:multiLevelType w:val="hybridMultilevel"/>
    <w:lvl w:ilvl="0">
      <w:lvlJc w:val="left"/>
      <w:lvlText w:val="(%1)"/>
      <w:numFmt w:val="lowerLetter"/>
      <w:start w:val="1"/>
    </w:lvl>
    <w:lvl w:ilvl="1">
      <w:lvlJc w:val="left"/>
      <w:lvlText w:val="(%2)"/>
      <w:numFmt w:val="lowerLetter"/>
      <w:start w:val="9"/>
    </w:lvl>
  </w:abstractNum>
  <w:abstractNum w:abstractNumId="77">
    <w:nsid w:val="6EC9D844"/>
    <w:multiLevelType w:val="hybridMultilevel"/>
    <w:lvl w:ilvl="0">
      <w:lvlJc w:val="left"/>
      <w:lvlText w:val="%1"/>
      <w:numFmt w:val="lowerLetter"/>
      <w:start w:val="1"/>
    </w:lvl>
    <w:lvl w:ilvl="1">
      <w:lvlJc w:val="left"/>
      <w:lvlText w:val="(%2)"/>
      <w:numFmt w:val="lowerLetter"/>
      <w:start w:val="35"/>
    </w:lvl>
  </w:abstractNum>
  <w:abstractNum w:abstractNumId="78">
    <w:nsid w:val="5C49EAEE"/>
    <w:multiLevelType w:val="hybridMultilevel"/>
    <w:lvl w:ilvl="0">
      <w:lvlJc w:val="left"/>
      <w:lvlText w:val="(%1)"/>
      <w:numFmt w:val="lowerLetter"/>
      <w:start w:val="1"/>
    </w:lvl>
    <w:lvl w:ilvl="1">
      <w:lvlJc w:val="left"/>
      <w:lvlText w:val="%2"/>
      <w:numFmt w:val="lowerLetter"/>
      <w:start w:val="1"/>
    </w:lvl>
  </w:abstractNum>
  <w:abstractNum w:abstractNumId="79">
    <w:nsid w:val="64AF49B"/>
    <w:multiLevelType w:val="hybridMultilevel"/>
    <w:lvl w:ilvl="0">
      <w:lvlJc w:val="left"/>
      <w:lvlText w:val="(%1)"/>
      <w:numFmt w:val="decimal"/>
      <w:start w:val="2"/>
    </w:lvl>
  </w:abstractNum>
  <w:abstractNum w:abstractNumId="80">
    <w:nsid w:val="397C46BC"/>
    <w:multiLevelType w:val="hybridMultilevel"/>
    <w:lvl w:ilvl="0">
      <w:lvlJc w:val="left"/>
      <w:lvlText w:val="(%1)"/>
      <w:numFmt w:val="upperLetter"/>
      <w:start w:val="2"/>
    </w:lvl>
  </w:abstractNum>
  <w:abstractNum w:abstractNumId="81">
    <w:nsid w:val="7E448DE9"/>
    <w:multiLevelType w:val="hybridMultilevel"/>
    <w:lvl w:ilvl="0">
      <w:lvlJc w:val="left"/>
      <w:lvlText w:val="(%1)"/>
      <w:numFmt w:val="upperLetter"/>
      <w:start w:val="3"/>
    </w:lvl>
    <w:lvl w:ilvl="1">
      <w:lvlJc w:val="left"/>
      <w:lvlText w:val="(%2)"/>
      <w:numFmt w:val="decimal"/>
      <w:start w:val="2"/>
    </w:lvl>
  </w:abstractNum>
  <w:abstractNum w:abstractNumId="82">
    <w:nsid w:val="5A9CC3E5"/>
    <w:multiLevelType w:val="hybridMultilevel"/>
    <w:lvl w:ilvl="0">
      <w:lvlJc w:val="left"/>
      <w:lvlText w:val="%1"/>
      <w:numFmt w:val="lowerLetter"/>
      <w:start w:val="1"/>
    </w:lvl>
    <w:lvl w:ilvl="1">
      <w:lvlJc w:val="left"/>
      <w:lvlText w:val="(%2)"/>
      <w:numFmt w:val="lowerRoman"/>
      <w:start w:val="3"/>
    </w:lvl>
  </w:abstractNum>
  <w:abstractNum w:abstractNumId="83">
    <w:nsid w:val="1AFE3625"/>
    <w:multiLevelType w:val="hybridMultilevel"/>
    <w:lvl w:ilvl="0">
      <w:lvlJc w:val="left"/>
      <w:lvlText w:val="(%1)"/>
      <w:numFmt w:val="lowerLetter"/>
      <w:start w:val="4"/>
    </w:lvl>
    <w:lvl w:ilvl="1">
      <w:lvlJc w:val="left"/>
      <w:lvlText w:val="%2"/>
      <w:numFmt w:val="lowerRoman"/>
      <w:start w:val="1"/>
    </w:lvl>
  </w:abstractNum>
  <w:abstractNum w:abstractNumId="84">
    <w:nsid w:val="3CA88ECF"/>
    <w:multiLevelType w:val="hybridMultilevel"/>
    <w:lvl w:ilvl="0">
      <w:lvlJc w:val="left"/>
      <w:lvlText w:val="(%1)"/>
      <w:numFmt w:val="lowerLetter"/>
      <w:start w:val="1"/>
    </w:lvl>
  </w:abstractNum>
  <w:abstractNum w:abstractNumId="85">
    <w:nsid w:val="6EBE4208"/>
    <w:multiLevelType w:val="hybridMultilevel"/>
    <w:lvl w:ilvl="0">
      <w:lvlJc w:val="left"/>
      <w:lvlText w:val="(%1)"/>
      <w:numFmt w:val="lowerLetter"/>
      <w:start w:val="1"/>
    </w:lvl>
  </w:abstractNum>
  <w:abstractNum w:abstractNumId="86">
    <w:nsid w:val="C058DF5"/>
    <w:multiLevelType w:val="hybridMultilevel"/>
    <w:lvl w:ilvl="0">
      <w:lvlJc w:val="left"/>
      <w:lvlText w:val="(%1)"/>
      <w:numFmt w:val="lowerLetter"/>
      <w:start w:val="2"/>
    </w:lvl>
    <w:lvl w:ilvl="1">
      <w:lvlJc w:val="left"/>
      <w:lvlText w:val="(%2)"/>
      <w:numFmt w:val="lowerRoman"/>
      <w:start w:val="1"/>
    </w:lvl>
  </w:abstractNum>
  <w:abstractNum w:abstractNumId="87">
    <w:nsid w:val="CBE5BE9"/>
    <w:multiLevelType w:val="hybridMultilevel"/>
    <w:lvl w:ilvl="0">
      <w:lvlJc w:val="left"/>
      <w:lvlText w:val="(%1)"/>
      <w:numFmt w:val="lowerRoman"/>
      <w:start w:val="1"/>
    </w:lvl>
  </w:abstractNum>
  <w:abstractNum w:abstractNumId="88">
    <w:nsid w:val="3102BBE2"/>
    <w:multiLevelType w:val="hybridMultilevel"/>
    <w:lvl w:ilvl="0">
      <w:lvlJc w:val="left"/>
      <w:lvlText w:val="%1"/>
      <w:numFmt w:val="lowerLetter"/>
      <w:start w:val="1"/>
    </w:lvl>
    <w:lvl w:ilvl="1">
      <w:lvlJc w:val="left"/>
      <w:lvlText w:val="(%2)"/>
      <w:numFmt w:val="lowerRoman"/>
      <w:start w:val="6"/>
    </w:lvl>
  </w:abstractNum>
  <w:abstractNum w:abstractNumId="89">
    <w:nsid w:val="26A02C5E"/>
    <w:multiLevelType w:val="hybridMultilevel"/>
    <w:lvl w:ilvl="0">
      <w:lvlJc w:val="left"/>
      <w:lvlText w:val="(%1)"/>
      <w:numFmt w:val="lowerLetter"/>
      <w:start w:val="1"/>
    </w:lvl>
    <w:lvl w:ilvl="1">
      <w:lvlJc w:val="left"/>
      <w:lvlText w:val="%2"/>
      <w:numFmt w:val="lowerRoman"/>
      <w:start w:val="1"/>
    </w:lvl>
  </w:abstractNum>
  <w:abstractNum w:abstractNumId="90">
    <w:nsid w:val="541C8153"/>
    <w:multiLevelType w:val="hybridMultilevel"/>
    <w:lvl w:ilvl="0">
      <w:lvlJc w:val="left"/>
      <w:lvlText w:val="%1"/>
      <w:numFmt w:val="lowerLetter"/>
      <w:start w:val="1"/>
    </w:lvl>
    <w:lvl w:ilvl="1">
      <w:lvlJc w:val="left"/>
      <w:lvlText w:val="(%2)"/>
      <w:numFmt w:val="lowerLetter"/>
      <w:start w:val="3"/>
    </w:lvl>
  </w:abstractNum>
  <w:abstractNum w:abstractNumId="91">
    <w:nsid w:val="67906F60"/>
    <w:multiLevelType w:val="hybridMultilevel"/>
    <w:lvl w:ilvl="0">
      <w:lvlJc w:val="left"/>
      <w:lvlText w:val="(%1)"/>
      <w:numFmt w:val="lowerLetter"/>
      <w:start w:val="61"/>
    </w:lvl>
    <w:lvl w:ilvl="1">
      <w:lvlJc w:val="left"/>
      <w:lvlText w:val="%2"/>
      <w:numFmt w:val="lowerLetter"/>
      <w:start w:val="1"/>
    </w:lvl>
  </w:abstractNum>
  <w:abstractNum w:abstractNumId="92">
    <w:nsid w:val="10DB9DAA"/>
    <w:multiLevelType w:val="hybridMultilevel"/>
    <w:lvl w:ilvl="0">
      <w:lvlJc w:val="left"/>
      <w:lvlText w:val="(%1)"/>
      <w:numFmt w:val="lowerLetter"/>
      <w:start w:val="1"/>
    </w:lvl>
    <w:lvl w:ilvl="1">
      <w:lvlJc w:val="left"/>
      <w:lvlText w:val="(%2)"/>
      <w:numFmt w:val="lowerLetter"/>
      <w:start w:val="9"/>
    </w:lvl>
  </w:abstractNum>
  <w:abstractNum w:abstractNumId="93">
    <w:nsid w:val="697D2D2"/>
    <w:multiLevelType w:val="hybridMultilevel"/>
    <w:lvl w:ilvl="0">
      <w:lvlJc w:val="left"/>
      <w:lvlText w:val="(%1)"/>
      <w:numFmt w:val="lowerRoman"/>
      <w:start w:val="2"/>
    </w:lvl>
  </w:abstractNum>
  <w:abstractNum w:abstractNumId="94">
    <w:nsid w:val="6D68AB2"/>
    <w:multiLevelType w:val="hybridMultilevel"/>
    <w:lvl w:ilvl="0">
      <w:lvlJc w:val="left"/>
      <w:lvlText w:val="(%1)"/>
      <w:numFmt w:val="lowerLetter"/>
      <w:start w:val="2"/>
    </w:lvl>
    <w:lvl w:ilvl="1">
      <w:lvlJc w:val="left"/>
      <w:lvlText w:val="(%2)"/>
      <w:numFmt w:val="lowerRoman"/>
      <w:start w:val="1"/>
    </w:lvl>
  </w:abstractNum>
  <w:abstractNum w:abstractNumId="95">
    <w:nsid w:val="3A966CD0"/>
    <w:multiLevelType w:val="hybridMultilevel"/>
    <w:lvl w:ilvl="0">
      <w:lvlJc w:val="left"/>
      <w:lvlText w:val="(%1)"/>
      <w:numFmt w:val="lowerLetter"/>
      <w:start w:val="1"/>
    </w:lvl>
  </w:abstractNum>
  <w:abstractNum w:abstractNumId="96">
    <w:nsid w:val="63F37E85"/>
    <w:multiLevelType w:val="hybridMultilevel"/>
    <w:lvl w:ilvl="0">
      <w:lvlJc w:val="left"/>
      <w:lvlText w:val="(%1)"/>
      <w:numFmt w:val="lowerLetter"/>
      <w:start w:val="2"/>
    </w:lvl>
  </w:abstractNum>
  <w:abstractNum w:abstractNumId="97">
    <w:nsid w:val="5895F5FA"/>
    <w:multiLevelType w:val="hybridMultilevel"/>
    <w:lvl w:ilvl="0">
      <w:lvlJc w:val="left"/>
      <w:lvlText w:val="(%1)"/>
      <w:numFmt w:val="lowerLetter"/>
      <w:start w:val="3"/>
    </w:lvl>
  </w:abstractNum>
  <w:abstractNum w:abstractNumId="98">
    <w:nsid w:val="38A5D054"/>
    <w:multiLevelType w:val="hybridMultilevel"/>
    <w:lvl w:ilvl="0">
      <w:lvlJc w:val="left"/>
      <w:lvlText w:val="(%1)"/>
      <w:numFmt w:val="lowerLetter"/>
      <w:start w:val="1"/>
    </w:lvl>
    <w:lvl w:ilvl="1">
      <w:lvlJc w:val="left"/>
      <w:lvlText w:val="(%2)"/>
      <w:numFmt w:val="lowerRoman"/>
      <w:start w:val="1"/>
    </w:lvl>
  </w:abstractNum>
  <w:abstractNum w:abstractNumId="99">
    <w:nsid w:val="F3F09D8"/>
    <w:multiLevelType w:val="hybridMultilevel"/>
    <w:lvl w:ilvl="0">
      <w:lvlJc w:val="left"/>
      <w:lvlText w:val="(%1)"/>
      <w:numFmt w:val="upperLetter"/>
      <w:start w:val="3"/>
    </w:lvl>
    <w:lvl w:ilvl="1">
      <w:lvlJc w:val="left"/>
      <w:lvlText w:val="(%2)"/>
      <w:numFmt w:val="lowerRoman"/>
      <w:start w:val="4"/>
    </w:lvl>
  </w:abstractNum>
  <w:abstractNum w:abstractNumId="100">
    <w:nsid w:val="4B793735"/>
    <w:multiLevelType w:val="hybridMultilevel"/>
    <w:lvl w:ilvl="0">
      <w:lvlJc w:val="left"/>
      <w:lvlText w:val="(%1)"/>
      <w:numFmt w:val="lowerLetter"/>
      <w:start w:val="1"/>
    </w:lvl>
  </w:abstractNum>
  <w:abstractNum w:abstractNumId="101">
    <w:nsid w:val="4A10B4E8"/>
    <w:multiLevelType w:val="hybridMultilevel"/>
    <w:lvl w:ilvl="0">
      <w:lvlJc w:val="left"/>
      <w:lvlText w:val="(%1)"/>
      <w:numFmt w:val="lowerRoman"/>
      <w:start w:val="1"/>
    </w:lvl>
  </w:abstractNum>
  <w:abstractNum w:abstractNumId="102">
    <w:nsid w:val="43D3BCD4"/>
    <w:multiLevelType w:val="hybridMultilevel"/>
    <w:lvl w:ilvl="0">
      <w:lvlJc w:val="left"/>
      <w:lvlText w:val="(%1)"/>
      <w:numFmt w:val="lowerLetter"/>
      <w:start w:val="1"/>
    </w:lvl>
  </w:abstractNum>
  <w:abstractNum w:abstractNumId="103">
    <w:nsid w:val="4C2A7166"/>
    <w:multiLevelType w:val="hybridMultilevel"/>
    <w:lvl w:ilvl="0">
      <w:lvlJc w:val="left"/>
      <w:lvlText w:val="(%1)"/>
      <w:numFmt w:val="lowerLetter"/>
      <w:start w:val="1"/>
    </w:lvl>
  </w:abstractNum>
  <w:abstractNum w:abstractNumId="104">
    <w:nsid w:val="2E534A82"/>
    <w:multiLevelType w:val="hybridMultilevel"/>
    <w:lvl w:ilvl="0">
      <w:lvlJc w:val="left"/>
      <w:lvlText w:val="%1"/>
      <w:numFmt w:val="lowerLetter"/>
      <w:start w:val="1"/>
    </w:lvl>
    <w:lvl w:ilvl="1">
      <w:lvlJc w:val="left"/>
      <w:lvlText w:val="(%2)"/>
      <w:numFmt w:val="lowerLetter"/>
      <w:start w:val="2"/>
    </w:lvl>
  </w:abstractNum>
  <w:abstractNum w:abstractNumId="105">
    <w:nsid w:val="26F2D364"/>
    <w:multiLevelType w:val="hybridMultilevel"/>
    <w:lvl w:ilvl="0">
      <w:lvlJc w:val="left"/>
      <w:lvlText w:val="(%1)"/>
      <w:numFmt w:val="lowerLetter"/>
      <w:start w:val="35"/>
    </w:lvl>
    <w:lvl w:ilvl="1">
      <w:lvlJc w:val="left"/>
      <w:lvlText w:val="(%2)"/>
      <w:numFmt w:val="lowerLetter"/>
      <w:start w:val="3"/>
    </w:lvl>
  </w:abstractNum>
  <w:abstractNum w:abstractNumId="106">
    <w:nsid w:val="71C1AF98"/>
    <w:multiLevelType w:val="hybridMultilevel"/>
    <w:lvl w:ilvl="0">
      <w:lvlJc w:val="left"/>
      <w:lvlText w:val="(%1)"/>
      <w:numFmt w:val="lowerLetter"/>
      <w:start w:val="1"/>
    </w:lvl>
    <w:lvl w:ilvl="1">
      <w:lvlJc w:val="left"/>
      <w:lvlText w:val="(%2)"/>
      <w:numFmt w:val="lowerLetter"/>
      <w:start w:val="9"/>
    </w:lvl>
  </w:abstractNum>
  <w:abstractNum w:abstractNumId="107">
    <w:nsid w:val="3D00B9D9"/>
    <w:multiLevelType w:val="hybridMultilevel"/>
    <w:lvl w:ilvl="0">
      <w:lvlJc w:val="left"/>
      <w:lvlText w:val="(%1)"/>
      <w:numFmt w:val="lowerRoman"/>
      <w:start w:val="2"/>
    </w:lvl>
  </w:abstractNum>
  <w:abstractNum w:abstractNumId="108">
    <w:nsid w:val="15BCABA8"/>
    <w:multiLevelType w:val="hybridMultilevel"/>
    <w:lvl w:ilvl="0">
      <w:lvlJc w:val="left"/>
      <w:lvlText w:val="%1"/>
      <w:numFmt w:val="lowerLetter"/>
      <w:start w:val="1"/>
    </w:lvl>
    <w:lvl w:ilvl="1">
      <w:lvlJc w:val="left"/>
      <w:lvlText w:val="(%2)"/>
      <w:numFmt w:val="lowerLetter"/>
      <w:start w:val="22"/>
    </w:lvl>
  </w:abstractNum>
  <w:abstractNum w:abstractNumId="109">
    <w:nsid w:val="4E0B9A87"/>
    <w:multiLevelType w:val="hybridMultilevel"/>
    <w:lvl w:ilvl="0">
      <w:lvlJc w:val="left"/>
      <w:lvlText w:val="(%1)"/>
      <w:numFmt w:val="lowerLetter"/>
      <w:start w:val="2"/>
    </w:lvl>
    <w:lvl w:ilvl="1">
      <w:lvlJc w:val="left"/>
      <w:lvlText w:val="(%2)"/>
      <w:numFmt w:val="lowerLetter"/>
      <w:start w:val="9"/>
    </w:lvl>
  </w:abstractNum>
  <w:abstractNum w:abstractNumId="110">
    <w:nsid w:val="434BAE75"/>
    <w:multiLevelType w:val="hybridMultilevel"/>
    <w:lvl w:ilvl="0">
      <w:lvlJc w:val="left"/>
      <w:lvlText w:val="(%1)"/>
      <w:numFmt w:val="lowerRoman"/>
      <w:start w:val="2"/>
    </w:lvl>
  </w:abstractNum>
  <w:abstractNum w:abstractNumId="111">
    <w:nsid w:val="4F38F265"/>
    <w:multiLevelType w:val="hybridMultilevel"/>
    <w:lvl w:ilvl="0">
      <w:lvlJc w:val="left"/>
      <w:lvlText w:val="(%1)"/>
      <w:numFmt w:val="lowerRoman"/>
      <w:start w:val="3"/>
    </w:lvl>
  </w:abstractNum>
  <w:abstractNum w:abstractNumId="112">
    <w:nsid w:val="4C502870"/>
    <w:multiLevelType w:val="hybridMultilevel"/>
    <w:lvl w:ilvl="0">
      <w:lvlJc w:val="left"/>
      <w:lvlText w:val="%1"/>
      <w:numFmt w:val="decimal"/>
      <w:start w:val="1"/>
    </w:lvl>
    <w:lvl w:ilvl="1">
      <w:lvlJc w:val="left"/>
      <w:lvlText w:val="(%2)"/>
      <w:numFmt w:val="lowerRoman"/>
      <w:start w:val="4"/>
    </w:lvl>
  </w:abstractNum>
  <w:abstractNum w:abstractNumId="113">
    <w:nsid w:val="1DE8725A"/>
    <w:multiLevelType w:val="hybridMultilevel"/>
    <w:lvl w:ilvl="0">
      <w:lvlJc w:val="left"/>
      <w:lvlText w:val="(%1)"/>
      <w:numFmt w:val="decimal"/>
      <w:start w:val="4"/>
    </w:lvl>
    <w:lvl w:ilvl="1">
      <w:lvlJc w:val="left"/>
      <w:lvlText w:val="(%2)"/>
      <w:numFmt w:val="lowerRoman"/>
      <w:start w:val="5"/>
    </w:lvl>
  </w:abstractNum>
  <w:abstractNum w:abstractNumId="114">
    <w:nsid w:val="6A37288A"/>
    <w:multiLevelType w:val="hybridMultilevel"/>
    <w:lvl w:ilvl="0">
      <w:lvlJc w:val="left"/>
      <w:lvlText w:val="(%1)"/>
      <w:numFmt w:val="lowerLetter"/>
      <w:start w:val="3"/>
    </w:lvl>
  </w:abstractNum>
  <w:abstractNum w:abstractNumId="115">
    <w:nsid w:val="8F8B73F"/>
    <w:multiLevelType w:val="hybridMultilevel"/>
    <w:lvl w:ilvl="0">
      <w:lvlJc w:val="left"/>
      <w:lvlText w:val="(%1)"/>
      <w:numFmt w:val="lowerLetter"/>
      <w:start w:val="1"/>
    </w:lvl>
  </w:abstractNum>
  <w:abstractNum w:abstractNumId="116">
    <w:nsid w:val="CA6B462"/>
    <w:multiLevelType w:val="hybridMultilevel"/>
    <w:lvl w:ilvl="0">
      <w:lvlJc w:val="left"/>
      <w:lvlText w:val="(%1)"/>
      <w:numFmt w:val="lowerLetter"/>
      <w:start w:val="3"/>
    </w:lvl>
  </w:abstractNum>
  <w:abstractNum w:abstractNumId="117">
    <w:nsid w:val="763CB680"/>
    <w:multiLevelType w:val="hybridMultilevel"/>
    <w:lvl w:ilvl="0">
      <w:lvlJc w:val="left"/>
      <w:lvlText w:val="(%1)"/>
      <w:numFmt w:val="lowerLetter"/>
      <w:start w:val="4"/>
    </w:lvl>
  </w:abstractNum>
  <w:abstractNum w:abstractNumId="118">
    <w:nsid w:val="15B71329"/>
    <w:multiLevelType w:val="hybridMultilevel"/>
    <w:lvl w:ilvl="0">
      <w:lvlJc w:val="left"/>
      <w:lvlText w:val="(%1)"/>
      <w:numFmt w:val="lowerLetter"/>
      <w:start w:val="1"/>
    </w:lvl>
  </w:abstractNum>
  <w:abstractNum w:abstractNumId="119">
    <w:nsid w:val="3DA97044"/>
    <w:multiLevelType w:val="hybridMultilevel"/>
    <w:lvl w:ilvl="0">
      <w:lvlJc w:val="left"/>
      <w:lvlText w:val="(%1)"/>
      <w:numFmt w:val="lowerLetter"/>
      <w:start w:val="1"/>
    </w:lvl>
  </w:abstractNum>
  <w:abstractNum w:abstractNumId="120">
    <w:nsid w:val="1CDCE2DE"/>
    <w:multiLevelType w:val="hybridMultilevel"/>
    <w:lvl w:ilvl="0">
      <w:lvlJc w:val="left"/>
      <w:lvlText w:val="(%1)"/>
      <w:numFmt w:val="lowerLetter"/>
      <w:start w:val="3"/>
    </w:lvl>
  </w:abstractNum>
  <w:abstractNum w:abstractNumId="121">
    <w:nsid w:val="69D3947C"/>
    <w:multiLevelType w:val="hybridMultilevel"/>
    <w:lvl w:ilvl="0">
      <w:lvlJc w:val="left"/>
      <w:lvlText w:val="(%1)"/>
      <w:numFmt w:val="lowerLetter"/>
      <w:start w:val="1"/>
    </w:lvl>
  </w:abstractNum>
  <w:abstractNum w:abstractNumId="122">
    <w:nsid w:val="2539DFA5"/>
    <w:multiLevelType w:val="hybridMultilevel"/>
    <w:lvl w:ilvl="0">
      <w:lvlJc w:val="left"/>
      <w:lvlText w:val="(%1)"/>
      <w:numFmt w:val="lowerLetter"/>
      <w:start w:val="2"/>
    </w:lvl>
  </w:abstractNum>
  <w:abstractNum w:abstractNumId="123">
    <w:nsid w:val="2DB88089"/>
    <w:multiLevelType w:val="hybridMultilevel"/>
    <w:lvl w:ilvl="0">
      <w:lvlJc w:val="left"/>
      <w:lvlText w:val="(%1)"/>
      <w:numFmt w:val="lowerLetter"/>
      <w:start w:val="6"/>
    </w:lvl>
  </w:abstractNum>
  <w:abstractNum w:abstractNumId="124">
    <w:nsid w:val="706B674E"/>
    <w:multiLevelType w:val="hybridMultilevel"/>
    <w:lvl w:ilvl="0">
      <w:lvlJc w:val="left"/>
      <w:lvlText w:val="(%1)"/>
      <w:numFmt w:val="lowerLetter"/>
      <w:start w:val="1"/>
    </w:lvl>
  </w:abstractNum>
  <w:abstractNum w:abstractNumId="125">
    <w:nsid w:val="2C106A57"/>
    <w:multiLevelType w:val="hybridMultilevel"/>
    <w:lvl w:ilvl="0">
      <w:lvlJc w:val="left"/>
      <w:lvlText w:val="(%1)"/>
      <w:numFmt w:val="lowerLetter"/>
      <w:start w:val="1"/>
    </w:lvl>
  </w:abstractNum>
  <w:abstractNum w:abstractNumId="126">
    <w:nsid w:val="684EED59"/>
    <w:multiLevelType w:val="hybridMultilevel"/>
    <w:lvl w:ilvl="0">
      <w:lvlJc w:val="left"/>
      <w:lvlText w:val="(%1)"/>
      <w:numFmt w:val="lowerLetter"/>
      <w:start w:val="2"/>
    </w:lvl>
    <w:lvl w:ilvl="1">
      <w:lvlJc w:val="left"/>
      <w:lvlText w:val="(%2)"/>
      <w:numFmt w:val="lowerRoman"/>
      <w:start w:val="1"/>
    </w:lvl>
  </w:abstractNum>
  <w:abstractNum w:abstractNumId="127">
    <w:nsid w:val="545EE5D3"/>
    <w:multiLevelType w:val="hybridMultilevel"/>
    <w:lvl w:ilvl="0">
      <w:lvlJc w:val="left"/>
      <w:lvlText w:val="(%1)"/>
      <w:numFmt w:val="lowerLetter"/>
      <w:start w:val="1"/>
    </w:lvl>
    <w:lvl w:ilvl="1">
      <w:lvlJc w:val="left"/>
      <w:lvlText w:val="(%2)"/>
      <w:numFmt w:val="lowerRoman"/>
      <w:start w:val="1"/>
    </w:lvl>
  </w:abstractNum>
  <w:abstractNum w:abstractNumId="128">
    <w:nsid w:val="4A66051"/>
    <w:multiLevelType w:val="hybridMultilevel"/>
    <w:lvl w:ilvl="0">
      <w:lvlJc w:val="left"/>
      <w:lvlText w:val="(%1)"/>
      <w:numFmt w:val="lowerLetter"/>
      <w:start w:val="1"/>
    </w:lvl>
  </w:abstractNum>
  <w:abstractNum w:abstractNumId="129">
    <w:nsid w:val="20F4BDAD"/>
    <w:multiLevelType w:val="hybridMultilevel"/>
    <w:lvl w:ilvl="0">
      <w:lvlJc w:val="left"/>
      <w:lvlText w:val="(%1)"/>
      <w:numFmt w:val="lowerLetter"/>
      <w:start w:val="1"/>
    </w:lvl>
  </w:abstractNum>
  <w:abstractNum w:abstractNumId="130">
    <w:nsid w:val="639DEFAC"/>
    <w:multiLevelType w:val="hybridMultilevel"/>
    <w:lvl w:ilvl="0">
      <w:lvlJc w:val="left"/>
      <w:lvlText w:val="(%1)"/>
      <w:numFmt w:val="lowerLetter"/>
      <w:start w:val="1"/>
    </w:lvl>
  </w:abstractNum>
  <w:abstractNum w:abstractNumId="131">
    <w:nsid w:val="501F9786"/>
    <w:multiLevelType w:val="hybridMultilevel"/>
    <w:lvl w:ilvl="0">
      <w:lvlJc w:val="left"/>
      <w:lvlText w:val="(%1)"/>
      <w:numFmt w:val="lowerLetter"/>
      <w:start w:val="1"/>
    </w:lvl>
  </w:abstractNum>
  <w:abstractNum w:abstractNumId="132">
    <w:nsid w:val="6B057295"/>
    <w:multiLevelType w:val="hybridMultilevel"/>
    <w:lvl w:ilvl="0">
      <w:lvlJc w:val="left"/>
      <w:lvlText w:val="%1"/>
      <w:numFmt w:val="upperLetter"/>
      <w:start w:val="1"/>
    </w:lvl>
    <w:lvl w:ilvl="1">
      <w:lvlJc w:val="left"/>
      <w:lvlText w:val="(%2)"/>
      <w:numFmt w:val="lowerRoman"/>
      <w:start w:val="1"/>
    </w:lvl>
  </w:abstractNum>
  <w:abstractNum w:abstractNumId="133">
    <w:nsid w:val="2771AC80"/>
    <w:multiLevelType w:val="hybridMultilevel"/>
    <w:lvl w:ilvl="0">
      <w:lvlJc w:val="left"/>
      <w:lvlText w:val="(%1)"/>
      <w:numFmt w:val="upperLetter"/>
      <w:start w:val="2"/>
    </w:lvl>
    <w:lvl w:ilvl="1">
      <w:lvlJc w:val="left"/>
      <w:lvlText w:val="(%2)"/>
      <w:numFmt w:val="lowerRoman"/>
      <w:start w:val="2"/>
    </w:lvl>
  </w:abstractNum>
  <w:abstractNum w:abstractNumId="134">
    <w:nsid w:val="1C4A08EC"/>
    <w:multiLevelType w:val="hybridMultilevel"/>
    <w:lvl w:ilvl="0">
      <w:lvlJc w:val="left"/>
      <w:lvlText w:val="(%1)"/>
      <w:numFmt w:val="upperLetter"/>
      <w:start w:val="2"/>
    </w:lvl>
    <w:lvl w:ilvl="1">
      <w:lvlJc w:val="left"/>
      <w:lvlText w:val="(%2)"/>
      <w:numFmt w:val="lowerRoman"/>
      <w:start w:val="4"/>
    </w:lvl>
  </w:abstractNum>
  <w:abstractNum w:abstractNumId="135">
    <w:nsid w:val="1958BD17"/>
    <w:multiLevelType w:val="hybridMultilevel"/>
    <w:lvl w:ilvl="0">
      <w:lvlJc w:val="left"/>
      <w:lvlText w:val="(%1)"/>
      <w:numFmt w:val="lowerLetter"/>
      <w:start w:val="2"/>
    </w:lvl>
  </w:abstractNum>
  <w:abstractNum w:abstractNumId="136">
    <w:nsid w:val="4E647FE4"/>
    <w:multiLevelType w:val="hybridMultilevel"/>
    <w:lvl w:ilvl="0">
      <w:lvlJc w:val="left"/>
      <w:lvlText w:val="(%1)"/>
      <w:numFmt w:val="lowerLetter"/>
      <w:start w:val="3"/>
    </w:lvl>
  </w:abstractNum>
  <w:abstractNum w:abstractNumId="137">
    <w:nsid w:val="E0BB885"/>
    <w:multiLevelType w:val="hybridMultilevel"/>
    <w:lvl w:ilvl="0">
      <w:lvlJc w:val="left"/>
      <w:lvlText w:val="(%1)"/>
      <w:numFmt w:val="lowerLetter"/>
      <w:start w:val="1"/>
    </w:lvl>
  </w:abstractNum>
  <w:abstractNum w:abstractNumId="138">
    <w:nsid w:val="565976F1"/>
    <w:multiLevelType w:val="hybridMultilevel"/>
    <w:lvl w:ilvl="0">
      <w:lvlJc w:val="left"/>
      <w:lvlText w:val="(%1)"/>
      <w:numFmt w:val="lowerLetter"/>
      <w:start w:val="2"/>
    </w:lvl>
  </w:abstractNum>
  <w:abstractNum w:abstractNumId="139">
    <w:nsid w:val="64212B8C"/>
    <w:multiLevelType w:val="hybridMultilevel"/>
    <w:lvl w:ilvl="0">
      <w:lvlJc w:val="left"/>
      <w:lvlText w:val="(%1)"/>
      <w:numFmt w:val="lowerLetter"/>
      <w:start w:val="1"/>
    </w:lvl>
  </w:abstractNum>
  <w:abstractNum w:abstractNumId="140">
    <w:nsid w:val="5C17530C"/>
    <w:multiLevelType w:val="hybridMultilevel"/>
    <w:lvl w:ilvl="0">
      <w:lvlJc w:val="left"/>
      <w:lvlText w:val="(%1)"/>
      <w:numFmt w:val="lowerRoman"/>
      <w:start w:val="1"/>
    </w:lvl>
  </w:abstractNum>
  <w:abstractNum w:abstractNumId="141">
    <w:nsid w:val="19A52566"/>
    <w:multiLevelType w:val="hybridMultilevel"/>
    <w:lvl w:ilvl="0">
      <w:lvlJc w:val="left"/>
      <w:lvlText w:val="(%1)"/>
      <w:numFmt w:val="lowerLetter"/>
      <w:start w:val="1"/>
    </w:lvl>
  </w:abstractNum>
  <w:abstractNum w:abstractNumId="142">
    <w:nsid w:val="335A1DF1"/>
    <w:multiLevelType w:val="hybridMultilevel"/>
    <w:lvl w:ilvl="0">
      <w:lvlJc w:val="left"/>
      <w:lvlText w:val="(%1)"/>
      <w:numFmt w:val="lowerLetter"/>
      <w:start w:val="1"/>
    </w:lvl>
  </w:abstractNum>
  <w:abstractNum w:abstractNumId="143">
    <w:nsid w:val="28677B7C"/>
    <w:multiLevelType w:val="hybridMultilevel"/>
    <w:lvl w:ilvl="0">
      <w:lvlJc w:val="left"/>
      <w:lvlText w:val="(%1)"/>
      <w:numFmt w:val="lowerRoman"/>
      <w:start w:val="4"/>
    </w:lvl>
    <w:lvl w:ilvl="1">
      <w:lvlJc w:val="left"/>
      <w:lvlText w:val="(%2)"/>
      <w:numFmt w:val="lowerLetter"/>
      <w:start w:val="3"/>
    </w:lvl>
  </w:abstractNum>
  <w:abstractNum w:abstractNumId="144">
    <w:nsid w:val="378D97C0"/>
    <w:multiLevelType w:val="hybridMultilevel"/>
    <w:lvl w:ilvl="0">
      <w:lvlJc w:val="left"/>
      <w:lvlText w:val="(%1)"/>
      <w:numFmt w:val="lowerLetter"/>
      <w:start w:val="3"/>
    </w:lvl>
  </w:abstractNum>
  <w:abstractNum w:abstractNumId="145">
    <w:nsid w:val="1D91467C"/>
    <w:multiLevelType w:val="hybridMultilevel"/>
    <w:lvl w:ilvl="0">
      <w:lvlJc w:val="left"/>
      <w:lvlText w:val="(%1)"/>
      <w:numFmt w:val="lowerLetter"/>
      <w:start w:val="1"/>
    </w:lvl>
  </w:abstractNum>
  <w:abstractNum w:abstractNumId="146">
    <w:nsid w:val="316032BB"/>
    <w:multiLevelType w:val="hybridMultilevel"/>
    <w:lvl w:ilvl="0">
      <w:lvlJc w:val="left"/>
      <w:lvlText w:val="%1"/>
      <w:numFmt w:val="upperLetter"/>
      <w:start w:val="1"/>
    </w:lvl>
    <w:lvl w:ilvl="1">
      <w:lvlJc w:val="left"/>
      <w:lvlText w:val="(%2)"/>
      <w:numFmt w:val="lowerLetter"/>
      <w:start w:val="1"/>
    </w:lvl>
  </w:abstractNum>
  <w:abstractNum w:abstractNumId="147">
    <w:nsid w:val="44344C22"/>
    <w:multiLevelType w:val="hybridMultilevel"/>
    <w:lvl w:ilvl="0">
      <w:lvlJc w:val="left"/>
      <w:lvlText w:val="(%1)"/>
      <w:numFmt w:val="upperLetter"/>
      <w:start w:val="2"/>
    </w:lvl>
    <w:lvl w:ilvl="1">
      <w:lvlJc w:val="left"/>
      <w:lvlText w:val="(%2)"/>
      <w:numFmt w:val="lowerLetter"/>
      <w:start w:val="3"/>
    </w:lvl>
  </w:abstractNum>
  <w:abstractNum w:abstractNumId="148">
    <w:nsid w:val="13CDFCFC"/>
    <w:multiLevelType w:val="hybridMultilevel"/>
    <w:lvl w:ilvl="0">
      <w:lvlJc w:val="left"/>
      <w:lvlText w:val="(%1)"/>
      <w:numFmt w:val="lowerLetter"/>
      <w:start w:val="7"/>
    </w:lvl>
  </w:abstractNum>
  <w:abstractNum w:abstractNumId="149">
    <w:nsid w:val="471745E4"/>
    <w:multiLevelType w:val="hybridMultilevel"/>
    <w:lvl w:ilvl="0">
      <w:lvlJc w:val="left"/>
      <w:lvlText w:val="(%1)"/>
      <w:numFmt w:val="lowerLetter"/>
      <w:start w:val="1"/>
    </w:lvl>
  </w:abstractNum>
  <w:abstractNum w:abstractNumId="150">
    <w:nsid w:val="1DDBC66"/>
    <w:multiLevelType w:val="hybridMultilevel"/>
    <w:lvl w:ilvl="0">
      <w:lvlJc w:val="left"/>
      <w:lvlText w:val="(%1)"/>
      <w:numFmt w:val="lowerLetter"/>
      <w:start w:val="2"/>
    </w:lvl>
  </w:abstractNum>
  <w:abstractNum w:abstractNumId="151">
    <w:nsid w:val="30AADFDA"/>
    <w:multiLevelType w:val="hybridMultilevel"/>
    <w:lvl w:ilvl="0">
      <w:lvlJc w:val="left"/>
      <w:lvlText w:val="(%1)"/>
      <w:numFmt w:val="lowerLetter"/>
      <w:start w:val="1"/>
    </w:lvl>
  </w:abstractNum>
  <w:abstractNum w:abstractNumId="152">
    <w:nsid w:val="30EADA61"/>
    <w:multiLevelType w:val="hybridMultilevel"/>
    <w:lvl w:ilvl="0">
      <w:lvlJc w:val="left"/>
      <w:lvlText w:val="(%1)"/>
      <w:numFmt w:val="lowerLetter"/>
      <w:start w:val="1"/>
    </w:lvl>
  </w:abstractNum>
  <w:abstractNum w:abstractNumId="153">
    <w:nsid w:val="27179C0B"/>
    <w:multiLevelType w:val="hybridMultilevel"/>
    <w:lvl w:ilvl="0">
      <w:lvlJc w:val="left"/>
      <w:lvlText w:val="(%1)"/>
      <w:numFmt w:val="lowerLetter"/>
      <w:start w:val="1"/>
    </w:lvl>
    <w:lvl w:ilvl="1">
      <w:lvlJc w:val="left"/>
      <w:lvlText w:val="(%2)"/>
      <w:numFmt w:val="lowerLetter"/>
      <w:start w:val="9"/>
    </w:lvl>
  </w:abstractNum>
  <w:abstractNum w:abstractNumId="154">
    <w:nsid w:val="5E636063"/>
    <w:multiLevelType w:val="hybridMultilevel"/>
    <w:lvl w:ilvl="0">
      <w:lvlJc w:val="left"/>
      <w:lvlText w:val="(%1)"/>
      <w:numFmt w:val="lowerRoman"/>
      <w:start w:val="2"/>
    </w:lvl>
  </w:abstractNum>
  <w:abstractNum w:abstractNumId="155">
    <w:nsid w:val="215641AF"/>
    <w:multiLevelType w:val="hybridMultilevel"/>
    <w:lvl w:ilvl="0">
      <w:lvlJc w:val="left"/>
      <w:lvlText w:val="%1"/>
      <w:numFmt w:val="lowerLetter"/>
      <w:start w:val="1"/>
    </w:lvl>
    <w:lvl w:ilvl="1">
      <w:lvlJc w:val="left"/>
      <w:lvlText w:val="(%2)"/>
      <w:numFmt w:val="lowerRoman"/>
      <w:start w:val="4"/>
    </w:lvl>
  </w:abstractNum>
  <w:abstractNum w:abstractNumId="156">
    <w:nsid w:val="53280662"/>
    <w:multiLevelType w:val="hybridMultilevel"/>
    <w:lvl w:ilvl="0">
      <w:lvlJc w:val="left"/>
      <w:lvlText w:val="(%1)"/>
      <w:numFmt w:val="lowerLetter"/>
      <w:start w:val="2"/>
    </w:lvl>
    <w:lvl w:ilvl="1">
      <w:lvlJc w:val="left"/>
      <w:lvlText w:val="%2"/>
      <w:numFmt w:val="lowerRoman"/>
      <w:start w:val="1"/>
    </w:lvl>
  </w:abstractNum>
  <w:abstractNum w:abstractNumId="157">
    <w:nsid w:val="46B24DBC"/>
    <w:multiLevelType w:val="hybridMultilevel"/>
    <w:lvl w:ilvl="0">
      <w:lvlJc w:val="left"/>
      <w:lvlText w:val="(%1)"/>
      <w:numFmt w:val="lowerLetter"/>
      <w:start w:val="1"/>
    </w:lvl>
  </w:abstractNum>
  <w:abstractNum w:abstractNumId="158">
    <w:nsid w:val="75B52783"/>
    <w:multiLevelType w:val="hybridMultilevel"/>
    <w:lvl w:ilvl="0">
      <w:lvlJc w:val="left"/>
      <w:lvlText w:val="(%1)"/>
      <w:numFmt w:val="lowerLetter"/>
      <w:start w:val="1"/>
    </w:lvl>
  </w:abstractNum>
  <w:abstractNum w:abstractNumId="159">
    <w:nsid w:val="57CE66B4"/>
    <w:multiLevelType w:val="hybridMultilevel"/>
    <w:lvl w:ilvl="0">
      <w:lvlJc w:val="left"/>
      <w:lvlText w:val="(%1)"/>
      <w:numFmt w:val="lowerLetter"/>
      <w:start w:val="1"/>
    </w:lvl>
  </w:abstractNum>
  <w:abstractNum w:abstractNumId="160">
    <w:nsid w:val="67A70B69"/>
    <w:multiLevelType w:val="hybridMultilevel"/>
    <w:lvl w:ilvl="0">
      <w:lvlJc w:val="left"/>
      <w:lvlText w:val="(%1)"/>
      <w:numFmt w:val="lowerLetter"/>
      <w:start w:val="1"/>
    </w:lvl>
  </w:abstractNum>
  <w:abstractNum w:abstractNumId="161">
    <w:nsid w:val="5953172F"/>
    <w:multiLevelType w:val="hybridMultilevel"/>
    <w:lvl w:ilvl="0">
      <w:lvlJc w:val="left"/>
      <w:lvlText w:val="(%1)"/>
      <w:numFmt w:val="lowerLetter"/>
      <w:start w:val="1"/>
    </w:lvl>
  </w:abstractNum>
  <w:abstractNum w:abstractNumId="162">
    <w:nsid w:val="27EDFE3A"/>
    <w:multiLevelType w:val="hybridMultilevel"/>
    <w:lvl w:ilvl="0">
      <w:lvlJc w:val="left"/>
      <w:lvlText w:val="%1"/>
      <w:numFmt w:val="lowerLetter"/>
      <w:start w:val="1"/>
    </w:lvl>
    <w:lvl w:ilvl="1">
      <w:lvlJc w:val="left"/>
      <w:lvlText w:val="(%2)"/>
      <w:numFmt w:val="lowerLetter"/>
      <w:start w:val="1"/>
    </w:lvl>
  </w:abstractNum>
  <w:abstractNum w:abstractNumId="163">
    <w:nsid w:val="52AC7DFF"/>
    <w:multiLevelType w:val="hybridMultilevel"/>
    <w:lvl w:ilvl="0">
      <w:lvlJc w:val="left"/>
      <w:lvlText w:val="(%1)"/>
      <w:numFmt w:val="lowerLetter"/>
      <w:start w:val="35"/>
    </w:lvl>
    <w:lvl w:ilvl="1">
      <w:lvlJc w:val="left"/>
      <w:lvlText w:val="(%2)"/>
      <w:numFmt w:val="lowerLetter"/>
      <w:start w:val="2"/>
    </w:lvl>
  </w:abstractNum>
  <w:abstractNum w:abstractNumId="164">
    <w:nsid w:val="C4C3AF"/>
    <w:multiLevelType w:val="hybridMultilevel"/>
    <w:lvl w:ilvl="0">
      <w:lvlJc w:val="left"/>
      <w:lvlText w:val="(%1)"/>
      <w:numFmt w:val="lowerLetter"/>
      <w:start w:val="3"/>
    </w:lvl>
  </w:abstractNum>
  <w:abstractNum w:abstractNumId="165">
    <w:nsid w:val="44380727"/>
    <w:multiLevelType w:val="hybridMultilevel"/>
    <w:lvl w:ilvl="0">
      <w:lvlJc w:val="left"/>
      <w:lvlText w:val="(%1)"/>
      <w:numFmt w:val="lowerLetter"/>
      <w:start w:val="1"/>
    </w:lvl>
  </w:abstractNum>
  <w:abstractNum w:abstractNumId="166">
    <w:nsid w:val="6C053B16"/>
    <w:multiLevelType w:val="hybridMultilevel"/>
    <w:lvl w:ilvl="0">
      <w:lvlJc w:val="left"/>
      <w:lvlText w:val="(%1)"/>
      <w:numFmt w:val="lowerLetter"/>
      <w:start w:val="1"/>
    </w:lvl>
  </w:abstractNum>
  <w:abstractNum w:abstractNumId="167">
    <w:nsid w:val="4F294393"/>
    <w:multiLevelType w:val="hybridMultilevel"/>
    <w:lvl w:ilvl="0">
      <w:lvlJc w:val="left"/>
      <w:lvlText w:val="(%1)"/>
      <w:numFmt w:val="lowerLetter"/>
      <w:start w:val="2"/>
    </w:lvl>
  </w:abstractNum>
  <w:abstractNum w:abstractNumId="168">
    <w:nsid w:val="5243BFAC"/>
    <w:multiLevelType w:val="hybridMultilevel"/>
    <w:lvl w:ilvl="0">
      <w:lvlJc w:val="left"/>
      <w:lvlText w:val="(%1)"/>
      <w:numFmt w:val="lowerLetter"/>
      <w:start w:val="1"/>
    </w:lvl>
  </w:abstractNum>
  <w:abstractNum w:abstractNumId="169">
    <w:nsid w:val="425EB207"/>
    <w:multiLevelType w:val="hybridMultilevel"/>
    <w:lvl w:ilvl="0">
      <w:lvlJc w:val="left"/>
      <w:lvlText w:val="(%1)"/>
      <w:numFmt w:val="lowerLetter"/>
      <w:start w:val="3"/>
    </w:lvl>
  </w:abstractNum>
  <w:abstractNum w:abstractNumId="170">
    <w:nsid w:val="334A6F1F"/>
    <w:multiLevelType w:val="hybridMultilevel"/>
    <w:lvl w:ilvl="0">
      <w:lvlJc w:val="left"/>
      <w:lvlText w:val="(%1)"/>
      <w:numFmt w:val="lowerRoman"/>
      <w:start w:val="2"/>
    </w:lvl>
  </w:abstractNum>
  <w:abstractNum w:abstractNumId="171">
    <w:nsid w:val="2E5B12B8"/>
    <w:multiLevelType w:val="hybridMultilevel"/>
    <w:lvl w:ilvl="0">
      <w:lvlJc w:val="left"/>
      <w:lvlText w:val="(%1)"/>
      <w:numFmt w:val="lowerLetter"/>
      <w:start w:val="1"/>
    </w:lvl>
    <w:lvl w:ilvl="1">
      <w:lvlJc w:val="left"/>
      <w:lvlText w:val="(%2)"/>
      <w:numFmt w:val="lowerRoman"/>
      <w:start w:val="1"/>
    </w:lvl>
  </w:abstractNum>
  <w:abstractNum w:abstractNumId="172">
    <w:nsid w:val="5C03D76D"/>
    <w:multiLevelType w:val="hybridMultilevel"/>
    <w:lvl w:ilvl="0">
      <w:lvlJc w:val="left"/>
      <w:lvlText w:val="(%1)"/>
      <w:numFmt w:val="lowerLetter"/>
      <w:start w:val="2"/>
    </w:lvl>
  </w:abstractNum>
  <w:abstractNum w:abstractNumId="173">
    <w:nsid w:val="66A48D11"/>
    <w:multiLevelType w:val="hybridMultilevel"/>
    <w:lvl w:ilvl="0">
      <w:lvlJc w:val="left"/>
      <w:lvlText w:val="(%1)"/>
      <w:numFmt w:val="lowerLetter"/>
      <w:start w:val="3"/>
    </w:lvl>
  </w:abstractNum>
  <w:abstractNum w:abstractNumId="174">
    <w:nsid w:val="56C28E34"/>
    <w:multiLevelType w:val="hybridMultilevel"/>
    <w:lvl w:ilvl="0">
      <w:lvlJc w:val="left"/>
      <w:lvlText w:val="(%1)"/>
      <w:numFmt w:val="lowerLetter"/>
      <w:start w:val="1"/>
    </w:lvl>
  </w:abstractNum>
  <w:abstractNum w:abstractNumId="175">
    <w:nsid w:val="13916F2D"/>
    <w:multiLevelType w:val="hybridMultilevel"/>
    <w:lvl w:ilvl="0">
      <w:lvlJc w:val="left"/>
      <w:lvlText w:val="(%1)"/>
      <w:numFmt w:val="lowerLetter"/>
      <w:start w:val="1"/>
    </w:lvl>
  </w:abstractNum>
  <w:abstractNum w:abstractNumId="176">
    <w:nsid w:val="435D38D"/>
    <w:multiLevelType w:val="hybridMultilevel"/>
    <w:lvl w:ilvl="0">
      <w:lvlJc w:val="left"/>
      <w:lvlText w:val="(%1)"/>
      <w:numFmt w:val="lowerLetter"/>
      <w:start w:val="1"/>
    </w:lvl>
  </w:abstractNum>
  <w:abstractNum w:abstractNumId="177">
    <w:nsid w:val="822C0EF"/>
    <w:multiLevelType w:val="hybridMultilevel"/>
    <w:lvl w:ilvl="0">
      <w:lvlJc w:val="left"/>
      <w:lvlText w:val="(%1)"/>
      <w:numFmt w:val="lowerLetter"/>
      <w:start w:val="2"/>
    </w:lvl>
  </w:abstractNum>
  <w:abstractNum w:abstractNumId="178">
    <w:nsid w:val="57C5BB4F"/>
    <w:multiLevelType w:val="hybridMultilevel"/>
    <w:lvl w:ilvl="0">
      <w:lvlJc w:val="left"/>
      <w:lvlText w:val="(%1)"/>
      <w:numFmt w:val="lowerLetter"/>
      <w:start w:val="5"/>
    </w:lvl>
  </w:abstractNum>
  <w:abstractNum w:abstractNumId="179">
    <w:nsid w:val="1803D089"/>
    <w:multiLevelType w:val="hybridMultilevel"/>
    <w:lvl w:ilvl="0">
      <w:lvlJc w:val="left"/>
      <w:lvlText w:val="(%1)"/>
      <w:numFmt w:val="lowerLetter"/>
      <w:start w:val="1"/>
    </w:lvl>
  </w:abstractNum>
  <w:abstractNum w:abstractNumId="180">
    <w:nsid w:val="4F3A06D4"/>
    <w:multiLevelType w:val="hybridMultilevel"/>
    <w:lvl w:ilvl="0">
      <w:lvlJc w:val="left"/>
      <w:lvlText w:val="%1"/>
      <w:numFmt w:val="lowerLetter"/>
      <w:start w:val="1"/>
    </w:lvl>
    <w:lvl w:ilvl="1">
      <w:lvlJc w:val="left"/>
      <w:lvlText w:val="(%2)"/>
      <w:numFmt w:val="lowerLetter"/>
      <w:start w:val="35"/>
    </w:lvl>
  </w:abstractNum>
  <w:abstractNum w:abstractNumId="181">
    <w:nsid w:val="59A377B6"/>
    <w:multiLevelType w:val="hybridMultilevel"/>
    <w:lvl w:ilvl="0">
      <w:lvlJc w:val="left"/>
      <w:lvlText w:val="(%1)"/>
      <w:numFmt w:val="lowerLetter"/>
      <w:start w:val="2"/>
    </w:lvl>
    <w:lvl w:ilvl="1">
      <w:lvlJc w:val="left"/>
      <w:lvlText w:val="%2"/>
      <w:numFmt w:val="lowerLetter"/>
      <w:start w:val="1"/>
    </w:lvl>
  </w:abstractNum>
  <w:abstractNum w:abstractNumId="182">
    <w:nsid w:val="48AEB063"/>
    <w:multiLevelType w:val="hybridMultilevel"/>
    <w:lvl w:ilvl="0">
      <w:lvlJc w:val="left"/>
      <w:lvlText w:val="(%1)"/>
      <w:numFmt w:val="lowerLetter"/>
      <w:start w:val="4"/>
    </w:lvl>
  </w:abstractNum>
  <w:abstractNum w:abstractNumId="183">
    <w:nsid w:val="24E135"/>
    <w:multiLevelType w:val="hybridMultilevel"/>
    <w:lvl w:ilvl="0">
      <w:lvlJc w:val="left"/>
      <w:lvlText w:val="(%1)"/>
      <w:numFmt w:val="lowerLetter"/>
      <w:start w:val="5"/>
    </w:lvl>
  </w:abstractNum>
  <w:abstractNum w:abstractNumId="184">
    <w:nsid w:val="BB13C1"/>
    <w:multiLevelType w:val="hybridMultilevel"/>
    <w:lvl w:ilvl="0">
      <w:lvlJc w:val="left"/>
      <w:lvlText w:val="%1"/>
      <w:numFmt w:val="lowerLetter"/>
      <w:start w:val="1"/>
    </w:lvl>
    <w:lvl w:ilvl="1">
      <w:lvlJc w:val="left"/>
      <w:lvlText w:val="(%2)"/>
      <w:numFmt w:val="lowerLetter"/>
      <w:start w:val="35"/>
    </w:lvl>
  </w:abstractNum>
  <w:abstractNum w:abstractNumId="185">
    <w:nsid w:val="271210C7"/>
    <w:multiLevelType w:val="hybridMultilevel"/>
    <w:lvl w:ilvl="0">
      <w:lvlJc w:val="left"/>
      <w:lvlText w:val="(%1)"/>
      <w:numFmt w:val="lowerLetter"/>
      <w:start w:val="8"/>
    </w:lvl>
    <w:lvl w:ilvl="1">
      <w:lvlJc w:val="left"/>
      <w:lvlText w:val="%2"/>
      <w:numFmt w:val="lowerLetter"/>
      <w:start w:val="1"/>
    </w:lvl>
  </w:abstractNum>
  <w:abstractNum w:abstractNumId="186">
    <w:nsid w:val="217B22E4"/>
    <w:multiLevelType w:val="hybridMultilevel"/>
    <w:lvl w:ilvl="0">
      <w:lvlJc w:val="left"/>
      <w:lvlText w:val="(%1)"/>
      <w:numFmt w:val="lowerLetter"/>
      <w:start w:val="1"/>
    </w:lvl>
  </w:abstractNum>
  <w:abstractNum w:abstractNumId="187">
    <w:nsid w:val="53E31A24"/>
    <w:multiLevelType w:val="hybridMultilevel"/>
    <w:lvl w:ilvl="0">
      <w:lvlJc w:val="left"/>
      <w:lvlText w:val="(%1)"/>
      <w:numFmt w:val="lowerLetter"/>
      <w:start w:val="1"/>
    </w:lvl>
    <w:lvl w:ilvl="1">
      <w:lvlJc w:val="left"/>
      <w:lvlText w:val="(%2)"/>
      <w:numFmt w:val="lowerRoman"/>
      <w:start w:val="1"/>
    </w:lvl>
  </w:abstractNum>
  <w:abstractNum w:abstractNumId="188">
    <w:nsid w:val="6DC45E83"/>
    <w:multiLevelType w:val="hybridMultilevel"/>
    <w:lvl w:ilvl="0">
      <w:lvlJc w:val="left"/>
      <w:lvlText w:val="(%1)"/>
      <w:numFmt w:val="lowerLetter"/>
      <w:start w:val="1"/>
    </w:lvl>
  </w:abstractNum>
  <w:abstractNum w:abstractNumId="189">
    <w:nsid w:val="17304A6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0">
    <w:nsid w:val="2BB180D8"/>
    <w:multiLevelType w:val="hybridMultilevel"/>
    <w:lvl w:ilvl="0">
      <w:lvlJc w:val="left"/>
      <w:lvlText w:val="(%1)"/>
      <w:numFmt w:val="decimal"/>
      <w:start w:val="2"/>
    </w:lvl>
  </w:abstractNum>
  <w:abstractNum w:abstractNumId="191">
    <w:nsid w:val="556B69E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192">
    <w:nsid w:val="70836196"/>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93">
    <w:nsid w:val="539F7F12"/>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194">
    <w:nsid w:val="2817E7EC"/>
    <w:multiLevelType w:val="hybridMultilevel"/>
    <w:lvl w:ilvl="0">
      <w:lvlJc w:val="left"/>
      <w:lvlText w:val="(%1)"/>
      <w:numFmt w:val="lowerLetter"/>
      <w:start w:val="1"/>
    </w:lvl>
  </w:abstractNum>
  <w:abstractNum w:abstractNumId="195">
    <w:nsid w:val="71482545"/>
    <w:multiLevelType w:val="hybridMultilevel"/>
    <w:lvl w:ilvl="0">
      <w:lvlJc w:val="left"/>
      <w:lvlText w:val="(%1)"/>
      <w:numFmt w:val="lowerLetter"/>
      <w:start w:val="1"/>
    </w:lvl>
  </w:abstractNum>
  <w:abstractNum w:abstractNumId="196">
    <w:nsid w:val="17D78639"/>
    <w:multiLevelType w:val="hybridMultilevel"/>
    <w:lvl w:ilvl="0">
      <w:lvlJc w:val="left"/>
      <w:lvlText w:val="(%1)"/>
      <w:numFmt w:val="lowerRoman"/>
      <w:start w:val="2"/>
    </w:lvl>
  </w:abstractNum>
  <w:abstractNum w:abstractNumId="197">
    <w:nsid w:val="141D2302"/>
    <w:multiLevelType w:val="hybridMultilevel"/>
    <w:lvl w:ilvl="0">
      <w:lvlJc w:val="left"/>
      <w:lvlText w:val="(%1)"/>
      <w:numFmt w:val="lowerLetter"/>
      <w:start w:val="1"/>
    </w:lvl>
  </w:abstractNum>
  <w:abstractNum w:abstractNumId="198">
    <w:nsid w:val="407168D8"/>
    <w:multiLevelType w:val="hybridMultilevel"/>
    <w:lvl w:ilvl="0">
      <w:lvlJc w:val="left"/>
      <w:lvlText w:val="(%1)"/>
      <w:numFmt w:val="lowerLetter"/>
      <w:start w:val="1"/>
    </w:lvl>
  </w:abstractNum>
  <w:abstractNum w:abstractNumId="199">
    <w:nsid w:val="6A1B45E5"/>
    <w:multiLevelType w:val="hybridMultilevel"/>
    <w:lvl w:ilvl="0">
      <w:lvlJc w:val="left"/>
      <w:lvlText w:val="(%1)"/>
      <w:numFmt w:val="lowerLetter"/>
      <w:start w:val="1"/>
    </w:lvl>
  </w:abstractNum>
  <w:abstractNum w:abstractNumId="200">
    <w:nsid w:val="567BD50A"/>
    <w:multiLevelType w:val="hybridMultilevel"/>
    <w:lvl w:ilvl="0">
      <w:lvlJc w:val="left"/>
      <w:lvlText w:val="(%1)"/>
      <w:numFmt w:val="lowerLetter"/>
      <w:start w:val="1"/>
    </w:lvl>
  </w:abstractNum>
  <w:abstractNum w:abstractNumId="201">
    <w:nsid w:val="73BBD7F8"/>
    <w:multiLevelType w:val="hybridMultilevel"/>
    <w:lvl w:ilvl="0">
      <w:lvlJc w:val="left"/>
      <w:lvlText w:val="(%1)"/>
      <w:numFmt w:val="lowerLetter"/>
      <w:start w:val="1"/>
    </w:lvl>
  </w:abstractNum>
  <w:abstractNum w:abstractNumId="202">
    <w:nsid w:val="1876589D"/>
    <w:multiLevelType w:val="hybridMultilevel"/>
    <w:lvl w:ilvl="0">
      <w:lvlJc w:val="left"/>
      <w:lvlText w:val="(%1)"/>
      <w:numFmt w:val="lowerLetter"/>
      <w:start w:val="1"/>
    </w:lvl>
  </w:abstractNum>
  <w:abstractNum w:abstractNumId="203">
    <w:nsid w:val="327FAC77"/>
    <w:multiLevelType w:val="hybridMultilevel"/>
    <w:lvl w:ilvl="0">
      <w:lvlJc w:val="left"/>
      <w:lvlText w:val="(%1)"/>
      <w:numFmt w:val="upperLetter"/>
      <w:start w:val="1"/>
    </w:lvl>
    <w:lvl w:ilvl="1">
      <w:lvlJc w:val="left"/>
      <w:lvlText w:val="(%2)"/>
      <w:numFmt w:val="lowerRoman"/>
      <w:start w:val="2"/>
    </w:lvl>
  </w:abstractNum>
  <w:abstractNum w:abstractNumId="204">
    <w:nsid w:val="5A606509"/>
    <w:multiLevelType w:val="hybridMultilevel"/>
    <w:lvl w:ilvl="0">
      <w:lvlJc w:val="left"/>
      <w:lvlText w:val="(%1)"/>
      <w:numFmt w:val="lowerLetter"/>
      <w:start w:val="3"/>
    </w:lvl>
  </w:abstractNum>
  <w:abstractNum w:abstractNumId="205">
    <w:nsid w:val="6F38E6D1"/>
    <w:multiLevelType w:val="hybridMultilevel"/>
    <w:lvl w:ilvl="0">
      <w:lvlJc w:val="left"/>
      <w:lvlText w:val="%1"/>
      <w:numFmt w:val="decimal"/>
      <w:start w:val="1"/>
    </w:lvl>
    <w:lvl w:ilvl="1">
      <w:lvlJc w:val="left"/>
      <w:lvlText w:val="(%2)"/>
      <w:numFmt w:val="lowerRoman"/>
      <w:start w:val="1"/>
    </w:lvl>
  </w:abstractNum>
  <w:abstractNum w:abstractNumId="206">
    <w:nsid w:val="46111BA5"/>
    <w:multiLevelType w:val="hybridMultilevel"/>
    <w:lvl w:ilvl="0">
      <w:lvlJc w:val="left"/>
      <w:lvlText w:val="(%1)"/>
      <w:numFmt w:val="decimal"/>
      <w:start w:val="3"/>
    </w:lvl>
    <w:lvl w:ilvl="1">
      <w:lvlJc w:val="left"/>
      <w:lvlText w:val="(%2)"/>
      <w:numFmt w:val="lowerRoman"/>
      <w:start w:val="4"/>
    </w:lvl>
  </w:abstractNum>
  <w:abstractNum w:abstractNumId="207">
    <w:nsid w:val="5E963896"/>
    <w:multiLevelType w:val="hybridMultilevel"/>
    <w:lvl w:ilvl="0">
      <w:lvlJc w:val="left"/>
      <w:lvlText w:val="%1"/>
      <w:numFmt w:val="lowerLetter"/>
      <w:start w:val="1"/>
    </w:lvl>
    <w:lvl w:ilvl="1">
      <w:lvlJc w:val="left"/>
      <w:lvlText w:val="(%2)"/>
      <w:numFmt w:val="lowerRoman"/>
      <w:start w:val="6"/>
    </w:lvl>
  </w:abstractNum>
  <w:abstractNum w:abstractNumId="208">
    <w:nsid w:val="775BA7C1"/>
    <w:multiLevelType w:val="hybridMultilevel"/>
    <w:lvl w:ilvl="0">
      <w:lvlJc w:val="left"/>
      <w:lvlText w:val="(%1)"/>
      <w:numFmt w:val="lowerLetter"/>
      <w:start w:val="4"/>
    </w:lvl>
    <w:lvl w:ilvl="1">
      <w:lvlJc w:val="left"/>
      <w:lvlText w:val="%2"/>
      <w:numFmt w:val="lowerRoman"/>
      <w:start w:val="1"/>
    </w:lvl>
  </w:abstractNum>
  <w:abstractNum w:abstractNumId="209">
    <w:nsid w:val="1DD6D6F4"/>
    <w:multiLevelType w:val="hybridMultilevel"/>
    <w:lvl w:ilvl="0">
      <w:lvlJc w:val="left"/>
      <w:lvlText w:val="(%1)"/>
      <w:numFmt w:val="lowerLetter"/>
      <w:start w:val="1"/>
    </w:lvl>
  </w:abstractNum>
  <w:abstractNum w:abstractNumId="210">
    <w:nsid w:val="769A091F"/>
    <w:multiLevelType w:val="hybridMultilevel"/>
    <w:lvl w:ilvl="0">
      <w:lvlJc w:val="left"/>
      <w:lvlText w:val="(%1)"/>
      <w:numFmt w:val="lowerLetter"/>
      <w:start w:val="1"/>
    </w:lvl>
  </w:abstractNum>
  <w:abstractNum w:abstractNumId="211">
    <w:nsid w:val="4695AE95"/>
    <w:multiLevelType w:val="hybridMultilevel"/>
    <w:lvl w:ilvl="0">
      <w:lvlJc w:val="left"/>
      <w:lvlText w:val="(%1)"/>
      <w:numFmt w:val="lowerLetter"/>
      <w:start w:val="5"/>
    </w:lvl>
  </w:abstractNum>
  <w:abstractNum w:abstractNumId="212">
    <w:nsid w:val="777A4EAA"/>
    <w:multiLevelType w:val="hybridMultilevel"/>
    <w:lvl w:ilvl="0">
      <w:lvlJc w:val="left"/>
      <w:lvlText w:val="(%1)"/>
      <w:numFmt w:val="lowerLetter"/>
      <w:start w:val="8"/>
    </w:lvl>
  </w:abstractNum>
  <w:abstractNum w:abstractNumId="213">
    <w:nsid w:val="3F48B982"/>
    <w:multiLevelType w:val="hybridMultilevel"/>
    <w:lvl w:ilvl="0">
      <w:lvlJc w:val="left"/>
      <w:lvlText w:val="(%1)"/>
      <w:numFmt w:val="lowerLetter"/>
      <w:start w:val="1"/>
    </w:lvl>
  </w:abstractNum>
  <w:abstractNum w:abstractNumId="214">
    <w:nsid w:val="46BA8FCA"/>
    <w:multiLevelType w:val="hybridMultilevel"/>
    <w:lvl w:ilvl="0">
      <w:lvlJc w:val="left"/>
      <w:lvlText w:val="(%1)"/>
      <w:numFmt w:val="lowerLetter"/>
      <w:start w:val="1"/>
    </w:lvl>
  </w:abstractNum>
  <w:abstractNum w:abstractNumId="215">
    <w:nsid w:val="7835626C"/>
    <w:multiLevelType w:val="hybridMultilevel"/>
    <w:lvl w:ilvl="0">
      <w:lvlJc w:val="left"/>
      <w:lvlText w:val="(%1)"/>
      <w:numFmt w:val="lowerLetter"/>
      <w:start w:val="2"/>
    </w:lvl>
  </w:abstractNum>
  <w:abstractNum w:abstractNumId="216">
    <w:nsid w:val="665ACA49"/>
    <w:multiLevelType w:val="hybridMultilevel"/>
    <w:lvl w:ilvl="0">
      <w:lvlJc w:val="left"/>
      <w:lvlText w:val="(%1)"/>
      <w:numFmt w:val="lowerLetter"/>
      <w:start w:val="1"/>
    </w:lvl>
  </w:abstractNum>
  <w:abstractNum w:abstractNumId="217">
    <w:nsid w:val="6835B2AE"/>
    <w:multiLevelType w:val="hybridMultilevel"/>
    <w:lvl w:ilvl="0">
      <w:lvlJc w:val="left"/>
      <w:lvlText w:val="(%1)"/>
      <w:numFmt w:val="lowerLetter"/>
      <w:start w:val="4"/>
    </w:lvl>
  </w:abstractNum>
  <w:abstractNum w:abstractNumId="218">
    <w:nsid w:val="4C187C90"/>
    <w:multiLevelType w:val="hybridMultilevel"/>
    <w:lvl w:ilvl="0">
      <w:lvlJc w:val="left"/>
      <w:lvlText w:val="%1"/>
      <w:numFmt w:val="upperLetter"/>
      <w:start w:val="1"/>
    </w:lvl>
    <w:lvl w:ilvl="1">
      <w:lvlJc w:val="left"/>
      <w:lvlText w:val="(%2)"/>
      <w:numFmt w:val="lowerLetter"/>
      <w:start w:val="1"/>
    </w:lvl>
  </w:abstractNum>
  <w:abstractNum w:abstractNumId="219">
    <w:nsid w:val="541F28CD"/>
    <w:multiLevelType w:val="hybridMultilevel"/>
    <w:lvl w:ilvl="0">
      <w:lvlJc w:val="left"/>
      <w:lvlText w:val="(%1)"/>
      <w:numFmt w:val="upperLetter"/>
      <w:start w:val="1"/>
    </w:lvl>
    <w:lvl w:ilvl="1">
      <w:lvlJc w:val="left"/>
      <w:lvlText w:val="%2"/>
      <w:numFmt w:val="lowerLetter"/>
      <w:start w:val="1"/>
    </w:lvl>
  </w:abstractNum>
  <w:abstractNum w:abstractNumId="220">
    <w:nsid w:val="7F65FD16"/>
    <w:multiLevelType w:val="hybridMultilevel"/>
    <w:lvl w:ilvl="0">
      <w:lvlJc w:val="left"/>
      <w:lvlText w:val="(%1)"/>
      <w:numFmt w:val="upperLetter"/>
      <w:start w:val="3"/>
    </w:lvl>
  </w:abstractNum>
  <w:abstractNum w:abstractNumId="221">
    <w:nsid w:val="77C9FD68"/>
    <w:multiLevelType w:val="hybridMultilevel"/>
    <w:lvl w:ilvl="0">
      <w:lvlJc w:val="left"/>
      <w:lvlText w:val="(%1)"/>
      <w:numFmt w:val="lowerLetter"/>
      <w:start w:val="2"/>
    </w:lvl>
  </w:abstractNum>
  <w:abstractNum w:abstractNumId="222">
    <w:nsid w:val="298A92BA"/>
    <w:multiLevelType w:val="hybridMultilevel"/>
    <w:lvl w:ilvl="0">
      <w:lvlJc w:val="left"/>
      <w:lvlText w:val="(%1)"/>
      <w:numFmt w:val="lowerLetter"/>
      <w:start w:val="1"/>
    </w:lvl>
  </w:abstractNum>
  <w:abstractNum w:abstractNumId="223">
    <w:nsid w:val="6FE95EAC"/>
    <w:multiLevelType w:val="hybridMultilevel"/>
    <w:lvl w:ilvl="0">
      <w:lvlJc w:val="left"/>
      <w:lvlText w:val="(%1)"/>
      <w:numFmt w:val="lowerLetter"/>
      <w:start w:val="2"/>
    </w:lvl>
  </w:abstractNum>
  <w:abstractNum w:abstractNumId="224">
    <w:nsid w:val="4B697C7A"/>
    <w:multiLevelType w:val="hybridMultilevel"/>
    <w:lvl w:ilvl="0">
      <w:lvlJc w:val="left"/>
      <w:lvlText w:val="(%1)"/>
      <w:numFmt w:val="lowerLetter"/>
      <w:start w:val="1"/>
    </w:lvl>
  </w:abstractNum>
  <w:abstractNum w:abstractNumId="225">
    <w:nsid w:val="51A27AA6"/>
    <w:multiLevelType w:val="hybridMultilevel"/>
    <w:lvl w:ilvl="0">
      <w:lvlJc w:val="left"/>
      <w:lvlText w:val="(%1)"/>
      <w:numFmt w:val="lowerLetter"/>
      <w:start w:val="2"/>
    </w:lvl>
  </w:abstractNum>
  <w:abstractNum w:abstractNumId="226">
    <w:nsid w:val="613183F2"/>
    <w:multiLevelType w:val="hybridMultilevel"/>
    <w:lvl w:ilvl="0">
      <w:lvlJc w:val="left"/>
      <w:lvlText w:val="(%1)"/>
      <w:numFmt w:val="lowerLetter"/>
      <w:start w:val="1"/>
    </w:lvl>
  </w:abstractNum>
  <w:abstractNum w:abstractNumId="227">
    <w:nsid w:val="634102B4"/>
    <w:multiLevelType w:val="hybridMultilevel"/>
    <w:lvl w:ilvl="0">
      <w:lvlJc w:val="left"/>
      <w:lvlText w:val="(%1)"/>
      <w:numFmt w:val="lowerRoman"/>
      <w:start w:val="1"/>
    </w:lvl>
  </w:abstractNum>
  <w:abstractNum w:abstractNumId="228">
    <w:nsid w:val="65BF9DA8"/>
    <w:multiLevelType w:val="hybridMultilevel"/>
    <w:lvl w:ilvl="0">
      <w:lvlJc w:val="left"/>
      <w:lvlText w:val="(%1)"/>
      <w:numFmt w:val="lowerRoman"/>
      <w:start w:val="2"/>
    </w:lvl>
  </w:abstractNum>
  <w:abstractNum w:abstractNumId="229">
    <w:nsid w:val="21A2ECC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30">
    <w:nsid w:val="4D5C4899"/>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231">
    <w:nsid w:val="3C3B72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2">
    <w:nsid w:val="155EC4C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3">
    <w:nsid w:val="65D2A137"/>
    <w:multiLevelType w:val="hybridMultilevel"/>
    <w:lvl w:ilvl="0">
      <w:lvlJc w:val="left"/>
      <w:lvlText w:val="(%1)"/>
      <w:numFmt w:val="lowerLetter"/>
      <w:start w:val="2"/>
    </w:lvl>
    <w:lvl w:ilvl="1">
      <w:lvlJc w:val="left"/>
      <w:lvlText w:val="(%2)"/>
      <w:numFmt w:val="lowerRoman"/>
      <w:start w:val="1"/>
    </w:lvl>
  </w:abstractNum>
  <w:abstractNum w:abstractNumId="234">
    <w:nsid w:val="6EBB1F2A"/>
    <w:multiLevelType w:val="hybridMultilevel"/>
    <w:lvl w:ilvl="0">
      <w:lvlJc w:val="left"/>
      <w:lvlText w:val="(%1)"/>
      <w:numFmt w:val="lowerLetter"/>
      <w:start w:val="3"/>
    </w:lvl>
  </w:abstractNum>
  <w:abstractNum w:abstractNumId="235">
    <w:nsid w:val="6FBF29CB"/>
    <w:multiLevelType w:val="hybridMultilevel"/>
    <w:lvl w:ilvl="0">
      <w:lvlJc w:val="left"/>
      <w:lvlText w:val="(%1)"/>
      <w:numFmt w:val="lowerLetter"/>
      <w:start w:val="1"/>
    </w:lvl>
    <w:lvl w:ilvl="1">
      <w:lvlJc w:val="left"/>
      <w:lvlText w:val="(%2)"/>
      <w:numFmt w:val="lowerLetter"/>
      <w:start w:val="9"/>
    </w:lvl>
  </w:abstractNum>
  <w:abstractNum w:abstractNumId="236">
    <w:nsid w:val="550B8808"/>
    <w:multiLevelType w:val="hybridMultilevel"/>
    <w:lvl w:ilvl="0">
      <w:lvlJc w:val="left"/>
      <w:lvlText w:val="(%1)"/>
      <w:numFmt w:val="lowerRoman"/>
      <w:start w:val="2"/>
    </w:lvl>
  </w:abstractNum>
  <w:abstractNum w:abstractNumId="237">
    <w:nsid w:val="34CC3ACF"/>
    <w:multiLevelType w:val="hybridMultilevel"/>
    <w:lvl w:ilvl="0">
      <w:lvlJc w:val="left"/>
      <w:lvlText w:val="(%1)"/>
      <w:numFmt w:val="lowerRoman"/>
      <w:start w:val="3"/>
    </w:lvl>
  </w:abstractNum>
  <w:abstractNum w:abstractNumId="238">
    <w:nsid w:val="4E556261"/>
    <w:multiLevelType w:val="hybridMultilevel"/>
    <w:lvl w:ilvl="0">
      <w:lvlJc w:val="left"/>
      <w:lvlText w:val="(%1)"/>
      <w:numFmt w:val="lowerRoman"/>
      <w:start w:val="4"/>
    </w:lvl>
  </w:abstractNum>
  <w:abstractNum w:abstractNumId="239">
    <w:nsid w:val="4C672FC9"/>
    <w:multiLevelType w:val="hybridMultilevel"/>
    <w:lvl w:ilvl="0">
      <w:lvlJc w:val="left"/>
      <w:lvlText w:val="(%1)"/>
      <w:numFmt w:val="lowerRoman"/>
      <w:start w:val="7"/>
    </w:lvl>
  </w:abstractNum>
  <w:abstractNum w:abstractNumId="240">
    <w:nsid w:val="52A311C3"/>
    <w:multiLevelType w:val="hybridMultilevel"/>
    <w:lvl w:ilvl="0">
      <w:lvlJc w:val="left"/>
      <w:lvlText w:val="(%1)"/>
      <w:numFmt w:val="lowerRoman"/>
      <w:start w:val="13"/>
    </w:lvl>
  </w:abstractNum>
  <w:abstractNum w:abstractNumId="241">
    <w:nsid w:val="44EF6B8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4"/>
    </w:lvl>
  </w:abstractNum>
  <w:abstractNum w:abstractNumId="242">
    <w:nsid w:val="12FCDE5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43">
    <w:nsid w:val="4A1D606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44">
    <w:nsid w:val="4382503"/>
    <w:multiLevelType w:val="hybridMultilevel"/>
    <w:lvl w:ilvl="0">
      <w:lvlJc w:val="left"/>
      <w:lvlText w:val="(%1)"/>
      <w:numFmt w:val="lowerLetter"/>
      <w:start w:val="1"/>
    </w:lvl>
  </w:abstractNum>
  <w:abstractNum w:abstractNumId="245">
    <w:nsid w:val="59B76E28"/>
    <w:multiLevelType w:val="hybridMultilevel"/>
    <w:lvl w:ilvl="0">
      <w:lvlJc w:val="left"/>
      <w:lvlText w:val="(%1)"/>
      <w:numFmt w:val="lowerLetter"/>
      <w:start w:val="2"/>
    </w:lvl>
  </w:abstractNum>
  <w:abstractNum w:abstractNumId="246">
    <w:nsid w:val="4252C2DA"/>
    <w:multiLevelType w:val="hybridMultilevel"/>
    <w:lvl w:ilvl="0">
      <w:lvlJc w:val="left"/>
      <w:lvlText w:val="(%1)"/>
      <w:numFmt w:val="lowerLetter"/>
      <w:start w:val="3"/>
    </w:lvl>
  </w:abstractNum>
  <w:abstractNum w:abstractNumId="247">
    <w:nsid w:val="6A92EF4C"/>
    <w:multiLevelType w:val="hybridMultilevel"/>
    <w:lvl w:ilvl="0">
      <w:lvlJc w:val="left"/>
      <w:lvlText w:val="(%1)"/>
      <w:numFmt w:val="lowerLetter"/>
      <w:start w:val="4"/>
    </w:lvl>
  </w:abstractNum>
  <w:abstractNum w:abstractNumId="248">
    <w:nsid w:val="41ED20D7"/>
    <w:multiLevelType w:val="hybridMultilevel"/>
    <w:lvl w:ilvl="0">
      <w:lvlJc w:val="left"/>
      <w:lvlText w:val="%1"/>
      <w:numFmt w:val="lowerLetter"/>
      <w:start w:val="1"/>
    </w:lvl>
    <w:lvl w:ilvl="1">
      <w:lvlJc w:val="left"/>
      <w:lvlText w:val="(%2)"/>
      <w:numFmt w:val="lowerLetter"/>
      <w:start w:val="1"/>
    </w:lvl>
  </w:abstractNum>
  <w:abstractNum w:abstractNumId="249">
    <w:nsid w:val="E6B3F6A"/>
    <w:multiLevelType w:val="hybridMultilevel"/>
    <w:lvl w:ilvl="0">
      <w:lvlJc w:val="left"/>
      <w:lvlText w:val="(%1)"/>
      <w:numFmt w:val="lowerLetter"/>
      <w:start w:val="35"/>
    </w:lvl>
    <w:lvl w:ilvl="1">
      <w:lvlJc w:val="left"/>
      <w:lvlText w:val="(%2)"/>
      <w:numFmt w:val="lowerLetter"/>
      <w:start w:val="2"/>
    </w:lvl>
  </w:abstractNum>
  <w:abstractNum w:abstractNumId="250">
    <w:nsid w:val="3EB21819"/>
    <w:multiLevelType w:val="hybridMultilevel"/>
    <w:lvl w:ilvl="0">
      <w:lvlJc w:val="left"/>
      <w:lvlText w:val="(%1)"/>
      <w:numFmt w:val="lowerLetter"/>
      <w:start w:val="1"/>
    </w:lvl>
  </w:abstractNum>
  <w:abstractNum w:abstractNumId="251">
    <w:nsid w:val="41531DED"/>
    <w:multiLevelType w:val="hybridMultilevel"/>
    <w:lvl w:ilvl="0">
      <w:lvlJc w:val="left"/>
      <w:lvlText w:val="(%1)"/>
      <w:numFmt w:val="lowerLetter"/>
      <w:start w:val="2"/>
    </w:lvl>
  </w:abstractNum>
  <w:abstractNum w:abstractNumId="252">
    <w:nsid w:val="6353CD2"/>
    <w:multiLevelType w:val="hybridMultilevel"/>
    <w:lvl w:ilvl="0">
      <w:lvlJc w:val="left"/>
      <w:lvlText w:val="(%1)"/>
      <w:numFmt w:val="lowerLetter"/>
      <w:start w:val="4"/>
    </w:lvl>
  </w:abstractNum>
  <w:abstractNum w:abstractNumId="253">
    <w:nsid w:val="683CAAD3"/>
    <w:multiLevelType w:val="hybridMultilevel"/>
    <w:lvl w:ilvl="0">
      <w:lvlJc w:val="left"/>
      <w:lvlText w:val="(%1)"/>
      <w:numFmt w:val="lowerLetter"/>
      <w:start w:val="6"/>
    </w:lvl>
  </w:abstractNum>
  <w:abstractNum w:abstractNumId="254">
    <w:nsid w:val="313C7C99"/>
    <w:multiLevelType w:val="hybridMultilevel"/>
    <w:lvl w:ilvl="0">
      <w:lvlJc w:val="left"/>
      <w:lvlText w:val="(%1)"/>
      <w:numFmt w:val="lowerLetter"/>
      <w:start w:val="1"/>
    </w:lvl>
  </w:abstractNum>
  <w:abstractNum w:abstractNumId="255">
    <w:nsid w:val="519EB94C"/>
    <w:multiLevelType w:val="hybridMultilevel"/>
    <w:lvl w:ilvl="0">
      <w:lvlJc w:val="left"/>
      <w:lvlText w:val="(%1)"/>
      <w:numFmt w:val="lowerLetter"/>
      <w:start w:val="3"/>
    </w:lvl>
  </w:abstractNum>
  <w:abstractNum w:abstractNumId="256">
    <w:nsid w:val="39DF2579"/>
    <w:multiLevelType w:val="hybridMultilevel"/>
    <w:lvl w:ilvl="0">
      <w:lvlJc w:val="left"/>
      <w:lvlText w:val="(%1)"/>
      <w:numFmt w:val="lowerLetter"/>
      <w:start w:val="1"/>
    </w:lvl>
  </w:abstractNum>
  <w:abstractNum w:abstractNumId="257">
    <w:nsid w:val="126E008B"/>
    <w:multiLevelType w:val="hybridMultilevel"/>
    <w:lvl w:ilvl="0">
      <w:lvlJc w:val="left"/>
      <w:lvlText w:val="(%1)"/>
      <w:numFmt w:val="lowerLetter"/>
      <w:start w:val="2"/>
    </w:lvl>
  </w:abstractNum>
  <w:abstractNum w:abstractNumId="258">
    <w:nsid w:val="34DFBC00"/>
    <w:multiLevelType w:val="hybridMultilevel"/>
    <w:lvl w:ilvl="0">
      <w:lvlJc w:val="left"/>
      <w:lvlText w:val="(%1)"/>
      <w:numFmt w:val="lowerLetter"/>
      <w:start w:val="1"/>
    </w:lvl>
  </w:abstractNum>
  <w:abstractNum w:abstractNumId="259">
    <w:nsid w:val="1F9EC322"/>
    <w:multiLevelType w:val="hybridMultilevel"/>
    <w:lvl w:ilvl="0">
      <w:lvlJc w:val="left"/>
      <w:lvlText w:val="(%1)"/>
      <w:numFmt w:val="lowerLetter"/>
      <w:start w:val="2"/>
    </w:lvl>
  </w:abstractNum>
  <w:abstractNum w:abstractNumId="260">
    <w:nsid w:val="3410ED56"/>
    <w:multiLevelType w:val="hybridMultilevel"/>
    <w:lvl w:ilvl="0">
      <w:lvlJc w:val="left"/>
      <w:lvlText w:val="(%1)"/>
      <w:numFmt w:val="lowerRoman"/>
      <w:start w:val="1"/>
    </w:lvl>
  </w:abstractNum>
  <w:abstractNum w:abstractNumId="261">
    <w:nsid w:val="23C049A"/>
    <w:multiLevelType w:val="hybridMultilevel"/>
    <w:lvl w:ilvl="0">
      <w:lvlJc w:val="left"/>
      <w:lvlText w:val="%1"/>
      <w:numFmt w:val="decimal"/>
      <w:start w:val="1"/>
    </w:lvl>
    <w:lvl w:ilvl="1">
      <w:lvlJc w:val="left"/>
      <w:lvlText w:val="(%2)"/>
      <w:numFmt w:val="lowerLetter"/>
      <w:start w:val="1"/>
    </w:lvl>
  </w:abstractNum>
  <w:abstractNum w:abstractNumId="262">
    <w:nsid w:val="5BDA35D4"/>
    <w:multiLevelType w:val="hybridMultilevel"/>
    <w:lvl w:ilvl="0">
      <w:lvlJc w:val="left"/>
      <w:lvlText w:val="(%1)"/>
      <w:numFmt w:val="decimal"/>
      <w:start w:val="2"/>
    </w:lvl>
    <w:lvl w:ilvl="1">
      <w:lvlJc w:val="left"/>
      <w:lvlText w:val="(%2)"/>
      <w:numFmt w:val="lowerLetter"/>
      <w:start w:val="3"/>
    </w:lvl>
  </w:abstractNum>
  <w:abstractNum w:abstractNumId="263">
    <w:nsid w:val="496FB218"/>
    <w:multiLevelType w:val="hybridMultilevel"/>
    <w:lvl w:ilvl="0">
      <w:lvlJc w:val="left"/>
      <w:lvlText w:val="(%1)"/>
      <w:numFmt w:val="lowerLetter"/>
      <w:start w:val="1"/>
    </w:lvl>
  </w:abstractNum>
  <w:abstractNum w:abstractNumId="264">
    <w:nsid w:val="680EA5D1"/>
    <w:multiLevelType w:val="hybridMultilevel"/>
    <w:lvl w:ilvl="0">
      <w:lvlJc w:val="left"/>
      <w:lvlText w:val="(%1)"/>
      <w:numFmt w:val="lowerLetter"/>
      <w:start w:val="4"/>
    </w:lvl>
  </w:abstractNum>
  <w:abstractNum w:abstractNumId="265">
    <w:nsid w:val="4A9554FE"/>
    <w:multiLevelType w:val="hybridMultilevel"/>
    <w:lvl w:ilvl="0">
      <w:lvlJc w:val="left"/>
      <w:lvlText w:val="(%1)"/>
      <w:numFmt w:val="lowerLetter"/>
      <w:start w:val="1"/>
    </w:lvl>
  </w:abstractNum>
  <w:abstractNum w:abstractNumId="266">
    <w:nsid w:val="392EDBE4"/>
    <w:multiLevelType w:val="hybridMultilevel"/>
    <w:lvl w:ilvl="0">
      <w:lvlJc w:val="left"/>
      <w:lvlText w:val="(%1)"/>
      <w:numFmt w:val="lowerLetter"/>
      <w:start w:val="1"/>
    </w:lvl>
  </w:abstractNum>
  <w:abstractNum w:abstractNumId="267">
    <w:nsid w:val="3D1A2DD9"/>
    <w:multiLevelType w:val="hybridMultilevel"/>
    <w:lvl w:ilvl="0">
      <w:lvlJc w:val="left"/>
      <w:lvlText w:val="%1"/>
      <w:numFmt w:val="lowerLetter"/>
      <w:start w:val="1"/>
    </w:lvl>
    <w:lvl w:ilvl="1">
      <w:lvlJc w:val="left"/>
      <w:lvlText w:val="(%2)"/>
      <w:numFmt w:val="lowerLetter"/>
      <w:start w:val="1"/>
    </w:lvl>
  </w:abstractNum>
  <w:abstractNum w:abstractNumId="268">
    <w:nsid w:val="7F618FCD"/>
    <w:multiLevelType w:val="hybridMultilevel"/>
    <w:lvl w:ilvl="0">
      <w:lvlJc w:val="left"/>
      <w:lvlText w:val="(%1)"/>
      <w:numFmt w:val="lowerLetter"/>
      <w:start w:val="61"/>
    </w:lvl>
    <w:lvl w:ilvl="1">
      <w:lvlJc w:val="left"/>
      <w:lvlText w:val="(%2)"/>
      <w:numFmt w:val="lowerLetter"/>
      <w:start w:val="2"/>
    </w:lvl>
  </w:abstractNum>
  <w:abstractNum w:abstractNumId="269">
    <w:nsid w:val="7843E45"/>
    <w:multiLevelType w:val="hybridMultilevel"/>
    <w:lvl w:ilvl="0">
      <w:lvlJc w:val="left"/>
      <w:lvlText w:val="%1"/>
      <w:numFmt w:val="lowerLetter"/>
      <w:start w:val="1"/>
    </w:lvl>
    <w:lvl w:ilvl="1">
      <w:lvlJc w:val="left"/>
      <w:lvlText w:val="(%2)"/>
      <w:numFmt w:val="lowerLetter"/>
      <w:start w:val="1"/>
    </w:lvl>
  </w:abstractNum>
  <w:abstractNum w:abstractNumId="270">
    <w:nsid w:val="9815DA3"/>
    <w:multiLevelType w:val="hybridMultilevel"/>
    <w:lvl w:ilvl="0">
      <w:lvlJc w:val="left"/>
      <w:lvlText w:val="(%1)"/>
      <w:numFmt w:val="lowerLetter"/>
      <w:start w:val="9"/>
    </w:lvl>
    <w:lvl w:ilvl="1">
      <w:lvlJc w:val="left"/>
      <w:lvlText w:val="(%2)"/>
      <w:numFmt w:val="lowerLetter"/>
      <w:start w:val="3"/>
    </w:lvl>
  </w:abstractNum>
  <w:abstractNum w:abstractNumId="271">
    <w:nsid w:val="5204A191"/>
    <w:multiLevelType w:val="hybridMultilevel"/>
    <w:lvl w:ilvl="0">
      <w:lvlJc w:val="left"/>
      <w:lvlText w:val="(%1)"/>
      <w:numFmt w:val="lowerRoman"/>
      <w:start w:val="1"/>
    </w:lvl>
  </w:abstractNum>
  <w:abstractNum w:abstractNumId="272">
    <w:nsid w:val="4C73A9C6"/>
    <w:multiLevelType w:val="hybridMultilevel"/>
    <w:lvl w:ilvl="0">
      <w:lvlJc w:val="left"/>
      <w:lvlText w:val="(%1)"/>
      <w:numFmt w:val="upperLetter"/>
      <w:start w:val="35"/>
    </w:lvl>
  </w:abstractNum>
  <w:abstractNum w:abstractNumId="273">
    <w:nsid w:val="1C7E3C01"/>
    <w:multiLevelType w:val="hybridMultilevel"/>
    <w:lvl w:ilvl="0">
      <w:lvlJc w:val="left"/>
      <w:lvlText w:val="(%1)"/>
      <w:numFmt w:val="lowerLetter"/>
      <w:start w:val="1"/>
    </w:lvl>
    <w:lvl w:ilvl="1">
      <w:lvlJc w:val="left"/>
      <w:lvlText w:val="(%2)"/>
      <w:numFmt w:val="lowerLetter"/>
      <w:start w:val="9"/>
    </w:lvl>
  </w:abstractNum>
  <w:abstractNum w:abstractNumId="274">
    <w:nsid w:val="1C2201FF"/>
    <w:multiLevelType w:val="hybridMultilevel"/>
    <w:lvl w:ilvl="0">
      <w:lvlJc w:val="left"/>
      <w:lvlText w:val="%1"/>
      <w:numFmt w:val="lowerLetter"/>
      <w:start w:val="1"/>
    </w:lvl>
    <w:lvl w:ilvl="1">
      <w:lvlJc w:val="left"/>
      <w:lvlText w:val="(%2)"/>
      <w:numFmt w:val="lowerRoman"/>
      <w:start w:val="2"/>
    </w:lvl>
  </w:abstractNum>
  <w:abstractNum w:abstractNumId="275">
    <w:nsid w:val="50ABCEC9"/>
    <w:multiLevelType w:val="hybridMultilevel"/>
    <w:lvl w:ilvl="0">
      <w:lvlJc w:val="left"/>
      <w:lvlText w:val="(%1)"/>
      <w:numFmt w:val="lowerLetter"/>
      <w:start w:val="2"/>
    </w:lvl>
    <w:lvl w:ilvl="1">
      <w:lvlJc w:val="left"/>
      <w:lvlText w:val="(%2)"/>
      <w:numFmt w:val="lowerRoman"/>
      <w:start w:val="1"/>
    </w:lvl>
  </w:abstractNum>
  <w:abstractNum w:abstractNumId="276">
    <w:nsid w:val="7635AA2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77">
    <w:nsid w:val="5E74C4D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78">
    <w:nsid w:val="3B3EBE1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79">
    <w:nsid w:val="3822CB01"/>
    <w:multiLevelType w:val="hybridMultilevel"/>
    <w:lvl w:ilvl="0">
      <w:lvlJc w:val="left"/>
      <w:lvlText w:val="(%1)"/>
      <w:numFmt w:val="lowerRoman"/>
      <w:start w:val="5"/>
    </w:lvl>
  </w:abstractNum>
  <w:abstractNum w:abstractNumId="280">
    <w:nsid w:val="6CE00443"/>
    <w:multiLevelType w:val="hybridMultilevel"/>
    <w:lvl w:ilvl="0">
      <w:lvlJc w:val="left"/>
      <w:lvlText w:val="(%1)"/>
      <w:numFmt w:val="lowerRoman"/>
      <w:start w:val="6"/>
    </w:lvl>
  </w:abstractNum>
  <w:abstractNum w:abstractNumId="281">
    <w:nsid w:val="79F0D62F"/>
    <w:multiLevelType w:val="hybridMultilevel"/>
    <w:lvl w:ilvl="0">
      <w:lvlJc w:val="left"/>
      <w:lvlText w:val="%1"/>
      <w:numFmt w:val="lowerLetter"/>
      <w:start w:val="1"/>
    </w:lvl>
    <w:lvl w:ilvl="1">
      <w:lvlJc w:val="left"/>
      <w:lvlText w:val="(%2)"/>
      <w:numFmt w:val="lowerLetter"/>
      <w:start w:val="1"/>
    </w:lvl>
  </w:abstractNum>
  <w:abstractNum w:abstractNumId="282">
    <w:nsid w:val="7975E8EE"/>
    <w:multiLevelType w:val="hybridMultilevel"/>
    <w:lvl w:ilvl="0">
      <w:lvlJc w:val="left"/>
      <w:lvlText w:val="(%1)"/>
      <w:numFmt w:val="lowerLetter"/>
      <w:start w:val="35"/>
    </w:lvl>
    <w:lvl w:ilvl="1">
      <w:lvlJc w:val="left"/>
      <w:lvlText w:val="(%2)"/>
      <w:numFmt w:val="lowerLetter"/>
      <w:start w:val="3"/>
    </w:lvl>
  </w:abstractNum>
  <w:abstractNum w:abstractNumId="283">
    <w:nsid w:val="73154115"/>
    <w:multiLevelType w:val="hybridMultilevel"/>
    <w:lvl w:ilvl="0">
      <w:lvlJc w:val="left"/>
      <w:lvlText w:val="(%1)"/>
      <w:numFmt w:val="lowerLetter"/>
      <w:start w:val="1"/>
    </w:lvl>
  </w:abstractNum>
  <w:abstractNum w:abstractNumId="284">
    <w:nsid w:val="622D8102"/>
    <w:multiLevelType w:val="hybridMultilevel"/>
    <w:lvl w:ilvl="0">
      <w:lvlJc w:val="left"/>
      <w:lvlText w:val="(%1)"/>
      <w:numFmt w:val="lowerLetter"/>
      <w:start w:val="4"/>
    </w:lvl>
  </w:abstractNum>
  <w:abstractNum w:abstractNumId="285">
    <w:nsid w:val="2AB26587"/>
    <w:multiLevelType w:val="hybridMultilevel"/>
    <w:lvl w:ilvl="0">
      <w:lvlJc w:val="left"/>
      <w:lvlText w:val="(%1)"/>
      <w:numFmt w:val="lowerLetter"/>
      <w:start w:val="11"/>
    </w:lvl>
    <w:lvl w:ilvl="1">
      <w:lvlJc w:val="left"/>
      <w:lvlText w:val="(%2)"/>
      <w:numFmt w:val="lowerRoman"/>
      <w:start w:val="1"/>
    </w:lvl>
  </w:abstractNum>
  <w:abstractNum w:abstractNumId="286">
    <w:nsid w:val="44B3FA61"/>
    <w:multiLevelType w:val="hybridMultilevel"/>
    <w:lvl w:ilvl="0">
      <w:lvlJc w:val="left"/>
      <w:lvlText w:val="%1."/>
      <w:numFmt w:val="upperLetter"/>
      <w:start w:val="1"/>
    </w:lvl>
  </w:abstractNum>
  <w:abstractNum w:abstractNumId="287">
    <w:nsid w:val="1C0CA67C"/>
    <w:multiLevelType w:val="hybridMultilevel"/>
    <w:lvl w:ilvl="0">
      <w:lvlJc w:val="left"/>
      <w:lvlText w:val="%1."/>
      <w:numFmt w:val="upperLetter"/>
      <w:start w:val="4"/>
    </w:lvl>
  </w:abstractNum>
  <w:abstractNum w:abstractNumId="288">
    <w:nsid w:val="3D206613"/>
    <w:multiLevelType w:val="hybridMultilevel"/>
    <w:lvl w:ilvl="0">
      <w:lvlJc w:val="left"/>
      <w:lvlText w:val="%1."/>
      <w:numFmt w:val="decimal"/>
      <w:start w:val="1"/>
    </w:lvl>
    <w:lvl w:ilvl="1">
      <w:lvlJc w:val="left"/>
      <w:lvlText w:val="(%2)"/>
      <w:numFmt w:val="lowerRoman"/>
      <w:start w:val="1"/>
    </w:lvl>
  </w:abstractNum>
  <w:abstractNum w:abstractNumId="289">
    <w:nsid w:val="7993B662"/>
    <w:multiLevelType w:val="hybridMultilevel"/>
    <w:lvl w:ilvl="0">
      <w:lvlJc w:val="left"/>
      <w:lvlText w:val="(%1)"/>
      <w:numFmt w:val="lowerRoman"/>
      <w:start w:val="5"/>
    </w:lvl>
  </w:abstractNum>
  <w:abstractNum w:abstractNumId="290">
    <w:nsid w:val="3BAB699E"/>
    <w:multiLevelType w:val="hybridMultilevel"/>
    <w:lvl w:ilvl="0">
      <w:lvlJc w:val="left"/>
      <w:lvlText w:val="%1."/>
      <w:numFmt w:val="decimal"/>
      <w:start w:val="4"/>
    </w:lvl>
  </w:abstractNum>
  <w:abstractNum w:abstractNumId="291">
    <w:nsid w:val="71315369"/>
    <w:multiLevelType w:val="hybridMultilevel"/>
    <w:lvl w:ilvl="0">
      <w:lvlJc w:val="left"/>
      <w:lvlText w:val="%1."/>
      <w:numFmt w:val="upperLetter"/>
      <w:start w:val="1"/>
    </w:lvl>
  </w:abstractNum>
  <w:abstractNum w:abstractNumId="292">
    <w:nsid w:val="7BCFBAFC"/>
    <w:multiLevelType w:val="hybridMultilevel"/>
    <w:lvl w:ilvl="0">
      <w:lvlJc w:val="left"/>
      <w:lvlText w:val="%1."/>
      <w:numFmt w:val="upperLetter"/>
      <w:start w:val="4"/>
    </w:lvl>
  </w:abstractNum>
  <w:abstractNum w:abstractNumId="293">
    <w:nsid w:val="17859F72"/>
    <w:multiLevelType w:val="hybridMultilevel"/>
    <w:lvl w:ilvl="0">
      <w:lvlJc w:val="left"/>
      <w:lvlText w:val="%1."/>
      <w:numFmt w:val="decimal"/>
      <w:start w:val="1"/>
    </w:lvl>
    <w:lvl w:ilvl="1">
      <w:lvlJc w:val="left"/>
      <w:lvlText w:val="(%2)"/>
      <w:numFmt w:val="lowerRoman"/>
      <w:start w:val="1"/>
    </w:lvl>
  </w:abstractNum>
  <w:abstractNum w:abstractNumId="294">
    <w:nsid w:val="3AA10581"/>
    <w:multiLevelType w:val="hybridMultilevel"/>
    <w:lvl w:ilvl="0">
      <w:lvlJc w:val="left"/>
      <w:lvlText w:val="(%1)"/>
      <w:numFmt w:val="lowerRoman"/>
      <w:start w:val="5"/>
    </w:lvl>
  </w:abstractNum>
  <w:abstractNum w:abstractNumId="295">
    <w:nsid w:val="63DE60CD"/>
    <w:multiLevelType w:val="hybridMultilevel"/>
    <w:lvl w:ilvl="0">
      <w:lvlJc w:val="left"/>
      <w:lvlText w:val="%1."/>
      <w:numFmt w:val="decimal"/>
      <w:start w:val="4"/>
    </w:lvl>
  </w:abstractNum>
  <w:abstractNum w:abstractNumId="296">
    <w:nsid w:val="621AF471"/>
    <w:multiLevelType w:val="hybridMultilevel"/>
    <w:lvl w:ilvl="0">
      <w:lvlJc w:val="left"/>
      <w:lvlText w:val="%1."/>
      <w:numFmt w:val="decimal"/>
      <w:start w:val="1"/>
    </w:lvl>
  </w:abstractNum>
  <w:abstractNum w:abstractNumId="297">
    <w:nsid w:val="73CFE165"/>
    <w:multiLevelType w:val="hybridMultilevel"/>
    <w:lvl w:ilvl="0">
      <w:lvlJc w:val="left"/>
      <w:lvlText w:val="%1."/>
      <w:numFmt w:val="decimal"/>
      <w:start w:val="3"/>
    </w:lvl>
  </w:abstractNum>
  <w:abstractNum w:abstractNumId="298">
    <w:nsid w:val="20F88EA6"/>
    <w:multiLevelType w:val="hybridMultilevel"/>
    <w:lvl w:ilvl="0">
      <w:lvlJc w:val="left"/>
      <w:lvlText w:val="%1."/>
      <w:numFmt w:val="decimal"/>
      <w:start w:val="4"/>
    </w:lvl>
  </w:abstractNum>
  <w:abstractNum w:abstractNumId="299">
    <w:nsid w:val="617C843E"/>
    <w:multiLevelType w:val="hybridMultilevel"/>
    <w:lvl w:ilvl="0">
      <w:lvlJc w:val="left"/>
      <w:lvlText w:val="%1."/>
      <w:numFmt w:val="decimal"/>
      <w:start w:val="5"/>
    </w:lvl>
  </w:abstractNum>
  <w:abstractNum w:abstractNumId="300">
    <w:nsid w:val="7B541F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2020-01-28T22:46:55Z</dcterms:created>
  <dcterms:modified xsi:type="dcterms:W3CDTF">2020-01-28T22:46:55Z</dcterms:modified>
</cp:coreProperties>
</file>