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Date of Report (Date of earliest event reported) — </w:t>
      </w:r>
      <w:r>
        <w:rPr>
          <w:rFonts w:ascii="Arial" w:cs="Arial" w:eastAsia="Arial" w:hAnsi="Arial"/>
          <w:sz w:val="17"/>
          <w:szCs w:val="17"/>
          <w:b w:val="1"/>
          <w:bCs w:val="1"/>
          <w:color w:val="auto"/>
        </w:rPr>
        <w:t>October 5, 2021</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Plains GP Holdings, L.P.</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83" w:right="339" w:bottom="1440" w:gutter="0" w:footer="0" w:header="0"/>
        </w:sectPr>
      </w:pPr>
    </w:p>
    <w:p>
      <w:pPr>
        <w:spacing w:after="0" w:line="205" w:lineRule="exact"/>
        <w:rPr>
          <w:sz w:val="24"/>
          <w:szCs w:val="24"/>
          <w:color w:val="auto"/>
        </w:rPr>
      </w:pPr>
    </w:p>
    <w:p>
      <w:pPr>
        <w:ind w:left="13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50" w:lineRule="exact"/>
        <w:rPr>
          <w:sz w:val="24"/>
          <w:szCs w:val="24"/>
          <w:color w:val="auto"/>
        </w:rPr>
      </w:pPr>
    </w:p>
    <w:p>
      <w:pPr>
        <w:sectPr>
          <w:pgSz w:w="11900" w:h="16838" w:orient="portrait"/>
          <w:cols w:equalWidth="0" w:num="3">
            <w:col w:w="4620" w:space="720"/>
            <w:col w:w="2900" w:space="720"/>
            <w:col w:w="2280"/>
          </w:cols>
          <w:pgMar w:left="320" w:top="783" w:right="33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46" w:lineRule="exact"/>
        <w:rPr>
          <w:sz w:val="24"/>
          <w:szCs w:val="24"/>
          <w:color w:val="auto"/>
        </w:rPr>
      </w:pPr>
    </w:p>
    <w:p>
      <w:pPr>
        <w:sectPr>
          <w:pgSz w:w="11900" w:h="16838" w:orient="portrait"/>
          <w:cols w:equalWidth="0" w:num="3">
            <w:col w:w="3920" w:space="720"/>
            <w:col w:w="2800" w:space="720"/>
            <w:col w:w="3080"/>
          </w:cols>
          <w:pgMar w:left="320" w:top="783" w:right="339" w:bottom="1440" w:gutter="0" w:footer="0" w:header="0"/>
          <w:type w:val="continuous"/>
        </w:sectPr>
      </w:pPr>
    </w:p>
    <w:p>
      <w:pPr>
        <w:ind w:left="1260"/>
        <w:spacing w:after="0"/>
        <w:rPr>
          <w:sz w:val="20"/>
          <w:szCs w:val="20"/>
          <w:color w:val="auto"/>
        </w:rPr>
      </w:pPr>
      <w:r>
        <w:rPr>
          <w:rFonts w:ascii="Arial" w:cs="Arial" w:eastAsia="Arial" w:hAnsi="Arial"/>
          <w:sz w:val="18"/>
          <w:szCs w:val="18"/>
          <w:color w:val="auto"/>
        </w:rPr>
        <w:t>of incorporation)</w:t>
      </w:r>
    </w:p>
    <w:p>
      <w:pPr>
        <w:spacing w:after="0" w:line="220" w:lineRule="exact"/>
        <w:rPr>
          <w:sz w:val="24"/>
          <w:szCs w:val="24"/>
          <w:color w:val="auto"/>
        </w:rPr>
      </w:pPr>
    </w:p>
    <w:p>
      <w:pPr>
        <w:ind w:left="3720"/>
        <w:spacing w:after="0"/>
        <w:rPr>
          <w:sz w:val="20"/>
          <w:szCs w:val="20"/>
          <w:color w:val="auto"/>
        </w:rPr>
      </w:pPr>
      <w:r>
        <w:rPr>
          <w:rFonts w:ascii="Arial" w:cs="Arial" w:eastAsia="Arial" w:hAnsi="Arial"/>
          <w:sz w:val="17"/>
          <w:szCs w:val="17"/>
          <w:b w:val="1"/>
          <w:bCs w:val="1"/>
          <w:color w:val="auto"/>
        </w:rPr>
        <w:t>333 Clay Street, Suite 1600, Houston, Texas 77002</w:t>
      </w:r>
    </w:p>
    <w:p>
      <w:pPr>
        <w:spacing w:after="0" w:line="3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240"/>
          </w:cols>
          <w:pgMar w:left="320" w:top="783" w:right="339" w:bottom="1440" w:gutter="0" w:footer="0" w:header="0"/>
          <w:type w:val="continuous"/>
        </w:sectPr>
      </w:pPr>
    </w:p>
    <w:p>
      <w:pPr>
        <w:spacing w:after="0" w:line="24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Class A Shares</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20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October 5, 2021, pursuant to the terms of an Agreement and Plan of Merger dated as of July 12, 2021 (the “Merger Agreement”) between subsidiaries of Plains All American Pipeline, L.P. (“PAA”), a wholly-owned subsidiary of Plains GP Holdings, L.P. (“PAGP” or the “Registrant”), and</w:t>
      </w:r>
    </w:p>
    <w:p>
      <w:pPr>
        <w:jc w:val="both"/>
        <w:spacing w:after="0" w:line="227" w:lineRule="auto"/>
        <w:rPr>
          <w:sz w:val="20"/>
          <w:szCs w:val="20"/>
          <w:color w:val="auto"/>
        </w:rPr>
      </w:pPr>
      <w:r>
        <w:rPr>
          <w:rFonts w:ascii="Arial" w:cs="Arial" w:eastAsia="Arial" w:hAnsi="Arial"/>
          <w:sz w:val="18"/>
          <w:szCs w:val="18"/>
          <w:color w:val="auto"/>
        </w:rPr>
        <w:t>Oryx Midstream Holdings LLC (together with certain affiliates, “Oryx”), a portfolio company of Stonepeak Infrastructure Partners (“Stonepeak”)</w:t>
      </w:r>
      <w:r>
        <w:rPr>
          <w:rFonts w:ascii="Arial" w:cs="Arial" w:eastAsia="Arial" w:hAnsi="Arial"/>
          <w:sz w:val="29"/>
          <w:szCs w:val="29"/>
          <w:color w:val="auto"/>
          <w:vertAlign w:val="superscript"/>
        </w:rPr>
        <w:t>1</w:t>
      </w:r>
      <w:r>
        <w:rPr>
          <w:rFonts w:ascii="Arial" w:cs="Arial" w:eastAsia="Arial" w:hAnsi="Arial"/>
          <w:sz w:val="18"/>
          <w:szCs w:val="18"/>
          <w:color w:val="auto"/>
        </w:rPr>
        <w:t>, PAA and Oryx completed the merger, in a cashless transaction, of their respective Permian Basin assets, operations and commercial activities into a newly formed strategic joint venture, Plains Oryx Permian Basin LLC (the “Joint Venture”). The Joint Venture is owned 65% by PAA and 35% by Oryx; PAA will serve as operator of the Joint Venture.</w:t>
      </w:r>
    </w:p>
    <w:p>
      <w:pPr>
        <w:spacing w:after="0" w:line="20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Joint Venture includes all of Oryx’s Permian Basin assets and, with the exception of PAA’s long-haul pipeline systems and certain of its intra-basin terminal assets, the vast majority of PAA’s assets located within the Permian Basin. Specifically, the Oryx assets comprising a part of the Joint Venture include approximately 1,600 miles of pipeline and related operational storage capacity, in addition to long-term acreage dedication and marketing agreements covering approximately 1.3 million acres. The PAA assets comprising a part of the Joint Venture include approximately 3,900 miles of pipeline and related operational storage capacity, long-term acreage dedication and marketing agreements covering approximately 2.8 million acres, and supply and facilities dedications. On a combined basis, the Joint Venture assets will include approximately 5,500 miles of pipeline representing approximately 6.8 million barrels per day of pipeline system multi-segment capacity, approximately 4.1 million dedicated system acres, including supply and facilities dedications, and direct downstream connections to all major intra-basin and downstream markets.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formation of the Joint Venture, PAA and Oryx executed an LLC agreement, the key terms of which are as follows:</w:t>
      </w:r>
    </w:p>
    <w:p>
      <w:pPr>
        <w:spacing w:after="0" w:line="225" w:lineRule="exact"/>
        <w:rPr>
          <w:sz w:val="20"/>
          <w:szCs w:val="20"/>
          <w:color w:val="auto"/>
        </w:rPr>
      </w:pPr>
    </w:p>
    <w:p>
      <w:pPr>
        <w:ind w:left="1960" w:right="40" w:hanging="332"/>
        <w:spacing w:after="0" w:line="275" w:lineRule="auto"/>
        <w:tabs>
          <w:tab w:leader="none" w:pos="1960" w:val="left"/>
        </w:tabs>
        <w:numPr>
          <w:ilvl w:val="0"/>
          <w:numId w:val="2"/>
        </w:numPr>
        <w:rPr>
          <w:rFonts w:ascii="Arial" w:cs="Arial" w:eastAsia="Arial" w:hAnsi="Arial"/>
          <w:sz w:val="17"/>
          <w:szCs w:val="17"/>
          <w:color w:val="auto"/>
        </w:rPr>
      </w:pPr>
      <w:r>
        <w:rPr>
          <w:rFonts w:ascii="Arial" w:cs="Arial" w:eastAsia="Arial" w:hAnsi="Arial"/>
          <w:sz w:val="17"/>
          <w:szCs w:val="17"/>
          <w:u w:val="single" w:color="auto"/>
          <w:color w:val="auto"/>
        </w:rPr>
        <w:t>Ownership and Governance</w:t>
      </w:r>
      <w:r>
        <w:rPr>
          <w:rFonts w:ascii="Arial" w:cs="Arial" w:eastAsia="Arial" w:hAnsi="Arial"/>
          <w:sz w:val="17"/>
          <w:szCs w:val="17"/>
          <w:color w:val="auto"/>
        </w:rPr>
        <w:t>. Subject to the tiered modified sharing arrangement described below, the Joint Venture is owned 65% by PAA and 35% by Oryx. The Joint Venture is managed by a five-member Board including three PAA representatives and two Oryx representatives. PAA serves as operator of the Joint Venture, and a joint operating committee that includes representatives from PAA and Oryx will provide oversight on material Joint Venture operating and commercial decisions. The Joint Venture will be consolidated into PAA’s financial statements.</w:t>
      </w:r>
    </w:p>
    <w:p>
      <w:pPr>
        <w:spacing w:after="0" w:line="176" w:lineRule="exact"/>
        <w:rPr>
          <w:rFonts w:ascii="Arial" w:cs="Arial" w:eastAsia="Arial" w:hAnsi="Arial"/>
          <w:sz w:val="17"/>
          <w:szCs w:val="17"/>
          <w:color w:val="auto"/>
        </w:rPr>
      </w:pPr>
    </w:p>
    <w:p>
      <w:pPr>
        <w:ind w:left="1960" w:right="180" w:hanging="332"/>
        <w:spacing w:after="0" w:line="263" w:lineRule="auto"/>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Distributions</w:t>
      </w:r>
      <w:r>
        <w:rPr>
          <w:rFonts w:ascii="Arial" w:cs="Arial" w:eastAsia="Arial" w:hAnsi="Arial"/>
          <w:sz w:val="18"/>
          <w:szCs w:val="18"/>
          <w:color w:val="auto"/>
        </w:rPr>
        <w:t>. Quarterly distributions of available cash (cash on hand at end of quarter less reserves) from the Joint Venture to PAA and Oryx are subject to a tiered modified sharing arrangement (“MSA”) for up to 10 years. Under the MSA, distributions will be allocated as follows:</w:t>
      </w:r>
    </w:p>
    <w:p>
      <w:pPr>
        <w:spacing w:after="0" w:line="180" w:lineRule="exact"/>
        <w:rPr>
          <w:sz w:val="20"/>
          <w:szCs w:val="20"/>
          <w:color w:val="auto"/>
        </w:rPr>
      </w:pPr>
    </w:p>
    <w:tbl>
      <w:tblPr>
        <w:tblLayout w:type="fixed"/>
        <w:tblInd w:w="192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Available Cash</w:t>
            </w:r>
          </w:p>
        </w:tc>
        <w:tc>
          <w:tcPr>
            <w:tcW w:w="24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8"/>
                <w:szCs w:val="18"/>
                <w:b w:val="1"/>
                <w:bCs w:val="1"/>
                <w:color w:val="auto"/>
              </w:rPr>
              <w:t>Distribution Percentages</w:t>
            </w:r>
          </w:p>
        </w:tc>
      </w:tr>
      <w:tr>
        <w:trPr>
          <w:trHeight w:val="210"/>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Tier</w:t>
            </w:r>
          </w:p>
        </w:tc>
        <w:tc>
          <w:tcPr>
            <w:tcW w:w="160" w:type="dxa"/>
            <w:vAlign w:val="bottom"/>
            <w:tcBorders>
              <w:bottom w:val="single" w:sz="8" w:color="CCEEFF"/>
            </w:tcBorders>
          </w:tcPr>
          <w:p>
            <w:pPr>
              <w:spacing w:after="0"/>
              <w:rPr>
                <w:sz w:val="18"/>
                <w:szCs w:val="18"/>
                <w:color w:val="auto"/>
              </w:rPr>
            </w:pPr>
          </w:p>
        </w:tc>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(Annualized)</w:t>
            </w: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PAA</w:t>
            </w:r>
          </w:p>
        </w:tc>
        <w:tc>
          <w:tcPr>
            <w:tcW w:w="2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Oryx</w:t>
            </w:r>
          </w:p>
        </w:tc>
        <w:tc>
          <w:tcPr>
            <w:tcW w:w="160" w:type="dxa"/>
            <w:vAlign w:val="bottom"/>
            <w:tcBorders>
              <w:bottom w:val="single" w:sz="8" w:color="CCEEFF"/>
            </w:tcBorders>
          </w:tcPr>
          <w:p>
            <w:pPr>
              <w:spacing w:after="0"/>
              <w:rPr>
                <w:sz w:val="18"/>
                <w:szCs w:val="18"/>
                <w:color w:val="auto"/>
              </w:rPr>
            </w:pPr>
          </w:p>
        </w:tc>
      </w:tr>
      <w:tr>
        <w:trPr>
          <w:trHeight w:val="210"/>
        </w:trPr>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60" w:type="dxa"/>
            <w:vAlign w:val="bottom"/>
            <w:shd w:val="clear" w:color="auto" w:fill="CCEEFF"/>
          </w:tcPr>
          <w:p>
            <w:pPr>
              <w:spacing w:after="0"/>
              <w:rPr>
                <w:sz w:val="18"/>
                <w:szCs w:val="18"/>
                <w:color w:val="auto"/>
              </w:rPr>
            </w:pPr>
          </w:p>
        </w:tc>
        <w:tc>
          <w:tcPr>
            <w:tcW w:w="57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1"/>
              </w:rPr>
              <w:t>Up to $300mm</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18"/>
                <w:szCs w:val="18"/>
                <w:color w:val="auto"/>
              </w:rPr>
            </w:pPr>
          </w:p>
        </w:tc>
        <w:tc>
          <w:tcPr>
            <w:tcW w:w="5800" w:type="dxa"/>
            <w:vAlign w:val="bottom"/>
            <w:gridSpan w:val="2"/>
          </w:tcPr>
          <w:p>
            <w:pPr>
              <w:jc w:val="center"/>
              <w:spacing w:after="0"/>
              <w:rPr>
                <w:sz w:val="20"/>
                <w:szCs w:val="20"/>
                <w:color w:val="auto"/>
              </w:rPr>
            </w:pPr>
            <w:r>
              <w:rPr>
                <w:rFonts w:ascii="Arial" w:cs="Arial" w:eastAsia="Arial" w:hAnsi="Arial"/>
                <w:sz w:val="18"/>
                <w:szCs w:val="18"/>
                <w:color w:val="auto"/>
                <w:w w:val="92"/>
              </w:rPr>
              <w:t>$300mm - $428mm</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6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$428mm - $815mm</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60" w:type="dxa"/>
            <w:vAlign w:val="bottom"/>
          </w:tcPr>
          <w:p>
            <w:pPr>
              <w:spacing w:after="0"/>
              <w:rPr>
                <w:sz w:val="20"/>
                <w:szCs w:val="20"/>
                <w:color w:val="auto"/>
              </w:rPr>
            </w:pPr>
          </w:p>
        </w:tc>
        <w:tc>
          <w:tcPr>
            <w:tcW w:w="5800" w:type="dxa"/>
            <w:vAlign w:val="bottom"/>
            <w:gridSpan w:val="2"/>
          </w:tcPr>
          <w:p>
            <w:pPr>
              <w:jc w:val="center"/>
              <w:spacing w:after="0"/>
              <w:rPr>
                <w:sz w:val="20"/>
                <w:szCs w:val="20"/>
                <w:color w:val="auto"/>
              </w:rPr>
            </w:pPr>
            <w:r>
              <w:rPr>
                <w:rFonts w:ascii="Arial" w:cs="Arial" w:eastAsia="Arial" w:hAnsi="Arial"/>
                <w:sz w:val="18"/>
                <w:szCs w:val="18"/>
                <w:color w:val="auto"/>
                <w:w w:val="89"/>
              </w:rPr>
              <w:t>$815mm and above</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bl>
    <w:p>
      <w:pPr>
        <w:spacing w:after="0" w:line="18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Upon termination of the MSA, quarterly distributions of available cash will be paid 65% to PAA and 35% to Oryx.</w:t>
      </w:r>
    </w:p>
    <w:p>
      <w:pPr>
        <w:spacing w:after="0" w:line="225" w:lineRule="exact"/>
        <w:rPr>
          <w:sz w:val="20"/>
          <w:szCs w:val="20"/>
          <w:color w:val="auto"/>
        </w:rPr>
      </w:pPr>
    </w:p>
    <w:p>
      <w:pPr>
        <w:ind w:left="1960" w:right="60" w:hanging="332"/>
        <w:spacing w:after="0" w:line="263" w:lineRule="auto"/>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Area of Mutual Interest</w:t>
      </w:r>
      <w:r>
        <w:rPr>
          <w:rFonts w:ascii="Arial" w:cs="Arial" w:eastAsia="Arial" w:hAnsi="Arial"/>
          <w:sz w:val="18"/>
          <w:szCs w:val="18"/>
          <w:color w:val="auto"/>
        </w:rPr>
        <w:t>. Joint Venture members and their affiliates (other than Stonepeak and its non-Oryx portfolio companies) will be restricted from developing, acquiring or owning any assets related to gathering and marketing crude oil and condensate in the Permian Basin, subject to certain exceptions.</w:t>
      </w:r>
    </w:p>
    <w:p>
      <w:pPr>
        <w:spacing w:after="0" w:line="183" w:lineRule="exact"/>
        <w:rPr>
          <w:rFonts w:ascii="Arial" w:cs="Arial" w:eastAsia="Arial" w:hAnsi="Arial"/>
          <w:sz w:val="18"/>
          <w:szCs w:val="18"/>
          <w:color w:val="auto"/>
        </w:rPr>
      </w:pPr>
    </w:p>
    <w:p>
      <w:pPr>
        <w:ind w:left="1960" w:right="300" w:hanging="332"/>
        <w:spacing w:after="0" w:line="277" w:lineRule="auto"/>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Future Downstream Projects</w:t>
      </w:r>
      <w:r>
        <w:rPr>
          <w:rFonts w:ascii="Arial" w:cs="Arial" w:eastAsia="Arial" w:hAnsi="Arial"/>
          <w:sz w:val="18"/>
          <w:szCs w:val="18"/>
          <w:color w:val="auto"/>
        </w:rPr>
        <w:t>. For a period of seven years after closing, the Joint Venture will have certain limited investment rights with respect to material downstream projects pursued by either member.</w:t>
      </w:r>
    </w:p>
    <w:p>
      <w:pPr>
        <w:spacing w:after="0" w:line="170" w:lineRule="exact"/>
        <w:rPr>
          <w:rFonts w:ascii="Arial" w:cs="Arial" w:eastAsia="Arial" w:hAnsi="Arial"/>
          <w:sz w:val="18"/>
          <w:szCs w:val="18"/>
          <w:color w:val="auto"/>
        </w:rPr>
      </w:pPr>
    </w:p>
    <w:p>
      <w:pPr>
        <w:ind w:left="1960" w:right="80" w:hanging="332"/>
        <w:spacing w:after="0" w:line="296" w:lineRule="auto"/>
        <w:tabs>
          <w:tab w:leader="none" w:pos="196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Transfer of Interests and Related Provisions</w:t>
      </w:r>
      <w:r>
        <w:rPr>
          <w:rFonts w:ascii="Arial" w:cs="Arial" w:eastAsia="Arial" w:hAnsi="Arial"/>
          <w:sz w:val="16"/>
          <w:szCs w:val="16"/>
          <w:color w:val="auto"/>
        </w:rPr>
        <w:t>. In general, each Joint Venture member will be free to transfer all, but not less than all, of its respective interest in the Joint Venture; however, under certain circumstances and subject to certain limitations, (1) if Oryx desires to transfer its interest, is subject to a permitted foreclosure by certain lenders or is anticipated to be the subject of a change of control, PAA will have the right to make an offer and negotiate to acquire Oryx’s interest, and (2) if PAA desires to transfer its interest or undergoes a change of control, Oryx will have certain tag-along rights.</w:t>
      </w:r>
    </w:p>
    <w:p>
      <w:pPr>
        <w:spacing w:after="0" w:line="161" w:lineRule="exact"/>
        <w:rPr>
          <w:sz w:val="20"/>
          <w:szCs w:val="20"/>
          <w:color w:val="auto"/>
        </w:rPr>
      </w:pPr>
    </w:p>
    <w:p>
      <w:pPr>
        <w:jc w:val="both"/>
        <w:ind w:right="300" w:firstLine="583"/>
        <w:spacing w:after="0" w:line="342" w:lineRule="auto"/>
        <w:rPr>
          <w:rFonts w:ascii="Arial" w:cs="Arial" w:eastAsia="Arial" w:hAnsi="Arial"/>
          <w:sz w:val="16"/>
          <w:szCs w:val="16"/>
          <w:color w:val="auto"/>
        </w:rPr>
      </w:pPr>
      <w:r>
        <w:rPr>
          <w:rFonts w:ascii="Arial" w:cs="Arial" w:eastAsia="Arial" w:hAnsi="Arial"/>
          <w:sz w:val="16"/>
          <w:szCs w:val="16"/>
          <w:color w:val="auto"/>
        </w:rPr>
        <w:t xml:space="preserve">The foregoing description of the Merger Agreement and LLC Agreement is qualified in its entirety by reference to such Merger Agreement and Exhibit C-1 thereto, copies of which are incorporated herein by reference to </w:t>
      </w:r>
      <w:hyperlink r:id="rId13">
        <w:r>
          <w:rPr>
            <w:rFonts w:ascii="Arial" w:cs="Arial" w:eastAsia="Arial" w:hAnsi="Arial"/>
            <w:sz w:val="16"/>
            <w:szCs w:val="16"/>
            <w:u w:val="single" w:color="auto"/>
            <w:color w:val="0000EE"/>
          </w:rPr>
          <w:t>Exhibit 2.1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PAGP’s Current Report on Form 8-K filed on July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93" w:lineRule="exact"/>
        <w:rPr>
          <w:sz w:val="20"/>
          <w:szCs w:val="20"/>
          <w:color w:val="auto"/>
        </w:rPr>
      </w:pPr>
    </w:p>
    <w:p>
      <w:pPr>
        <w:ind w:right="400" w:firstLine="8"/>
        <w:spacing w:after="0" w:line="207" w:lineRule="auto"/>
        <w:tabs>
          <w:tab w:leader="none" w:pos="112" w:val="left"/>
        </w:tabs>
        <w:numPr>
          <w:ilvl w:val="0"/>
          <w:numId w:val="4"/>
        </w:numPr>
        <w:rPr>
          <w:rFonts w:ascii="Arial" w:cs="Arial" w:eastAsia="Arial" w:hAnsi="Arial"/>
          <w:sz w:val="28"/>
          <w:szCs w:val="28"/>
          <w:color w:val="auto"/>
          <w:vertAlign w:val="superscript"/>
        </w:rPr>
      </w:pPr>
      <w:r>
        <w:rPr>
          <w:rFonts w:ascii="Arial" w:cs="Arial" w:eastAsia="Arial" w:hAnsi="Arial"/>
          <w:sz w:val="17"/>
          <w:szCs w:val="17"/>
          <w:color w:val="auto"/>
        </w:rPr>
        <w:t>Affiliates of Stonepeak own approximately 8.9% of PAA’s outstanding Series A Preferred Units, which equates to less than 1% of PAA’s outstanding common units and common unit equivalents combined.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tabs>
          <w:tab w:leader="none" w:pos="16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In accordance with General Instruction B.2 of Form 8-K, the information presented herein under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4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On October 5, 2021, PAA and PAGP issued a press release announcing closing of the transaction described under Item 2.01 above. A copy of the press release is furnished as Exhibit 99.1 hereto.</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of Business Acquired.</w:t>
      </w:r>
    </w:p>
    <w:p>
      <w:pPr>
        <w:spacing w:after="0" w:line="229" w:lineRule="exact"/>
        <w:rPr>
          <w:rFonts w:ascii="Arial" w:cs="Arial" w:eastAsia="Arial" w:hAnsi="Arial"/>
          <w:sz w:val="18"/>
          <w:szCs w:val="18"/>
          <w:b w:val="1"/>
          <w:bCs w:val="1"/>
          <w:color w:val="auto"/>
        </w:rPr>
      </w:pPr>
    </w:p>
    <w:p>
      <w:pPr>
        <w:ind w:left="980" w:righ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Financial statements of the acquired business are not included in this Form 8-K report. Such financial statements will be filed within 71 calendar days after the date of filing of this Form 8-K report.</w:t>
      </w:r>
    </w:p>
    <w:p>
      <w:pPr>
        <w:spacing w:after="0" w:line="166" w:lineRule="exact"/>
        <w:rPr>
          <w:rFonts w:ascii="Arial" w:cs="Arial" w:eastAsia="Arial" w:hAnsi="Arial"/>
          <w:sz w:val="18"/>
          <w:szCs w:val="18"/>
          <w:b w:val="1"/>
          <w:bCs w:val="1"/>
          <w:color w:val="auto"/>
        </w:rPr>
      </w:pPr>
    </w:p>
    <w:p>
      <w:pPr>
        <w:ind w:left="980" w:hanging="324"/>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Pro Forma Financial Information.</w:t>
      </w:r>
    </w:p>
    <w:p>
      <w:pPr>
        <w:spacing w:after="0" w:line="229"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Pro forma financial information relative to the acquired business is not included in this Form 8-K report. Such pro forma financial information will be filed within 71 calendar days after the date of filing of this Form 8-K report.</w:t>
      </w:r>
    </w:p>
    <w:p>
      <w:pPr>
        <w:spacing w:after="0" w:line="166" w:lineRule="exact"/>
        <w:rPr>
          <w:sz w:val="20"/>
          <w:szCs w:val="20"/>
          <w:color w:val="auto"/>
        </w:rPr>
      </w:pPr>
    </w:p>
    <w:p>
      <w:pPr>
        <w:jc w:val="center"/>
        <w:ind w:right="8980"/>
        <w:spacing w:after="0"/>
        <w:rPr>
          <w:sz w:val="20"/>
          <w:szCs w:val="20"/>
          <w:color w:val="auto"/>
        </w:rPr>
      </w:pPr>
      <w:r>
        <w:rPr>
          <w:rFonts w:ascii="Arial" w:cs="Arial" w:eastAsia="Arial" w:hAnsi="Arial"/>
          <w:sz w:val="18"/>
          <w:szCs w:val="18"/>
          <w:b w:val="1"/>
          <w:bCs w:val="1"/>
          <w:color w:val="auto"/>
        </w:rPr>
        <w:t>(d) Exhibits</w:t>
      </w:r>
    </w:p>
    <w:p>
      <w:pPr>
        <w:spacing w:after="0" w:line="239" w:lineRule="exact"/>
        <w:rPr>
          <w:sz w:val="20"/>
          <w:szCs w:val="20"/>
          <w:color w:val="auto"/>
        </w:rPr>
      </w:pPr>
    </w:p>
    <w:p>
      <w:pPr>
        <w:ind w:left="120"/>
        <w:spacing w:after="0"/>
        <w:tabs>
          <w:tab w:leader="none" w:pos="122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1398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113982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Number</w:t>
      </w:r>
    </w:p>
    <w:p>
      <w:pPr>
        <w:spacing w:after="0" w:line="9" w:lineRule="exact"/>
        <w:rPr>
          <w:sz w:val="20"/>
          <w:szCs w:val="20"/>
          <w:color w:val="auto"/>
        </w:rPr>
      </w:pPr>
    </w:p>
    <w:p>
      <w:pPr>
        <w:ind w:left="1240" w:right="100" w:hanging="721"/>
        <w:spacing w:after="0" w:line="254" w:lineRule="auto"/>
        <w:tabs>
          <w:tab w:leader="none" w:pos="1220" w:val="left"/>
        </w:tabs>
        <w:rPr>
          <w:rFonts w:ascii="Arial" w:cs="Arial" w:eastAsia="Arial" w:hAnsi="Arial"/>
          <w:sz w:val="18"/>
          <w:szCs w:val="18"/>
          <w:u w:val="single" w:color="auto"/>
          <w:color w:val="0000EE"/>
        </w:rPr>
      </w:pPr>
      <w:hyperlink r:id="rId13">
        <w:r>
          <w:rPr>
            <w:rFonts w:ascii="Arial" w:cs="Arial" w:eastAsia="Arial" w:hAnsi="Arial"/>
            <w:sz w:val="18"/>
            <w:szCs w:val="18"/>
            <w:u w:val="single" w:color="auto"/>
            <w:color w:val="0000EE"/>
          </w:rPr>
          <w:t>2.1</w:t>
        </w:r>
      </w:hyperlink>
      <w:r>
        <w:rPr>
          <w:rFonts w:ascii="Arial" w:cs="Arial" w:eastAsia="Arial" w:hAnsi="Arial"/>
          <w:sz w:val="18"/>
          <w:szCs w:val="18"/>
          <w:u w:val="single" w:color="auto"/>
          <w:color w:val="0000EE"/>
        </w:rPr>
        <w:tab/>
      </w:r>
      <w:hyperlink r:id="rId13">
        <w:r>
          <w:rPr>
            <w:rFonts w:ascii="Arial" w:cs="Arial" w:eastAsia="Arial" w:hAnsi="Arial"/>
            <w:sz w:val="18"/>
            <w:szCs w:val="18"/>
            <w:u w:val="single" w:color="auto"/>
            <w:color w:val="0000EE"/>
          </w:rPr>
          <w:t>Agreement and Plan of Merger dated as of July 12, 2021 by and among Plains Pipeline, L.P., Plains Marketing, L.P., Oryx Midstream</w:t>
        </w:r>
      </w:hyperlink>
      <w:r>
        <w:rPr>
          <w:rFonts w:ascii="Arial" w:cs="Arial" w:eastAsia="Arial" w:hAnsi="Arial"/>
          <w:sz w:val="18"/>
          <w:szCs w:val="18"/>
          <w:u w:val="single" w:color="auto"/>
          <w:color w:val="0000EE"/>
        </w:rPr>
        <w:t xml:space="preserve"> </w:t>
      </w:r>
      <w:hyperlink r:id="rId13">
        <w:r>
          <w:rPr>
            <w:rFonts w:ascii="Arial" w:cs="Arial" w:eastAsia="Arial" w:hAnsi="Arial"/>
            <w:sz w:val="18"/>
            <w:szCs w:val="18"/>
            <w:u w:val="single" w:color="auto"/>
            <w:color w:val="0000EE"/>
          </w:rPr>
          <w:t>Holdings LLC, Middle Cadence Holdings LLC, POP HoldCo LLC, Oryx Wink Oil Marketing LLC, Oryx Permian Oil Marketing LLC,</w:t>
        </w:r>
      </w:hyperlink>
      <w:r>
        <w:rPr>
          <w:rFonts w:ascii="Arial" w:cs="Arial" w:eastAsia="Arial" w:hAnsi="Arial"/>
          <w:sz w:val="18"/>
          <w:szCs w:val="18"/>
          <w:u w:val="single" w:color="auto"/>
          <w:color w:val="0000EE"/>
        </w:rPr>
        <w:t xml:space="preserve"> </w:t>
      </w:r>
      <w:hyperlink r:id="rId13">
        <w:r>
          <w:rPr>
            <w:rFonts w:ascii="Arial" w:cs="Arial" w:eastAsia="Arial" w:hAnsi="Arial"/>
            <w:sz w:val="18"/>
            <w:szCs w:val="18"/>
            <w:u w:val="single" w:color="auto"/>
            <w:color w:val="0000EE"/>
          </w:rPr>
          <w:t>Plains Oryx Permian Basin LLC, Plains Oryx Permian Basin Marketing LLC and Plains Oryx Permian Basin Pipeline LLC (incorporated</w:t>
        </w:r>
      </w:hyperlink>
      <w:r>
        <w:rPr>
          <w:rFonts w:ascii="Arial" w:cs="Arial" w:eastAsia="Arial" w:hAnsi="Arial"/>
          <w:sz w:val="18"/>
          <w:szCs w:val="18"/>
          <w:u w:val="single" w:color="auto"/>
          <w:color w:val="0000EE"/>
        </w:rPr>
        <w:t xml:space="preserve"> </w:t>
      </w:r>
      <w:hyperlink r:id="rId13">
        <w:r>
          <w:rPr>
            <w:rFonts w:ascii="Arial" w:cs="Arial" w:eastAsia="Arial" w:hAnsi="Arial"/>
            <w:sz w:val="18"/>
            <w:szCs w:val="18"/>
            <w:u w:val="single" w:color="auto"/>
            <w:color w:val="0000EE"/>
          </w:rPr>
          <w:t>by reference to Exhibit 2.1 to PAGP’s Current Report on Form 8-K filed on July 13, 2021).</w:t>
        </w:r>
      </w:hyperlink>
    </w:p>
    <w:p>
      <w:pPr>
        <w:spacing w:after="0" w:line="1" w:lineRule="exact"/>
        <w:rPr>
          <w:rFonts w:ascii="Arial" w:cs="Arial" w:eastAsia="Arial" w:hAnsi="Arial"/>
          <w:sz w:val="18"/>
          <w:szCs w:val="18"/>
          <w:u w:val="single" w:color="auto"/>
          <w:color w:val="0000EE"/>
        </w:rPr>
      </w:pPr>
    </w:p>
    <w:p>
      <w:pPr>
        <w:ind w:left="480"/>
        <w:spacing w:after="0"/>
        <w:tabs>
          <w:tab w:leader="none" w:pos="1220" w:val="left"/>
        </w:tabs>
        <w:rPr>
          <w:rFonts w:ascii="Arial" w:cs="Arial" w:eastAsia="Arial" w:hAnsi="Arial"/>
          <w:sz w:val="15"/>
          <w:szCs w:val="15"/>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5"/>
            <w:szCs w:val="15"/>
            <w:u w:val="single" w:color="auto"/>
            <w:color w:val="0000EE"/>
          </w:rPr>
          <w:t>Press Release Dated October 5, 2021.</w:t>
        </w:r>
      </w:hyperlink>
    </w:p>
    <w:p>
      <w:pPr>
        <w:spacing w:after="0" w:line="23" w:lineRule="exact"/>
        <w:rPr>
          <w:sz w:val="20"/>
          <w:szCs w:val="20"/>
          <w:color w:val="auto"/>
        </w:rPr>
      </w:pPr>
    </w:p>
    <w:p>
      <w:pPr>
        <w:ind w:left="500"/>
        <w:spacing w:after="0"/>
        <w:tabs>
          <w:tab w:leader="none" w:pos="12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7600" w:type="dxa"/>
            <w:vAlign w:val="bottom"/>
            <w:gridSpan w:val="3"/>
          </w:tcPr>
          <w:p>
            <w:pPr>
              <w:ind w:left="2000"/>
              <w:spacing w:after="0"/>
              <w:rPr>
                <w:sz w:val="20"/>
                <w:szCs w:val="20"/>
                <w:color w:val="auto"/>
              </w:rPr>
            </w:pPr>
            <w:r>
              <w:rPr>
                <w:rFonts w:ascii="Arial" w:cs="Arial" w:eastAsia="Arial" w:hAnsi="Arial"/>
                <w:sz w:val="18"/>
                <w:szCs w:val="18"/>
                <w:color w:val="auto"/>
              </w:rPr>
              <w:t>PLAINS GP HOLDINGS, L.P.</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October 5, 2021</w:t>
            </w:r>
          </w:p>
        </w:tc>
        <w:tc>
          <w:tcPr>
            <w:tcW w:w="7600" w:type="dxa"/>
            <w:vAlign w:val="bottom"/>
            <w:gridSpan w:val="3"/>
          </w:tcPr>
          <w:p>
            <w:pPr>
              <w:ind w:left="2000"/>
              <w:spacing w:after="0"/>
              <w:rPr>
                <w:sz w:val="20"/>
                <w:szCs w:val="20"/>
                <w:color w:val="auto"/>
              </w:rPr>
            </w:pPr>
            <w:r>
              <w:rPr>
                <w:rFonts w:ascii="Arial" w:cs="Arial" w:eastAsia="Arial" w:hAnsi="Arial"/>
                <w:sz w:val="18"/>
                <w:szCs w:val="18"/>
                <w:color w:val="auto"/>
              </w:rPr>
              <w:t>By: PAA GP Holdings LLC, its general partner</w:t>
            </w:r>
          </w:p>
        </w:tc>
      </w:tr>
      <w:tr>
        <w:trPr>
          <w:trHeight w:val="648"/>
        </w:trPr>
        <w:tc>
          <w:tcPr>
            <w:tcW w:w="3640" w:type="dxa"/>
            <w:vAlign w:val="bottom"/>
          </w:tcPr>
          <w:p>
            <w:pPr>
              <w:spacing w:after="0"/>
              <w:rPr>
                <w:sz w:val="24"/>
                <w:szCs w:val="24"/>
                <w:color w:val="auto"/>
              </w:rPr>
            </w:pPr>
          </w:p>
        </w:tc>
        <w:tc>
          <w:tcPr>
            <w:tcW w:w="7600" w:type="dxa"/>
            <w:vAlign w:val="bottom"/>
            <w:gridSpan w:val="3"/>
          </w:tcPr>
          <w:p>
            <w:pPr>
              <w:ind w:left="2000"/>
              <w:spacing w:after="0"/>
              <w:rPr>
                <w:sz w:val="20"/>
                <w:szCs w:val="20"/>
                <w:color w:val="auto"/>
              </w:rPr>
            </w:pPr>
            <w:r>
              <w:rPr>
                <w:rFonts w:ascii="Arial" w:cs="Arial" w:eastAsia="Arial" w:hAnsi="Arial"/>
                <w:sz w:val="18"/>
                <w:szCs w:val="18"/>
                <w:color w:val="auto"/>
              </w:rPr>
              <w:t>By:  /s/ Richard McGee</w:t>
            </w:r>
          </w:p>
        </w:tc>
      </w:tr>
      <w:tr>
        <w:trPr>
          <w:trHeight w:val="195"/>
        </w:trPr>
        <w:tc>
          <w:tcPr>
            <w:tcW w:w="36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36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ind w:left="100"/>
              <w:spacing w:after="0"/>
              <w:rPr>
                <w:sz w:val="20"/>
                <w:szCs w:val="20"/>
                <w:color w:val="auto"/>
              </w:rPr>
            </w:pPr>
            <w:r>
              <w:rPr>
                <w:rFonts w:ascii="Arial" w:cs="Arial" w:eastAsia="Arial" w:hAnsi="Arial"/>
                <w:sz w:val="18"/>
                <w:szCs w:val="18"/>
                <w:color w:val="auto"/>
              </w:rPr>
              <w:t>Executive Vice President</w:t>
            </w:r>
          </w:p>
        </w:tc>
      </w:tr>
      <w:tr>
        <w:trPr>
          <w:trHeight w:val="675"/>
        </w:trPr>
        <w:tc>
          <w:tcPr>
            <w:tcW w:w="36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165100</wp:posOffset>
            </wp:positionV>
            <wp:extent cx="3703320" cy="8743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70332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and Oryx Midstream Complete Formation of Permian Basin Joint Venture</w:t>
      </w:r>
    </w:p>
    <w:p>
      <w:pPr>
        <w:spacing w:after="0" w:line="225"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b w:val="1"/>
          <w:bCs w:val="1"/>
          <w:color w:val="auto"/>
        </w:rPr>
        <w:t xml:space="preserve">HOUSTON &amp; MIDLAND, TX </w:t>
      </w:r>
      <w:r>
        <w:rPr>
          <w:rFonts w:ascii="Arial" w:cs="Arial" w:eastAsia="Arial" w:hAnsi="Arial"/>
          <w:sz w:val="17"/>
          <w:szCs w:val="17"/>
          <w:color w:val="auto"/>
        </w:rPr>
        <w:t>– October 5, 2021 – Plains All American (Nasdaq:</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PAA</w:t>
      </w:r>
      <w:r>
        <w:rPr>
          <w:rFonts w:ascii="Arial" w:cs="Arial" w:eastAsia="Arial" w:hAnsi="Arial"/>
          <w:sz w:val="17"/>
          <w:szCs w:val="17"/>
          <w:b w:val="1"/>
          <w:bCs w:val="1"/>
          <w:color w:val="auto"/>
        </w:rPr>
        <w:t xml:space="preserve"> </w:t>
      </w:r>
      <w:r>
        <w:rPr>
          <w:rFonts w:ascii="Arial" w:cs="Arial" w:eastAsia="Arial" w:hAnsi="Arial"/>
          <w:sz w:val="17"/>
          <w:szCs w:val="17"/>
          <w:color w:val="auto"/>
        </w:rPr>
        <w:t>&amp;</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PAGP</w:t>
      </w:r>
      <w:r>
        <w:rPr>
          <w:rFonts w:ascii="Arial" w:cs="Arial" w:eastAsia="Arial" w:hAnsi="Arial"/>
          <w:sz w:val="17"/>
          <w:szCs w:val="17"/>
          <w:color w:val="auto"/>
        </w:rPr>
        <w:t>) (“Plains”) and Oryx Midstream Holdings LLC</w:t>
      </w:r>
      <w:r>
        <w:rPr>
          <w:rFonts w:ascii="Arial" w:cs="Arial" w:eastAsia="Arial" w:hAnsi="Arial"/>
          <w:sz w:val="17"/>
          <w:szCs w:val="17"/>
          <w:b w:val="1"/>
          <w:bCs w:val="1"/>
          <w:color w:val="auto"/>
        </w:rPr>
        <w:t xml:space="preserve"> </w:t>
      </w:r>
      <w:r>
        <w:rPr>
          <w:rFonts w:ascii="Arial" w:cs="Arial" w:eastAsia="Arial" w:hAnsi="Arial"/>
          <w:sz w:val="17"/>
          <w:szCs w:val="17"/>
          <w:color w:val="auto"/>
        </w:rPr>
        <w:t>(“Oryx”), a portfolio company of Stonepeak Infrastructure Partners, today announced that they have successfully completed the formation of their Permian Basin strategic joint venture. Plains Oryx Permian Basin LLC (the “JV”) includes all of Oryx’s Permian assets and, with the exception of Plains’ long-haul pipeline systems and certain of its intra-basin terminal assets, the vast majority of Plains’ assets located within the Permian Basin.</w:t>
      </w:r>
    </w:p>
    <w:p>
      <w:pPr>
        <w:spacing w:after="0" w:line="169"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“This is a significant milestone that positions Plains, Oryx and the JV to create significant value for our customers, partners, and investors,” said Willie Chiang, Chairman and CEO of Plains All American. “The Plains and Oryx teams have developed a robust integration strategy that prioritizes a seamless transition for customers and positions the JV to capture opportunities as the Permian continues to grow.”</w:t>
      </w:r>
    </w:p>
    <w:p>
      <w:pPr>
        <w:spacing w:after="0" w:line="16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“Today marks an important step for the Plains Oryx Permian Basin joint venture and we are excited to continue our close partnership with the Plains team as we collectively move ahead with integration planning and execution,” said Brett Wiggs, Chief Executive Officer of Oryx. “We are confident that this joint venture will provide significant and mutual benefits to all involved by increasing connectivity, enhancing reliability, and strengthening efficiencies across the Permian Basin. We look forward to continuing to work with the Plains team to grow and strengthen the joint venture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Plains Oryx Permian JV Overview: Strategic Alignment, Multiple Benefits</w:t>
      </w:r>
    </w:p>
    <w:p>
      <w:pPr>
        <w:spacing w:after="0" w:line="22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Natural combination of two leading Permian franchises, provides JV customers enhanced flexibility, optionality and connectivity</w:t>
      </w:r>
    </w:p>
    <w:p>
      <w:pPr>
        <w:spacing w:after="0" w:line="252" w:lineRule="exact"/>
        <w:rPr>
          <w:rFonts w:ascii="Arial" w:cs="Arial" w:eastAsia="Arial" w:hAnsi="Arial"/>
          <w:sz w:val="18"/>
          <w:szCs w:val="18"/>
          <w:color w:val="auto"/>
        </w:rPr>
      </w:pPr>
    </w:p>
    <w:p>
      <w:pPr>
        <w:ind w:left="340" w:right="82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Highly complementary assets, capabilities, and long-term business models, with direct downstream connections to all major intra-basin and downstream markets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Enhances shipper diversification, economies of scale and long-term Free Cash Flow</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&gt;4 million dedicated system acres, high-return multi-decade drilling inventory, ~7-year average remaining contract tenor</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Cashless transaction, debt-free entity, durable JV structure that is owned 65% PAA / 35% Oryx (governance consistent with ownership interests)</w:t>
      </w:r>
    </w:p>
    <w:p>
      <w:pPr>
        <w:spacing w:after="0" w:line="263" w:lineRule="exact"/>
        <w:rPr>
          <w:rFonts w:ascii="Arial" w:cs="Arial" w:eastAsia="Arial" w:hAnsi="Arial"/>
          <w:sz w:val="17"/>
          <w:szCs w:val="17"/>
          <w:color w:val="auto"/>
        </w:rPr>
      </w:pPr>
    </w:p>
    <w:p>
      <w:pPr>
        <w:ind w:left="340" w:right="24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Near-term Free Cash Flow accretive to Plains and Oryx, expecting +/- $50MM of run-rate near-term synergies to be captured within 12 months and $100MM+ long-term, plus upside potential available related to expected Permian production growth and integration opportunities</w:t>
      </w:r>
    </w:p>
    <w:p>
      <w:pPr>
        <w:spacing w:after="0" w:line="173" w:lineRule="exact"/>
        <w:rPr>
          <w:rFonts w:ascii="Arial" w:cs="Arial" w:eastAsia="Arial" w:hAnsi="Arial"/>
          <w:sz w:val="17"/>
          <w:szCs w:val="17"/>
          <w:color w:val="auto"/>
        </w:rPr>
      </w:pPr>
    </w:p>
    <w:p>
      <w:pPr>
        <w:ind w:left="340" w:hanging="332"/>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Plains serves as operator of the JV, and going forward, the JV’s results will be consolidated into Plains’ reported results and financial statements</w:t>
      </w:r>
    </w:p>
    <w:p>
      <w:pPr>
        <w:spacing w:after="0" w:line="263" w:lineRule="exact"/>
        <w:rPr>
          <w:rFonts w:ascii="Arial" w:cs="Arial" w:eastAsia="Arial" w:hAnsi="Arial"/>
          <w:sz w:val="17"/>
          <w:szCs w:val="17"/>
          <w:color w:val="auto"/>
        </w:rPr>
      </w:pPr>
    </w:p>
    <w:p>
      <w:pPr>
        <w:ind w:left="340" w:right="38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Joint Operating Committee that includes representatives from Plains and Oryx will provide oversight on material JV operating and commercial decisions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Multiple opportunities to drive operating efficiencies; supports reducing environmental footprint, GHG emissions and overall costs of operations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Plains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for primarily for crude oil and natural gas liquids ("NGL"). PAA owns an extensive network of pipeline transportation, terminalling, storage, and gathering assets in key crude oil and NGL producing basins and transportation corridors and at major market hubs in the United States and Canada. On average, PAA handles more than 5 million barrels per day of crude oil and NGL in its Transportation segment.</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 xml:space="preserve">PAA and PAGP are headquartered in Houston, Texas. For more information, please visit </w:t>
      </w:r>
      <w:r>
        <w:rPr>
          <w:rFonts w:ascii="Arial" w:cs="Arial" w:eastAsia="Arial" w:hAnsi="Arial"/>
          <w:sz w:val="18"/>
          <w:szCs w:val="18"/>
          <w:u w:val="single" w:color="auto"/>
          <w:color w:val="auto"/>
        </w:rPr>
        <w:t>www.plainsallamerican.com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Oryx</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Midland-based Oryx is a leading private midstream company. In October 2021, Oryx merged its assets, operations, and commercial activities in the Permian Basin into a newly formed joint venture with Plains All American, Plains Oryx Permian Basin. Through its role on the partnership’s joint operating committee and board, Oryx provides critical oversight on material joint venture operating and commercial decisions. Through its interest in Plains Oryx Permian Basin, Oryx remains dedicated to providing producers with solutions and flexibility through a full suite of midstream services. For more information, please visit </w:t>
      </w:r>
      <w:r>
        <w:rPr>
          <w:rFonts w:ascii="Arial" w:cs="Arial" w:eastAsia="Arial" w:hAnsi="Arial"/>
          <w:sz w:val="18"/>
          <w:szCs w:val="18"/>
          <w:u w:val="single" w:color="auto"/>
          <w:color w:val="auto"/>
        </w:rPr>
        <w:t>www.oryxmidstream.com.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market constraints, third-party constraints, legal constraints (including governmental orders or guidance), or other factors; increased costs; industry, market and economic conditions; adverse operational developments; and other factors and uncertainties as discussed in PAA's and PAGP's filings with the Securities and Exchange Commission.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Brett Magill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 809-1291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 Leone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 809-1290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Oryx Midstream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Meredith Howard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Redbird Communications</w:t>
      </w:r>
    </w:p>
    <w:p>
      <w:pPr>
        <w:spacing w:after="0" w:line="9" w:lineRule="exact"/>
        <w:rPr>
          <w:sz w:val="20"/>
          <w:szCs w:val="20"/>
          <w:color w:val="auto"/>
        </w:rPr>
      </w:pPr>
    </w:p>
    <w:p>
      <w:pPr>
        <w:ind w:right="9300" w:firstLine="8"/>
        <w:spacing w:after="0" w:line="323" w:lineRule="auto"/>
        <w:tabs>
          <w:tab w:leader="none" w:pos="435" w:val="left"/>
        </w:tabs>
        <w:numPr>
          <w:ilvl w:val="0"/>
          <w:numId w:val="7"/>
        </w:numPr>
        <w:rPr>
          <w:rFonts w:ascii="Arial" w:cs="Arial" w:eastAsia="Arial" w:hAnsi="Arial"/>
          <w:sz w:val="16"/>
          <w:szCs w:val="16"/>
          <w:color w:val="auto"/>
        </w:rPr>
      </w:pPr>
      <w:r>
        <w:rPr>
          <w:rFonts w:ascii="Arial" w:cs="Arial" w:eastAsia="Arial" w:hAnsi="Arial"/>
          <w:sz w:val="16"/>
          <w:szCs w:val="16"/>
          <w:color w:val="auto"/>
        </w:rPr>
        <w:t>737-4478 meredith@redbirdpr.com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20"/>
      </w:cols>
      <w:pgMar w:left="320" w:top="90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o"/>
      <w:numFmt w:val="bullet"/>
      <w:start w:val="1"/>
    </w:lvl>
  </w:abstractNum>
  <w:abstractNum w:abstractNumId="3">
    <w:nsid w:val="3D1B58BA"/>
    <w:multiLevelType w:val="hybridMultilevel"/>
    <w:lvl w:ilvl="0">
      <w:lvlJc w:val="left"/>
      <w:lvlText w:val="1"/>
      <w:numFmt w:val="bullet"/>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2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jpe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13" Type="http://schemas.openxmlformats.org/officeDocument/2006/relationships/hyperlink" Target="http://www.sec.gov/Archives/edgar/data/1581990/000110465921091445/tm2121936d1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2021-10-05T16:03:25Z</dcterms:created>
  <dcterms:modified xsi:type="dcterms:W3CDTF">2021-10-05T16:03:25Z</dcterms:modified>
</cp:coreProperties>
</file>