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7,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57"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57" w:orient="portrait"/>
          <w:cols w:equalWidth="0" w:num="3">
            <w:col w:w="4180" w:space="720"/>
            <w:col w:w="2740" w:space="720"/>
            <w:col w:w="3060"/>
          </w:cols>
          <w:pgMar w:left="240" w:top="544"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57"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280" w:firstLine="648"/>
        <w:spacing w:after="0" w:line="257" w:lineRule="auto"/>
        <w:rPr>
          <w:sz w:val="20"/>
          <w:szCs w:val="20"/>
          <w:color w:val="auto"/>
        </w:rPr>
      </w:pPr>
      <w:r>
        <w:rPr>
          <w:rFonts w:ascii="Arial" w:cs="Arial" w:eastAsia="Arial" w:hAnsi="Arial"/>
          <w:sz w:val="18"/>
          <w:szCs w:val="18"/>
          <w:color w:val="auto"/>
        </w:rPr>
        <w:t>On February 7, 2017, the Registrant issued a press release reporting its fourth quarter and full year 2016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Exhibit 99.1 —  Press Release dated February 7,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PLAINS GP HOLDINGS, L.P.</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February 7, 2017</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720" w:type="dxa"/>
            <w:vAlign w:val="bottom"/>
          </w:tcPr>
          <w:p>
            <w:pPr>
              <w:spacing w:after="0"/>
              <w:rPr>
                <w:sz w:val="24"/>
                <w:szCs w:val="24"/>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bl>
    <w:p>
      <w:pPr>
        <w:sectPr>
          <w:pgSz w:w="11900" w:h="16857" w:orient="portrait"/>
          <w:cols w:equalWidth="0" w:num="1">
            <w:col w:w="11420"/>
          </w:cols>
          <w:pgMar w:left="240" w:top="544" w:right="239" w:bottom="0" w:gutter="0" w:footer="0" w:header="0"/>
          <w:type w:val="continuous"/>
        </w:sectPr>
      </w:pPr>
    </w:p>
    <w:bookmarkStart w:id="1" w:name="page2"/>
    <w:bookmarkEnd w:id="1"/>
    <w:p>
      <w:pPr>
        <w:ind w:left="5100"/>
        <w:spacing w:after="0"/>
        <w:tabs>
          <w:tab w:leader="none" w:pos="5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 Swanson</w:t>
      </w:r>
    </w:p>
    <w:p>
      <w:pPr>
        <w:spacing w:after="0" w:line="23" w:lineRule="exact"/>
        <w:rPr>
          <w:sz w:val="20"/>
          <w:szCs w:val="20"/>
          <w:color w:val="auto"/>
        </w:rPr>
      </w:pPr>
    </w:p>
    <w:p>
      <w:pPr>
        <w:ind w:left="5100"/>
        <w:spacing w:after="0"/>
        <w:tabs>
          <w:tab w:leader="none" w:pos="5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00"/>
          </w:cols>
          <w:pgMar w:left="1440" w:top="125" w:right="85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2016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PAA Also Furnishes 2017 Full-Year Guidance</w:t>
      </w:r>
    </w:p>
    <w:p>
      <w:pPr>
        <w:spacing w:after="0" w:line="225" w:lineRule="exact"/>
        <w:rPr>
          <w:sz w:val="20"/>
          <w:szCs w:val="20"/>
          <w:color w:val="auto"/>
        </w:rPr>
      </w:pPr>
    </w:p>
    <w:p>
      <w:pPr>
        <w:ind w:right="320" w:firstLine="689"/>
        <w:spacing w:after="0" w:line="277" w:lineRule="auto"/>
        <w:rPr>
          <w:sz w:val="20"/>
          <w:szCs w:val="20"/>
          <w:color w:val="auto"/>
        </w:rPr>
      </w:pPr>
      <w:r>
        <w:rPr>
          <w:rFonts w:ascii="Arial" w:cs="Arial" w:eastAsia="Arial" w:hAnsi="Arial"/>
          <w:sz w:val="18"/>
          <w:szCs w:val="18"/>
          <w:color w:val="auto"/>
        </w:rPr>
        <w:t>(Houston — February 7, 2017) Plains All American Pipeline, L.P. (NYSE: PAA) and Plains GP Holdings (NYSE: PAGP) today reported fourth-quarter and full-year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Twelve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2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(49)%</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380" w:type="dxa"/>
            <w:vAlign w:val="bottom"/>
            <w:tcBorders>
              <w:right w:val="single" w:sz="8" w:color="auto"/>
            </w:tcBorders>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0.77</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66%</w:t>
            </w: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(21.4)%</w:t>
            </w: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Twelve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2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380" w:type="dxa"/>
            <w:vAlign w:val="bottom"/>
            <w:tcBorders>
              <w:right w:val="single" w:sz="8" w:color="auto"/>
            </w:tcBorders>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(2)</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8"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ind w:left="340" w:right="360" w:hanging="332"/>
        <w:spacing w:after="0" w:line="219"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2016, we modified our definition of adjusted EBITDA to exclude depreciation and amortization expense associated with equity method investments. Prior period amounts have been recast to reflect this change.</w:t>
      </w:r>
    </w:p>
    <w:p>
      <w:pPr>
        <w:spacing w:after="0" w:line="20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“PAA reported fourth-quarter 2016 adjusted EBITDA of $600 million which was essentially in line with the fourth-quarter guidance furnished last November and full-year 2016 adjusted EBITDA of $2.169 billion,” said Greg Armstrong, Chairman and CEO of Plains All American.</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“Looking forward, we are encouraged by the significant increase in drilling and completion activities in the Permian Basin observed over the latter half of 2016 and continuing into 2017. These activity levels have increased our conviction in significant Permian Basin production growth in 2017 and beyond as we discussed on our acquisition related conference call on January 25th.”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2016 is presented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160" w:type="dxa"/>
            <w:vAlign w:val="bottom"/>
          </w:tcPr>
          <w:p>
            <w:pPr>
              <w:spacing w:after="0"/>
              <w:rPr>
                <w:sz w:val="10"/>
                <w:szCs w:val="10"/>
                <w:color w:val="auto"/>
              </w:rPr>
            </w:pPr>
          </w:p>
        </w:tc>
        <w:tc>
          <w:tcPr>
            <w:tcW w:w="100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w w:val="99"/>
              </w:rPr>
              <w:t>Supply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EBITDA versus 2015</w:t>
            </w:r>
          </w:p>
        </w:tc>
        <w:tc>
          <w:tcPr>
            <w:tcW w:w="12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i w:val="1"/>
                <w:iCs w:val="1"/>
                <w:color w:val="auto"/>
              </w:rPr>
              <w:t>14%</w:t>
            </w:r>
          </w:p>
        </w:tc>
        <w:tc>
          <w:tcPr>
            <w:tcW w:w="160" w:type="dxa"/>
            <w:vAlign w:val="bottom"/>
          </w:tcPr>
          <w:p>
            <w:pPr>
              <w:spacing w:after="0"/>
              <w:rPr>
                <w:sz w:val="18"/>
                <w:szCs w:val="18"/>
                <w:color w:val="auto"/>
              </w:rPr>
            </w:pPr>
          </w:p>
        </w:tc>
        <w:tc>
          <w:tcPr>
            <w:tcW w:w="13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8"/>
                <w:szCs w:val="18"/>
                <w:b w:val="1"/>
                <w:bCs w:val="1"/>
                <w:i w:val="1"/>
                <w:iCs w:val="1"/>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period</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Twelve Months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160" w:type="dxa"/>
            <w:vAlign w:val="bottom"/>
          </w:tcPr>
          <w:p>
            <w:pPr>
              <w:spacing w:after="0"/>
              <w:rPr>
                <w:sz w:val="10"/>
                <w:szCs w:val="10"/>
                <w:color w:val="auto"/>
              </w:rPr>
            </w:pPr>
          </w:p>
        </w:tc>
        <w:tc>
          <w:tcPr>
            <w:tcW w:w="100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w w:val="99"/>
              </w:rPr>
              <w:t>Supply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172"/>
        </w:trPr>
        <w:tc>
          <w:tcPr>
            <w:tcW w:w="2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1,141</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EBITDA versus 2015</w:t>
            </w:r>
          </w:p>
        </w:tc>
        <w:tc>
          <w:tcPr>
            <w:tcW w:w="460" w:type="dxa"/>
            <w:vAlign w:val="bottom"/>
          </w:tcPr>
          <w:p>
            <w:pPr>
              <w:spacing w:after="0"/>
              <w:rPr>
                <w:sz w:val="18"/>
                <w:szCs w:val="18"/>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13%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8"/>
                <w:szCs w:val="18"/>
                <w:b w:val="1"/>
                <w:bCs w:val="1"/>
                <w:i w:val="1"/>
                <w:iCs w:val="1"/>
                <w:color w:val="auto"/>
              </w:rPr>
              <w:t>(37)%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period</w:t>
            </w:r>
          </w:p>
        </w:tc>
        <w:tc>
          <w:tcPr>
            <w:tcW w:w="4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Borders>
              <w:righ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hanging="332"/>
        <w:spacing w:after="0" w:line="227"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Prior period segment amounts have been recast to reflect this change. See additional discussion below.</w:t>
      </w:r>
    </w:p>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Fourth-quarter 2016 Transportation segment adjusted EBITDA increased by 4% versus comparable 2015 results. This increase was primarily driven by increased volumes and margins on certain of our Permian Basin pipelines, earnings from our 40% interest in the Saddlehorn pipeline which was placed in service in the third quarter of 2016 and lower operating expenses, partially offset by the sale of certain of our Gulf Coast pipelines in early 2016.</w:t>
      </w:r>
    </w:p>
    <w:p>
      <w:pPr>
        <w:spacing w:after="0" w:line="14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Fourth-quarter 2016 Facilities segment adjusted EBITDA increased by 14% versus comparable 2015 results. This increase was primarily due to contributions from the Western Canada NGL assets acquired in August 2016 and contributions from ongoing projects at our Fort Saskatchewan facility as well as lower operating expenses.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Fourth-quarter 2016 Supply and Logistics segment adjusted EBITDA decreased by 4% relative to comparable 2015 results. This decrease was primarily driven by lower volumes and margins associated with our U.S. crude oil lease gathering activities due to less favorable market conditions as a result of increased competition and lower crude oil production in certain regions.</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In conjunction with this change, we modified our adjusted EBITDA metric to exclude depreciation and amortization expense associated with equity method investments. Prior period amounts have been recast to reflect this change. The 2016 fourth quarter and full year impact of this modification increased adjusted EBITDA by $13 million and $50 million, respectively, and the 2015 fourth quarter and full year impact of this modification increased adjusted EBITDA by $12 million and $45 million, respectively, within the Transportation segment.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Full-year 2017 financial and operating guidance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2017 (G)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 / -</w:t>
            </w: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1,056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1,141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Supply and Logistics</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568</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spacing w:after="0" w:line="23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2,213</w:t>
            </w:r>
          </w:p>
        </w:tc>
        <w:tc>
          <w:tcPr>
            <w:tcW w:w="2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2,169</w:t>
            </w:r>
          </w:p>
        </w:tc>
        <w:tc>
          <w:tcPr>
            <w:tcW w:w="28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2,360</w:t>
            </w:r>
          </w:p>
        </w:tc>
        <w:tc>
          <w:tcPr>
            <w:tcW w:w="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vMerge w:val="restart"/>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(417)</w:t>
            </w:r>
          </w:p>
        </w:tc>
        <w:tc>
          <w:tcPr>
            <w:tcW w:w="2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2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2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1,474</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1,414</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4,453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0.85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0.80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880" w:type="dxa"/>
            <w:vAlign w:val="bottom"/>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2,170</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1,405</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800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60" w:type="dxa"/>
            <w:vAlign w:val="bottom"/>
          </w:tcPr>
          <w:p>
            <w:pPr>
              <w:spacing w:after="0" w:line="198" w:lineRule="exact"/>
              <w:rPr>
                <w:sz w:val="20"/>
                <w:szCs w:val="20"/>
                <w:color w:val="auto"/>
              </w:rPr>
            </w:pPr>
            <w:r>
              <w:rPr>
                <w:rFonts w:ascii="Arial" w:cs="Arial" w:eastAsia="Arial" w:hAnsi="Arial"/>
                <w:sz w:val="18"/>
                <w:szCs w:val="18"/>
                <w:b w:val="1"/>
                <w:bCs w:val="1"/>
                <w:color w:val="auto"/>
              </w:rPr>
              <w:t>First Quarter Adjusted EBITDA as Percentage of Full</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Year</w:t>
            </w:r>
          </w:p>
        </w:tc>
        <w:tc>
          <w:tcPr>
            <w:tcW w:w="8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40"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t>(G) 2017 Guidance forecasts are intended to be + / - amounts.</w:t>
      </w:r>
    </w:p>
    <w:p>
      <w:pPr>
        <w:spacing w:after="0" w:line="225" w:lineRule="exact"/>
        <w:rPr>
          <w:sz w:val="20"/>
          <w:szCs w:val="20"/>
          <w:color w:val="auto"/>
        </w:rPr>
      </w:pPr>
    </w:p>
    <w:p>
      <w:pPr>
        <w:ind w:left="340" w:right="40" w:hanging="332"/>
        <w:spacing w:after="0" w:line="257"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Financial Data Reconciliations table attached hereto for information regarding non-GAAP financial measures and, for the 2015 and 2016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ind w:left="320" w:hanging="312"/>
        <w:spacing w:after="0" w:line="205" w:lineRule="auto"/>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Q4 2016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Q3 2016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Q4 2015</w:t>
            </w:r>
          </w:p>
        </w:tc>
      </w:tr>
      <w:tr>
        <w:trPr>
          <w:trHeight w:val="210"/>
        </w:trPr>
        <w:tc>
          <w:tcPr>
            <w:tcW w:w="65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3"/>
                <w:szCs w:val="23"/>
                <w:b w:val="1"/>
                <w:bCs w:val="1"/>
                <w:color w:val="auto"/>
                <w:vertAlign w:val="superscript"/>
              </w:rPr>
              <w:t>(1)</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0.55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0.55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Q4 2016 distribution percentage change from prior periods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27"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11:00 a.m. ET on Wednesday, February 8, 2017 to discuss the following items:</w:t>
      </w:r>
    </w:p>
    <w:p>
      <w:pPr>
        <w:spacing w:after="0" w:line="22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PAA’s fourth-quarter and full-year 2016 performance;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and operating guidance for 2017;</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update on major capital expansion projects;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Prior to the conference call, PAA will furnish a current report on Form 8-K that will include material in this earnings release. A copy of the 8-K and a slide presentation for the conference call will be available at www.plainsallamerican.com, where PAA and PAGP routinely post important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and adjusted for certain selected items impacting comparability (“adjusted EBITDA”) and implied distributable cash flow (“DCF”).</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ectPr>
          <w:pgSz w:w="11900" w:h="16838" w:orient="portrait"/>
          <w:cols w:equalWidth="0" w:num="1">
            <w:col w:w="11420"/>
          </w:cols>
          <w:pgMar w:left="240" w:top="571" w:right="239" w:bottom="154" w:gutter="0" w:footer="0" w:header="0"/>
        </w:sectPr>
      </w:pPr>
    </w:p>
    <w:bookmarkStart w:id="5" w:name="page6"/>
    <w:bookmarkEnd w:id="5"/>
    <w:p>
      <w:pPr>
        <w:ind w:right="40"/>
        <w:spacing w:after="0" w:line="268" w:lineRule="auto"/>
        <w:rPr>
          <w:sz w:val="20"/>
          <w:szCs w:val="20"/>
          <w:color w:val="auto"/>
        </w:rPr>
      </w:pPr>
      <w:r>
        <w:rPr>
          <w:rFonts w:ascii="Arial" w:cs="Arial" w:eastAsia="Arial" w:hAnsi="Arial"/>
          <w:sz w:val="17"/>
          <w:szCs w:val="17"/>
          <w:color w:val="auto"/>
        </w:rPr>
        <w:t>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new or recently constructed infrastructure projects, which impacts volumes, margins, returns and overall earnings; unanticipated changes in crude oil market structure, grade differentials and volatility (or lack thereof); environmental liabilities or events that are not covered by an indemnity, insurance or existing reserves; maintenance of our credit rating and ability to receive open credit from our suppliers and trade counterparties;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4"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5,234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17,233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19,188</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12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Basic net income per common unit</w:t>
            </w:r>
          </w:p>
        </w:tc>
        <w:tc>
          <w:tcPr>
            <w:tcW w:w="12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12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common unit</w:t>
            </w:r>
          </w:p>
        </w:tc>
        <w:tc>
          <w:tcPr>
            <w:tcW w:w="12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2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2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4,272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896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8,759</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1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10,124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8,816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7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20,655</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80" w:hanging="512"/>
        <w:spacing w:after="0" w:line="234" w:lineRule="auto"/>
        <w:tabs>
          <w:tab w:leader="none" w:pos="502"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At December 31, 2016, short-term debt includes borrowings of approximately $1,303 million for short-term hedged inventory purchases and borrowings of approximately $410 million for cash margin deposits with our clearing brokers, which are associated with financial derivatives used for hedging purposes.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218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2180" w:type="dxa"/>
            <w:vAlign w:val="bottom"/>
            <w:tcBorders>
              <w:bottom w:val="single" w:sz="8" w:color="auto"/>
            </w:tcBorders>
            <w:gridSpan w:val="3"/>
          </w:tcPr>
          <w:p>
            <w:pPr>
              <w:jc w:val="center"/>
              <w:ind w:left="748"/>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908"/>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136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Transportation segment (average daily volumes in thousands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of barrels per day):</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Tariff activities volumes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1,963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2,146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Western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Gulf Coast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373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Canada</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374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NGL pipelines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Trucking</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w w:val="98"/>
              </w:rPr>
              <w:t>Crude oil, refined products and NGL terminalling and storage</w:t>
            </w: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110</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103</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107</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(average monthly capacity in millions of barrels)</w:t>
            </w: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Rail load / unload volumes (average volumes in thousands of</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billions of cubic feet)</w:t>
            </w:r>
          </w:p>
        </w:tc>
        <w:tc>
          <w:tcPr>
            <w:tcW w:w="13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volumes in thousands of barrels</w:t>
            </w:r>
          </w:p>
        </w:tc>
        <w:tc>
          <w:tcPr>
            <w:tcW w:w="16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 day)</w:t>
            </w:r>
          </w:p>
        </w:tc>
        <w:tc>
          <w:tcPr>
            <w:tcW w:w="166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7"/>
              </w:rPr>
              <w:t>Facilities segment total volumes (average monthly volumes in</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131</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128</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129</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(3)</w:t>
            </w: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rPr>
              <w:t>thousands of barrels per day):</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1"/>
          <w:szCs w:val="21"/>
          <w:color w:val="auto"/>
          <w:vertAlign w:val="superscript"/>
        </w:rPr>
      </w:pPr>
    </w:p>
    <w:p>
      <w:pPr>
        <w:ind w:left="460" w:hanging="452"/>
        <w:spacing w:after="0" w:line="194" w:lineRule="auto"/>
        <w:tabs>
          <w:tab w:leader="none" w:pos="46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460" w:right="200" w:hanging="452"/>
        <w:spacing w:after="0" w:line="267" w:lineRule="auto"/>
        <w:tabs>
          <w:tab w:leader="none" w:pos="45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Distributions to general partner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participating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Undistributed loss allocated to general partner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line="201" w:lineRule="exact"/>
              <w:rPr>
                <w:sz w:val="20"/>
                <w:szCs w:val="20"/>
                <w:color w:val="auto"/>
              </w:rPr>
            </w:pPr>
            <w:r>
              <w:rPr>
                <w:rFonts w:ascii="Arial" w:cs="Arial" w:eastAsia="Arial" w:hAnsi="Arial"/>
                <w:sz w:val="18"/>
                <w:szCs w:val="18"/>
                <w:color w:val="auto"/>
                <w:w w:val="93"/>
              </w:rPr>
              <w:t>Net income allocated to common unitholders in accordance with</w:t>
            </w: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vMerge w:val="continue"/>
          </w:tcPr>
          <w:p>
            <w:pPr>
              <w:spacing w:after="0"/>
              <w:rPr>
                <w:sz w:val="15"/>
                <w:szCs w:val="15"/>
                <w:color w:val="auto"/>
              </w:rPr>
            </w:pPr>
          </w:p>
        </w:tc>
        <w:tc>
          <w:tcPr>
            <w:tcW w:w="102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5"/>
                <w:szCs w:val="15"/>
                <w:color w:val="auto"/>
              </w:rPr>
            </w:pPr>
          </w:p>
        </w:tc>
        <w:tc>
          <w:tcPr>
            <w:tcW w:w="940" w:type="dxa"/>
            <w:vAlign w:val="bottom"/>
            <w:vMerge w:val="restart"/>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5"/>
                <w:szCs w:val="15"/>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200</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application of the two-class method</w:t>
            </w:r>
          </w:p>
        </w:tc>
        <w:tc>
          <w:tcPr>
            <w:tcW w:w="1020" w:type="dxa"/>
            <w:vAlign w:val="bottom"/>
            <w:gridSpan w:val="2"/>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line="216" w:lineRule="exact"/>
              <w:rPr>
                <w:sz w:val="20"/>
                <w:szCs w:val="20"/>
                <w:color w:val="auto"/>
              </w:rPr>
            </w:pPr>
            <w:r>
              <w:rPr>
                <w:rFonts w:ascii="Arial" w:cs="Arial" w:eastAsia="Arial" w:hAnsi="Arial"/>
                <w:sz w:val="18"/>
                <w:szCs w:val="18"/>
                <w:color w:val="auto"/>
              </w:rPr>
              <w:t xml:space="preserve">Basic weighted average common units outstanding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660</w:t>
            </w: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general partner</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Distributions to participating securities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loss allocated to general partner</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w:t>
            </w:r>
          </w:p>
        </w:tc>
        <w:tc>
          <w:tcPr>
            <w:tcW w:w="7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weighted average common units outstanding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Arial" w:cs="Arial" w:eastAsia="Arial" w:hAnsi="Arial"/>
                <w:sz w:val="18"/>
                <w:szCs w:val="18"/>
                <w:color w:val="auto"/>
                <w:w w:val="97"/>
              </w:rPr>
              <w:t xml:space="preserve">Effect of dilutive securities: Weighted average LTIP units </w:t>
            </w:r>
            <w:r>
              <w:rPr>
                <w:rFonts w:ascii="Arial" w:cs="Arial" w:eastAsia="Arial" w:hAnsi="Arial"/>
                <w:sz w:val="23"/>
                <w:szCs w:val="23"/>
                <w:color w:val="auto"/>
                <w:w w:val="97"/>
                <w:vertAlign w:val="superscript"/>
              </w:rPr>
              <w:t>(3)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(4)</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140" w:hanging="452"/>
        <w:spacing w:after="0" w:line="238" w:lineRule="auto"/>
        <w:tabs>
          <w:tab w:leader="none" w:pos="45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in effect for the period and as further prescribed under the two-class method.</w:t>
      </w:r>
    </w:p>
    <w:p>
      <w:pPr>
        <w:spacing w:after="0" w:line="202" w:lineRule="exact"/>
        <w:rPr>
          <w:rFonts w:ascii="Arial" w:cs="Arial" w:eastAsia="Arial" w:hAnsi="Arial"/>
          <w:sz w:val="23"/>
          <w:szCs w:val="23"/>
          <w:color w:val="auto"/>
          <w:vertAlign w:val="superscript"/>
        </w:rPr>
      </w:pPr>
    </w:p>
    <w:p>
      <w:pPr>
        <w:ind w:left="460" w:right="80"/>
        <w:spacing w:after="0" w:line="254" w:lineRule="auto"/>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included the permanent elimination of our IDRs and the economic rights associated with our 2% general partner interest in exchange for the issuance by us of approximately 244.7 million common units and the assumption of Plains AAP, L.P.’s (“AAP”) debt. As such, beginning with the distribution pertaining to the fourth quarter of 2016, our general partner is no longer entitled to receive distributions on the IDRs or 2% general partner interest.</w:t>
      </w:r>
    </w:p>
    <w:p>
      <w:pPr>
        <w:spacing w:after="0" w:line="2" w:lineRule="exact"/>
        <w:rPr>
          <w:rFonts w:ascii="Arial" w:cs="Arial" w:eastAsia="Arial" w:hAnsi="Arial"/>
          <w:sz w:val="23"/>
          <w:szCs w:val="23"/>
          <w:color w:val="auto"/>
          <w:vertAlign w:val="superscript"/>
        </w:rPr>
      </w:pPr>
    </w:p>
    <w:p>
      <w:pPr>
        <w:ind w:left="460" w:right="40" w:hanging="452"/>
        <w:spacing w:after="0" w:line="229" w:lineRule="auto"/>
        <w:tabs>
          <w:tab w:leader="none" w:pos="45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have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net income allocated to common unitholders.</w:t>
      </w:r>
    </w:p>
    <w:p>
      <w:pPr>
        <w:ind w:left="460" w:right="120" w:hanging="452"/>
        <w:spacing w:after="0" w:line="234" w:lineRule="auto"/>
        <w:tabs>
          <w:tab w:leader="none" w:pos="45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460" w:right="380" w:hanging="452"/>
        <w:spacing w:after="0" w:line="219" w:lineRule="auto"/>
        <w:tabs>
          <w:tab w:leader="none" w:pos="45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twelve months ended December 31,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6"/>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Logistics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 (3)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w w:val="99"/>
              </w:rPr>
              <w:t>Equity-indexed compensation expense - field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operating costs</w:t>
            </w: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6"/>
              </w:rPr>
              <w:t>Segment general and administrative expenses</w:t>
            </w:r>
          </w:p>
        </w:tc>
        <w:tc>
          <w:tcPr>
            <w:tcW w:w="1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(3) (4)</w:t>
            </w: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180"/>
              <w:spacing w:after="0" w:line="201"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(Gains)/losses from derivative activities net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inventory valuation adjustments</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0" w:name="page11"/>
    <w:bookmarkEnd w:id="10"/>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jc w:val="right"/>
              <w:ind w:right="590"/>
              <w:spacing w:after="0"/>
              <w:rPr>
                <w:sz w:val="20"/>
                <w:szCs w:val="20"/>
                <w:color w:val="auto"/>
              </w:rPr>
            </w:pPr>
            <w:r>
              <w:rPr>
                <w:rFonts w:ascii="Arial" w:cs="Arial" w:eastAsia="Arial" w:hAnsi="Arial"/>
                <w:sz w:val="18"/>
                <w:szCs w:val="18"/>
                <w:color w:val="auto"/>
              </w:rPr>
              <w:t>Line 901 incident</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Segment adjusted EBITDA</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8"/>
              </w:rPr>
              <w:t>Maintenance capital</w:t>
            </w:r>
          </w:p>
        </w:tc>
        <w:tc>
          <w:tcPr>
            <w:tcW w:w="23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4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 more –</w:t>
            </w: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333 Clay Street, Suite 1600</w:t>
            </w:r>
          </w:p>
        </w:tc>
        <w:tc>
          <w:tcPr>
            <w:tcW w:w="222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rPr>
              <w:t>Houston, Texas 77002</w:t>
            </w:r>
          </w:p>
        </w:tc>
        <w:tc>
          <w:tcPr>
            <w:tcW w:w="244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Supply and</w:t>
            </w:r>
          </w:p>
        </w:tc>
        <w:tc>
          <w:tcPr>
            <w:tcW w:w="3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6"/>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 (3)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w w:val="96"/>
              </w:rPr>
              <w:t>Equity-indexed compensation expense - field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operating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2"/>
              </w:rPr>
              <w:t>Segment general and administrative expenses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(3) (4)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180"/>
              <w:spacing w:after="0" w:line="201"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(Gains)/losses from derivative activities net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inventory valuation adjustments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40" w:hanging="492"/>
        <w:spacing w:after="0" w:line="246" w:lineRule="auto"/>
        <w:tabs>
          <w:tab w:leader="none" w:pos="48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2016, we modified our primary segment performance measure to segment adjusted EBITDA from segment profit. Segment adjusted EBITDA forms the basis of our internal financial reporting and is the primary measure used by our CODM in assessing performance and allocating resources among our operating segments. Prior period segment amounts have been recast to reflect this change.</w:t>
      </w:r>
    </w:p>
    <w:p>
      <w:pPr>
        <w:spacing w:after="0" w:line="2" w:lineRule="exact"/>
        <w:rPr>
          <w:rFonts w:ascii="Arial" w:cs="Arial" w:eastAsia="Arial" w:hAnsi="Arial"/>
          <w:sz w:val="22"/>
          <w:szCs w:val="22"/>
          <w:color w:val="auto"/>
          <w:vertAlign w:val="superscript"/>
        </w:rPr>
      </w:pPr>
    </w:p>
    <w:p>
      <w:pPr>
        <w:ind w:left="480" w:hanging="472"/>
        <w:spacing w:after="0" w:line="196" w:lineRule="auto"/>
        <w:tabs>
          <w:tab w:leader="none" w:pos="48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500" w:right="60" w:hanging="492"/>
        <w:spacing w:after="0" w:line="219" w:lineRule="auto"/>
        <w:tabs>
          <w:tab w:leader="none" w:pos="48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500" w:right="160" w:hanging="492"/>
        <w:spacing w:after="0" w:line="243" w:lineRule="auto"/>
        <w:tabs>
          <w:tab w:leader="none" w:pos="48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500" w:right="180" w:hanging="492"/>
        <w:spacing w:after="0" w:line="229" w:lineRule="auto"/>
        <w:tabs>
          <w:tab w:leader="none" w:pos="48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on the following page for additional discussion.</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6180" w:type="dxa"/>
        <w:tblCellMar>
          <w:top w:w="0" w:type="dxa"/>
          <w:left w:w="0" w:type="dxa"/>
          <w:bottom w:w="0" w:type="dxa"/>
          <w:right w:w="0" w:type="dxa"/>
        </w:tblCellMar>
      </w:tblPr>
      <w:tr>
        <w:trPr>
          <w:trHeight w:val="161"/>
        </w:trPr>
        <w:tc>
          <w:tcPr>
            <w:tcW w:w="2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740" w:type="dxa"/>
            <w:vAlign w:val="bottom"/>
          </w:tcPr>
          <w:p>
            <w:pPr>
              <w:spacing w:after="0"/>
              <w:rPr>
                <w:sz w:val="14"/>
                <w:szCs w:val="14"/>
                <w:color w:val="auto"/>
              </w:rPr>
            </w:pPr>
          </w:p>
        </w:tc>
        <w:tc>
          <w:tcPr>
            <w:tcW w:w="20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4"/>
                <w:szCs w:val="14"/>
                <w:color w:val="auto"/>
              </w:rPr>
            </w:pPr>
          </w:p>
        </w:tc>
        <w:tc>
          <w:tcPr>
            <w:tcW w:w="1660" w:type="dxa"/>
            <w:vAlign w:val="bottom"/>
          </w:tcPr>
          <w:p>
            <w:pPr>
              <w:jc w:val="center"/>
              <w:ind w:right="648"/>
              <w:spacing w:after="0"/>
              <w:rPr>
                <w:sz w:val="20"/>
                <w:szCs w:val="20"/>
                <w:color w:val="auto"/>
              </w:rPr>
            </w:pPr>
            <w:r>
              <w:rPr>
                <w:rFonts w:ascii="Arial" w:cs="Arial" w:eastAsia="Arial" w:hAnsi="Arial"/>
                <w:sz w:val="14"/>
                <w:szCs w:val="14"/>
                <w:b w:val="1"/>
                <w:bCs w:val="1"/>
                <w:color w:val="auto"/>
                <w:w w:val="90"/>
              </w:rPr>
              <w:t>December 31,</w:t>
            </w:r>
          </w:p>
        </w:tc>
      </w:tr>
      <w:tr>
        <w:trPr>
          <w:trHeight w:val="144"/>
        </w:trPr>
        <w:tc>
          <w:tcPr>
            <w:tcW w:w="740" w:type="dxa"/>
            <w:vAlign w:val="bottom"/>
            <w:tcBorders>
              <w:top w:val="single" w:sz="8" w:color="auto"/>
            </w:tcBorders>
          </w:tcPr>
          <w:p>
            <w:pPr>
              <w:jc w:val="right"/>
              <w:ind w:right="8"/>
              <w:spacing w:after="0" w:line="144" w:lineRule="exact"/>
              <w:rPr>
                <w:sz w:val="20"/>
                <w:szCs w:val="20"/>
                <w:color w:val="auto"/>
              </w:rPr>
            </w:pPr>
            <w:r>
              <w:rPr>
                <w:rFonts w:ascii="Arial" w:cs="Arial" w:eastAsia="Arial" w:hAnsi="Arial"/>
                <w:sz w:val="14"/>
                <w:szCs w:val="14"/>
                <w:b w:val="1"/>
                <w:bCs w:val="1"/>
                <w:color w:val="auto"/>
              </w:rPr>
              <w:t>2016</w:t>
            </w:r>
          </w:p>
        </w:tc>
        <w:tc>
          <w:tcPr>
            <w:tcW w:w="1700" w:type="dxa"/>
            <w:vAlign w:val="bottom"/>
            <w:tcBorders>
              <w:top w:val="single" w:sz="8" w:color="auto"/>
            </w:tcBorders>
          </w:tcPr>
          <w:p>
            <w:pPr>
              <w:jc w:val="right"/>
              <w:ind w:right="308"/>
              <w:spacing w:after="0" w:line="144"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2016</w:t>
            </w:r>
          </w:p>
        </w:tc>
        <w:tc>
          <w:tcPr>
            <w:tcW w:w="1660" w:type="dxa"/>
            <w:vAlign w:val="bottom"/>
            <w:tcBorders>
              <w:top w:val="single" w:sz="8" w:color="auto"/>
            </w:tcBorders>
          </w:tcPr>
          <w:p>
            <w:pPr>
              <w:jc w:val="right"/>
              <w:ind w:right="308"/>
              <w:spacing w:after="0" w:line="144" w:lineRule="exact"/>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926" w:orient="portrait"/>
          <w:cols w:equalWidth="0" w:num="1">
            <w:col w:w="11460"/>
          </w:cols>
          <w:pgMar w:left="240" w:top="140" w:right="199" w:bottom="0" w:gutter="0" w:footer="0" w:header="0"/>
        </w:sectPr>
      </w:pPr>
    </w:p>
    <w:p>
      <w:pPr>
        <w:spacing w:after="0"/>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p>
      <w:pPr>
        <w:sectPr>
          <w:pgSz w:w="11900" w:h="16926" w:orient="portrait"/>
          <w:cols w:equalWidth="0" w:num="1">
            <w:col w:w="11460"/>
          </w:cols>
          <w:pgMar w:left="240" w:top="140" w:right="199" w:bottom="0" w:gutter="0" w:footer="0" w:header="0"/>
          <w:type w:val="continuous"/>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Gains/(losses) from derivative activities net of inventory valuation adjustments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48"/>
        </w:trPr>
        <w:tc>
          <w:tcPr>
            <w:tcW w:w="6180" w:type="dxa"/>
            <w:vAlign w:val="bottom"/>
            <w:gridSpan w:val="2"/>
          </w:tcPr>
          <w:p>
            <w:pPr>
              <w:ind w:left="180"/>
              <w:spacing w:after="0"/>
              <w:rPr>
                <w:sz w:val="20"/>
                <w:szCs w:val="20"/>
                <w:color w:val="auto"/>
              </w:rPr>
            </w:pPr>
            <w:r>
              <w:rPr>
                <w:rFonts w:ascii="Arial" w:cs="Arial" w:eastAsia="Arial" w:hAnsi="Arial"/>
                <w:sz w:val="12"/>
                <w:szCs w:val="12"/>
                <w:color w:val="auto"/>
              </w:rPr>
              <w:t>(2)</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Deferred income tax expense </w:t>
            </w:r>
            <w:r>
              <w:rPr>
                <w:rFonts w:ascii="Arial" w:cs="Arial" w:eastAsia="Arial" w:hAnsi="Arial"/>
                <w:sz w:val="22"/>
                <w:szCs w:val="22"/>
                <w:color w:val="auto"/>
                <w:vertAlign w:val="superscript"/>
              </w:rPr>
              <w:t>(8)</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Selected items impacting comparability - Adjusted net income attributable to</w:t>
            </w: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vMerge w:val="continue"/>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360" w:type="dxa"/>
            <w:vAlign w:val="bottom"/>
            <w:vMerge w:val="restart"/>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340" w:type="dxa"/>
            <w:vAlign w:val="bottom"/>
            <w:vMerge w:val="restart"/>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PAA</w:t>
            </w:r>
          </w:p>
        </w:tc>
        <w:tc>
          <w:tcPr>
            <w:tcW w:w="3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(0.23</w:t>
            </w:r>
          </w:p>
        </w:tc>
        <w:tc>
          <w:tcPr>
            <w:tcW w:w="360" w:type="dxa"/>
            <w:vAlign w:val="bottom"/>
            <w:vMerge w:val="continue"/>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(0.14</w:t>
            </w:r>
          </w:p>
        </w:tc>
        <w:tc>
          <w:tcPr>
            <w:tcW w:w="32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(0.71</w:t>
            </w:r>
          </w:p>
        </w:tc>
        <w:tc>
          <w:tcPr>
            <w:tcW w:w="360" w:type="dxa"/>
            <w:vAlign w:val="bottom"/>
            <w:vMerge w:val="continue"/>
          </w:tcPr>
          <w:p>
            <w:pPr>
              <w:spacing w:after="0"/>
              <w:rPr>
                <w:sz w:val="17"/>
                <w:szCs w:val="17"/>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(0.71</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500" w:right="100" w:hanging="492"/>
        <w:spacing w:after="0" w:line="269" w:lineRule="auto"/>
        <w:tabs>
          <w:tab w:leader="none" w:pos="48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2" w:lineRule="exact"/>
        <w:rPr>
          <w:rFonts w:ascii="Arial" w:cs="Arial" w:eastAsia="Arial" w:hAnsi="Arial"/>
          <w:sz w:val="21"/>
          <w:szCs w:val="21"/>
          <w:color w:val="auto"/>
          <w:vertAlign w:val="superscript"/>
        </w:rPr>
      </w:pPr>
    </w:p>
    <w:p>
      <w:pPr>
        <w:ind w:left="500" w:right="20" w:hanging="492"/>
        <w:spacing w:after="0" w:line="265" w:lineRule="auto"/>
        <w:tabs>
          <w:tab w:leader="none" w:pos="48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500" w:hanging="492"/>
        <w:spacing w:after="0" w:line="273" w:lineRule="auto"/>
        <w:tabs>
          <w:tab w:leader="none" w:pos="48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500" w:right="20" w:hanging="492"/>
        <w:spacing w:after="0" w:line="239" w:lineRule="auto"/>
        <w:tabs>
          <w:tab w:leader="none" w:pos="48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500" w:right="220" w:hanging="492"/>
        <w:spacing w:after="0" w:line="231" w:lineRule="auto"/>
        <w:tabs>
          <w:tab w:leader="none" w:pos="48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500" w:right="440" w:hanging="492"/>
        <w:spacing w:after="0" w:line="219" w:lineRule="auto"/>
        <w:tabs>
          <w:tab w:leader="none" w:pos="48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480" w:hanging="472"/>
        <w:spacing w:after="0" w:line="196" w:lineRule="auto"/>
        <w:tabs>
          <w:tab w:leader="none" w:pos="4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a change in Canadian tax legislation impacting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10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5"/>
          </w:tcPr>
          <w:p>
            <w:pPr>
              <w:jc w:val="center"/>
              <w:ind w:left="242"/>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Reconciliations</w:t>
            </w: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54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127</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700" w:type="dxa"/>
            <w:vAlign w:val="bottom"/>
          </w:tcPr>
          <w:p>
            <w:pPr>
              <w:jc w:val="right"/>
              <w:ind w:right="522"/>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730</w:t>
            </w: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906</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127</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432</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143</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494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432</w:t>
            </w:r>
          </w:p>
        </w:tc>
      </w:tr>
      <w:tr>
        <w:trPr>
          <w:trHeight w:val="216"/>
        </w:trPr>
        <w:tc>
          <w:tcPr>
            <w:tcW w:w="61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97"/>
        </w:trPr>
        <w:tc>
          <w:tcPr>
            <w:tcW w:w="6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9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22"/>
                <w:szCs w:val="22"/>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61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(4)</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0"/>
        </w:trPr>
        <w:tc>
          <w:tcPr>
            <w:tcW w:w="618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(6)</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280" w:hanging="492"/>
        <w:spacing w:after="0" w:line="234" w:lineRule="auto"/>
        <w:tabs>
          <w:tab w:leader="none" w:pos="48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pipeline strategic joint venture projects, which are accounted for under the equity method of accounting. Management excludes our proportionate share of the depreciation and amortization expense associated with such unconsolidated entities when reviewing Adjusted EBITDA.</w:t>
      </w:r>
    </w:p>
    <w:p>
      <w:pPr>
        <w:spacing w:after="0" w:line="1" w:lineRule="exact"/>
        <w:rPr>
          <w:rFonts w:ascii="Arial" w:cs="Arial" w:eastAsia="Arial" w:hAnsi="Arial"/>
          <w:sz w:val="23"/>
          <w:szCs w:val="23"/>
          <w:color w:val="auto"/>
          <w:vertAlign w:val="superscript"/>
        </w:rPr>
      </w:pPr>
    </w:p>
    <w:p>
      <w:pPr>
        <w:ind w:left="480" w:hanging="472"/>
        <w:spacing w:after="0" w:line="196" w:lineRule="auto"/>
        <w:tabs>
          <w:tab w:leader="none" w:pos="4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480" w:hanging="472"/>
        <w:spacing w:after="0" w:line="203" w:lineRule="auto"/>
        <w:tabs>
          <w:tab w:leader="none" w:pos="48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500" w:right="100" w:hanging="492"/>
        <w:spacing w:after="0" w:line="219" w:lineRule="auto"/>
        <w:tabs>
          <w:tab w:leader="none" w:pos="48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Equity earnings are adjusted for our proportionate share of the depreciation and amortization of unconsolidated entities, as such expenses are excluded from the calculation of Adjusted EBITDA.</w:t>
      </w:r>
    </w:p>
    <w:p>
      <w:pPr>
        <w:ind w:left="480" w:hanging="472"/>
        <w:spacing w:after="0" w:line="196" w:lineRule="auto"/>
        <w:tabs>
          <w:tab w:leader="none" w:pos="4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 w:lineRule="exact"/>
        <w:rPr>
          <w:rFonts w:ascii="Arial" w:cs="Arial" w:eastAsia="Arial" w:hAnsi="Arial"/>
          <w:sz w:val="23"/>
          <w:szCs w:val="23"/>
          <w:color w:val="auto"/>
          <w:vertAlign w:val="superscript"/>
        </w:rPr>
      </w:pPr>
    </w:p>
    <w:p>
      <w:pPr>
        <w:ind w:left="500" w:right="160" w:hanging="492"/>
        <w:spacing w:after="0" w:line="219" w:lineRule="auto"/>
        <w:tabs>
          <w:tab w:leader="none" w:pos="48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Including net costs recognized during the period related to the Line 901 incident that occurred during May 2015, Implied DCF would have been $365 million and $1,391 million for the three and twelve months ended December 31,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8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726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Selected items impacting comparability - Adjusted net income attributable to</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340"/>
              <w:spacing w:after="0" w:line="230" w:lineRule="exact"/>
              <w:rPr>
                <w:sz w:val="20"/>
                <w:szCs w:val="20"/>
                <w:color w:val="auto"/>
              </w:rPr>
            </w:pPr>
            <w:r>
              <w:rPr>
                <w:rFonts w:ascii="Arial" w:cs="Arial" w:eastAsia="Arial" w:hAnsi="Arial"/>
                <w:sz w:val="26"/>
                <w:szCs w:val="26"/>
                <w:color w:val="auto"/>
                <w:vertAlign w:val="subscript"/>
              </w:rPr>
              <w:t>PAA</w:t>
            </w:r>
            <w:r>
              <w:rPr>
                <w:rFonts w:ascii="Arial" w:cs="Arial" w:eastAsia="Arial" w:hAnsi="Arial"/>
                <w:sz w:val="10"/>
                <w:szCs w:val="10"/>
                <w:color w:val="auto"/>
              </w:rPr>
              <w:t xml:space="preserve"> (2)</w:t>
            </w:r>
          </w:p>
        </w:tc>
        <w:tc>
          <w:tcPr>
            <w:tcW w:w="7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3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units</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Distributions to general partner</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(155)</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participating securities</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Undistributed loss allocated to general partner</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line="201" w:lineRule="exact"/>
              <w:rPr>
                <w:sz w:val="20"/>
                <w:szCs w:val="20"/>
                <w:color w:val="auto"/>
              </w:rPr>
            </w:pPr>
            <w:r>
              <w:rPr>
                <w:rFonts w:ascii="Arial" w:cs="Arial" w:eastAsia="Arial" w:hAnsi="Arial"/>
                <w:sz w:val="18"/>
                <w:szCs w:val="18"/>
                <w:color w:val="auto"/>
              </w:rPr>
              <w:t>Adjusted net income allocated to common unitholders in accordance with</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vMerge w:val="continue"/>
          </w:tcPr>
          <w:p>
            <w:pPr>
              <w:spacing w:after="0"/>
              <w:rPr>
                <w:sz w:val="15"/>
                <w:szCs w:val="15"/>
                <w:color w:val="auto"/>
              </w:rPr>
            </w:pPr>
          </w:p>
        </w:tc>
        <w:tc>
          <w:tcPr>
            <w:tcW w:w="700" w:type="dxa"/>
            <w:vAlign w:val="bottom"/>
            <w:vMerge w:val="restart"/>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360" w:type="dxa"/>
            <w:vAlign w:val="bottom"/>
            <w:vMerge w:val="restart"/>
          </w:tcPr>
          <w:p>
            <w:pPr>
              <w:spacing w:after="0"/>
              <w:rPr>
                <w:sz w:val="15"/>
                <w:szCs w:val="15"/>
                <w:color w:val="auto"/>
              </w:rPr>
            </w:pPr>
          </w:p>
        </w:tc>
        <w:tc>
          <w:tcPr>
            <w:tcW w:w="680" w:type="dxa"/>
            <w:vAlign w:val="bottom"/>
            <w:vMerge w:val="restart"/>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320" w:type="dxa"/>
            <w:vAlign w:val="bottom"/>
            <w:vMerge w:val="restart"/>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533</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application of the two-class method</w:t>
            </w:r>
          </w:p>
        </w:tc>
        <w:tc>
          <w:tcPr>
            <w:tcW w:w="70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line="216" w:lineRule="exact"/>
              <w:rPr>
                <w:sz w:val="20"/>
                <w:szCs w:val="20"/>
                <w:color w:val="auto"/>
              </w:rPr>
            </w:pPr>
            <w:r>
              <w:rPr>
                <w:rFonts w:ascii="Arial" w:cs="Arial" w:eastAsia="Arial" w:hAnsi="Arial"/>
                <w:sz w:val="18"/>
                <w:szCs w:val="18"/>
                <w:color w:val="auto"/>
              </w:rPr>
              <w:t xml:space="preserve">Basic weighted average common units outstanding </w:t>
            </w:r>
            <w:r>
              <w:rPr>
                <w:rFonts w:ascii="Arial" w:cs="Arial" w:eastAsia="Arial" w:hAnsi="Arial"/>
                <w:sz w:val="23"/>
                <w:szCs w:val="23"/>
                <w:color w:val="auto"/>
                <w:vertAlign w:val="superscript"/>
              </w:rPr>
              <w:t>(3)</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660</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0.37</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0.38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160"/>
              <w:spacing w:after="0" w:line="201" w:lineRule="exact"/>
              <w:rPr>
                <w:sz w:val="20"/>
                <w:szCs w:val="20"/>
                <w:color w:val="auto"/>
              </w:rPr>
            </w:pPr>
            <w:r>
              <w:rPr>
                <w:rFonts w:ascii="Arial" w:cs="Arial" w:eastAsia="Arial" w:hAnsi="Arial"/>
                <w:sz w:val="18"/>
                <w:szCs w:val="18"/>
                <w:color w:val="auto"/>
                <w:w w:val="98"/>
              </w:rPr>
              <w:t>Selected items impacting comparability - Adjusted net income attributable to</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PAA </w:t>
            </w:r>
            <w:r>
              <w:rPr>
                <w:rFonts w:ascii="Arial" w:cs="Arial" w:eastAsia="Arial" w:hAnsi="Arial"/>
                <w:sz w:val="23"/>
                <w:szCs w:val="23"/>
                <w:color w:val="auto"/>
                <w:vertAlign w:val="superscript"/>
              </w:rPr>
              <w:t>(2)</w:t>
            </w:r>
          </w:p>
        </w:tc>
        <w:tc>
          <w:tcPr>
            <w:tcW w:w="700" w:type="dxa"/>
            <w:vAlign w:val="bottom"/>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152</w:t>
            </w:r>
          </w:p>
        </w:tc>
        <w:tc>
          <w:tcPr>
            <w:tcW w:w="6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units</w:t>
            </w:r>
          </w:p>
        </w:tc>
        <w:tc>
          <w:tcPr>
            <w:tcW w:w="7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general partner</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Distributions to participating securities</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 loss allocated to general partner</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Adjusted net income allocated to common unitholders in accordance with</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vMerge w:val="continue"/>
            <w:shd w:val="clear" w:color="auto" w:fill="CCEEFF"/>
          </w:tcPr>
          <w:p>
            <w:pPr>
              <w:spacing w:after="0"/>
              <w:rPr>
                <w:sz w:val="15"/>
                <w:szCs w:val="15"/>
                <w:color w:val="auto"/>
              </w:rPr>
            </w:pPr>
          </w:p>
        </w:tc>
        <w:tc>
          <w:tcPr>
            <w:tcW w:w="700" w:type="dxa"/>
            <w:vAlign w:val="bottom"/>
            <w:vMerge w:val="restart"/>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60" w:type="dxa"/>
            <w:vAlign w:val="bottom"/>
            <w:vMerge w:val="restart"/>
            <w:shd w:val="clear" w:color="auto" w:fill="CCEEFF"/>
          </w:tcPr>
          <w:p>
            <w:pPr>
              <w:spacing w:after="0"/>
              <w:rPr>
                <w:sz w:val="15"/>
                <w:szCs w:val="15"/>
                <w:color w:val="auto"/>
              </w:rPr>
            </w:pPr>
          </w:p>
        </w:tc>
        <w:tc>
          <w:tcPr>
            <w:tcW w:w="680" w:type="dxa"/>
            <w:vAlign w:val="bottom"/>
            <w:vMerge w:val="restart"/>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w:t>
            </w:r>
          </w:p>
        </w:tc>
        <w:tc>
          <w:tcPr>
            <w:tcW w:w="7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weighted average common units outstanding </w:t>
            </w:r>
            <w:r>
              <w:rPr>
                <w:rFonts w:ascii="Arial" w:cs="Arial" w:eastAsia="Arial" w:hAnsi="Arial"/>
                <w:sz w:val="23"/>
                <w:szCs w:val="23"/>
                <w:color w:val="auto"/>
                <w:vertAlign w:val="superscript"/>
              </w:rPr>
              <w:t>(3)</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(4)</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(5)</w:t>
            </w: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0.37</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0.38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91" w:right="239" w:bottom="0" w:gutter="0" w:footer="0" w:header="0"/>
        </w:sectPr>
      </w:pPr>
    </w:p>
    <w:bookmarkStart w:id="13" w:name="page14"/>
    <w:bookmarkEnd w:id="13"/>
    <w:p>
      <w:pPr>
        <w:ind w:left="500" w:right="220" w:hanging="492"/>
        <w:spacing w:after="0" w:line="238" w:lineRule="auto"/>
        <w:tabs>
          <w:tab w:leader="none" w:pos="48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202" w:lineRule="exact"/>
        <w:rPr>
          <w:rFonts w:ascii="Arial" w:cs="Arial" w:eastAsia="Arial" w:hAnsi="Arial"/>
          <w:sz w:val="23"/>
          <w:szCs w:val="23"/>
          <w:color w:val="auto"/>
          <w:vertAlign w:val="superscript"/>
        </w:rPr>
      </w:pPr>
    </w:p>
    <w:p>
      <w:pPr>
        <w:ind w:left="500" w:right="40"/>
        <w:spacing w:after="0" w:line="254" w:lineRule="auto"/>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included the permanent elimination of our IDRs and the economic rights associated with our 2% general partner interest in exchange for the issuance by us of approximately 244.7 million common units and the assumption of AAP’s debt. As such, beginning with the distribution pertaining to the fourth quarter of 2016, our general partner is no longer entitled to receive distributions on the IDRs or 2% general partner interest.</w:t>
      </w:r>
    </w:p>
    <w:p>
      <w:pPr>
        <w:spacing w:after="0" w:line="2" w:lineRule="exact"/>
        <w:rPr>
          <w:rFonts w:ascii="Arial" w:cs="Arial" w:eastAsia="Arial" w:hAnsi="Arial"/>
          <w:sz w:val="23"/>
          <w:szCs w:val="23"/>
          <w:color w:val="auto"/>
          <w:vertAlign w:val="superscript"/>
        </w:rPr>
      </w:pPr>
    </w:p>
    <w:p>
      <w:pPr>
        <w:ind w:left="480" w:hanging="472"/>
        <w:spacing w:after="0" w:line="196" w:lineRule="auto"/>
        <w:tabs>
          <w:tab w:leader="none" w:pos="48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500" w:hanging="492"/>
        <w:spacing w:after="0" w:line="228" w:lineRule="auto"/>
        <w:tabs>
          <w:tab w:leader="none" w:pos="48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have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adjusted net income allocated to common unitholders.</w:t>
      </w:r>
    </w:p>
    <w:p>
      <w:pPr>
        <w:spacing w:after="0" w:line="2" w:lineRule="exact"/>
        <w:rPr>
          <w:rFonts w:ascii="Arial" w:cs="Arial" w:eastAsia="Arial" w:hAnsi="Arial"/>
          <w:sz w:val="23"/>
          <w:szCs w:val="23"/>
          <w:color w:val="auto"/>
          <w:vertAlign w:val="superscript"/>
        </w:rPr>
      </w:pPr>
    </w:p>
    <w:p>
      <w:pPr>
        <w:ind w:left="500" w:right="100" w:hanging="492"/>
        <w:spacing w:after="0" w:line="234" w:lineRule="auto"/>
        <w:tabs>
          <w:tab w:leader="none" w:pos="48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500" w:right="20" w:hanging="492"/>
        <w:spacing w:after="0" w:line="219" w:lineRule="auto"/>
        <w:tabs>
          <w:tab w:leader="none" w:pos="48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twelve months ended December 31,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December 31, 2016</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30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200" w:type="dxa"/>
            <w:vAlign w:val="bottom"/>
          </w:tcPr>
          <w:p>
            <w:pPr>
              <w:spacing w:after="0"/>
              <w:rPr>
                <w:sz w:val="14"/>
                <w:szCs w:val="14"/>
                <w:color w:val="auto"/>
              </w:rPr>
            </w:pPr>
          </w:p>
        </w:tc>
        <w:tc>
          <w:tcPr>
            <w:tcW w:w="1040" w:type="dxa"/>
            <w:vAlign w:val="bottom"/>
            <w:tcBorders>
              <w:right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5,234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Net income attributable to noncontrolling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2"/>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INCOME/(LOSS) ATTRIBUTABLE</w:t>
            </w: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gridSpan w:val="2"/>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 PAGP</w:t>
            </w:r>
          </w:p>
        </w:tc>
        <w:tc>
          <w:tcPr>
            <w:tcW w:w="1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INCOME/(LOSS) PER CLASS 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4" w:name="page15"/>
    <w:bookmarkEnd w:id="14"/>
    <w:p>
      <w:pPr>
        <w:spacing w:after="0" w:line="22" w:lineRule="exact"/>
        <w:rPr>
          <w:sz w:val="20"/>
          <w:szCs w:val="20"/>
          <w:color w:val="auto"/>
        </w:rPr>
      </w:pPr>
    </w:p>
    <w:p>
      <w:pPr>
        <w:ind w:left="340" w:right="10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Twelve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December 31, 2016</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30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200" w:type="dxa"/>
            <w:vAlign w:val="bottom"/>
          </w:tcPr>
          <w:p>
            <w:pPr>
              <w:spacing w:after="0"/>
              <w:rPr>
                <w:sz w:val="14"/>
                <w:szCs w:val="14"/>
                <w:color w:val="auto"/>
              </w:rPr>
            </w:pPr>
          </w:p>
        </w:tc>
        <w:tc>
          <w:tcPr>
            <w:tcW w:w="1040" w:type="dxa"/>
            <w:vAlign w:val="bottom"/>
            <w:tcBorders>
              <w:right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17,233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19,192</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80"/>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6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27"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60" w:orient="portrait"/>
          <w:cols w:equalWidth="0" w:num="1">
            <w:col w:w="11420"/>
          </w:cols>
          <w:pgMar w:left="240" w:top="125" w:right="239" w:bottom="0" w:gutter="0" w:footer="0" w:header="0"/>
        </w:sectPr>
      </w:pPr>
    </w:p>
    <w:p>
      <w:pPr>
        <w:spacing w:after="0" w:line="202" w:lineRule="exact"/>
        <w:rPr>
          <w:sz w:val="20"/>
          <w:szCs w:val="20"/>
          <w:color w:val="auto"/>
        </w:rPr>
      </w:pPr>
    </w:p>
    <w:p>
      <w:pPr>
        <w:ind w:left="4800"/>
        <w:spacing w:after="0"/>
        <w:tabs>
          <w:tab w:leader="none" w:pos="8880" w:val="left"/>
        </w:tabs>
        <w:rPr>
          <w:sz w:val="20"/>
          <w:szCs w:val="20"/>
          <w:color w:val="auto"/>
        </w:rPr>
      </w:pPr>
      <w:r>
        <w:rPr>
          <w:rFonts w:ascii="Arial" w:cs="Arial" w:eastAsia="Arial" w:hAnsi="Arial"/>
          <w:sz w:val="14"/>
          <w:szCs w:val="14"/>
          <w:b w:val="1"/>
          <w:bCs w:val="1"/>
          <w:color w:val="auto"/>
        </w:rPr>
        <w:t>December 31, 2016</w:t>
      </w:r>
      <w:r>
        <w:rPr>
          <w:sz w:val="20"/>
          <w:szCs w:val="20"/>
          <w:color w:val="auto"/>
        </w:rPr>
        <w:tab/>
      </w:r>
      <w:r>
        <w:rPr>
          <w:rFonts w:ascii="Arial" w:cs="Arial" w:eastAsia="Arial" w:hAnsi="Arial"/>
          <w:sz w:val="12"/>
          <w:szCs w:val="12"/>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6350</wp:posOffset>
            </wp:positionV>
            <wp:extent cx="49657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65700" cy="19050"/>
                    </a:xfrm>
                    <a:prstGeom prst="rect">
                      <a:avLst/>
                    </a:prstGeom>
                    <a:noFill/>
                  </pic:spPr>
                </pic:pic>
              </a:graphicData>
            </a:graphic>
          </wp:anchor>
        </w:drawing>
      </w:r>
    </w:p>
    <w:p>
      <w:pPr>
        <w:sectPr>
          <w:pgSz w:w="11900" w:h="16860" w:orient="portrait"/>
          <w:cols w:equalWidth="0" w:num="1">
            <w:col w:w="11420"/>
          </w:cols>
          <w:pgMar w:left="240" w:top="125" w:right="2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Consolidating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Consolidating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right"/>
              <w:ind w:right="260"/>
              <w:spacing w:after="0" w:line="172" w:lineRule="exact"/>
              <w:rPr>
                <w:sz w:val="20"/>
                <w:szCs w:val="20"/>
                <w:color w:val="auto"/>
              </w:rPr>
            </w:pPr>
            <w:r>
              <w:rPr>
                <w:rFonts w:ascii="Arial" w:cs="Arial" w:eastAsia="Arial" w:hAnsi="Arial"/>
                <w:sz w:val="14"/>
                <w:szCs w:val="14"/>
                <w:b w:val="1"/>
                <w:bCs w:val="1"/>
                <w:color w:val="auto"/>
                <w:w w:val="97"/>
              </w:rPr>
              <w:t xml:space="preserve">Adjustments </w:t>
            </w:r>
            <w:r>
              <w:rPr>
                <w:rFonts w:ascii="Arial" w:cs="Arial" w:eastAsia="Arial" w:hAnsi="Arial"/>
                <w:sz w:val="17"/>
                <w:szCs w:val="17"/>
                <w:b w:val="1"/>
                <w:bCs w:val="1"/>
                <w:color w:val="auto"/>
                <w:w w:val="97"/>
                <w:vertAlign w:val="superscript"/>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right"/>
              <w:ind w:right="360"/>
              <w:spacing w:after="0" w:line="172" w:lineRule="exact"/>
              <w:rPr>
                <w:sz w:val="20"/>
                <w:szCs w:val="20"/>
                <w:color w:val="auto"/>
              </w:rPr>
            </w:pPr>
            <w:r>
              <w:rPr>
                <w:rFonts w:ascii="Arial" w:cs="Arial" w:eastAsia="Arial" w:hAnsi="Arial"/>
                <w:sz w:val="14"/>
                <w:szCs w:val="14"/>
                <w:b w:val="1"/>
                <w:bCs w:val="1"/>
                <w:color w:val="auto"/>
                <w:w w:val="95"/>
              </w:rPr>
              <w:t xml:space="preserve">Adjustments </w:t>
            </w:r>
            <w:r>
              <w:rPr>
                <w:rFonts w:ascii="Arial" w:cs="Arial" w:eastAsia="Arial" w:hAnsi="Arial"/>
                <w:sz w:val="17"/>
                <w:szCs w:val="17"/>
                <w:b w:val="1"/>
                <w:bCs w:val="1"/>
                <w:color w:val="auto"/>
                <w:w w:val="95"/>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4,275</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Long-term inventory</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26,103</w:t>
            </w:r>
          </w:p>
        </w:tc>
        <w:tc>
          <w:tcPr>
            <w:tcW w:w="22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w w:val="91"/>
              </w:rPr>
              <w:t>Senior notes, net of unamortized discounts and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9,874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9,874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Other long-term debt, net of unamortized debt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5"/>
              </w:rPr>
              <w:t>Other long-term liabilities and deferred credits</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8,970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26,103</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Net income/(loss) attributable to PAGP</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weighted average Class A shares outstanding</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net income/(loss) per Class A share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(0.08)</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4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20" w:type="dxa"/>
            <w:vAlign w:val="bottom"/>
          </w:tcPr>
          <w:p>
            <w:pPr>
              <w:ind w:left="1220"/>
              <w:spacing w:after="0"/>
              <w:rPr>
                <w:sz w:val="20"/>
                <w:szCs w:val="20"/>
                <w:color w:val="auto"/>
              </w:rPr>
            </w:pPr>
            <w:r>
              <w:rPr>
                <w:rFonts w:ascii="Arial" w:cs="Arial" w:eastAsia="Arial" w:hAnsi="Arial"/>
                <w:sz w:val="18"/>
                <w:szCs w:val="18"/>
                <w:color w:val="auto"/>
              </w:rPr>
              <w:t>Al Swanson</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2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22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600" w:type="dxa"/>
            <w:vAlign w:val="bottom"/>
          </w:tcPr>
          <w:p>
            <w:pPr>
              <w:jc w:val="right"/>
              <w:ind w:right="2210"/>
              <w:spacing w:after="0"/>
              <w:rPr>
                <w:sz w:val="20"/>
                <w:szCs w:val="20"/>
                <w:color w:val="auto"/>
              </w:rPr>
            </w:pPr>
            <w:r>
              <w:rPr>
                <w:rFonts w:ascii="Arial" w:cs="Arial" w:eastAsia="Arial" w:hAnsi="Arial"/>
                <w:sz w:val="18"/>
                <w:szCs w:val="18"/>
                <w:b w:val="1"/>
                <w:bCs w:val="1"/>
                <w:color w:val="auto"/>
                <w:w w:val="95"/>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2020-01-16T07:04:27Z</dcterms:created>
  <dcterms:modified xsi:type="dcterms:W3CDTF">2020-01-16T07:04:27Z</dcterms:modified>
</cp:coreProperties>
</file>