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6"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280" w:hanging="272"/>
        <w:spacing w:after="0"/>
        <w:tabs>
          <w:tab w:leader="none" w:pos="2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378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420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70"/>
        </w:trPr>
        <w:tc>
          <w:tcPr>
            <w:tcW w:w="3780" w:type="dxa"/>
            <w:vAlign w:val="bottom"/>
          </w:tcPr>
          <w:p>
            <w:pPr>
              <w:jc w:val="center"/>
              <w:ind w:right="350"/>
              <w:spacing w:after="0"/>
              <w:rPr>
                <w:sz w:val="20"/>
                <w:szCs w:val="20"/>
                <w:color w:val="auto"/>
              </w:rPr>
            </w:pPr>
            <w:r>
              <w:rPr>
                <w:rFonts w:ascii="Arial" w:cs="Arial" w:eastAsia="Arial" w:hAnsi="Arial"/>
                <w:sz w:val="18"/>
                <w:szCs w:val="18"/>
                <w:color w:val="auto"/>
                <w:w w:val="93"/>
              </w:rPr>
              <w:t>(State or other jurisdiction of</w:t>
            </w:r>
          </w:p>
        </w:tc>
        <w:tc>
          <w:tcPr>
            <w:tcW w:w="4200" w:type="dxa"/>
            <w:vAlign w:val="bottom"/>
          </w:tcPr>
          <w:p>
            <w:pPr>
              <w:jc w:val="center"/>
              <w:ind w:left="2770"/>
              <w:spacing w:after="0"/>
              <w:rPr>
                <w:sz w:val="20"/>
                <w:szCs w:val="20"/>
                <w:color w:val="auto"/>
              </w:rPr>
            </w:pPr>
            <w:r>
              <w:rPr>
                <w:rFonts w:ascii="Arial" w:cs="Arial" w:eastAsia="Arial" w:hAnsi="Arial"/>
                <w:sz w:val="18"/>
                <w:szCs w:val="18"/>
                <w:color w:val="auto"/>
                <w:w w:val="92"/>
              </w:rPr>
              <w:t>(I.R.S. Employer</w:t>
            </w:r>
          </w:p>
        </w:tc>
      </w:tr>
      <w:tr>
        <w:trPr>
          <w:trHeight w:val="270"/>
        </w:trPr>
        <w:tc>
          <w:tcPr>
            <w:tcW w:w="3780" w:type="dxa"/>
            <w:vAlign w:val="bottom"/>
          </w:tcPr>
          <w:p>
            <w:pPr>
              <w:jc w:val="center"/>
              <w:ind w:right="350"/>
              <w:spacing w:after="0"/>
              <w:rPr>
                <w:sz w:val="20"/>
                <w:szCs w:val="20"/>
                <w:color w:val="auto"/>
              </w:rPr>
            </w:pPr>
            <w:r>
              <w:rPr>
                <w:rFonts w:ascii="Arial" w:cs="Arial" w:eastAsia="Arial" w:hAnsi="Arial"/>
                <w:sz w:val="18"/>
                <w:szCs w:val="18"/>
                <w:color w:val="auto"/>
                <w:w w:val="93"/>
              </w:rPr>
              <w:t>incorporation or organization)</w:t>
            </w:r>
          </w:p>
        </w:tc>
        <w:tc>
          <w:tcPr>
            <w:tcW w:w="4200" w:type="dxa"/>
            <w:vAlign w:val="bottom"/>
          </w:tcPr>
          <w:p>
            <w:pPr>
              <w:jc w:val="center"/>
              <w:ind w:left="2770"/>
              <w:spacing w:after="0"/>
              <w:rPr>
                <w:sz w:val="20"/>
                <w:szCs w:val="20"/>
                <w:color w:val="auto"/>
              </w:rPr>
            </w:pPr>
            <w:r>
              <w:rPr>
                <w:rFonts w:ascii="Arial" w:cs="Arial" w:eastAsia="Arial" w:hAnsi="Arial"/>
                <w:sz w:val="18"/>
                <w:szCs w:val="18"/>
                <w:color w:val="auto"/>
                <w:w w:val="95"/>
              </w:rPr>
              <w:t>Identification No.)</w:t>
            </w:r>
          </w:p>
        </w:tc>
      </w:tr>
      <w:tr>
        <w:trPr>
          <w:trHeight w:val="405"/>
        </w:trPr>
        <w:tc>
          <w:tcPr>
            <w:tcW w:w="378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420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r>
      <w:tr>
        <w:trPr>
          <w:trHeight w:val="270"/>
        </w:trPr>
        <w:tc>
          <w:tcPr>
            <w:tcW w:w="378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4200" w:type="dxa"/>
            <w:vAlign w:val="bottom"/>
          </w:tcPr>
          <w:p>
            <w:pPr>
              <w:jc w:val="center"/>
              <w:ind w:left="2750"/>
              <w:spacing w:after="0"/>
              <w:rPr>
                <w:sz w:val="20"/>
                <w:szCs w:val="20"/>
                <w:color w:val="auto"/>
              </w:rPr>
            </w:pPr>
            <w:r>
              <w:rPr>
                <w:rFonts w:ascii="Arial" w:cs="Arial" w:eastAsia="Arial" w:hAnsi="Arial"/>
                <w:sz w:val="18"/>
                <w:szCs w:val="18"/>
                <w:color w:val="auto"/>
                <w:w w:val="94"/>
              </w:rPr>
              <w:t>(Zip Code)</w:t>
            </w:r>
          </w:p>
        </w:tc>
      </w:tr>
      <w:tr>
        <w:trPr>
          <w:trHeight w:val="446"/>
        </w:trPr>
        <w:tc>
          <w:tcPr>
            <w:tcW w:w="3780" w:type="dxa"/>
            <w:vAlign w:val="bottom"/>
          </w:tcPr>
          <w:p>
            <w:pPr>
              <w:spacing w:after="0"/>
              <w:rPr>
                <w:sz w:val="24"/>
                <w:szCs w:val="24"/>
                <w:color w:val="auto"/>
              </w:rPr>
            </w:pPr>
          </w:p>
        </w:tc>
        <w:tc>
          <w:tcPr>
            <w:tcW w:w="4200" w:type="dxa"/>
            <w:vAlign w:val="bottom"/>
          </w:tcPr>
          <w:p>
            <w:pPr>
              <w:jc w:val="right"/>
              <w:ind w:right="2550"/>
              <w:spacing w:after="0"/>
              <w:rPr>
                <w:sz w:val="20"/>
                <w:szCs w:val="20"/>
                <w:color w:val="auto"/>
              </w:rPr>
            </w:pPr>
            <w:r>
              <w:rPr>
                <w:rFonts w:ascii="Arial" w:cs="Arial" w:eastAsia="Arial" w:hAnsi="Arial"/>
                <w:sz w:val="18"/>
                <w:szCs w:val="18"/>
                <w:b w:val="1"/>
                <w:bCs w:val="1"/>
                <w:color w:val="auto"/>
              </w:rPr>
              <w:t>(713) 646-4100</w:t>
            </w:r>
          </w:p>
        </w:tc>
      </w:tr>
    </w:tbl>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11"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8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84"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93"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3">
            <w:col w:w="3280" w:space="100"/>
            <w:col w:w="3460" w:space="720"/>
            <w:col w:w="3820"/>
          </w:cols>
          <w:pgMar w:left="240" w:top="233" w:right="279" w:bottom="1440" w:gutter="0" w:footer="0" w:header="0"/>
          <w:type w:val="continuous"/>
        </w:sectPr>
      </w:pPr>
    </w:p>
    <w:p>
      <w:pPr>
        <w:spacing w:after="0" w:line="145"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460" w:space="720"/>
            <w:col w:w="4200"/>
          </w:cols>
          <w:pgMar w:left="240" w:top="233" w:right="279" w:bottom="1440" w:gutter="0" w:footer="0" w:header="0"/>
          <w:type w:val="continuous"/>
        </w:sectPr>
      </w:pPr>
    </w:p>
    <w:p>
      <w:pPr>
        <w:ind w:left="940"/>
        <w:spacing w:after="0"/>
        <w:rPr>
          <w:sz w:val="20"/>
          <w:szCs w:val="20"/>
          <w:color w:val="auto"/>
        </w:rPr>
      </w:pPr>
      <w:r>
        <w:rPr>
          <w:rFonts w:ascii="Arial" w:cs="Arial" w:eastAsia="Arial" w:hAnsi="Arial"/>
          <w:sz w:val="18"/>
          <w:szCs w:val="18"/>
          <w:color w:val="auto"/>
        </w:rPr>
        <w:t>(Do not check if a smaller reporting company)</w:t>
      </w:r>
    </w:p>
    <w:p>
      <w:pPr>
        <w:spacing w:after="0" w:line="200" w:lineRule="exact"/>
        <w:rPr>
          <w:sz w:val="24"/>
          <w:szCs w:val="24"/>
          <w:color w:val="auto"/>
        </w:rPr>
      </w:pPr>
    </w:p>
    <w:p>
      <w:pPr>
        <w:spacing w:after="0" w:line="344"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 2016, there were 268,352,408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263525</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177800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20"/>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80" w:type="dxa"/>
            <w:vAlign w:val="bottom"/>
            <w:gridSpan w:val="16"/>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2016 and December 31, 2015</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8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2016 and 2015</w:t>
              </w:r>
            </w:hyperlink>
          </w:p>
        </w:tc>
        <w:tc>
          <w:tcPr>
            <w:tcW w:w="1420" w:type="dxa"/>
            <w:vAlign w:val="bottom"/>
            <w:gridSpan w:val="5"/>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50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2016 and 2015</w:t>
              </w:r>
            </w:hyperlink>
          </w:p>
        </w:tc>
        <w:tc>
          <w:tcPr>
            <w:tcW w:w="50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5"/>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Changes in Accumulated Other Comprehensive Income/(Loss): For the nine months ended</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2016 and 2015</w:t>
              </w:r>
            </w:hyperlink>
          </w:p>
        </w:tc>
        <w:tc>
          <w:tcPr>
            <w:tcW w:w="7080" w:type="dxa"/>
            <w:vAlign w:val="bottom"/>
            <w:tcBorders>
              <w:top w:val="single" w:sz="8" w:color="0000EE"/>
            </w:tcBorders>
            <w:gridSpan w:val="20"/>
          </w:tcPr>
          <w:p>
            <w:pPr>
              <w:spacing w:after="0"/>
              <w:rPr>
                <w:sz w:val="17"/>
                <w:szCs w:val="17"/>
                <w:color w:val="auto"/>
              </w:rPr>
            </w:pPr>
          </w:p>
        </w:tc>
        <w:tc>
          <w:tcPr>
            <w:tcW w:w="60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792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2016 and 2015</w:t>
              </w:r>
            </w:hyperlink>
          </w:p>
        </w:tc>
        <w:tc>
          <w:tcPr>
            <w:tcW w:w="2080" w:type="dxa"/>
            <w:vAlign w:val="bottom"/>
            <w:gridSpan w:val="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nine months ended September 30, 2016 and 2015</w:t>
              </w:r>
            </w:hyperlink>
          </w:p>
        </w:tc>
        <w:tc>
          <w:tcPr>
            <w:tcW w:w="86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700" w:type="dxa"/>
            <w:vAlign w:val="bottom"/>
            <w:gridSpan w:val="13"/>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440" w:type="dxa"/>
            <w:vAlign w:val="bottom"/>
            <w:gridSpan w:val="1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7"/>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696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2220" w:type="dxa"/>
            <w:vAlign w:val="bottom"/>
            <w:gridSpan w:val="13"/>
          </w:tcPr>
          <w:p>
            <w:pPr>
              <w:ind w:left="20"/>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Net Income Per Class A Share</w:t>
              </w:r>
            </w:hyperlink>
          </w:p>
        </w:tc>
        <w:tc>
          <w:tcPr>
            <w:tcW w:w="460" w:type="dxa"/>
            <w:vAlign w:val="bottom"/>
            <w:gridSpan w:val="4"/>
          </w:tcPr>
          <w:p>
            <w:pPr>
              <w:spacing w:after="0"/>
              <w:rPr>
                <w:sz w:val="21"/>
                <w:szCs w:val="21"/>
                <w:color w:val="auto"/>
              </w:rPr>
            </w:pPr>
          </w:p>
        </w:tc>
        <w:tc>
          <w:tcPr>
            <w:tcW w:w="696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4.</w:t>
              </w:r>
            </w:hyperlink>
          </w:p>
        </w:tc>
        <w:tc>
          <w:tcPr>
            <w:tcW w:w="2220" w:type="dxa"/>
            <w:vAlign w:val="bottom"/>
            <w:gridSpan w:val="13"/>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Accounts Receivable, Net</w:t>
              </w:r>
            </w:hyperlink>
          </w:p>
        </w:tc>
        <w:tc>
          <w:tcPr>
            <w:tcW w:w="742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5.</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Inventory, Linefill and Base Gas and Long-term Inventory</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Goodwill</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7.</w:t>
              </w:r>
            </w:hyperlink>
          </w:p>
        </w:tc>
        <w:tc>
          <w:tcPr>
            <w:tcW w:w="380" w:type="dxa"/>
            <w:vAlign w:val="bottom"/>
          </w:tcPr>
          <w:p>
            <w:pPr>
              <w:ind w:left="2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8940" w:type="dxa"/>
            <w:vAlign w:val="bottom"/>
            <w:gridSpan w:val="2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8.</w:t>
              </w:r>
            </w:hyperlink>
          </w:p>
        </w:tc>
        <w:tc>
          <w:tcPr>
            <w:tcW w:w="2500" w:type="dxa"/>
            <w:vAlign w:val="bottom"/>
            <w:gridSpan w:val="15"/>
          </w:tcPr>
          <w:p>
            <w:pPr>
              <w:ind w:left="2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Partners’ Capital and Distributions</w:t>
              </w:r>
            </w:hyperlink>
          </w:p>
        </w:tc>
        <w:tc>
          <w:tcPr>
            <w:tcW w:w="7140" w:type="dxa"/>
            <w:vAlign w:val="bottom"/>
            <w:gridSpan w:val="1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9.</w:t>
              </w:r>
            </w:hyperlink>
          </w:p>
        </w:tc>
        <w:tc>
          <w:tcPr>
            <w:tcW w:w="9640" w:type="dxa"/>
            <w:vAlign w:val="bottom"/>
            <w:gridSpan w:val="32"/>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Derivatives and Risk Management Activities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88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10. Related Party Transactions</w:t>
              </w:r>
            </w:hyperlink>
          </w:p>
        </w:tc>
        <w:tc>
          <w:tcPr>
            <w:tcW w:w="640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3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11. Equity-Indexed Compensation Plans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12. Commitments and Contingencies</w:t>
              </w:r>
            </w:hyperlink>
          </w:p>
        </w:tc>
        <w:tc>
          <w:tcPr>
            <w:tcW w:w="180" w:type="dxa"/>
            <w:vAlign w:val="bottom"/>
            <w:gridSpan w:val="2"/>
          </w:tcPr>
          <w:p>
            <w:pPr>
              <w:spacing w:after="0"/>
              <w:rPr>
                <w:sz w:val="21"/>
                <w:szCs w:val="21"/>
                <w:color w:val="auto"/>
              </w:rPr>
            </w:pPr>
          </w:p>
        </w:tc>
        <w:tc>
          <w:tcPr>
            <w:tcW w:w="696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13. Operating Segments</w:t>
              </w:r>
            </w:hyperlink>
          </w:p>
        </w:tc>
        <w:tc>
          <w:tcPr>
            <w:tcW w:w="7140" w:type="dxa"/>
            <w:vAlign w:val="bottom"/>
            <w:gridSpan w:val="1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60" w:type="dxa"/>
            <w:vAlign w:val="bottom"/>
            <w:gridSpan w:val="2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14. Acquisitions, Investments in Unconsolidated Entities, Dispositions and Impairments</w:t>
              </w:r>
            </w:hyperlink>
          </w:p>
        </w:tc>
        <w:tc>
          <w:tcPr>
            <w:tcW w:w="344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8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60" w:type="dxa"/>
            <w:vAlign w:val="bottom"/>
            <w:gridSpan w:val="2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15. Simplification Transactions</w:t>
              </w:r>
            </w:hyperlink>
          </w:p>
        </w:tc>
        <w:tc>
          <w:tcPr>
            <w:tcW w:w="344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140" w:type="dxa"/>
            <w:vAlign w:val="bottom"/>
            <w:gridSpan w:val="3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8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680" w:type="dxa"/>
            <w:vAlign w:val="bottom"/>
            <w:gridSpan w:val="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8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21"/>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Item 4. CONTROLS AND PROCEDURES</w:t>
              </w:r>
            </w:hyperlink>
          </w:p>
        </w:tc>
        <w:tc>
          <w:tcPr>
            <w:tcW w:w="3520" w:type="dxa"/>
            <w:vAlign w:val="bottom"/>
            <w:gridSpan w:val="7"/>
          </w:tcPr>
          <w:p>
            <w:pPr>
              <w:spacing w:after="0"/>
              <w:rPr>
                <w:sz w:val="21"/>
                <w:szCs w:val="21"/>
                <w:color w:val="auto"/>
              </w:rPr>
            </w:pPr>
          </w:p>
        </w:tc>
        <w:tc>
          <w:tcPr>
            <w:tcW w:w="344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520"/>
        </w:trPr>
        <w:tc>
          <w:tcPr>
            <w:tcW w:w="2760" w:type="dxa"/>
            <w:vAlign w:val="bottom"/>
            <w:tcBorders>
              <w:top w:val="single" w:sz="8" w:color="0000EE"/>
              <w:bottom w:val="single" w:sz="8" w:color="0000EE"/>
            </w:tcBorders>
            <w:gridSpan w:val="18"/>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3"/>
          </w:tcPr>
          <w:p>
            <w:pPr>
              <w:spacing w:after="0"/>
              <w:rPr>
                <w:sz w:val="24"/>
                <w:szCs w:val="24"/>
                <w:color w:val="auto"/>
              </w:rPr>
            </w:pPr>
          </w:p>
        </w:tc>
        <w:tc>
          <w:tcPr>
            <w:tcW w:w="6960" w:type="dxa"/>
            <w:vAlign w:val="bottom"/>
            <w:gridSpan w:val="15"/>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 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1A. RISK FACTORS</w:t>
              </w:r>
            </w:hyperlink>
          </w:p>
        </w:tc>
        <w:tc>
          <w:tcPr>
            <w:tcW w:w="7720" w:type="dxa"/>
            <w:vAlign w:val="bottom"/>
            <w:gridSpan w:val="2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2880" w:type="dxa"/>
            <w:vAlign w:val="bottom"/>
            <w:tcBorders>
              <w:left w:val="single" w:sz="8" w:color="0000EE"/>
            </w:tcBorders>
            <w:gridSpan w:val="5"/>
            <w:shd w:val="clear" w:color="auto" w:fill="0000EE"/>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2"/>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Item 3. DEFAULTS UPON SENIOR SECURITIES</w:t>
              </w:r>
            </w:hyperlink>
          </w:p>
        </w:tc>
        <w:tc>
          <w:tcPr>
            <w:tcW w:w="2880" w:type="dxa"/>
            <w:vAlign w:val="bottom"/>
            <w:gridSpan w:val="5"/>
          </w:tcPr>
          <w:p>
            <w:pPr>
              <w:spacing w:after="0"/>
              <w:rPr>
                <w:sz w:val="21"/>
                <w:szCs w:val="21"/>
                <w:color w:val="auto"/>
              </w:rPr>
            </w:pPr>
          </w:p>
        </w:tc>
        <w:tc>
          <w:tcPr>
            <w:tcW w:w="352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14"/>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9"/>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4. MINE SAFETY DISCLOSURES</w:t>
              </w:r>
            </w:hyperlink>
          </w:p>
        </w:tc>
        <w:tc>
          <w:tcPr>
            <w:tcW w:w="740" w:type="dxa"/>
            <w:vAlign w:val="bottom"/>
            <w:gridSpan w:val="3"/>
          </w:tcPr>
          <w:p>
            <w:pPr>
              <w:spacing w:after="0"/>
              <w:rPr>
                <w:sz w:val="21"/>
                <w:szCs w:val="21"/>
                <w:color w:val="auto"/>
              </w:rPr>
            </w:pPr>
          </w:p>
        </w:tc>
        <w:tc>
          <w:tcPr>
            <w:tcW w:w="640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7140" w:type="dxa"/>
            <w:vAlign w:val="bottom"/>
            <w:gridSpan w:val="17"/>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Item 5. OTHER INFORMATION</w:t>
              </w:r>
            </w:hyperlink>
          </w:p>
        </w:tc>
        <w:tc>
          <w:tcPr>
            <w:tcW w:w="560" w:type="dxa"/>
            <w:vAlign w:val="bottom"/>
            <w:gridSpan w:val="6"/>
          </w:tcPr>
          <w:p>
            <w:pPr>
              <w:spacing w:after="0"/>
              <w:rPr>
                <w:sz w:val="21"/>
                <w:szCs w:val="21"/>
                <w:color w:val="auto"/>
              </w:rPr>
            </w:pPr>
          </w:p>
        </w:tc>
        <w:tc>
          <w:tcPr>
            <w:tcW w:w="7140" w:type="dxa"/>
            <w:vAlign w:val="bottom"/>
            <w:gridSpan w:val="1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700" w:type="dxa"/>
            <w:vAlign w:val="bottom"/>
            <w:gridSpan w:val="2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6. EXHIBITS</w:t>
              </w:r>
            </w:hyperlink>
          </w:p>
        </w:tc>
        <w:tc>
          <w:tcPr>
            <w:tcW w:w="7700" w:type="dxa"/>
            <w:vAlign w:val="bottom"/>
            <w:gridSpan w:val="2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780" w:type="dxa"/>
            <w:vAlign w:val="bottom"/>
            <w:gridSpan w:val="2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8780" w:type="dxa"/>
            <w:vAlign w:val="bottom"/>
            <w:gridSpan w:val="2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0"/>
          </w:tcPr>
          <w:p>
            <w:pPr>
              <w:jc w:val="right"/>
              <w:ind w:right="6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916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15,695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13,493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2,027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898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2,040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3,409</w:t>
            </w:r>
          </w:p>
        </w:tc>
      </w:tr>
      <w:tr>
        <w:trPr>
          <w:trHeight w:val="264"/>
        </w:trPr>
        <w:tc>
          <w:tcPr>
            <w:tcW w:w="8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9,698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 net of unamortized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11,499</w:t>
            </w:r>
          </w:p>
        </w:tc>
      </w:tr>
      <w:tr>
        <w:trPr>
          <w:trHeight w:val="264"/>
        </w:trPr>
        <w:tc>
          <w:tcPr>
            <w:tcW w:w="8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Class A Shareholders (268,352,408 and 229,278,980 shares outstanding, respectively)</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1,762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7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1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4,876</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13,344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17,225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18,156</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15,591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4,822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13,457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Interest expense (net of capitalized interest of $11, $14, $37 and $42,</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w:t>
            </w:r>
          </w:p>
        </w:tc>
        <w:tc>
          <w:tcPr>
            <w:tcW w:w="90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w:t>
            </w:r>
          </w:p>
        </w:tc>
        <w:tc>
          <w:tcPr>
            <w:tcW w:w="90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w w:val="91"/>
              </w:rPr>
              <w:t>Comprehensive (income)/loss attributable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9)</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23"/>
        </w:trPr>
        <w:tc>
          <w:tcPr>
            <w:tcW w:w="8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PAA commercial paper program (Note 7)</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 under PAA senior secured hedged inventory facility (Note 7)</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AAP senior secured revolving credit facility (Note 7)</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AAP term loan</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PAA senior notes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PAA senior notes (Note 7)</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Series A preferred units by a subsidiary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common units by a subsidiary (Note 8)</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Class A shareholders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interests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67"/>
        </w:trPr>
        <w:tc>
          <w:tcPr>
            <w:tcW w:w="83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10"/>
        </w:trPr>
        <w:tc>
          <w:tcPr>
            <w:tcW w:w="8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7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7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Change in ownership interest in connection with Exchange Right exercises (Note 8)</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Series A preferred units by a subsidiary</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common units by a subsidiary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common units by a subsidiary</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00" w:right="250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 As used in this Form 10-Q and unless the context indicates otherwise (taking into account the fact that PAGP has no operating activities apart from those conducted by PAA and its subsidiaries), the terms “Partnership,” “we,” “us,” “our,” “ours” and similar terms refer to PAGP and its consolidated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2016, our sole assets consisted of (i) a 100% managing member interest in Plains All American GP LLC (“GP LLC”) and</w:t>
      </w:r>
    </w:p>
    <w:p>
      <w:pPr>
        <w:spacing w:after="0" w:line="35" w:lineRule="exact"/>
        <w:rPr>
          <w:sz w:val="20"/>
          <w:szCs w:val="20"/>
          <w:color w:val="auto"/>
        </w:rPr>
      </w:pPr>
    </w:p>
    <w:p>
      <w:pPr>
        <w:ind w:firstLine="8"/>
        <w:spacing w:after="0" w:line="253"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approximate 42% limited partner interest in Plains AAP, L.P. (“AAP”) through our ownership of 268,352,408 Class A units of AAP (“AAP units”). GP LLC is a Delaware limited liability company that holds the general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PAA GP Holdings LLC (“GP Holdings”), a Delaware limited liability company, is our general partner.</w:t>
      </w:r>
    </w:p>
    <w:p>
      <w:pPr>
        <w:spacing w:after="0" w:line="19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Agreement</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July 11, 2016, PAGP, PAA, AAP, PAA GP, GP LLC and GP Holdings entered into a Simplification Agreement pursuant to which, upon closing, in exchange for the issuance by PAA to AAP of approximately 245.5 million common units representing limited partner interests in PAA and the assumption by PAA of AAP’s outstanding debt, AAP will contribute the IDRs to PAA and PAA GP’s 2% economic general partner interest in PAA will be converted into a non-economic general partner interest in PAA. Following the closing of the transactions contemplated by the Simplification Agreement, which is expected to occur on November 15, 2016, both PAGP and PAA will continue to be publicly traded. See Note 15 for further discussion of this transaction.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VIE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Variable Interest Entity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2015 Annual Report on Form 10-K. On January 1, 2016 we adopted FASB guidance regarding the analysis that a reporting entity must perform to determine whether it should consolidate certain types of legal entities. Among other things, the guidance modified the evaluation of whether limited partnerships are variable interest entities (“VIE”) and eliminates the presumption that a general partner should consolidate a limited partnership. The adoption of this standard did not impact our consolidation conclusions, but did result in a change in our analysis and an increase in disclosures regarding our analysis.</w:t>
      </w:r>
    </w:p>
    <w:p>
      <w:pPr>
        <w:spacing w:after="0" w:line="15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Management judgment is required to evaluate whether PAGP controls an entity. Key areas of that evaluation include (i) determining whether an entity is a VIE;</w:t>
      </w:r>
    </w:p>
    <w:p>
      <w:pPr>
        <w:ind w:firstLine="8"/>
        <w:spacing w:after="0" w:line="251"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 An entity is referred to as a VIE pursuant to accounting guidance for consolidation if it possesses one of the following criteria: (i) it is thinly capitalized, (ii) the residual equity holders do not control the entity, (iii) the equity holders are shielded from the economic losses, (iv) the equity holders do not participate fully in the entity’s residual economics, or (v) the entity was established with non-substantive voting interests. We consolidate a VIE when we have both the power to direct the activities that most significantly impact the activities of the VIE and the right to receive benefits or the obligation to absorb losses of the entity that could be potentially significant to the VIE. We continually monitor both consolidated and unconsolidated VIEs to determine if any events have occurred that could cause the primary beneficiary to change.</w:t>
      </w:r>
    </w:p>
    <w:p>
      <w:pPr>
        <w:spacing w:after="0" w:line="19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have determined that PAA and AAP are VIEs and should be consolidated by PAGP along with GP LLC. PAA is a VIE due to its allocation of income, but not losses, to the holder(s) of IDRs. AAP is a VIE because GP LLC controls AAP through its general partnership interest, but does not have an economic interest in AAP. AAP is the primary beneficiary of PAA because it has the power to direct the activities that most significantly impact PAA’s performance. PAGP is the primary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beneficiary of AAP because it has the power, through its control of GP LLC, to direct the activities that most significantly impact AAP’s performance.</w:t>
      </w:r>
    </w:p>
    <w:p>
      <w:pPr>
        <w:spacing w:after="0" w:line="237"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With the exception of a deferred tax asset of $1,886 million and $1,835 million as of September 30, 2016 and December 31, 2015, respectively, substantially all assets and liabilities presented on PAGP’s consolidated balance sheet are those of the consolidated VIEs above.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2016 or during the year ended December 31, 2015. Amounts associated with the interests in these entities not owned by us are reflected in our results of operations as net income attributable to noncontrolling interests and on our balance sheet in the partners’ capital section as noncontrolling interests.</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Such reclassifications include $2 million and $7 million reclassified from “Depreciation and amortization” to “Interest expense, net” in our accompanying Condensed Consolidated Statements of Operations for the three and nine months ended September 30, 2015, respectively, due to the retrospective application of revised debt issuance costs guidance issued by the FASB, which we adopted during the fourth quarter of 2015. These reclassifications do not affect net income attributable to PAGP. The condensed consolidated balance sheet data as of December 31, 2015 was derived from audited financial statements, but does not include all disclosures required by GAAP. The results of operations for the three and nine months ended September 30, 2016 should not be taken as indicative of results to be expected for the entire year.</w:t>
      </w:r>
    </w:p>
    <w:p>
      <w:pPr>
        <w:spacing w:after="0" w:line="16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2015 Annual Report on Form 10-K, there have been no new accounting pronouncements that have become effective or have been issued during the nine months ended September 30, 2016 that are of significance or potential significance to us.</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w:t>
      </w:r>
    </w:p>
    <w:p>
      <w:pPr>
        <w:ind w:right="100" w:firstLine="8"/>
        <w:spacing w:after="0" w:line="271" w:lineRule="auto"/>
        <w:tabs>
          <w:tab w:leader="none" w:pos="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became effective for interim and annual periods beginning after December 15, 2015. We adopted this guidance on January 1, 2016. See Note 1 for additional disclosure. Our adoption did not have a material impact on our financial position, results of operations or cash flows.</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February 2016, the FASB issued guidance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We are currently evaluating the effect that adopting this guidance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March 2016, the FASB issued guidance to simplify several aspects of the accounting for share-based payment transactions, including the income tax consequences, classification of awards as either equity or liabilities and classification of certain related payments on the statement of cash flows. This guidance will become effective for interim and annual periods beginning after December 15, 2016, with early adoption permitted. We expect to adopt this guidance on January 1, 2017, and do not anticipate that our adoption will have a material impact on our financial position, results of operations or cash flows.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June 2016, the FASB issued new guidance for the accounting for credit losses on certain financial instruments. This guidance will become effective for interim and annual periods beginning after December 15, 2019, with early adoption permitted by one year. We expect to adopt this guidance on January 1, 2020, and we are currently evaluating the effect that adopting this guidance will have on our financial position, results of operations and cash flows.</w:t>
      </w:r>
    </w:p>
    <w:p>
      <w:pPr>
        <w:spacing w:after="0" w:line="187"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August 2016, the FASB issued guidance relating to the classification and presentation of eight specific cash flow issues. This guidance will become effective for interim and annual periods beginning after December 15, 2018, with early adoption permitted. We plan to early adopt this guidance during the fourth quarter of 2016, and we do not currently expect that our adoption will impact our statement of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weighted-average number of Class A shares outstanding considers the effect of potentially dilutive awards under the Plains GP Holdings, L.P. Long-Term Incentive Plan (the “PAGP LTIP”).</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8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w:t>
      </w:r>
    </w:p>
    <w:p>
      <w:pPr>
        <w:spacing w:after="0" w:line="193"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For the three months ended September 30, 2016 and the three and nine months ended September 30, 2015, the possible exchange of certain AAP Management Units and the exchange of certain AAP units would not have had a dilutive effect on basic net income per Class A share. For the nine months ended September 30, 2016, the possible exchange of certain AAP Management Units would not have had a dilutive effect on basic net income per Class A share. The following table sets forth the computation of basic and diluted net income per Class A share (in millions, except per share data):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Incremental net income attributable to PAGP resulting from</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assumed exchange of AAP units and AAP Management Units</w:t>
            </w:r>
          </w:p>
        </w:tc>
        <w:tc>
          <w:tcPr>
            <w:tcW w:w="9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60" w:type="dxa"/>
            <w:vAlign w:val="bottom"/>
          </w:tcPr>
          <w:p>
            <w:pPr>
              <w:ind w:left="180"/>
              <w:spacing w:after="0"/>
              <w:rPr>
                <w:sz w:val="20"/>
                <w:szCs w:val="20"/>
                <w:color w:val="auto"/>
              </w:rPr>
            </w:pPr>
            <w:r>
              <w:rPr>
                <w:rFonts w:ascii="Arial" w:cs="Arial" w:eastAsia="Arial" w:hAnsi="Arial"/>
                <w:sz w:val="18"/>
                <w:szCs w:val="18"/>
                <w:color w:val="auto"/>
                <w:w w:val="94"/>
              </w:rPr>
              <w:t>Net income attributable to PAGP including incremental net income</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w w:val="98"/>
              </w:rPr>
              <w:t>from assumed exchange of AAP units and AAP Management</w:t>
            </w:r>
          </w:p>
        </w:tc>
        <w:tc>
          <w:tcPr>
            <w:tcW w:w="900" w:type="dxa"/>
            <w:vAlign w:val="bottom"/>
            <w:vMerge w:val="restart"/>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00" w:type="dxa"/>
            <w:vAlign w:val="bottom"/>
            <w:vMerge w:val="restart"/>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600" w:type="dxa"/>
            <w:vAlign w:val="bottom"/>
            <w:vMerge w:val="restart"/>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Units</w:t>
            </w:r>
          </w:p>
        </w:tc>
        <w:tc>
          <w:tcPr>
            <w:tcW w:w="90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9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Dilutive shares resulting from assumed exchange of AAP units and</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AAP Management Units</w:t>
            </w:r>
          </w:p>
        </w:tc>
        <w:tc>
          <w:tcPr>
            <w:tcW w:w="9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 net income per Class A share</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Note 4—Accounts Receivable, Net</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September 30, 2016 and December 31, 2015, we had received $62 million and $88 million, respectively, of advance cash payments from third parties to mitigate credit risk. We also received $103 million and $36 million as of September 30, 2016 and December 31, 2015,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9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2016 and December 31, 2015, substantially all of our trade accounts receivable (net of allowance for doubtful accounts) were less than 30 days past their scheduled invoice date. Our allowance for doubtful accounts receivable totaled $3 million and $4 million at September 30, 2016 and December 31, 2015, respectively. Although we consider our allowance for doubtful accounts receivable to be adequate, actual amounts could vary significantly from estimated amounts.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13"/>
                <w:szCs w:val="13"/>
                <w:color w:val="auto"/>
              </w:rPr>
            </w:pPr>
          </w:p>
        </w:tc>
        <w:tc>
          <w:tcPr>
            <w:tcW w:w="86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80" w:type="dxa"/>
            <w:vAlign w:val="bottom"/>
          </w:tcPr>
          <w:p>
            <w:pPr>
              <w:spacing w:after="0"/>
              <w:rPr>
                <w:sz w:val="13"/>
                <w:szCs w:val="13"/>
                <w:color w:val="auto"/>
              </w:rPr>
            </w:pPr>
          </w:p>
        </w:tc>
        <w:tc>
          <w:tcPr>
            <w:tcW w:w="84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6"/>
                <w:szCs w:val="16"/>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 xml:space="preserve">Unit </w:t>
            </w:r>
            <w:r>
              <w:rPr>
                <w:rFonts w:ascii="Arial" w:cs="Arial" w:eastAsia="Arial" w:hAnsi="Arial"/>
                <w:sz w:val="8"/>
                <w:szCs w:val="8"/>
                <w:b w:val="1"/>
                <w:bCs w:val="1"/>
                <w:color w:val="auto"/>
                <w:w w:val="97"/>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80" w:type="dxa"/>
            <w:vAlign w:val="bottom"/>
          </w:tcPr>
          <w:p>
            <w:pPr>
              <w:spacing w:after="0"/>
              <w:rPr>
                <w:sz w:val="16"/>
                <w:szCs w:val="16"/>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1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20,494</w:t>
            </w:r>
          </w:p>
        </w:tc>
        <w:tc>
          <w:tcPr>
            <w:tcW w:w="1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879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42.89</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16,345</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13,907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15,116</w:t>
            </w:r>
          </w:p>
        </w:tc>
        <w:tc>
          <w:tcPr>
            <w:tcW w:w="1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30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12,298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30.87</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30,812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9"/>
        </w:trPr>
        <w:tc>
          <w:tcPr>
            <w:tcW w:w="2300" w:type="dxa"/>
            <w:vAlign w:val="bottom"/>
          </w:tcPr>
          <w:p>
            <w:pPr>
              <w:ind w:left="180"/>
              <w:spacing w:after="0"/>
              <w:rPr>
                <w:sz w:val="20"/>
                <w:szCs w:val="20"/>
                <w:color w:val="auto"/>
              </w:rPr>
            </w:pPr>
            <w:r>
              <w:rPr>
                <w:rFonts w:ascii="Arial" w:cs="Arial" w:eastAsia="Arial" w:hAnsi="Arial"/>
                <w:sz w:val="18"/>
                <w:szCs w:val="18"/>
                <w:color w:val="auto"/>
              </w:rPr>
              <w:t>Linefill and base gas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15.51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inventory</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spacing w:after="0" w:line="49" w:lineRule="exact"/>
        <w:rPr>
          <w:sz w:val="20"/>
          <w:szCs w:val="20"/>
          <w:color w:val="auto"/>
        </w:rPr>
      </w:pPr>
    </w:p>
    <w:p>
      <w:pPr>
        <w:ind w:left="660" w:right="16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30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5"/>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Balance at September 30,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annual goodwill impairment test as of June 30, 2016 and determined that there was no impairment of goodwill.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w w:val="98"/>
              </w:rPr>
              <w:t xml:space="preserve">PAA commercial paper notes, bearing a weighted-average interest rate of 1.3% and 1.1%, respectively </w:t>
            </w:r>
            <w:r>
              <w:rPr>
                <w:rFonts w:ascii="Arial" w:cs="Arial" w:eastAsia="Arial" w:hAnsi="Arial"/>
                <w:sz w:val="25"/>
                <w:szCs w:val="25"/>
                <w:color w:val="auto"/>
                <w:w w:val="98"/>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PAA senior secured hedged inventory facility, bearing a weighted-average interest rate of 1.5% and 1.4%,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PAA senior notes: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PAA senior notes, net of unamortized discounts and debt issuance costs of $70 and $77, respectively</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w w:val="96"/>
              </w:rPr>
              <w:t xml:space="preserve">PAA commercial paper notes, bearing a weighted-average interest rate of 1.3% and 1.1%, respectively </w:t>
            </w:r>
            <w:r>
              <w:rPr>
                <w:rFonts w:ascii="Arial" w:cs="Arial" w:eastAsia="Arial" w:hAnsi="Arial"/>
                <w:sz w:val="25"/>
                <w:szCs w:val="25"/>
                <w:color w:val="auto"/>
                <w:w w:val="96"/>
                <w:vertAlign w:val="superscript"/>
              </w:rPr>
              <w:t>(2)</w:t>
            </w:r>
          </w:p>
        </w:tc>
        <w:tc>
          <w:tcPr>
            <w:tcW w:w="2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AAP term loan, bearing a weighted-average interest rate of 2.2% and 2.0%,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8"/>
              </w:rPr>
              <w:t>AAP senior secured revolving credit facility, bearing a weighted-average interest rate of 2.1% and 2.0%,</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10,932</w:t>
            </w:r>
          </w:p>
        </w:tc>
        <w:tc>
          <w:tcPr>
            <w:tcW w:w="0" w:type="dxa"/>
            <w:vAlign w:val="bottom"/>
          </w:tcPr>
          <w:p>
            <w:pPr>
              <w:spacing w:after="0"/>
              <w:rPr>
                <w:sz w:val="1"/>
                <w:szCs w:val="1"/>
                <w:color w:val="auto"/>
              </w:rPr>
            </w:pPr>
          </w:p>
        </w:tc>
      </w:tr>
      <w:tr>
        <w:trPr>
          <w:trHeight w:val="264"/>
        </w:trPr>
        <w:tc>
          <w:tcPr>
            <w:tcW w:w="8340" w:type="dxa"/>
            <w:vAlign w:val="bottom"/>
          </w:tcPr>
          <w:p>
            <w:pPr>
              <w:ind w:left="38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11,931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80" w:hanging="652"/>
        <w:spacing w:after="0" w:line="22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September 30, 2016 and December 31, 2015, as these notes and borrowings were primarily designated as working capital borrowings, were required to be repaid within one year and were primarily for hedged NGL and crude oil inventory and NYMEX and ICE margin deposits.</w:t>
      </w:r>
    </w:p>
    <w:p>
      <w:pPr>
        <w:spacing w:after="0" w:line="257"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As of September 30, 2016 and December 31, 2015, we classified a portion of our commercial paper notes as long-term based on our ability and intent to refinance such amounts on a long-term basis under our credit facilities.</w:t>
      </w:r>
    </w:p>
    <w:p>
      <w:pPr>
        <w:spacing w:after="0" w:line="203" w:lineRule="exact"/>
        <w:rPr>
          <w:rFonts w:ascii="Arial" w:cs="Arial" w:eastAsia="Arial" w:hAnsi="Arial"/>
          <w:sz w:val="25"/>
          <w:szCs w:val="25"/>
          <w:color w:val="auto"/>
          <w:vertAlign w:val="superscript"/>
        </w:rPr>
      </w:pPr>
    </w:p>
    <w:p>
      <w:pPr>
        <w:ind w:left="660" w:right="80" w:hanging="652"/>
        <w:spacing w:after="0" w:line="274"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PAA’s fixed-rate senior notes (including current maturities) had a face value of approximately $9.6 billion and $9.8 billion as of September 30, 2016 and December 31, 2015, respectively. We estimated the aggregate fair value of these notes as of September 30, 2016 and December 31, 2015 to be approximately $9.7 billion and $8.6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agreements and the PAA commercial paper program approximates fair value as interest rates reflect current market rates. The fair value estimates for the PAA senior notes, the credit agreements and the PAA commercial paper program are based upon observable market data and are classified in Level 2 of the fair value hierarchy.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August 2016, PAA extended the maturity dates of its senior unsecured revolving credit facility, senior secured hedged inventory facility and 364-day credit facility to August 2021, August 2019 and August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Total borrowings under the credit agreements and the PAA commercial paper program for the nine months ended September 30, 2016 and 2015 were approximately $41.4 billion and $37.1 billion, respectively. Total repayments under the credit agreements and the PAA commercial paper program were approximately $41.6 billion and $36.9 billion for the nine months ended September 30, 2016 and 2015,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September 30, 2016 and December 31, 2015, we had outstanding letters of credit of $47 million and $46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PAA's $175 million, 5.88% senior notes were repaid in August 2016. We utilized cash on hand and available capacity under PAA's commercial paper program and credit facilities to repay these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Holders of AAP units and their permitted transferees each have the right to exchange all or a portion of their AAP units for Class A shares at an exchange ratio of one Class A share for each AAP unit exchanged (referred to herein as the “Exchange Right”). This Exchange Right may be exercised only if, simultaneously therewith, an equal number of Class B shares and general partner units are transferred by the exercising party to us. Additionally, a holder of vested AAP Management Units is entitled to convert his or her AAP Management Units into AAP units and a like number of our Class B shares based on a conversion ratio of 0.941 AAP units for each AAP Management Unit. Following any such conversion, the holder will have the Exchange Right for our Class A shares. Holders of AAP Management Units who convert such units into AAP units and our Class B shares will not receive general partner units and thus will not need to include any general partner units in a transfer or the exercise of their Exchange Right. See Note 15 to our Consolidated Financial Statements included in Part IV of our 2015 Annual Report on Form 10-K for more information regarding AAP Management Units.</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nine months ended September 30, 2016, certain holders of AAP units and their permitted transferees exercised their Exchange Right, which resulted in the exchange of AAP units, general partner units and our Class B shares for our Class A shares. Additionally, during the nine months ended September 30, 2016, certain holders of AAP Management Units converted an aggregate of 38,446,238 AAP Management Units into AAP units and our Class B shares based on the conversion ratio in effect at the time of each conversion. Certain of those unitholders subsequently exercised their Exchange Right for our Class A shares. The impact on our Class A shares and Class B shares outstanding of the AAP Management Unit conversions and Exchange Right exercises that occurred during the nine months ended September 30, 2016 is reflected in the table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and Class B shares: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Class B Shares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29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376,771,593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229,278,980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Shares issued in connection with conversion of AAP Management Units</w:t>
            </w:r>
          </w:p>
        </w:tc>
        <w:tc>
          <w:tcPr>
            <w:tcW w:w="2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vMerge w:val="continue"/>
          </w:tcPr>
          <w:p>
            <w:pPr>
              <w:spacing w:after="0"/>
              <w:rPr>
                <w:sz w:val="19"/>
                <w:szCs w:val="19"/>
                <w:color w:val="auto"/>
              </w:rPr>
            </w:pPr>
          </w:p>
        </w:tc>
        <w:tc>
          <w:tcPr>
            <w:tcW w:w="4400" w:type="dxa"/>
            <w:vAlign w:val="bottom"/>
            <w:gridSpan w:val="2"/>
          </w:tcPr>
          <w:p>
            <w:pPr>
              <w:jc w:val="right"/>
              <w:ind w:right="36"/>
              <w:spacing w:after="0"/>
              <w:rPr>
                <w:sz w:val="20"/>
                <w:szCs w:val="20"/>
                <w:color w:val="auto"/>
              </w:rPr>
            </w:pPr>
            <w:r>
              <w:rPr>
                <w:rFonts w:ascii="Arial" w:cs="Arial" w:eastAsia="Arial" w:hAnsi="Arial"/>
                <w:sz w:val="18"/>
                <w:szCs w:val="18"/>
                <w:color w:val="auto"/>
              </w:rPr>
              <w:t>36,130,927</w:t>
            </w:r>
          </w:p>
        </w:tc>
        <w:tc>
          <w:tcPr>
            <w:tcW w:w="10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Shares (exchanged)/issued in connection with Exchange Right exercises</w:t>
            </w:r>
          </w:p>
        </w:tc>
        <w:tc>
          <w:tcPr>
            <w:tcW w:w="4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(39,052,628)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39,052,628</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Shares issued in connection with PAGP LTIP award vestings</w:t>
            </w:r>
          </w:p>
        </w:tc>
        <w:tc>
          <w:tcPr>
            <w:tcW w:w="29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2016</w:t>
            </w:r>
          </w:p>
        </w:tc>
        <w:tc>
          <w:tcPr>
            <w:tcW w:w="440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373,849,892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268,352,408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4"/>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275"/>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399,096,499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206,933,274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(20,250,884)</w:t>
            </w:r>
          </w:p>
        </w:tc>
        <w:tc>
          <w:tcPr>
            <w:tcW w:w="10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20,250,884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in connection with PAGP LTIP award vestings</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September 30, 2015</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378,845,615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227,204,958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details the distributions paid to our Class A shareholders during or pertaining to the first nine months of 2016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Date</w:t>
            </w:r>
          </w:p>
        </w:tc>
        <w:tc>
          <w:tcPr>
            <w:tcW w:w="100" w:type="dxa"/>
            <w:vAlign w:val="bottom"/>
            <w:vMerge w:val="restart"/>
          </w:tcPr>
          <w:p>
            <w:pPr>
              <w:spacing w:after="0"/>
              <w:rPr>
                <w:sz w:val="14"/>
                <w:szCs w:val="14"/>
                <w:color w:val="auto"/>
              </w:rPr>
            </w:pPr>
          </w:p>
        </w:tc>
        <w:tc>
          <w:tcPr>
            <w:tcW w:w="2040" w:type="dxa"/>
            <w:vAlign w:val="bottom"/>
          </w:tcPr>
          <w:p>
            <w:pPr>
              <w:jc w:val="right"/>
              <w:ind w:right="236"/>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jc w:val="right"/>
              <w:ind w:right="676"/>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Class A Shareholders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2016 </w:t>
            </w:r>
            <w:r>
              <w:rPr>
                <w:rFonts w:ascii="Arial" w:cs="Arial" w:eastAsia="Arial" w:hAnsi="Arial"/>
                <w:sz w:val="25"/>
                <w:szCs w:val="25"/>
                <w:color w:val="auto"/>
                <w:vertAlign w:val="superscript"/>
              </w:rPr>
              <w:t>(1)</w:t>
            </w:r>
          </w:p>
        </w:tc>
        <w:tc>
          <w:tcPr>
            <w:tcW w:w="2040" w:type="dxa"/>
            <w:vAlign w:val="bottom"/>
            <w:shd w:val="clear" w:color="auto" w:fill="CCEEFF"/>
          </w:tcPr>
          <w:p>
            <w:pPr>
              <w:jc w:val="right"/>
              <w:ind w:right="1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0.2065</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August 12, 2016</w:t>
            </w:r>
          </w:p>
        </w:tc>
        <w:tc>
          <w:tcPr>
            <w:tcW w:w="2040" w:type="dxa"/>
            <w:vAlign w:val="bottom"/>
          </w:tcPr>
          <w:p>
            <w:pPr>
              <w:jc w:val="right"/>
              <w:ind w:right="1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0.2310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13, 2016</w:t>
            </w:r>
          </w:p>
        </w:tc>
        <w:tc>
          <w:tcPr>
            <w:tcW w:w="2040" w:type="dxa"/>
            <w:vAlign w:val="bottom"/>
            <w:tcBorders>
              <w:bottom w:val="single" w:sz="8" w:color="CCEEFF"/>
            </w:tcBorders>
            <w:shd w:val="clear" w:color="auto" w:fill="CCEEFF"/>
          </w:tcPr>
          <w:p>
            <w:pPr>
              <w:jc w:val="right"/>
              <w:ind w:right="1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0.2310</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February 12, 2016</w:t>
            </w:r>
          </w:p>
        </w:tc>
        <w:tc>
          <w:tcPr>
            <w:tcW w:w="2040" w:type="dxa"/>
            <w:vAlign w:val="bottom"/>
          </w:tcPr>
          <w:p>
            <w:pPr>
              <w:jc w:val="right"/>
              <w:ind w:right="1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0.2310</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Payable to shareholders of record at the close of business on October 31, 2016 for the period July 1, 2016 through September 30,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September 30, 2016, noncontrolling interests in our subsidiaries consisted of (i) a 98% limited partner interest in PAA, (ii) an approximate 58% limited partner interest in AAP that consists of Class A units and AAP Management Units (a profits interest) and (iii) a 25% interest in SLC Pipeline LLC.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Equity Offerings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PAA Preferred Unit Offering. </w:t>
      </w:r>
      <w:r>
        <w:rPr>
          <w:rFonts w:ascii="Arial" w:cs="Arial" w:eastAsia="Arial" w:hAnsi="Arial"/>
          <w:sz w:val="18"/>
          <w:szCs w:val="18"/>
          <w:color w:val="auto"/>
        </w:rPr>
        <w:t>On January 28, 2016 (the "Issuance Date"), PAA completed the private placement of approximately 61.0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preferred units representing limited partner interests in PAA, for a cash purchase price of $26.25 per unit.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PAA Series A preferred units are a new class of equity security in PAA that ranks senior to all classes or series of equity securities in PAA with respect to distribution rights and rights upon liquidation. The holders of the PAA Series A preferred units receive cumulative quarterly distributions, subject to customary antidilution adjustments, equal to $0.525 per unit ($2.10 per unit annualized). With respect to any quarter ending on or prior to December 31, 2017 (the “Initial Distribution Period”), PAA may elect to pay distributions on the PAA Series A preferred units in additional preferred units, in cash or a combination of both. With respect to any quarter ending after the Initial Distribution Period, PAA must pay distributions on the PAA Series A preferred units in cash.</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After two years, the preferred units are convertible at the purchasers’ option into common units on a one-for-one basis, subject to certain conditions, and are convertible at PAA’s option in certain circumstances after three years.</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For a period of 30 days following (a) the fifth anniversary of the Issuance Date of the PAA Series A preferred units and (b) each subsequent anniversary of the Issuance Date, the holders of the PAA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9 for additional information.</w:t>
      </w:r>
    </w:p>
    <w:p>
      <w:pPr>
        <w:spacing w:after="0" w:line="171"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i w:val="1"/>
          <w:iCs w:val="1"/>
          <w:color w:val="auto"/>
        </w:rPr>
        <w:t xml:space="preserve">PAA Continuous Offering Program. </w:t>
      </w:r>
      <w:r>
        <w:rPr>
          <w:rFonts w:ascii="Arial" w:cs="Arial" w:eastAsia="Arial" w:hAnsi="Arial"/>
          <w:sz w:val="16"/>
          <w:szCs w:val="16"/>
          <w:color w:val="auto"/>
        </w:rPr>
        <w:t>During the nine months ended September 30, 2016, PAA issued an aggregate of approximately 9.9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units under its continuous offering program, generating proceeds of $283 million, net of $2 million of commissions paid to sales agents.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PAA Cash Distributions. </w:t>
      </w:r>
      <w:r>
        <w:rPr>
          <w:rFonts w:ascii="Arial" w:cs="Arial" w:eastAsia="Arial" w:hAnsi="Arial"/>
          <w:sz w:val="18"/>
          <w:szCs w:val="18"/>
          <w:color w:val="auto"/>
        </w:rPr>
        <w:t>The following table details the distributions to PAA’s partners paid in cash during or pertaining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net of reductions in AAP’s incentive distributions (in millions, except per unit data):</w:t>
      </w:r>
    </w:p>
    <w:p>
      <w:pPr>
        <w:spacing w:after="0" w:line="166"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Distributions</w:t>
      </w:r>
    </w:p>
    <w:tbl>
      <w:tblPr>
        <w:tblLayout w:type="fixed"/>
        <w:tblInd w:w="0" w:type="dxa"/>
        <w:tblCellMar>
          <w:top w:w="0" w:type="dxa"/>
          <w:left w:w="0" w:type="dxa"/>
          <w:bottom w:w="0" w:type="dxa"/>
          <w:right w:w="0" w:type="dxa"/>
        </w:tblCellMar>
      </w:tblPr>
      <w:tr>
        <w:trPr>
          <w:trHeight w:val="47"/>
        </w:trPr>
        <w:tc>
          <w:tcPr>
            <w:tcW w:w="3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vMerge w:val="restart"/>
          </w:tcPr>
          <w:p>
            <w:pPr>
              <w:jc w:val="right"/>
              <w:ind w:right="356"/>
              <w:spacing w:after="0" w:line="133" w:lineRule="exact"/>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65"/>
        </w:trPr>
        <w:tc>
          <w:tcPr>
            <w:tcW w:w="31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Distribution Date</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8"/>
              </w:rPr>
              <w:t>Common Unitholders</w:t>
            </w:r>
          </w:p>
        </w:tc>
        <w:tc>
          <w:tcPr>
            <w:tcW w:w="100" w:type="dxa"/>
            <w:vAlign w:val="bottom"/>
            <w:vMerge w:val="restart"/>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vMerge w:val="restart"/>
          </w:tcPr>
          <w:p>
            <w:pPr>
              <w:jc w:val="right"/>
              <w:ind w:right="734"/>
              <w:spacing w:after="0"/>
              <w:rPr>
                <w:sz w:val="20"/>
                <w:szCs w:val="20"/>
                <w:color w:val="auto"/>
              </w:rPr>
            </w:pPr>
            <w:r>
              <w:rPr>
                <w:rFonts w:ascii="Arial" w:cs="Arial" w:eastAsia="Arial" w:hAnsi="Arial"/>
                <w:sz w:val="14"/>
                <w:szCs w:val="14"/>
                <w:b w:val="1"/>
                <w:bCs w:val="1"/>
                <w:color w:val="auto"/>
              </w:rPr>
              <w:t>AAP</w:t>
            </w:r>
          </w:p>
        </w:tc>
        <w:tc>
          <w:tcPr>
            <w:tcW w:w="100" w:type="dxa"/>
            <w:vAlign w:val="bottom"/>
            <w:vMerge w:val="restart"/>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32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2016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c>
          <w:tcPr>
            <w:tcW w:w="120" w:type="dxa"/>
            <w:vAlign w:val="bottom"/>
            <w:tcBorders>
              <w:right w:val="single" w:sz="8" w:color="auto"/>
            </w:tcBorders>
            <w:shd w:val="clear" w:color="auto" w:fill="CCEEFF"/>
          </w:tcPr>
          <w:p>
            <w:pPr>
              <w:spacing w:after="0"/>
              <w:rPr>
                <w:sz w:val="23"/>
                <w:szCs w:val="2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August 12,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120" w:type="dxa"/>
            <w:vAlign w:val="bottom"/>
            <w:tcBorders>
              <w:right w:val="single" w:sz="8" w:color="auto"/>
            </w:tcBorders>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13,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February 12,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120" w:type="dxa"/>
            <w:vAlign w:val="bottom"/>
            <w:tcBorders>
              <w:right w:val="single" w:sz="8" w:color="auto"/>
            </w:tcBorders>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ind w:left="660" w:hanging="652"/>
        <w:spacing w:after="0" w:line="233"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October 31, 2016 for the period July 1, 2016 through September 30, 2016.</w:t>
      </w:r>
    </w:p>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PAA In-Kind Distributions</w:t>
      </w:r>
      <w:r>
        <w:rPr>
          <w:rFonts w:ascii="Arial" w:cs="Arial" w:eastAsia="Arial" w:hAnsi="Arial"/>
          <w:sz w:val="18"/>
          <w:szCs w:val="18"/>
          <w:color w:val="auto"/>
        </w:rPr>
        <w:t>. On May 13, 2016, PAA issued 858,439 additional Series A preferred units in lieu of a cash distribution of $23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Such distribution was issued to PAA’s Series A preferred unitholders of record as of April 29, 2016 and was prorated for the period beginning on January 28, 2016, the issuance date of the PAA Series A preferred units, through March 31, 2016. On August 12, 2016, PAA issued 1,237,765 additional Series A preferred units in lieu of a cash distribution of $33 million. On November 14, 2016, PAA will issue 1,262,522 additional Series A preferred units in lieu of a cash distribution of $33 million.</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nine months of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4"/>
              </w:rPr>
              <w:t>Distributions to AAP’s Partners</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Date</w:t>
            </w:r>
          </w:p>
        </w:tc>
        <w:tc>
          <w:tcPr>
            <w:tcW w:w="120" w:type="dxa"/>
            <w:vAlign w:val="bottom"/>
            <w:vMerge w:val="restart"/>
          </w:tcPr>
          <w:p>
            <w:pPr>
              <w:spacing w:after="0"/>
              <w:rPr>
                <w:sz w:val="13"/>
                <w:szCs w:val="13"/>
                <w:color w:val="auto"/>
              </w:rPr>
            </w:pPr>
          </w:p>
        </w:tc>
        <w:tc>
          <w:tcPr>
            <w:tcW w:w="14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Available Cash</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Cash Reserves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Noncontrolling</w:t>
            </w:r>
          </w:p>
        </w:tc>
        <w:tc>
          <w:tcPr>
            <w:tcW w:w="440" w:type="dxa"/>
            <w:vAlign w:val="bottom"/>
          </w:tcPr>
          <w:p>
            <w:pPr>
              <w:spacing w:after="0"/>
              <w:rPr>
                <w:sz w:val="13"/>
                <w:szCs w:val="13"/>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Before Reserves</w:t>
            </w: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2016 </w:t>
            </w:r>
            <w:r>
              <w:rPr>
                <w:rFonts w:ascii="Arial" w:cs="Arial" w:eastAsia="Arial" w:hAnsi="Arial"/>
                <w:sz w:val="25"/>
                <w:szCs w:val="25"/>
                <w:color w:val="auto"/>
                <w:vertAlign w:val="superscript"/>
              </w:rPr>
              <w:t>(1)</w:t>
            </w:r>
          </w:p>
        </w:tc>
        <w:tc>
          <w:tcPr>
            <w:tcW w:w="1460" w:type="dxa"/>
            <w:vAlign w:val="bottom"/>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134</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(3)</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August 12, 2016</w:t>
            </w:r>
          </w:p>
        </w:tc>
        <w:tc>
          <w:tcPr>
            <w:tcW w:w="1460" w:type="dxa"/>
            <w:vAlign w:val="bottom"/>
          </w:tcPr>
          <w:p>
            <w:pPr>
              <w:jc w:val="right"/>
              <w:ind w:right="125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155</w:t>
            </w:r>
          </w:p>
        </w:tc>
        <w:tc>
          <w:tcPr>
            <w:tcW w:w="340" w:type="dxa"/>
            <w:vAlign w:val="bottom"/>
          </w:tcPr>
          <w:p>
            <w:pPr>
              <w:spacing w:after="0"/>
              <w:rPr>
                <w:sz w:val="21"/>
                <w:szCs w:val="21"/>
                <w:color w:val="auto"/>
              </w:rPr>
            </w:pP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4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13, 2016</w:t>
            </w:r>
          </w:p>
        </w:tc>
        <w:tc>
          <w:tcPr>
            <w:tcW w:w="1460" w:type="dxa"/>
            <w:vAlign w:val="bottom"/>
            <w:tcBorders>
              <w:bottom w:val="single" w:sz="8" w:color="CCEEFF"/>
            </w:tcBorders>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February 12, 2016</w:t>
            </w:r>
          </w:p>
        </w:tc>
        <w:tc>
          <w:tcPr>
            <w:tcW w:w="1460" w:type="dxa"/>
            <w:vAlign w:val="bottom"/>
          </w:tcPr>
          <w:p>
            <w:pPr>
              <w:jc w:val="right"/>
              <w:ind w:right="125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155</w:t>
            </w:r>
          </w:p>
        </w:tc>
        <w:tc>
          <w:tcPr>
            <w:tcW w:w="340" w:type="dxa"/>
            <w:vAlign w:val="bottom"/>
          </w:tcPr>
          <w:p>
            <w:pPr>
              <w:spacing w:after="0"/>
              <w:rPr>
                <w:sz w:val="21"/>
                <w:szCs w:val="21"/>
                <w:color w:val="auto"/>
              </w:rPr>
            </w:pP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4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October 31, 2016 for the period July 1, 2016 through September 30, 2016.</w:t>
      </w:r>
    </w:p>
    <w:p>
      <w:pPr>
        <w:spacing w:after="0" w:line="309" w:lineRule="exact"/>
        <w:rPr>
          <w:rFonts w:ascii="Arial" w:cs="Arial" w:eastAsia="Arial" w:hAnsi="Arial"/>
          <w:sz w:val="25"/>
          <w:szCs w:val="25"/>
          <w:color w:val="auto"/>
          <w:vertAlign w:val="superscript"/>
        </w:rPr>
      </w:pPr>
    </w:p>
    <w:p>
      <w:pPr>
        <w:ind w:left="660" w:right="160" w:hanging="652"/>
        <w:spacing w:after="0" w:line="245"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Includes $33 million that will be borrowed under the AAP senior secured revolving credit facility. AAP agreed to borrow funds under its credit agreement as necessary to make a special true-up distribution to its partners that, when added to the distributions to be paid to AAP in respect of its 2% general partner interest in PAA and the IDRs, equals the total distribution its partners would have received if the closing of the Simplification Transactions had occurred immediately prior to the record date for the third quarter distribution.</w:t>
      </w:r>
    </w:p>
    <w:p>
      <w:pPr>
        <w:spacing w:after="0" w:line="308" w:lineRule="exact"/>
        <w:rPr>
          <w:rFonts w:ascii="Arial" w:cs="Arial" w:eastAsia="Arial" w:hAnsi="Arial"/>
          <w:sz w:val="24"/>
          <w:szCs w:val="24"/>
          <w:color w:val="auto"/>
          <w:vertAlign w:val="superscript"/>
        </w:rPr>
      </w:pPr>
    </w:p>
    <w:p>
      <w:pPr>
        <w:ind w:left="660" w:right="10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amount of the distribution to be paid to AAP's partners assumes that the Simplification Transactions had closed as of the date of record for the third quarter distribution. As part of the Simplification Transactions, AAP's expenses will be paid by PAA. Therefore, no cash will be reserved from this distribution for future expenses of AAP.</w:t>
      </w:r>
    </w:p>
    <w:p>
      <w:pPr>
        <w:spacing w:after="0" w:line="204"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nine months ended September 30, 2016, distributions of $3 million were paid to noncontrolling interests in SLC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9—Derivatives and Risk Management Activities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8"/>
        <w:spacing w:after="0" w:line="290"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2016, net derivative positions related to these activities included:</w:t>
      </w:r>
    </w:p>
    <w:p>
      <w:pPr>
        <w:spacing w:after="0" w:line="147" w:lineRule="exact"/>
        <w:rPr>
          <w:sz w:val="20"/>
          <w:szCs w:val="20"/>
          <w:color w:val="auto"/>
        </w:rPr>
      </w:pPr>
    </w:p>
    <w:p>
      <w:pPr>
        <w:ind w:left="980" w:right="2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long position of 4.4 million barrels associated with our crude oil purchases, which was unwound ratably during October 2016 to match monthly average pricing.</w:t>
      </w:r>
    </w:p>
    <w:p>
      <w:pPr>
        <w:spacing w:after="0" w:line="116"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short time spread position of 3.1 million barrels, which hedges a portion of our anticipated crude oil lease gathering purchases through December 2017.</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crude oil grade spread position of 16.0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short position of 12.9 Bcf through July 2017 related to anticipated sales of natural gas inventory.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net short position of 34.7 million barrels through December 2019 related to anticipated net sales of our crude oil and NGL inventory.</w:t>
      </w:r>
    </w:p>
    <w:p>
      <w:pPr>
        <w:spacing w:after="0" w:line="23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September 30, 2016, our PLA hedges included a long call option position of 1.1 million barrels through December 2018.</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 mix</w:t>
      </w:r>
      <w:r>
        <w:rPr>
          <w:rFonts w:ascii="Arial" w:cs="Arial" w:eastAsia="Arial" w:hAnsi="Arial"/>
          <w:sz w:val="17"/>
          <w:szCs w:val="17"/>
          <w:i w:val="1"/>
          <w:iCs w:val="1"/>
          <w:color w:val="auto"/>
        </w:rPr>
        <w:t xml:space="preserve"> </w:t>
      </w:r>
      <w:r>
        <w:rPr>
          <w:rFonts w:ascii="Arial" w:cs="Arial" w:eastAsia="Arial" w:hAnsi="Arial"/>
          <w:sz w:val="17"/>
          <w:szCs w:val="17"/>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2016, we had a long natural gas position of 31.6 Bcf of which 27.7 Bcf hedges our natural gas processing needs through December 2017. The remaining 3.9 Bcf of our natural gas position hedges natural gas required for operational needs through December 2018. We also had a short propane position of 5.1 million barrels through December 2017, a short butane position of 1.6 million barrels through December 2017 and a short WTI position of 0.7 million barrels through December 2017. In addition, we had a long power position of 0.4 million megawatt hours, which hedges a portion of our power supply requirements at our Canadian natural gas processing and fractionation plants through December 2018.</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September 30, 2016, AOCI includes deferred losses of $353 million that relate to open and terminated interest rate derivatives that were designated as cash flow hedges. The majority of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interest payments through 2049. The following table summarizes the terms of our forward starting interest rate swaps as of September 30, 2016 (notional amounts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4/13/2017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6/15/2017</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June 2016, we made a cash payment of approximately $52 million in connection with the termination of eight forward starting interest rate swaps that had an aggregate notional amount of $200 million and an average fixed rate of 3.06%. In conjunction with this termination, a loss of approximately $50 million was deferred to AOCI, and a loss of approximately $2 million was immediately recognized in interest expense attributable to the determination that a previously forecasted interest payment is now considered probable of not occurring.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September 30, 2016,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2016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$1.00 - $1.31</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$1.30</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fair value on our Condensed Consolidated Balance Sheets. Corresponding changes in fair value are recognized in “Other income/(expense), net” in our Condensed Consolidated Statement of Operations. At September 30, 2016, the fair value of this embedded derivative was a liability of approximately $18 million. We recognized gains of approximately $17 million and $42 million during the three and nine months ended September 30, 2016, respectively, due to changes in fair value during the periods. See Note 8 for additional information regarding the PAA Series A preferred units and the Preferred Distribution Rate Reset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2016</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2015</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8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40" w:type="dxa"/>
            <w:vAlign w:val="bottom"/>
          </w:tcPr>
          <w:p>
            <w:pPr>
              <w:spacing w:after="0"/>
              <w:rPr>
                <w:sz w:val="12"/>
                <w:szCs w:val="12"/>
                <w:color w:val="auto"/>
              </w:rPr>
            </w:pPr>
          </w:p>
        </w:tc>
        <w:tc>
          <w:tcPr>
            <w:tcW w:w="6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Relationships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Gain/(Loss) on Derivatives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9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Nine Months Ended September 30, 2016</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2015</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60" w:type="dxa"/>
            <w:vAlign w:val="bottom"/>
          </w:tcPr>
          <w:p>
            <w:pPr>
              <w:spacing w:after="0"/>
              <w:rPr>
                <w:sz w:val="12"/>
                <w:szCs w:val="12"/>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60" w:type="dxa"/>
            <w:vAlign w:val="bottom"/>
          </w:tcPr>
          <w:p>
            <w:pPr>
              <w:spacing w:after="0"/>
              <w:rPr>
                <w:sz w:val="12"/>
                <w:szCs w:val="12"/>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Transportation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Reset Option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8"/>
              </w:rPr>
              <w:t>Total Gain/(Loss) on Derivatives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spacing w:after="0" w:line="49" w:lineRule="exact"/>
        <w:rPr>
          <w:sz w:val="20"/>
          <w:szCs w:val="20"/>
          <w:color w:val="auto"/>
        </w:rPr>
      </w:pPr>
    </w:p>
    <w:p>
      <w:pPr>
        <w:ind w:left="660" w:right="320" w:hanging="652"/>
        <w:spacing w:after="0" w:line="232"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During the nine months ended September 30, 2016 we reclassified losses of approximately $2 million and $2 million to Supply and Logistics segment revenues and Interest expense, net, respectively, due to anticipated hedged transactions being probable of not occurring. During the nine months ended September 30, 2015, we reclassified a loss of approximately $4 million from AOCI to Interest expense, net due to an anticipated hedged transaction being probable of not occurring.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6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9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jc w:val="right"/>
              <w:ind w:right="395"/>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60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77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credits</w:t>
            </w:r>
          </w:p>
        </w:tc>
        <w:tc>
          <w:tcPr>
            <w:tcW w:w="60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89"/>
              </w:rPr>
              <w:t>81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395"/>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82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vMerge w:val="restart"/>
          </w:tcPr>
          <w:p>
            <w:pPr>
              <w:ind w:left="26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9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w w:val="97"/>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2016, we had a net broker receivable of $142 million (consisting of initial margin of $96 million increased by $46 million of variation margin that had been posted by us). As of December 31, 2015, we had a net broker payable of $156 million (consisting of initial margin of $91 million reduced by $247 million of variation margin that had been returned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1"/>
              </w:rPr>
              <w:t>September 30, 2016</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2015</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of September 30, 2016, there was a net loss of $374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September 30, 2016, we expect to reclassify a net loss of $7 million to earnings in the next twelve months. The remaining deferred loss of $367 million is expected to be reclassified to earnings through 2049. A portion of these amounts is based on market prices as of September 30, 2016;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derivatives,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594"/>
        <w:spacing w:after="0" w:line="264" w:lineRule="auto"/>
        <w:rPr>
          <w:sz w:val="20"/>
          <w:szCs w:val="20"/>
          <w:color w:val="auto"/>
        </w:rPr>
      </w:pPr>
      <w:r>
        <w:rPr>
          <w:rFonts w:ascii="Arial" w:cs="Arial" w:eastAsia="Arial" w:hAnsi="Arial"/>
          <w:sz w:val="18"/>
          <w:szCs w:val="18"/>
          <w:color w:val="auto"/>
        </w:rPr>
        <w:t>At September 30, 2016 and December 31, 2015,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2016</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2015</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___________________________________________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PAA’s partnership agreement classified as an embedded derivative.</w:t>
      </w:r>
    </w:p>
    <w:p>
      <w:pPr>
        <w:spacing w:after="0" w:line="170"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7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Gains for the period included in earnings</w:t>
            </w:r>
          </w:p>
        </w:tc>
        <w:tc>
          <w:tcPr>
            <w:tcW w:w="9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9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Change in unrealized gains included in earnings relating to Level 3</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2015 Annual Report on Form 10-K for a complete discussion of our related party transactions.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As of September 30, 2016, Oxy owned approximately 12% of the limited partner interests in AAP and had a representative on the board of directors of GP LLC and our general partner. During the three and nine months ended September 30, 2016 and 2015,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745</w:t>
            </w: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112</w:t>
            </w:r>
          </w:p>
        </w:tc>
      </w:tr>
      <w:tr>
        <w:trPr>
          <w:trHeight w:val="230"/>
        </w:trPr>
        <w:tc>
          <w:tcPr>
            <w:tcW w:w="5160" w:type="dxa"/>
            <w:vAlign w:val="bottom"/>
          </w:tcPr>
          <w:p>
            <w:pPr>
              <w:jc w:val="right"/>
              <w:ind w:right="1190"/>
              <w:spacing w:after="0"/>
              <w:rPr>
                <w:sz w:val="20"/>
                <w:szCs w:val="20"/>
                <w:color w:val="auto"/>
              </w:rPr>
            </w:pPr>
            <w:r>
              <w:rPr>
                <w:rFonts w:ascii="Arial" w:cs="Arial" w:eastAsia="Arial" w:hAnsi="Arial"/>
                <w:sz w:val="18"/>
                <w:szCs w:val="18"/>
                <w:color w:val="auto"/>
                <w:w w:val="89"/>
              </w:rPr>
              <w:t>___________________________________________</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5" w:lineRule="exact"/>
        <w:rPr>
          <w:sz w:val="20"/>
          <w:szCs w:val="20"/>
          <w:color w:val="auto"/>
        </w:rPr>
      </w:pPr>
    </w:p>
    <w:p>
      <w:pPr>
        <w:ind w:left="660" w:right="660" w:hanging="652"/>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405</w:t>
            </w:r>
          </w:p>
        </w:tc>
      </w:tr>
      <w:tr>
        <w:trPr>
          <w:trHeight w:val="297"/>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363</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11—Equity-Indexed Compensation Plans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We refer to the PAGP LTIP, PAA LTIPs and AAP Management Units collectively as our “equity-indexed compensation plans.” For additional discussion of our equity-indexed compensation plans and awards, see Note 15 to our Consolidated Financial Statements included in Part IV of our 2015 Annual Report on Form 10-K.</w:t>
      </w:r>
    </w:p>
    <w:p>
      <w:pPr>
        <w:spacing w:after="0" w:line="23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third quarter of 2016, modifications were made to the vesting criteria of approximately 2.2 million PAA LTIP units to eliminate distribution performance thresholds, if any, greater than $0.70 per common unit per quarter, and provide that such units will vest based solely on the passage of time during the years 2017 to 2020. In addition, approximately 1.7 million PAA LTIP units were granted with a weighted average grant date fair value of $22.85 per unit.</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Modifications were also made to the distribution performance thresholds of approximately 2.2 million unearned AAP Management Units such that the awards will become earned based on the attainment of PAA distribution levels between $2.20 and $2.40 per common unit, on an annualized basis, and additional performance conditions based on PAA's distributable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unfavorable outcome is reasonably possible and the impact would be material to our consolidated financial statements, we disclose the nature of the contingency and, where feasible, an estimate of the possible loss or range of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September 30, 2016, our estimated undiscounted reserve for environmental liabilities (including liabilities related to the Line 901 incident, as discussed further below) totaled $160 million, of which $57 million was classified as short-term and $103 million was classified as long-term. At December 31, 2015, our estimated undiscounted reserve for environmental liabilities (including liabilities related to the Line 901 incident) totaled $185 million, of which $81 million was classified as short-term and $104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2016, we had recorded receivables totaling $79 million for amounts probable of recovery under insurance and from third parties under indemnification agreements, of which $57 million was reflected in “Trade accounts receivable and other receivables, net” and $22 million was reflected in “Other long-term assets, net” on our Condensed Consolidated Balance Sheets. At December 31, 2015, we had recorded $161 million of such receivables, of which $138 million was reflected in “Trade accounts receivable and other receivables, net” and $23 million was reflected in “Other long-term assets, net” on our Condensed Consolidated Balance Sheets.</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may be in excess of the reserve and may potentially have a material adverse effect on our consolidated financial condition, results of operations or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Our current “worst case” estimate of the amount of oil spilled, representing the maximum volume of oil that we believed could have been spilled based on relevant facts, data and information, is approximately 2,935 barrels.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their investigation is still open and we may have fines or penalties imposed upon us, or civil or criminal charges brought against us, in the future.</w:t>
      </w:r>
    </w:p>
    <w:p>
      <w:pPr>
        <w:spacing w:after="0" w:line="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8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indictment included a total of 46 counts, 36 of which were misdemeanor charges relating to wildlife allegedly taken as a result of the accidental release. The remaining 10 counts (four felony and six misdemeanor charges) relate to the release of crude oil or reporting of the release. PAA believes that the criminal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charges are unwarranted and that neither PAA nor any of its employees engaged in any criminal behavior at any time in connection with this accident. PAA intends to vigorously defend itself against the charges. On July 28, 2016, at an arraignment hearing held in California Superior Court in Santa Barbara County, PAA pled not guilty to all counts.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6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addition, three unitholder derivative lawsuits have been filed by certain purported investors in PAA against PAA, certain of its affiliates and certain officers and directors. Two of these lawsuits were filed in the United States District Court for the Southern District of Texas and have been administratively consolidated into one action; the other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claim that PAA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8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other matters. These lawsuits have been consolidated into a single proceeding in the Chancery Court for the State of Delaware.</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September 30, 2016, we estimate that the aggregate total costs we have incurred or will incur with respect to the Line 901 incident will be approximately $280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of September 30, 2016, we had a remaining undiscounted gross liability of $87 million related to this event, of which approximately $47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2016, we had collected, subject to customary reservations, $129 million out of the approximate $197 million of release costs that we believe are probable of recovery from insurance carriers, net of deductibles. Therefore, as of September 30, 2016, we have recognized a receivable of approximately $68 million for the portion of the release costs that we believe is probable of recovery from insurance, net of deductibles and amounts already collected. Of this amount, approximately $48 million is recognized as a current asset in “Trade accounts receivable and other receivables, net” on our Condensed Consolidated Balance Sheet, with the remainder in “Other long-term assets, net”.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7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MP29 Release. </w:t>
      </w:r>
      <w:r>
        <w:rPr>
          <w:rFonts w:ascii="Arial" w:cs="Arial" w:eastAsia="Arial" w:hAnsi="Arial"/>
          <w:sz w:val="18"/>
          <w:szCs w:val="18"/>
          <w:color w:val="auto"/>
        </w:rPr>
        <w:t>On July 10, 2015, we experienced a crude oil release of approximately 100 barrels at our Pocahontas Pump Station near the border of</w:t>
      </w:r>
      <w:r>
        <w:rPr>
          <w:rFonts w:ascii="Arial" w:cs="Arial" w:eastAsia="Arial" w:hAnsi="Arial"/>
          <w:sz w:val="18"/>
          <w:szCs w:val="18"/>
          <w:i w:val="1"/>
          <w:iCs w:val="1"/>
          <w:color w:val="auto"/>
        </w:rPr>
        <w:t xml:space="preserve"> </w:t>
      </w:r>
      <w:r>
        <w:rPr>
          <w:rFonts w:ascii="Arial" w:cs="Arial" w:eastAsia="Arial" w:hAnsi="Arial"/>
          <w:sz w:val="18"/>
          <w:szCs w:val="18"/>
          <w:color w:val="auto"/>
        </w:rPr>
        <w:t>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On April 15, 2016, the Agency confirmed that all of the activities required by the Compliance Commitment Agreement had been completed and that the violations associated with the incident had been resolved. To date, no fines or penalties have been assessed in this matter; however, it remains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we have incurred or will incur with respect to this release will be less than $10 million.</w:t>
      </w:r>
    </w:p>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Supply and</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2"/>
          </w:tcPr>
          <w:p>
            <w:pPr>
              <w:ind w:left="40"/>
              <w:spacing w:after="0" w:line="251" w:lineRule="exact"/>
              <w:rPr>
                <w:sz w:val="20"/>
                <w:szCs w:val="20"/>
                <w:color w:val="auto"/>
              </w:rPr>
            </w:pPr>
            <w:r>
              <w:rPr>
                <w:rFonts w:ascii="Arial" w:cs="Arial" w:eastAsia="Arial" w:hAnsi="Arial"/>
                <w:sz w:val="18"/>
                <w:szCs w:val="18"/>
                <w:color w:val="auto"/>
              </w:rPr>
              <w:t xml:space="preserve">Segment profit/(loss)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2015</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2"/>
          </w:tcPr>
          <w:p>
            <w:pPr>
              <w:ind w:left="40"/>
              <w:spacing w:after="0" w:line="25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13,344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13,353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2"/>
          </w:tcPr>
          <w:p>
            <w:pPr>
              <w:ind w:left="40"/>
              <w:spacing w:after="0" w:line="25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2015</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17,225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18,156</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17,238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2"/>
          </w:tcPr>
          <w:p>
            <w:pPr>
              <w:ind w:left="40"/>
              <w:spacing w:after="0" w:line="25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20" w:hanging="652"/>
        <w:spacing w:after="0" w:line="232"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 For further discussion, see “Analysis of Operating Segments” under Item 7 of our 2015 Annual Report on Form 10-K.</w:t>
      </w:r>
    </w:p>
    <w:p>
      <w:pPr>
        <w:spacing w:after="0" w:line="202" w:lineRule="exact"/>
        <w:rPr>
          <w:rFonts w:ascii="Arial" w:cs="Arial" w:eastAsia="Arial" w:hAnsi="Arial"/>
          <w:sz w:val="25"/>
          <w:szCs w:val="25"/>
          <w:color w:val="auto"/>
          <w:vertAlign w:val="superscript"/>
        </w:rPr>
      </w:pPr>
    </w:p>
    <w:p>
      <w:pPr>
        <w:ind w:left="660" w:right="120" w:hanging="652"/>
        <w:spacing w:after="0" w:line="226"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Supply and Logistics segment profit includes interest expense (related to hedged inventory purchases) of $5 million and $1 million for the three months ended September 30, 2016 and 2015, respectively, and $10 million and $4 million for the nine months ended September 30, 2016 and 2015, respectively.</w:t>
      </w:r>
    </w:p>
    <w:p>
      <w:pPr>
        <w:spacing w:after="0" w:line="14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The following table reconciles segment profit to net income attributable to PAGP (in millions):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2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4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44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(116)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Income before tax</w:t>
            </w:r>
          </w:p>
        </w:tc>
        <w:tc>
          <w:tcPr>
            <w:tcW w:w="8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r>
      <w:tr>
        <w:trPr>
          <w:trHeight w:val="27"/>
        </w:trPr>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7"/>
        </w:trPr>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14—Acquisitions, Investments in Unconsolidated Entities, Dispositions and Impairments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During the first nine months of 2016, we completed two acquisitions for cash consideration of $289 million. We did not recognize any</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related to these acquisitions. Included in these acquisitions was an integrated system of NGL assets in Western Canada from Westcoast Energy Inc., a unit of Spectra Energy, for cash consideration of approximately $204 million.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Investments in Unconsolidated Entities. </w:t>
      </w:r>
      <w:r>
        <w:rPr>
          <w:rFonts w:ascii="Arial" w:cs="Arial" w:eastAsia="Arial" w:hAnsi="Arial"/>
          <w:sz w:val="18"/>
          <w:szCs w:val="18"/>
          <w:color w:val="auto"/>
        </w:rPr>
        <w:t>In June 2016, we sold 50% of our investment in Cheyenne Pipeline LLC (“Cheyenne”), and in August 2016</w:t>
      </w:r>
      <w:r>
        <w:rPr>
          <w:rFonts w:ascii="Arial" w:cs="Arial" w:eastAsia="Arial" w:hAnsi="Arial"/>
          <w:sz w:val="18"/>
          <w:szCs w:val="18"/>
          <w:i w:val="1"/>
          <w:iCs w:val="1"/>
          <w:color w:val="auto"/>
        </w:rPr>
        <w:t xml:space="preserve"> </w:t>
      </w:r>
      <w:r>
        <w:rPr>
          <w:rFonts w:ascii="Arial" w:cs="Arial" w:eastAsia="Arial" w:hAnsi="Arial"/>
          <w:sz w:val="18"/>
          <w:szCs w:val="18"/>
          <w:color w:val="auto"/>
        </w:rPr>
        <w:t>we sold 50% of our investment in STACK Pipeline LLC (“STACK Pipeline”). As a result of these transactions, we now account for our remaining 50% equity interest in such entities under the equity method of accounting.</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Dispositions and Divestitures</w:t>
      </w:r>
      <w:r>
        <w:rPr>
          <w:rFonts w:ascii="Arial" w:cs="Arial" w:eastAsia="Arial" w:hAnsi="Arial"/>
          <w:sz w:val="17"/>
          <w:szCs w:val="17"/>
          <w:color w:val="auto"/>
        </w:rPr>
        <w:t>. During the nine months ended September 30, 2016, we sold several non-core assets, including certain of our Gulf</w:t>
      </w:r>
      <w:r>
        <w:rPr>
          <w:rFonts w:ascii="Arial" w:cs="Arial" w:eastAsia="Arial" w:hAnsi="Arial"/>
          <w:sz w:val="17"/>
          <w:szCs w:val="17"/>
          <w:i w:val="1"/>
          <w:iCs w:val="1"/>
          <w:color w:val="auto"/>
        </w:rPr>
        <w:t xml:space="preserve"> </w:t>
      </w:r>
      <w:r>
        <w:rPr>
          <w:rFonts w:ascii="Arial" w:cs="Arial" w:eastAsia="Arial" w:hAnsi="Arial"/>
          <w:sz w:val="17"/>
          <w:szCs w:val="17"/>
          <w:color w:val="auto"/>
        </w:rPr>
        <w:t>Coast pipelines and East Coast refined products terminals. In addition, we sold interests in Cheyenne and STACK Pipeline, as discussed above. In the aggregate, we recognized a net gain of approximately $99 million related to these transactions, which is included in "Depreciation and amortization" on our Condensed Consolidated Statement of Operations. Such amount is comprised of gains of approximately $155 million and losses of $56 million, including $15 million of impairment of goodwill that was included in a disposal group classified as held for sale prior to the closing of such transaction.</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September 30, 2016, we classified approximately $275 million of assets as held for sale on our Condensed Consolidated Balance Sheet (in “Other current assets”) primarily related to definitive agreements to sell non-core assets, a majority of which are included in our Facilities segment. We expect the sales to be consummated in the fourth quarter of 2016 or the first half of 2017, subject to customary closing conditions, as applicable.</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Impairments</w:t>
      </w:r>
      <w:r>
        <w:rPr>
          <w:rFonts w:ascii="Arial" w:cs="Arial" w:eastAsia="Arial" w:hAnsi="Arial"/>
          <w:sz w:val="18"/>
          <w:szCs w:val="18"/>
          <w:color w:val="auto"/>
        </w:rPr>
        <w:t>. During the second quarter of 2016, we recognized approximately $80 million of non-cash impairment losses on certain of our long-lived rail and other terminal assets included in our Facilities segment. Such impairment losses are reflected in “Depreciation and amortization” on our Condensed Consolidated Statement of Operations.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this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during the second quarter of 2016, we recognized a charge of approximately $18 million to “Depreciation and amortization” related to the write-off of the remaining book value of assets taken out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15—Simplification Transactions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July 11, 2016, PAGP, PAA, AAP, PAA GP, GP LLC and GP Holdings entered into a Simplification Agreement pursuant to which, upon closing, in exchange for the issuance by PAA to AAP of approximately 245.5 million common units representing limited partner interests in PAA (“PAA Common Units”) and the assumption by PAA of AAP’s outstanding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September 30, 2016, approximately $603 million but expected to be approximately $641 million as of November 15, 2016), AAP will contribute the IDRs to PAA and PAA GP’s 2% economic general partner interest in PAA will be converted into a non-economic general partner interest in PAA. Following the closing of the transactions contemplated by the Simplification Agreement (the “Simplification Transactions”), which is expected to occur on November 15, 2016, both PAGP and PAA will continue to be publicly traded.</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Among other approvals, the terms of the Simplification Agreement and the Simplification Transactions were unanimously approved by a conflicts committee comprised of independent directors of the Board of Directors of GP LLC on behalf of PAA, and unanimously approved by the Board of Directors of our general partner on behalf of PAGP.</w:t>
      </w:r>
    </w:p>
    <w:p>
      <w:pPr>
        <w:spacing w:after="0" w:line="15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August 11, 2016, AAP's credit agreement was amended pursuant to which, among other things, the lenders consented to (1) the assignment by AAP of all of its rights (other than the right to request revolving loans) and obligations as the borrower under its credit agreement to PAA, and PAA’s assumption thereof, following the date of the consummation of the Simplification Transactions on or before January 19, 2017 (the “Consent Effective Date”) and (2) the release and termination as of the Consent Effective Date of all liens on any property securing the obligations of AAP under its credit agreement and related documents. AAP further amended the definition of the maturity date to be the second business day following the Consent Effective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terms described above, the Simplification Agreement also provides for the following:</w:t>
      </w:r>
    </w:p>
    <w:p>
      <w:pPr>
        <w:spacing w:after="0" w:line="225" w:lineRule="exact"/>
        <w:rPr>
          <w:sz w:val="20"/>
          <w:szCs w:val="20"/>
          <w:color w:val="auto"/>
        </w:rPr>
      </w:pPr>
    </w:p>
    <w:p>
      <w:pPr>
        <w:ind w:left="1140" w:right="180" w:hanging="322"/>
        <w:spacing w:after="0" w:line="276"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Under a unified governance structure, the Board of Directors of our general partner will have oversight responsibility over both PAGP and PAA. In addition, starting in 2018, our Class A and Class B shareholders and PAA’s common and preferred unitholders will have the right to participate in the election of directors of the board of our general partner whose terms expire. Under the current structure, PAA common unitholders are not eligible to participate in the election of directors of our general partner and our Class A and Class B shareholders only participate in such elections following a reduction in ownership of the private AAP owner group to below 40%.</w:t>
      </w:r>
    </w:p>
    <w:p>
      <w:pPr>
        <w:spacing w:after="0" w:line="118" w:lineRule="exact"/>
        <w:rPr>
          <w:rFonts w:ascii="Arial" w:cs="Arial" w:eastAsia="Arial" w:hAnsi="Arial"/>
          <w:sz w:val="17"/>
          <w:szCs w:val="17"/>
          <w:color w:val="auto"/>
        </w:rPr>
      </w:pPr>
    </w:p>
    <w:p>
      <w:pPr>
        <w:ind w:left="1140" w:right="40" w:hanging="322"/>
        <w:spacing w:after="0" w:line="291"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addition, similar to the current structure,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(together, the “Original Designating Parties”), own at least a 10% interest in the initial outstanding AAP units (i.e., as of the closing of the Simplification Transactions), such party will continue to be entitled to designate one director to the Board of Directors of our general partner. The calculation of such qualifying interest will include, in addition to any of our Class A shares owned by an Original Designating Party or its affiliates, any PAA common units received by such Original Designating Party of its affiliates in connection with their exercise of the Redemption Right (defined below).</w:t>
      </w:r>
    </w:p>
    <w:p>
      <w:pPr>
        <w:spacing w:after="0" w:line="113" w:lineRule="exact"/>
        <w:rPr>
          <w:rFonts w:ascii="Arial" w:cs="Arial" w:eastAsia="Arial" w:hAnsi="Arial"/>
          <w:sz w:val="16"/>
          <w:szCs w:val="16"/>
          <w:color w:val="auto"/>
        </w:rPr>
      </w:pPr>
    </w:p>
    <w:p>
      <w:pPr>
        <w:ind w:left="1140" w:right="100" w:hanging="322"/>
        <w:spacing w:after="0" w:line="297"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AAP will execute a reverse split to adjust the number of AAP units such that the number of outstanding AAP units (assuming the conversion of AAP Management Units into AAP units) equals the number of PAA Common Units received by AAP at the closing of the Simplification Transactions. Simultaneously, we will execute a reverse split to adjust the number of our Class A and Class B shares outstanding to equal the number of AAP units we own following AAP’s reverse unit split. As a result of these reverse splits, each Class A share will correspond, on a one-to-one basis, to an underlying PAA Common Unit held by AAP which is attributable to our ownership in AAP.</w:t>
      </w:r>
    </w:p>
    <w:p>
      <w:pPr>
        <w:spacing w:after="0" w:line="104" w:lineRule="exact"/>
        <w:rPr>
          <w:rFonts w:ascii="Arial" w:cs="Arial" w:eastAsia="Arial" w:hAnsi="Arial"/>
          <w:sz w:val="16"/>
          <w:szCs w:val="16"/>
          <w:color w:val="auto"/>
        </w:rPr>
      </w:pPr>
    </w:p>
    <w:p>
      <w:pPr>
        <w:ind w:left="1140" w:hanging="322"/>
        <w:spacing w:after="0" w:line="25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Holders of AAP units other than us and GP LLC will continue to have the right to exchange their AAP units (together with the corresponding Class B shares and, if applicable, units of our general partner) for our Class A shares on a one-for-one basis or, alternatively, to redeem such ownership and related rights for their proportionate share of PAA Common Units held by AAP, subject to certain limitations (the “Redemption Right”). Upon any such redemption, the holders of AAP units receiving PAA Common Units will have registration rights with respect to such PAA Common Units.</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Pursuant to the terms of the Simplification Agreement, AAP agreed that if (i) the closing of the Simplification Transactions does not occur prior to the record date for PAA’s distribution of available cash in respect of the third quarter of 2016 and (ii) the amount of such distribution is below a quarterly level of $0.70 per common unit, AAP will borrow funds under its existing credit agreement as necessary to make a special “true-up” distribution to AAP’s unitholders that, when added to the distributions to be paid to AAP in respect of its indirect 2% general partner interest and IDRs, equals the total distribution such unitholders would have received had the closing of the Simplification Transactions occurred prior to such third quarter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record date. As the Simplification Transactions did not close prior to the PAA third quarter distribution record date of October 31, 2016 and PAA declared a quarterly distribution of $0.55 per common unit for its third quarter distribution, it is currently estimated that the incremental borrowings that will be made by AAP will be approximately $33 million.</w:t>
      </w:r>
    </w:p>
    <w:p>
      <w:pPr>
        <w:spacing w:after="0" w:line="181"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and may be terminated under certain conditions. On September 26, 2016, we announced November 15, 2016 as the date for the special meeting of our shareholders to consider and vote upon a proposal to approve the Simplification Transactions. Our Class A and Class B shareholders of record at the close of business on September 30, 2016 will be entitled to vote at the special meeting. We currently expect that the closing of the Simplification Transactions will take place on November 15, 2016.</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These transactions are between and among consolidated subsidiaries of PAGP that are considered entities under common control. These equity transactions will not result in a change in the carrying value of the underlying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Outlook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a Delaware limited partnership formed on July 17, 2013 to own an interest in the general partner and IDRs of PAA, a publicly traded Delaware limited partnership. Although we were formed as a limited partnership, we have elected to be taxed as a corporation for United States federal income tax purposes. As of September 30, 2016, we owned a 100% managing member interest in GP LLC and an approximate 42% limited partner interest in AAP. GP LLC holds the general partner interest in AAP and AAP directly owns all of PAA’s IDRs and indirectly owns the 2% general partner interest in PAA. AAP is the sole member of PAA GP, which directly holds the 2% general partner interest in PAA.</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accordance with GAAP, our financial results are consolidated with those of GP LLC, AAP and PAA as well as with their subsidiaries. As such, our results of operations as discussed below do not differ materially from the results of operations of PAA. See Note 1 to our Condensed Consolidated Financial Statements for additional information regarding our basis of consolidation.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the first nine months of 2016, we recognized net income of $538 million as compared to net income of $593 million recognized during the first nine months of 2015. Our financial results for the comparative periods were impacted by:</w:t>
      </w:r>
    </w:p>
    <w:p>
      <w:pPr>
        <w:spacing w:after="0" w:line="170" w:lineRule="exact"/>
        <w:rPr>
          <w:sz w:val="20"/>
          <w:szCs w:val="20"/>
          <w:color w:val="auto"/>
        </w:rPr>
      </w:pPr>
    </w:p>
    <w:p>
      <w:pPr>
        <w:ind w:left="5620" w:right="440" w:hanging="4640"/>
        <w:spacing w:after="0" w:line="559" w:lineRule="auto"/>
        <w:tabs>
          <w:tab w:leader="none" w:pos="13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operating results from our Supply and Logistics segment, primarily due to less favorable crude oil and NGL market conditions; 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00" w:right="14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results from (i) our Transportation segment, as the comparative 2015 period was negatively impacted by costs associated with the Line 901 incident that occurred in May 2015, and (ii) our Facilities segment due to contributions from recently completed acquisitions and capital expansion projects;</w:t>
      </w:r>
    </w:p>
    <w:p>
      <w:pPr>
        <w:spacing w:after="0" w:line="12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depreciation and amortization expense primarily resulting from (i) our recently completed capital expansion projects,</w:t>
      </w:r>
    </w:p>
    <w:p>
      <w:pPr>
        <w:spacing w:after="0" w:line="23" w:lineRule="exact"/>
        <w:rPr>
          <w:rFonts w:ascii="Arial" w:cs="Arial" w:eastAsia="Arial" w:hAnsi="Arial"/>
          <w:sz w:val="18"/>
          <w:szCs w:val="18"/>
          <w:color w:val="auto"/>
        </w:rPr>
      </w:pPr>
    </w:p>
    <w:p>
      <w:pPr>
        <w:ind w:left="1300" w:right="300"/>
        <w:spacing w:after="0" w:line="261" w:lineRule="auto"/>
        <w:rPr>
          <w:rFonts w:ascii="Arial" w:cs="Arial" w:eastAsia="Arial" w:hAnsi="Arial"/>
          <w:sz w:val="18"/>
          <w:szCs w:val="18"/>
          <w:color w:val="auto"/>
        </w:rPr>
      </w:pPr>
      <w:r>
        <w:rPr>
          <w:rFonts w:ascii="Arial" w:cs="Arial" w:eastAsia="Arial" w:hAnsi="Arial"/>
          <w:sz w:val="18"/>
          <w:szCs w:val="18"/>
          <w:color w:val="auto"/>
        </w:rPr>
        <w:t>(ii) impairment losses related to certain of our rail and other terminal assets and (iii) assets taken out of service, all partially offset by net gains related to non-core assets sales and joint venture formations completed during the 2016 period;</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171"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Gains of approximately $42 million recognized during the nine months ended September 30, 2016 related to the mark-to-market impact of the Preferred Distribution Rate Reset Option; and</w:t>
      </w:r>
    </w:p>
    <w:p>
      <w:pPr>
        <w:spacing w:after="0" w:line="116" w:lineRule="exact"/>
        <w:rPr>
          <w:rFonts w:ascii="Arial" w:cs="Arial" w:eastAsia="Arial" w:hAnsi="Arial"/>
          <w:sz w:val="18"/>
          <w:szCs w:val="18"/>
          <w:color w:val="auto"/>
        </w:rPr>
      </w:pPr>
    </w:p>
    <w:p>
      <w:pPr>
        <w:ind w:left="1300" w:right="50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income tax expense primarily due to lower taxable earnings from our Canadian operations and the impact from the cumulative revaluation of Canadian net deferred tax liabilities resulting from an Alberta, Canada provincial tax rate increase enacted during the comparative 2015 period.</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further discussion of our results in the “—Results of Operations—Analysis of Operating Segments” and “—Other Income and Expenses” sections below.</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invested $1.065 billion in midstream infrastructure projects during the nine months ended September 30, 2016, with a targeted expansion capital plan for the full year of 2016 of approximately $1.425 billion. Additionally, in August 2016, we completed the acquisition of an integrated system of NGL assets in Western Canada from Westcoast Energy Inc., a unit of Spectra Energy, for cash consideration of approximately $204 million. To fund such capital activities, PAA completed (i) the private placement of approximately 61.0 million Series A preferred units for net proceeds of approximately $1.6 billion, including our general partner’s proportionate capital contribution, (ii) the sale of approximately 9.9 million PAA common units for net proceeds of $283 million and (iii) the sale of various assets for net proceeds of approximately $550 million, primarily related to our planned non-core asset sales initiative, as well as our sale of 50% of our investment in each of Cheyenne Pipeline LLC and STACK Pipeline LLC.</w:t>
      </w:r>
    </w:p>
    <w:p>
      <w:pPr>
        <w:spacing w:after="0" w:line="178"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Additionally, we paid approximately $1.3 billion of cash distributions to our Class A shareholders and noncontrolling interests during the nine months ended September 30, 2016, and we declared a quarterly distribution of $0.2065 per Class A share to be paid on November 14, 2016.</w:t>
      </w:r>
    </w:p>
    <w:p>
      <w:pPr>
        <w:spacing w:after="0" w:line="12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Furthermore, in July 2016 PAGP, PAA, AAP, PAA GP, GP LLC and GP Holdings entered into a Simplification Agreement pursuant to which, upon closing, in exchange for the issuance by PAA to AAP of approximately 245.5 million common units representing limited partner interests in PAA and the assumption by PAA of AAP’s outstanding debt (as of September 30, 2016, approximately $603 million but expected to be approximately $641 million as of November 15, 2016), AAP will contribute the IDRs to PAA and PAA GP’s 2% economic general partner interest in PAA will be converted into a non-economic general partner interest in PAA. Following the closing of the Simplification Transactions, both PAGP and PAA will continue to be publicly traded. The Simplification Transactions are expected to close on November 15, 2016, subject to customary closing conditions. See Note 15 to our Condensed Consolidated Financial Statements for additional discussion of the Simplification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w:t>
            </w:r>
          </w:p>
        </w:tc>
        <w:tc>
          <w:tcPr>
            <w:tcW w:w="452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3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358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45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1,482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7"/>
        </w:trPr>
        <w:tc>
          <w:tcPr>
            <w:tcW w:w="4760" w:type="dxa"/>
            <w:vAlign w:val="bottom"/>
            <w:vMerge w:val="restart"/>
          </w:tcPr>
          <w:p>
            <w:pPr>
              <w:jc w:val="right"/>
              <w:ind w:right="790"/>
              <w:spacing w:after="0"/>
              <w:rPr>
                <w:sz w:val="20"/>
                <w:szCs w:val="20"/>
                <w:color w:val="auto"/>
              </w:rPr>
            </w:pPr>
            <w:r>
              <w:rPr>
                <w:rFonts w:ascii="Arial" w:cs="Arial" w:eastAsia="Arial" w:hAnsi="Arial"/>
                <w:sz w:val="18"/>
                <w:szCs w:val="18"/>
                <w:color w:val="auto"/>
                <w:w w:val="89"/>
              </w:rPr>
              <w:t>___________________________________________</w:t>
            </w:r>
          </w:p>
        </w:tc>
        <w:tc>
          <w:tcPr>
            <w:tcW w:w="3580" w:type="dxa"/>
            <w:vAlign w:val="bottom"/>
            <w:vMerge w:val="restart"/>
          </w:tcPr>
          <w:p>
            <w:pPr>
              <w:jc w:val="right"/>
              <w:ind w:right="2450"/>
              <w:spacing w:after="0"/>
              <w:rPr>
                <w:sz w:val="20"/>
                <w:szCs w:val="20"/>
                <w:color w:val="auto"/>
              </w:rPr>
            </w:pPr>
            <w:r>
              <w:rPr>
                <w:rFonts w:ascii="Arial" w:cs="Arial" w:eastAsia="Arial" w:hAnsi="Arial"/>
                <w:sz w:val="18"/>
                <w:szCs w:val="18"/>
                <w:color w:val="auto"/>
              </w:rPr>
              <w:t>37</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vMerge w:val="continue"/>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35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7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20" w:hanging="652"/>
        <w:spacing w:after="0" w:line="226"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203"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2016 and the forecasted expenditures for the year ending December 31, 2016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 River Pipeline (Cushing to Longview)</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$310</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Fort Saskatchewan Facility Projects</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205</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Area Pipeline Projects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185</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Saddlehorn Pipeline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125</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105</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Cushing Terminal Expansions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James Terminal Expansions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Caddo Pipeline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Eagle Ford JV Project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Cactus Pipeline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295</w:t>
            </w:r>
          </w:p>
        </w:tc>
      </w:tr>
      <w:tr>
        <w:trPr>
          <w:trHeight w:val="237"/>
        </w:trPr>
        <w:tc>
          <w:tcPr>
            <w:tcW w:w="9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$1,425</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7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5"/>
                <w:szCs w:val="25"/>
                <w:color w:val="auto"/>
                <w:vertAlign w:val="superscript"/>
              </w:rPr>
              <w:t>(1)</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 +$50</w:t>
            </w:r>
          </w:p>
        </w:tc>
      </w:tr>
      <w:tr>
        <w:trPr>
          <w:trHeight w:val="237"/>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$1,375 - $1,475</w:t>
            </w:r>
          </w:p>
        </w:tc>
      </w:tr>
      <w:tr>
        <w:trPr>
          <w:trHeight w:val="67"/>
        </w:trPr>
        <w:tc>
          <w:tcPr>
            <w:tcW w:w="9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51"/>
        </w:trPr>
        <w:tc>
          <w:tcPr>
            <w:tcW w:w="9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Maintenance Capital Expenditures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$175 - $185</w:t>
            </w:r>
          </w:p>
        </w:tc>
      </w:tr>
      <w:tr>
        <w:trPr>
          <w:trHeight w:val="243"/>
        </w:trPr>
        <w:tc>
          <w:tcPr>
            <w:tcW w:w="960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40" w:lineRule="exact"/>
        <w:rPr>
          <w:sz w:val="20"/>
          <w:szCs w:val="20"/>
          <w:color w:val="auto"/>
        </w:rPr>
      </w:pPr>
    </w:p>
    <w:p>
      <w:pPr>
        <w:ind w:left="660" w:hanging="652"/>
        <w:spacing w:after="0" w:line="21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unit data). See Note 13 to our Condensed Consolidated Financial Statements for additional information regarding our operating segments and segment performance measures.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7"/>
              </w:rPr>
              <w:t>Favorable/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20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7"/>
              </w:rPr>
              <w:t>Favorable/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20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4"/>
          </w:tcPr>
          <w:p>
            <w:pPr>
              <w:jc w:val="center"/>
              <w:ind w:right="151"/>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5"/>
              </w:rPr>
              <w:t>Variance</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20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5"/>
              </w:rPr>
              <w:t>Variance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Facilities segment profit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profit/(loss)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Total segment profit</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Unallocated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67"/>
        </w:trPr>
        <w:tc>
          <w:tcPr>
            <w:tcW w:w="3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Basic net income per Class A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Class A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w w:val="96"/>
              </w:rPr>
              <w:t>Basic weighted average Class A shares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Diluted weighted average Class A shares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7"/>
        </w:trPr>
        <w:tc>
          <w:tcPr>
            <w:tcW w:w="3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ind w:left="660" w:hanging="652"/>
        <w:spacing w:after="0" w:line="233"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segment performance based on a variety of measures including segment profit, segment volumes, segment profit per barrel and maintenance capital investment. See Note 18 to our Consolidated Financial Statements included in Part IV of our 2015 Annual Report on Form 10-K for further discussion of how we evaluate segment profit. See Note 13 to our Condensed Consolidated Financial Statements for a reconciliation of segment profit to net income attributable to PAGP.</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34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4"/>
              </w:rPr>
              <w:t>Favorable/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340" w:type="dxa"/>
            <w:vAlign w:val="bottom"/>
            <w:gridSpan w:val="3"/>
          </w:tcPr>
          <w:p>
            <w:pPr>
              <w:jc w:val="center"/>
              <w:ind w:left="513"/>
              <w:spacing w:after="0"/>
              <w:rPr>
                <w:sz w:val="20"/>
                <w:szCs w:val="20"/>
                <w:color w:val="auto"/>
              </w:rPr>
            </w:pPr>
            <w:r>
              <w:rPr>
                <w:rFonts w:ascii="Arial" w:cs="Arial" w:eastAsia="Arial" w:hAnsi="Arial"/>
                <w:sz w:val="14"/>
                <w:szCs w:val="14"/>
                <w:b w:val="1"/>
                <w:bCs w:val="1"/>
                <w:color w:val="auto"/>
                <w:w w:val="94"/>
              </w:rPr>
              <w:t>Favorable/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6"/>
                <w:szCs w:val="16"/>
                <w:color w:val="auto"/>
              </w:rPr>
            </w:pPr>
          </w:p>
        </w:tc>
        <w:tc>
          <w:tcPr>
            <w:tcW w:w="22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4"/>
              </w:rPr>
              <w:t>(Unfavorable)Variance</w:t>
            </w:r>
          </w:p>
        </w:tc>
        <w:tc>
          <w:tcPr>
            <w:tcW w:w="20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0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5"/>
              </w:rPr>
              <w:t>(Unfavorable)Variance</w:t>
            </w:r>
          </w:p>
        </w:tc>
        <w:tc>
          <w:tcPr>
            <w:tcW w:w="0" w:type="dxa"/>
            <w:vAlign w:val="bottom"/>
          </w:tcPr>
          <w:p>
            <w:pPr>
              <w:spacing w:after="0"/>
              <w:rPr>
                <w:sz w:val="1"/>
                <w:szCs w:val="1"/>
                <w:color w:val="auto"/>
              </w:rPr>
            </w:pPr>
          </w:p>
        </w:tc>
      </w:tr>
      <w:tr>
        <w:trPr>
          <w:trHeight w:val="264"/>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Tariff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Total transportation revenues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292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(expense)/benefit -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2920" w:type="dxa"/>
            <w:vAlign w:val="bottom"/>
            <w:gridSpan w:val="2"/>
          </w:tcPr>
          <w:p>
            <w:pPr>
              <w:ind w:left="180"/>
              <w:spacing w:after="0"/>
              <w:rPr>
                <w:sz w:val="20"/>
                <w:szCs w:val="20"/>
                <w:color w:val="auto"/>
              </w:rPr>
            </w:pPr>
            <w:r>
              <w:rPr>
                <w:rFonts w:ascii="Arial" w:cs="Arial" w:eastAsia="Arial" w:hAnsi="Arial"/>
                <w:sz w:val="18"/>
                <w:szCs w:val="18"/>
                <w:color w:val="auto"/>
                <w:w w:val="94"/>
              </w:rPr>
              <w:t>Segment general and administrative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2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(expense)/benefit - general and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Equity earnings in unconsolidated</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entities</w:t>
            </w:r>
          </w:p>
        </w:tc>
        <w:tc>
          <w:tcPr>
            <w:tcW w:w="18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2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67"/>
        </w:trPr>
        <w:tc>
          <w:tcPr>
            <w:tcW w:w="28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9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2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180" w:type="dxa"/>
            <w:vAlign w:val="bottom"/>
          </w:tcPr>
          <w:p>
            <w:pPr>
              <w:spacing w:after="0"/>
              <w:rPr>
                <w:sz w:val="24"/>
                <w:szCs w:val="2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40" w:type="dxa"/>
            <w:vAlign w:val="bottom"/>
            <w:gridSpan w:val="7"/>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Favorable/(Unfavorable)Variance</w:t>
            </w:r>
          </w:p>
        </w:tc>
        <w:tc>
          <w:tcPr>
            <w:tcW w:w="200" w:type="dxa"/>
            <w:vAlign w:val="bottom"/>
          </w:tcPr>
          <w:p>
            <w:pPr>
              <w:spacing w:after="0"/>
              <w:rPr>
                <w:sz w:val="24"/>
                <w:szCs w:val="2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22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5"/>
              </w:rPr>
              <w:t>Favorable/(Unfavorable)Variance</w:t>
            </w:r>
          </w:p>
        </w:tc>
        <w:tc>
          <w:tcPr>
            <w:tcW w:w="0" w:type="dxa"/>
            <w:vAlign w:val="bottom"/>
          </w:tcPr>
          <w:p>
            <w:pPr>
              <w:spacing w:after="0"/>
              <w:rPr>
                <w:sz w:val="1"/>
                <w:szCs w:val="1"/>
                <w:color w:val="auto"/>
              </w:rPr>
            </w:pPr>
          </w:p>
        </w:tc>
      </w:tr>
      <w:tr>
        <w:trPr>
          <w:trHeight w:val="192"/>
        </w:trPr>
        <w:tc>
          <w:tcPr>
            <w:tcW w:w="2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2440" w:type="dxa"/>
            <w:vAlign w:val="bottom"/>
            <w:gridSpan w:val="7"/>
            <w:vMerge w:val="continue"/>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Volumes</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Volumes</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29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180" w:type="dxa"/>
            <w:vAlign w:val="bottom"/>
          </w:tcPr>
          <w:p>
            <w:pPr>
              <w:spacing w:after="0"/>
              <w:rPr>
                <w:sz w:val="23"/>
                <w:szCs w:val="23"/>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Western</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9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180" w:type="dxa"/>
            <w:vAlign w:val="bottom"/>
          </w:tcPr>
          <w:p>
            <w:pPr>
              <w:spacing w:after="0"/>
              <w:rPr>
                <w:sz w:val="23"/>
                <w:szCs w:val="23"/>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Gulf Coast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292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180" w:type="dxa"/>
            <w:vAlign w:val="bottom"/>
          </w:tcPr>
          <w:p>
            <w:pPr>
              <w:spacing w:after="0"/>
              <w:rPr>
                <w:sz w:val="23"/>
                <w:szCs w:val="23"/>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920" w:type="dxa"/>
            <w:vAlign w:val="bottom"/>
            <w:gridSpan w:val="2"/>
          </w:tcPr>
          <w:p>
            <w:pPr>
              <w:ind w:left="40"/>
              <w:spacing w:after="0"/>
              <w:rPr>
                <w:sz w:val="20"/>
                <w:szCs w:val="20"/>
                <w:color w:val="auto"/>
              </w:rPr>
            </w:pPr>
            <w:r>
              <w:rPr>
                <w:rFonts w:ascii="Arial" w:cs="Arial" w:eastAsia="Arial" w:hAnsi="Arial"/>
                <w:sz w:val="18"/>
                <w:szCs w:val="18"/>
                <w:color w:val="auto"/>
                <w:w w:val="94"/>
              </w:rPr>
              <w:t>Transportation segment total volumes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ind w:left="660" w:hanging="652"/>
        <w:spacing w:after="0" w:line="233"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201" w:lineRule="exact"/>
        <w:rPr>
          <w:rFonts w:ascii="Arial" w:cs="Arial" w:eastAsia="Arial" w:hAnsi="Arial"/>
          <w:sz w:val="25"/>
          <w:szCs w:val="25"/>
          <w:color w:val="auto"/>
          <w:vertAlign w:val="superscript"/>
        </w:rPr>
      </w:pPr>
    </w:p>
    <w:p>
      <w:pPr>
        <w:ind w:left="660" w:right="40" w:hanging="652"/>
        <w:spacing w:after="0" w:line="21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60" w:hanging="652"/>
        <w:spacing w:after="0" w:line="252" w:lineRule="auto"/>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66"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4"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 Revenue from our pipeline capacity agreements generally reflects a negotiated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Tariff Activities Revenues, Equity Earnings in Unconsolidated Entities and Volumes. </w:t>
      </w:r>
      <w:r>
        <w:rPr>
          <w:rFonts w:ascii="Arial" w:cs="Arial" w:eastAsia="Arial" w:hAnsi="Arial"/>
          <w:sz w:val="17"/>
          <w:szCs w:val="17"/>
          <w:color w:val="auto"/>
        </w:rPr>
        <w:t>As noted in the table above, revenues from tariff activities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earnings in unconsolidated entities were relatively consistent for the three and nine months ended September 30, 2016 compared to the same 2015 periods, while volumes increased for both comparative periods presented. The revenues, equity earnings and volumes reported for the periods do not include net deferred revenues of $30 million and $54 million for the three and nine months ended September 30, 2016, respectively, related to agreements that require counterparties to deliver or transport a minimum volume during the period. The net amounts deferred are for volume commitments for which the counterparty did not fulfill its volume commitment, but which have been billed and collected from the counterparty.</w:t>
      </w:r>
    </w:p>
    <w:p>
      <w:pPr>
        <w:spacing w:after="0" w:line="17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following table presents significant tariff activities revenues and equity earnings in unconsolidated entities variances by region for the comparative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4"/>
              </w:rPr>
              <w:t>Favorable/(Unfavorable) Variance</w:t>
            </w:r>
          </w:p>
        </w:tc>
        <w:tc>
          <w:tcPr>
            <w:tcW w:w="280" w:type="dxa"/>
            <w:vAlign w:val="bottom"/>
          </w:tcPr>
          <w:p>
            <w:pPr>
              <w:spacing w:after="0"/>
              <w:rPr>
                <w:sz w:val="14"/>
                <w:szCs w:val="14"/>
                <w:color w:val="auto"/>
              </w:rPr>
            </w:pPr>
          </w:p>
        </w:tc>
        <w:tc>
          <w:tcPr>
            <w:tcW w:w="278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4"/>
              </w:rPr>
              <w:t>Favorable/(Unfavorable) Variance</w:t>
            </w: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2"/>
                <w:szCs w:val="12"/>
                <w:color w:val="auto"/>
              </w:rPr>
            </w:pPr>
          </w:p>
        </w:tc>
        <w:tc>
          <w:tcPr>
            <w:tcW w:w="278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2"/>
              </w:rPr>
              <w:t>Nine Months Ended September 30,</w:t>
            </w:r>
          </w:p>
        </w:tc>
      </w:t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2"/>
              </w:rPr>
              <w:t>2016-2015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2"/>
              </w:rPr>
              <w:t>2016-2015</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Equity Earnings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Equity Earnings</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Permian Basin region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Rocky Mountain region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Gulf Coast region</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Central region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 (including pipeline loss allowance revenue)</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variance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Permian Basin region — The increase in revenues for the comparative 2016 periods presented was largely driven by higher volumes associated with the expansion of our pipeline systems in the Delaware Basin, as well as higher volumes on our takeaway pipelines. For the nine month comparative period, the increase in revenues was also driven by results from our Cactus pipeline, which was placed in service in April 2015 and was in a ramp-up phase for the following months, and which also favorably impacted volumes on our McCamey pipeline system which connects our Midland terminal to the Cactus pipeline origin station.</w:t>
      </w:r>
    </w:p>
    <w:p>
      <w:pPr>
        <w:spacing w:after="0" w:line="188" w:lineRule="exact"/>
        <w:rPr>
          <w:rFonts w:ascii="Arial" w:cs="Arial" w:eastAsia="Arial" w:hAnsi="Arial"/>
          <w:sz w:val="18"/>
          <w:szCs w:val="18"/>
          <w:color w:val="auto"/>
        </w:rPr>
      </w:pPr>
    </w:p>
    <w:p>
      <w:pPr>
        <w:ind w:left="980" w:right="18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Rocky Mountain region — The decrease in revenues for the three and nine months ended September 30, 2016 versus the comparable 2015 periods was largely driven by (i) decreased tariffs on certain of our Bakken area pipelines, (ii) crude oil quality issues that resulted in lower movements on our Robinson Lake pipeline for the 2016 periods, (iii) lower volumes due to production declines and increased competition and (iv) the sale of 50%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of our investment in Cheyenne Pipeline in June 2016, subsequent to which it was accounted for under the equity method of accounting.</w:t>
      </w:r>
    </w:p>
    <w:p>
      <w:pPr>
        <w:spacing w:after="0" w:line="250" w:lineRule="exact"/>
        <w:rPr>
          <w:sz w:val="20"/>
          <w:szCs w:val="20"/>
          <w:color w:val="auto"/>
        </w:rPr>
      </w:pPr>
    </w:p>
    <w:p>
      <w:pPr>
        <w:ind w:left="980" w:right="60"/>
        <w:spacing w:after="0" w:line="259" w:lineRule="auto"/>
        <w:rPr>
          <w:sz w:val="20"/>
          <w:szCs w:val="20"/>
          <w:color w:val="auto"/>
        </w:rPr>
      </w:pPr>
      <w:r>
        <w:rPr>
          <w:rFonts w:ascii="Arial" w:cs="Arial" w:eastAsia="Arial" w:hAnsi="Arial"/>
          <w:sz w:val="18"/>
          <w:szCs w:val="18"/>
          <w:color w:val="auto"/>
        </w:rPr>
        <w:t>Equity earnings increased for the three and nine month comparative periods due to earnings from (i) our 40% investment in the entity that owns the Saddlehorn Pipeline, a segment of which was placed in service in the third quarter of 2016, and (ii) our 50% investment in Cheyenne Pipeline, as discussed above. The nine-month comparative period was further favorably impacted by contributions from our investment in Frontier, in which we purchased an additional interest in August 2015.</w:t>
      </w:r>
    </w:p>
    <w:p>
      <w:pPr>
        <w:spacing w:after="0" w:line="187" w:lineRule="exact"/>
        <w:rPr>
          <w:sz w:val="20"/>
          <w:szCs w:val="20"/>
          <w:color w:val="auto"/>
        </w:rPr>
      </w:pPr>
    </w:p>
    <w:p>
      <w:pPr>
        <w:ind w:left="980" w:right="6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Gulf Coast region — Revenues and volumes decreased for the three and nine months ended September 30, 2016 compared to the same 2015 periods primarily due to the sale of certain of our Gulf Coast pipelines in March 2016 and July 2016. These decreases were partially offset by increased volumes on the Capline and Pascagoula pipelines, which were favorably impacted by higher refinery demand, but were at lower tariff rates than the pipelines that were sold.</w:t>
      </w:r>
    </w:p>
    <w:p>
      <w:pPr>
        <w:spacing w:after="0" w:line="186"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Central region — The decrease in revenues for the three and nine months ended September 30, 2016 versus the comparable 2015 periods was largely driven by lower volumes due to production declines in the Mid-Continent area.</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 The decrease in other revenues for the nine months ended September 30, 2016 was primarily related to lower pipeline loss allowance revenue of $36 million driven by a lower average realized price per barrel.</w:t>
      </w:r>
    </w:p>
    <w:p>
      <w:pPr>
        <w:spacing w:after="0" w:line="170"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The decrease in equity earnings for the nine months ended September 30, 2016 was primarily due to less favorable results from our investment in Settoon, which was impacted by lower demand for barge and towing movements.</w:t>
      </w:r>
    </w:p>
    <w:p>
      <w:pPr>
        <w:spacing w:after="0" w:line="17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i w:val="1"/>
          <w:iCs w:val="1"/>
          <w:color w:val="auto"/>
        </w:rPr>
        <w:t xml:space="preserve">Trucking Revenues. </w:t>
      </w:r>
      <w:r>
        <w:rPr>
          <w:rFonts w:ascii="Arial" w:cs="Arial" w:eastAsia="Arial" w:hAnsi="Arial"/>
          <w:sz w:val="18"/>
          <w:szCs w:val="18"/>
          <w:color w:val="auto"/>
        </w:rPr>
        <w:t>The decrease in trucking revenues for the nine months ended September 30, 2016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was primarily driven by unfavorable foreign exchange impacts of $6 million.</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Trucking Costs. </w:t>
      </w:r>
      <w:r>
        <w:rPr>
          <w:rFonts w:ascii="Arial" w:cs="Arial" w:eastAsia="Arial" w:hAnsi="Arial"/>
          <w:sz w:val="18"/>
          <w:szCs w:val="18"/>
          <w:color w:val="auto"/>
        </w:rPr>
        <w:t>Trucking costs decreased for the nine months ended September 30, 2016 compared to the same 2015 period due to lower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rates, as well as favorable foreign exchange impacts of $4 million.</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 decreased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2016 compared to the nine months ended September 30, 2015 primarily due to net costs of approximately $65 million associated with the Line 901 incident that were recognized in the second quarter of 2015. See Note 12 to our Condensed Consolidated Financial Statements for additional information regarding the Line 901 incident. The decrease in both the three and nine months ended September 30, 2016 as compared to the three and nine months ended September 30, 2015 was further driven by lower utilities and maintenance costs, costs associated with the MP29 release in the third quarter of 2015 and lower operating costs due to the sale of certain of our Gulf Coast pipelines in March 2016 and July 2016. The decrease for the nine-month comparative period was also due to a favorable foreign exchange impact of $5 million, partially offset by an increase in integrity management costs.</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equity-indexed compensation expense increased by $22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compared to the same period in 2015, primarily due to the impact of the increase in PAA unit price during the three months ended September 30, 2016 compared to the impact of the decrease in PAA unit price during the same period in 2015, partially offset by the impact of lower average values per PAA LTIP unit during the 2016 period compared to the same period in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 consolidated basis across all segments, equity-indexed compensation expense increased by $13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compared to the same period in 2015, primarily due to the impact of the increase in PAA unit price during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compared to the impact of the decrease in PAA unit price during the same period in 2015, partially offset by the impact of fewer probable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PAA LTIP units outstanding and lower average values per PAA LTIP unit during the 2016 period compared to the same period in 2015.</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Allocations of equity-indexed compensation expense vary over time between field operating costs and general and administrative expenses, as well as between segments, and could result in variances in those expense categories or segments that differ from the consolidated variance explanations above. See Note 15 to our Consolidated Financial Statements included in Part IV of our 2015 Annual Report on Form 10-K for additional information regarding our equity-indexed compensation plans.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of partially or fully depreciated assets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operating and/or earnings capacity of our existing assets. The decrease in maintenance capital for the three and nine months ended September 30, 2016 compared to the three and nine months ended September 30, 2015 was primarily driven by lower third party service costs and timing of projects.</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Favorable/(Unfavorable)Variance</w:t>
            </w:r>
          </w:p>
        </w:tc>
        <w:tc>
          <w:tcPr>
            <w:tcW w:w="14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2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Favorable/(Unfavorable)Variance</w:t>
            </w:r>
          </w:p>
        </w:tc>
        <w:tc>
          <w:tcPr>
            <w:tcW w:w="0" w:type="dxa"/>
            <w:vAlign w:val="bottom"/>
          </w:tcPr>
          <w:p>
            <w:pPr>
              <w:spacing w:after="0"/>
              <w:rPr>
                <w:sz w:val="1"/>
                <w:szCs w:val="1"/>
                <w:color w:val="auto"/>
              </w:rPr>
            </w:pPr>
          </w:p>
        </w:tc>
      </w:tr>
      <w:tr>
        <w:trPr>
          <w:trHeight w:val="192"/>
        </w:trPr>
        <w:tc>
          <w:tcPr>
            <w:tcW w:w="3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40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1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Natural gas related storage costs</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00"/>
              <w:spacing w:after="0"/>
              <w:rPr>
                <w:sz w:val="20"/>
                <w:szCs w:val="20"/>
                <w:color w:val="auto"/>
              </w:rPr>
            </w:pPr>
            <w:r>
              <w:rPr>
                <w:rFonts w:ascii="Arial" w:cs="Arial" w:eastAsia="Arial" w:hAnsi="Arial"/>
                <w:sz w:val="18"/>
                <w:szCs w:val="18"/>
                <w:color w:val="auto"/>
              </w:rPr>
              <w:t>(expense)/benefit - operations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200"/>
              <w:spacing w:after="0"/>
              <w:rPr>
                <w:sz w:val="20"/>
                <w:szCs w:val="20"/>
                <w:color w:val="auto"/>
              </w:rPr>
            </w:pPr>
            <w:r>
              <w:rPr>
                <w:rFonts w:ascii="Arial" w:cs="Arial" w:eastAsia="Arial" w:hAnsi="Arial"/>
                <w:sz w:val="18"/>
                <w:szCs w:val="18"/>
                <w:color w:val="auto"/>
              </w:rPr>
              <w:t>(expense)/benefit - general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67"/>
        </w:trPr>
        <w:tc>
          <w:tcPr>
            <w:tcW w:w="32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4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profit per barrel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Favorable/(Unfavorable)Variance</w:t>
            </w:r>
          </w:p>
        </w:tc>
        <w:tc>
          <w:tcPr>
            <w:tcW w:w="140" w:type="dxa"/>
            <w:vAlign w:val="bottom"/>
          </w:tcPr>
          <w:p>
            <w:pPr>
              <w:spacing w:after="0"/>
              <w:rPr>
                <w:sz w:val="24"/>
                <w:szCs w:val="2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2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Favorable/(Unfavorable)Variance</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40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1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Volumes</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Volumes</w:t>
            </w:r>
          </w:p>
        </w:tc>
        <w:tc>
          <w:tcPr>
            <w:tcW w:w="14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terminalling and storage (average monthly</w:t>
            </w:r>
          </w:p>
        </w:tc>
        <w:tc>
          <w:tcPr>
            <w:tcW w:w="1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capacity in millions of barrels)</w:t>
            </w: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40"/>
              <w:spacing w:after="0"/>
              <w:rPr>
                <w:sz w:val="20"/>
                <w:szCs w:val="20"/>
                <w:color w:val="auto"/>
              </w:rPr>
            </w:pPr>
            <w:r>
              <w:rPr>
                <w:rFonts w:ascii="Arial" w:cs="Arial" w:eastAsia="Arial" w:hAnsi="Arial"/>
                <w:sz w:val="18"/>
                <w:szCs w:val="18"/>
                <w:color w:val="auto"/>
              </w:rPr>
              <w:t>Rail load / unload volumes (average</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ind w:right="15"/>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w w:val="97"/>
              </w:rPr>
              <w:t>volumes in thousands of barrels per day)</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storage (average monthly</w:t>
            </w: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working capacity in billions of cubic feet)</w:t>
            </w:r>
          </w:p>
        </w:tc>
        <w:tc>
          <w:tcPr>
            <w:tcW w:w="14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160" w:type="dxa"/>
            <w:vAlign w:val="bottom"/>
            <w:tcBorders>
              <w:right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NGL fractionation (average volumes 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ind w:right="15"/>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ind w:right="15"/>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thousands of barrels per day)</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Facilities segment total (average monthly</w:t>
            </w: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gridSpan w:val="2"/>
            <w:shd w:val="clear" w:color="auto" w:fill="CCEEFF"/>
          </w:tcPr>
          <w:p>
            <w:pPr>
              <w:ind w:left="40"/>
              <w:spacing w:after="0" w:line="244" w:lineRule="exact"/>
              <w:rPr>
                <w:sz w:val="20"/>
                <w:szCs w:val="20"/>
                <w:color w:val="auto"/>
              </w:rPr>
            </w:pPr>
            <w:r>
              <w:rPr>
                <w:rFonts w:ascii="Arial" w:cs="Arial" w:eastAsia="Arial" w:hAnsi="Arial"/>
                <w:sz w:val="18"/>
                <w:szCs w:val="18"/>
                <w:color w:val="auto"/>
              </w:rPr>
              <w:t xml:space="preserve">volumes in millions of barrels) </w:t>
            </w:r>
            <w:r>
              <w:rPr>
                <w:rFonts w:ascii="Arial" w:cs="Arial" w:eastAsia="Arial" w:hAnsi="Arial"/>
                <w:sz w:val="25"/>
                <w:szCs w:val="25"/>
                <w:color w:val="auto"/>
                <w:vertAlign w:val="superscript"/>
              </w:rPr>
              <w:t>(5)</w:t>
            </w: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spacing w:after="0" w:line="15"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color w:val="auto"/>
        </w:rPr>
        <w:t>Revenues and costs and expenses include intersegment amounts.</w:t>
      </w:r>
    </w:p>
    <w:p>
      <w:pPr>
        <w:spacing w:after="0" w:line="201" w:lineRule="exact"/>
        <w:rPr>
          <w:rFonts w:ascii="Arial" w:cs="Arial" w:eastAsia="Arial" w:hAnsi="Arial"/>
          <w:sz w:val="23"/>
          <w:szCs w:val="23"/>
          <w:color w:val="auto"/>
          <w:vertAlign w:val="superscript"/>
        </w:rPr>
      </w:pPr>
    </w:p>
    <w:p>
      <w:pPr>
        <w:ind w:left="660" w:right="4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60" w:hanging="652"/>
        <w:spacing w:after="0" w:line="252"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32"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201" w:lineRule="exact"/>
        <w:rPr>
          <w:rFonts w:ascii="Arial" w:cs="Arial" w:eastAsia="Arial" w:hAnsi="Arial"/>
          <w:sz w:val="25"/>
          <w:szCs w:val="25"/>
          <w:color w:val="auto"/>
          <w:vertAlign w:val="superscript"/>
        </w:rPr>
      </w:pPr>
    </w:p>
    <w:p>
      <w:pPr>
        <w:ind w:left="660" w:right="60" w:hanging="652"/>
        <w:spacing w:after="0" w:line="235"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04"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As noted in the table above, our Facilities segment revenues increased by $19 million and $28 million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compared to the three and nine months ended September 30, 2015, respectively. Total volumes increased for both comparative periods presented. Our Facilities segment results for the comparative periods were impacted by:</w:t>
      </w:r>
    </w:p>
    <w:p>
      <w:pPr>
        <w:spacing w:after="0" w:line="181" w:lineRule="exact"/>
        <w:rPr>
          <w:sz w:val="20"/>
          <w:szCs w:val="20"/>
          <w:color w:val="auto"/>
        </w:rPr>
      </w:pPr>
    </w:p>
    <w:p>
      <w:pPr>
        <w:ind w:left="660" w:right="240" w:hanging="328"/>
        <w:spacing w:after="0" w:line="27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Crude Oil Storage — Revenues increased by $5 million and $23 million for the three and nine months ended September 30, 2016, respectively, as compared to the three and nine months ended September 30, 2015 primarily due to (i) increased utilization at certain of our West Coast terminals and (ii) aggregate capacity expansions of approximately 5 million barrels at our St. James and Cushing terminals. Such increases were partially offset by lower results due to the sale of certain of our East Coast terminals in April 2016.</w:t>
      </w:r>
    </w:p>
    <w:p>
      <w:pPr>
        <w:spacing w:after="0" w:line="171" w:lineRule="exact"/>
        <w:rPr>
          <w:rFonts w:ascii="Arial" w:cs="Arial" w:eastAsia="Arial" w:hAnsi="Arial"/>
          <w:sz w:val="17"/>
          <w:szCs w:val="17"/>
          <w:color w:val="auto"/>
        </w:rPr>
      </w:pPr>
    </w:p>
    <w:p>
      <w:pPr>
        <w:ind w:left="660" w:right="100" w:hanging="328"/>
        <w:spacing w:after="0" w:line="27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Rail Terminals — Revenues decreased by $1 million and $16 million for the three and nine month comparative periods, respectively, primarily due to lower volumes at our U.S. terminals as a result of production declines in the Bakken and less favorable market conditions, partially offset by revenue associated with minimum volume commitments entered into during 2016 at certain of our terminals, and revenues and volumes from our Canadian NGL rail terminal that came online in April 2016. The three-month comparative period was further favorably impacted by the recognition of revenue associated with minimum volume commitments that had been deferred in prior quarters of 2016.</w:t>
      </w:r>
    </w:p>
    <w:p>
      <w:pPr>
        <w:spacing w:after="0" w:line="172" w:lineRule="exact"/>
        <w:rPr>
          <w:rFonts w:ascii="Arial" w:cs="Arial" w:eastAsia="Arial" w:hAnsi="Arial"/>
          <w:sz w:val="17"/>
          <w:szCs w:val="17"/>
          <w:color w:val="auto"/>
        </w:rPr>
      </w:pPr>
    </w:p>
    <w:p>
      <w:pPr>
        <w:ind w:left="660" w:hanging="328"/>
        <w:spacing w:after="0" w:line="27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NGL Storage, NGL Fractionation and Canadian Natural Gas Processing — Revenues increased by $18 million and $25 million for the three and nine months ended September 30, 2016, respectively, compared to the same periods in 2015 primarily due to (i) contributions from the Western Canada NGL assets we acquired in August 2016 and (ii) higher fees at certain of our NGL storage and fractionation facilities. For the nine-month comparative period, such increases were partially offset by unfavorable foreign exchange impacts of approximately $10 million.</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compared to the three and nine months ended September 30, 2015 primarily due to lower costs related to contract services, primarily at our rail terminals and, to a lesser extent, at our processing facilities, as well as the impact of the sale of certain of our East Coast terminals in April 2016. The nine-month comparative period was also impacted by lower utilities costs and a favorable foreign exchange impact of $5 million. These decreases were partially offset by an increase in operating costs due to the Western Canada NGL assets acquired in August 2016.</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 decreased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2016 compared to the three and nine months ended September 30, 2015 primarily due to cost reduction efforts and lower costs incurred for legal fees.</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for the nine months ended September 30, 2016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was primarily due to lower spending on various tank and other maintenance capital projects, partially due to the timing of certain 2015 projects at our NGL storage and fractionation facilities.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the effects of competition on our lease gathering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2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7"/>
              </w:rPr>
              <w:t>Favorable/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8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Favorable/(Unfavorable)Variance</w:t>
            </w:r>
          </w:p>
        </w:tc>
        <w:tc>
          <w:tcPr>
            <w:tcW w:w="1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center"/>
              <w:ind w:right="32"/>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2"/>
        </w:trPr>
        <w:tc>
          <w:tcPr>
            <w:tcW w:w="3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40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30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(16,553)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w w:val="97"/>
              </w:rPr>
              <w:t>Equity-indexed compensation expense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 operations</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general and administrative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Equity-indexed compensation</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(expense)/benefit - general and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profit/(loss)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51"/>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profit/(loss) per barrel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24"/>
                <w:szCs w:val="24"/>
                <w:color w:val="auto"/>
              </w:rPr>
            </w:pPr>
          </w:p>
        </w:tc>
        <w:tc>
          <w:tcPr>
            <w:tcW w:w="12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7"/>
              </w:rPr>
              <w:t>Favorable/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8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Favorable/(Unfavorable)Variance</w:t>
            </w:r>
          </w:p>
        </w:tc>
        <w:tc>
          <w:tcPr>
            <w:tcW w:w="1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center"/>
              <w:ind w:right="32"/>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2"/>
        </w:trPr>
        <w:tc>
          <w:tcPr>
            <w:tcW w:w="3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40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Volumes</w:t>
            </w:r>
          </w:p>
        </w:tc>
        <w:tc>
          <w:tcPr>
            <w:tcW w:w="14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NGL sales</w:t>
            </w:r>
          </w:p>
        </w:tc>
        <w:tc>
          <w:tcPr>
            <w:tcW w:w="18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Waterborne cargos</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37"/>
        </w:trPr>
        <w:tc>
          <w:tcPr>
            <w:tcW w:w="3040" w:type="dxa"/>
            <w:vAlign w:val="bottom"/>
            <w:gridSpan w:val="2"/>
          </w:tcPr>
          <w:p>
            <w:pPr>
              <w:ind w:left="160"/>
              <w:spacing w:after="0"/>
              <w:rPr>
                <w:sz w:val="20"/>
                <w:szCs w:val="20"/>
                <w:color w:val="auto"/>
              </w:rPr>
            </w:pPr>
            <w:r>
              <w:rPr>
                <w:rFonts w:ascii="Arial" w:cs="Arial" w:eastAsia="Arial" w:hAnsi="Arial"/>
                <w:sz w:val="18"/>
                <w:szCs w:val="18"/>
                <w:color w:val="auto"/>
              </w:rPr>
              <w:t>Supply and Logistics segment total</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ind w:left="660" w:hanging="652"/>
        <w:spacing w:after="0" w:line="233"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201" w:lineRule="exact"/>
        <w:rPr>
          <w:rFonts w:ascii="Arial" w:cs="Arial" w:eastAsia="Arial" w:hAnsi="Arial"/>
          <w:sz w:val="25"/>
          <w:szCs w:val="25"/>
          <w:color w:val="auto"/>
          <w:vertAlign w:val="superscript"/>
        </w:rPr>
      </w:pPr>
    </w:p>
    <w:p>
      <w:pPr>
        <w:ind w:left="660" w:right="60" w:hanging="652"/>
        <w:spacing w:after="0" w:line="252"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Purchases and related costs include interest expense (related to hedged inventory purchases) of $5 million and $1 million for the three months ended September 30, 2016 and 2015, respectively, and $10 million and $4 million for the nine months ended September 30, 2016 and 2015, respectively.</w:t>
      </w:r>
    </w:p>
    <w:p>
      <w:pPr>
        <w:spacing w:after="0" w:line="189" w:lineRule="exact"/>
        <w:rPr>
          <w:rFonts w:ascii="Arial" w:cs="Arial" w:eastAsia="Arial" w:hAnsi="Arial"/>
          <w:sz w:val="22"/>
          <w:szCs w:val="22"/>
          <w:color w:val="auto"/>
          <w:vertAlign w:val="superscript"/>
        </w:rPr>
      </w:pPr>
    </w:p>
    <w:p>
      <w:pPr>
        <w:ind w:left="660" w:right="20" w:hanging="652"/>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203" w:lineRule="exact"/>
        <w:rPr>
          <w:rFonts w:ascii="Arial" w:cs="Arial" w:eastAsia="Arial" w:hAnsi="Arial"/>
          <w:sz w:val="25"/>
          <w:szCs w:val="25"/>
          <w:color w:val="auto"/>
          <w:vertAlign w:val="superscript"/>
        </w:rPr>
      </w:pPr>
    </w:p>
    <w:p>
      <w:pPr>
        <w:ind w:left="660" w:right="240" w:hanging="652"/>
        <w:spacing w:after="0" w:line="252"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37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2016</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September 30, 2015</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Nine months ended September 30, 2016</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2015</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and nine months ended September 30, 2016 compared to the same periods in 2015 due to lower crude oil and NGL prices.</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this extended period of lower crude oil prices, the ability to generate above base level earnings is challenging, and taking into account the over-capacity of midstream assets and increased competition that currently exists in most crude oil producing regions, generating even baseline level performance is challenging. Our NGL operations are also impacted by similar competitive pressures. In addition,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Net Revenues and Volumes. </w:t>
      </w:r>
      <w:r>
        <w:rPr>
          <w:rFonts w:ascii="Arial" w:cs="Arial" w:eastAsia="Arial" w:hAnsi="Arial"/>
          <w:sz w:val="18"/>
          <w:szCs w:val="18"/>
          <w:color w:val="auto"/>
        </w:rPr>
        <w:t>Our Supply and Logistics segment revenues, net of purchases and related costs, decreased by $131 million and $363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and nine months ended September 30, 2016 compared to the three and nine months ended September 30, 2015, respectively. The following summarizes the significant items impacting the comparative periods:</w:t>
      </w:r>
    </w:p>
    <w:p>
      <w:pPr>
        <w:spacing w:after="0" w:line="181" w:lineRule="exact"/>
        <w:rPr>
          <w:sz w:val="20"/>
          <w:szCs w:val="20"/>
          <w:color w:val="auto"/>
        </w:rPr>
      </w:pPr>
    </w:p>
    <w:p>
      <w:pPr>
        <w:ind w:left="980" w:right="140" w:hanging="324"/>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nine months ended September 30, 2016 as compared to the same 2015 periods, primarily due to increased competition, largely due to overbuilt infrastructure underwritten with volume commitments and the effect of such on differentials, as well as volume declines in certain areas, that have negatively impacted our unit margins.</w:t>
      </w:r>
    </w:p>
    <w:p>
      <w:pPr>
        <w:spacing w:after="0" w:line="186" w:lineRule="exact"/>
        <w:rPr>
          <w:rFonts w:ascii="Arial" w:cs="Arial" w:eastAsia="Arial" w:hAnsi="Arial"/>
          <w:sz w:val="18"/>
          <w:szCs w:val="18"/>
          <w:color w:val="auto"/>
        </w:rPr>
      </w:pPr>
    </w:p>
    <w:p>
      <w:pPr>
        <w:ind w:left="980" w:right="120" w:hanging="324"/>
        <w:spacing w:after="0" w:line="279"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decreased for the three and nine months ended September 30, 2016 as compared to the three and nine months ended September 30, 2015, largely due to (i) higher storage and processing fees for the 2016 periods and (ii) higher supply costs driven by competition. The nine-month comparative period was further unfavorably impacted by softer propane sales margins in the first quarter of 2016 versus the first quarter of 2015 resulting from a shorter and milder winter.</w:t>
      </w:r>
    </w:p>
    <w:p>
      <w:pPr>
        <w:spacing w:after="0" w:line="171"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Exchange Impacts — Our results are impacted by fluctuations in the value of CAD to USD, resulting in foreign exchange gains and losses on U.S. denominated net assets within our Canadian operations. The changes in exchange rates during each period resulted in a unfavorable variances of $1 million and $32 million for the three and nine months ended September 30, 2016 compared to the three and months ended September 30, 2015, respectively.</w:t>
      </w:r>
    </w:p>
    <w:p>
      <w:pPr>
        <w:spacing w:after="0" w:line="186" w:lineRule="exact"/>
        <w:rPr>
          <w:rFonts w:ascii="Arial" w:cs="Arial" w:eastAsia="Arial" w:hAnsi="Arial"/>
          <w:sz w:val="18"/>
          <w:szCs w:val="18"/>
          <w:color w:val="auto"/>
        </w:rPr>
      </w:pPr>
    </w:p>
    <w:p>
      <w:pPr>
        <w:ind w:left="980" w:right="40"/>
        <w:spacing w:after="0" w:line="264" w:lineRule="auto"/>
        <w:rPr>
          <w:rFonts w:ascii="Arial" w:cs="Arial" w:eastAsia="Arial" w:hAnsi="Arial"/>
          <w:sz w:val="18"/>
          <w:szCs w:val="18"/>
          <w:color w:val="auto"/>
        </w:rPr>
      </w:pPr>
      <w:r>
        <w:rPr>
          <w:rFonts w:ascii="Arial" w:cs="Arial" w:eastAsia="Arial" w:hAnsi="Arial"/>
          <w:sz w:val="18"/>
          <w:szCs w:val="18"/>
          <w:color w:val="auto"/>
        </w:rPr>
        <w:t>Furthermore, for the nine months ended September 30, 2016 compared to the nine months ended September 30, 2015, the depreciation of CAD relative to USD resulted in lower USD costs of approximately $15 million. Such costs were primarily associated with intercompany facility fees and were largely offset in our Facilities segment results.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4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(in millions):</w:t>
      </w:r>
    </w:p>
    <w:p>
      <w:pPr>
        <w:spacing w:after="0" w:line="9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4"/>
        </w:trPr>
        <w:tc>
          <w:tcPr>
            <w:tcW w:w="37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Variance</w:t>
            </w:r>
          </w:p>
        </w:tc>
      </w:tr>
      <w:tr>
        <w:trPr>
          <w:trHeight w:val="215"/>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Gains/(losses) from certain derivative activities net</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57"/>
        </w:trPr>
        <w:tc>
          <w:tcPr>
            <w:tcW w:w="374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of inventory valuation adjustments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3940" w:type="dxa"/>
            <w:vAlign w:val="bottom"/>
            <w:gridSpan w:val="2"/>
          </w:tcPr>
          <w:p>
            <w:pPr>
              <w:jc w:val="right"/>
              <w:spacing w:after="0"/>
              <w:rPr>
                <w:sz w:val="20"/>
                <w:szCs w:val="20"/>
                <w:color w:val="auto"/>
              </w:rPr>
            </w:pPr>
            <w:r>
              <w:rPr>
                <w:rFonts w:ascii="Arial" w:cs="Arial" w:eastAsia="Arial" w:hAnsi="Arial"/>
                <w:sz w:val="18"/>
                <w:szCs w:val="18"/>
                <w:color w:val="auto"/>
                <w:w w:val="89"/>
              </w:rPr>
              <w:t>___________________________________________</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5" w:lineRule="exact"/>
        <w:rPr>
          <w:sz w:val="20"/>
          <w:szCs w:val="20"/>
          <w:color w:val="auto"/>
        </w:rPr>
      </w:pPr>
    </w:p>
    <w:p>
      <w:pPr>
        <w:ind w:left="1620" w:hanging="640"/>
        <w:spacing w:after="0" w:line="235" w:lineRule="auto"/>
        <w:tabs>
          <w:tab w:leader="none" w:pos="1620" w:val="left"/>
        </w:tabs>
        <w:numPr>
          <w:ilvl w:val="1"/>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9 to our Condensed Consolidated Financial Statements for a comprehensive discussion regarding our derivatives and risk management activities.</w:t>
      </w:r>
    </w:p>
    <w:p>
      <w:pPr>
        <w:spacing w:after="0" w:line="204" w:lineRule="exact"/>
        <w:rPr>
          <w:rFonts w:ascii="Arial" w:cs="Arial" w:eastAsia="Arial" w:hAnsi="Arial"/>
          <w:sz w:val="25"/>
          <w:szCs w:val="25"/>
          <w:color w:val="auto"/>
          <w:vertAlign w:val="superscript"/>
        </w:rPr>
      </w:pPr>
    </w:p>
    <w:p>
      <w:pPr>
        <w:ind w:left="980" w:right="20" w:hanging="324"/>
        <w:spacing w:after="0" w:line="272"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Long-Term Inventory Costing Adjustment — Our operating results are impacted by changes in the weighted average cost of our crude oil and NGL inventory pools that result from price movements during the periods. Such costing adjustments resulted in unfavorable impacts of $38 million and $47 million for the three months ended September 30, 2016 and 2015, respectively, and favorable impacts of $6 million and unfavorable impacts of $62 million for the nine months ended September 30, 2016 and 2015, respectively, due to price changes during each period.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compared to the three and nine months ended September 30, 2015 was primarily due to a combination of (i) lower lease gathering volumes, (ii) shorter truck hauls and reduced use of third party trucking services as pipeline expansion projects were placed into service and (iii) a decrease in fuel prices.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decrease in general and administrative expenses (excluding equity-indexed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2016 compared to the three and nine months ended September 30, 2015 was primarily due to lower salary and other personnel costs and reduced spending on legal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Depreciation and amortization expense for the three and nine months ended September 30, 2016 includes net gains of approximately $84 million and $99 million, respectively, which were primarily associated with non-core asset sales and joint venture formations during the periods. Excluding such gains, depreciation and amortization expense increased for the three and nine months ended September 30, 2016 compared to the three and nine months ended September 30, 2015 primarily due to additional depreciation expense associated with various capital expansion projects completed since the 2015 periods and the write off of costs associated with the discontinuation of certain projects during 2016. Additionally, the nine-month comparative period was impacted in the second quarter of 2016 by impairment losses of approximately $80 million associated with certain of our rail and other terminal assets and an $18 million charge related to assets taken out of service.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increase in interest expense for the three and nine months ended September 30, 2016 over the three and nine months ended September 30, 2015 was primarily due to a higher weighted average debt balance largely driven by PAA's August 2015 $1.0 billion senior note issuance, partially offset by the maturity of $150 million and $400 million of PAA's senior notes in June 2015 and September 2015, respectively, and PAA's $175 million senior notes in August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Other income/(expense), net for the three and nine months ended September 30, 2016 was impacted by gains of $17 million and $42 million, respectively, related to the mark-to-market adjustment of the Preferred Distribution Rate Reset Option. See Note 9 to our Condensed Consolidated Financial Statements for additional information. Excluding such gains, Other income/(expense), net in each of the periods presented was primarily comprised of foreign currency gains or losses related to revaluations of CAD-denominated interest receivables associated with intercompany notes.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Income tax expense decreased for the three and nine months ended September 30, 2016 compared to the three and nine months ended September 30, 2015 primarily due to (i) lower year over year income as impacted by fluctuations in derivative mark-to-market valuations in our Canadian operations, partially offset by Canadian audit adjustments and (ii) deferred tax benefits recorded in the second quarter of 2016 related to return-to-accrual adjustments and a Louisiana law change enacted during the quarter. The decrease in income tax expense for the nine month comparative period was also due to the cumulative revaluation of Canadian net deferred tax liabilities resulting from a 2% Alberta, Canada provincial tax rate increase in the second quarter of 2015. The decreases for the three and nine month comparative periods were partially offset by higher deferred tax expense associated with the amortization of our deferred tax asset.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and through the third quarter of 2016, the rate of growth of North American crude oil production slowed significantly and production levels began to decrease in many areas as producers have taken rigs out of service and deferred completions at an increased rate. While the recent increase in crude oil prices has led to increased rig activity in a few areas where we now anticipate production levels to increase, most notably the Permian Basin in West Texas and the STACK resource play in Oklahoma, the overall pace and depth of the reduction in drilling and completion activities by producers has been greater than anticipated by many market participants and observers; since the beginning of 2015, onshore rig counts for the lower 48 States have decreased approximately 70%. As a result of the combined effect of such overall reduced activity levels and the high decline rates for many of the producing wells that contribute towards current lower 48 onshore production levels, crude oil production declines are expected to continue during 2016 and potentially beyond in a number of onshore plays. While we believe that the larger North American resource base remains intact and will ultimately be developed, such production will likely take place at a slower pace and previously anticipated peak production levels will likely be reduced. This slowdown and reduction in North American production coupled with past increases in infrastructure has led to a compression of basis differentials in a number of locations. Furthermore, many of these new infrastructure projects are supported by long-term minimum volume commitments whereby the shipper, based on an expectation of continued volume growth, has agreed to ship and pay for certain stated volumes. In many cases, the volume owned or controlled by a shipper is meaningfully below such shipper's shipping commitment, resulting in increased competition for the marginal uncommitted barrel, which has led to margin compression. In general, the impact of such developments has been more severe on us than we anticipated, in part due to infrastructure overbuild, but more critically the significant level of contractual overcommitments that has intensified the level of competition for the marginal barrel. This transitioning crude oil market presents challenges to both us and the overall midstream industry, and while we believe our integrated business model gives us competitive advantages, we may see a lower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rate of cash flow and distribution growth than we would have otherwise experienced over the next several years. In addition, increased competition and compressed differentials may drive lower volumes and lower unit margins in parts of our business, particularly our Supply and Logistics segment.</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While we believe that these recent market developments will continue to impede crude oil supply growth and contribute toward bringing the markets back to equilibrium, there can be no assurance that such equilibrium will be achieved or that we will not be negatively impacted by declining crude oil supply, low levels of volatility or challenging capital markets conditions. Additionally, construction of additional infrastructure by us and our competitors will likely lead to even greater levels of excess takeaway capacity in certain areas for the near to medium term, which could further reduce unit margins in our various segments, and which could be exacerbated by declining levels of crude oil production. Finally, we cannot be certain that our expansion efforts will generate targeted returns or that any future acquisition activities will be successful. See “Risk Factors—Risks Related to PAA’s Business” discussed in Item 1A of our 2015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a consolidated basis, our primary sources of liquidity are (i) cash flow from operating activities, (ii) borrowings under the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From time to time, we may also complete strategic divestitures, including non-core asset sales and/or sales of partial interests in assets to strategic partners. As of September 30, 2016, although we had a working capital deficit of $303 million, we had approximately $2.6 billion of liquidity available to meet our ongoing operating, investing and financing needs, subject to continued covenant compliance, as noted below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September 30, 2016</w:t>
            </w:r>
          </w:p>
        </w:tc>
        <w:tc>
          <w:tcPr>
            <w:tcW w:w="0" w:type="dxa"/>
            <w:vAlign w:val="bottom"/>
          </w:tcPr>
          <w:p>
            <w:pPr>
              <w:spacing w:after="0"/>
              <w:rPr>
                <w:sz w:val="1"/>
                <w:szCs w:val="1"/>
                <w:color w:val="auto"/>
              </w:rPr>
            </w:pP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under PAA commercial paper program</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Availability under AAP senior secured revolving credit facility</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972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97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7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6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203"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$17 million and $30 million, respectively.</w:t>
      </w:r>
    </w:p>
    <w:p>
      <w:pPr>
        <w:spacing w:after="0" w:line="203"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2015 Annual Report on Form 10-K for further discussion regarding such risks that may impact our liquidity and capital resources. Usage of the PAA credit facilities, which provide the backstop for the PAA commercial paper program, and the AAP credit facility is subject to ongoing compliance with covenants. As of September 30, 2016, PAA and AAP were in compliance with all such covenants.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2015 Annual Report on Form 10-K.</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cash provided by operating activities for the first nine months of 2016 and 2015 was $630 million and $1.2 billion, respectively, and primarily resulted from earnings from our operations. Additionally, during the nine months ended September 30, 2016, we increased our inventory levels and margin balances required as part of our hedging activities that were funded by short-term debt, resulting in an unfavorable impact on our cash provided by operating activities.</w:t>
      </w:r>
    </w:p>
    <w:p>
      <w:pPr>
        <w:spacing w:after="0" w:line="18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At September 30, 2016, counterparty deficiencies associated with agreements that include minimum volume commitments totaled $83 million.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66"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As of September 30, 2016, we had deferred revenue associated with minimum volume commitments of $72 million. In addition to the amounts recorded as deferred revenue, as of September 30, 2016, there was $11 million of accrued deficiencies for which the counterparties had not met their contractual minimum commitments, but we had not yet billed or collected such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Divestitures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to our operating needs discussed above, on a consolidated basis, we also use cash for our acquisition activities and capital projects. We have made and will continue to make capital expenditures for acquisitions, expansion capital and maintenance capital.</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During the nine months ended September 30, 2016 and 2015, we paid cash of $282 million (net of cash acquired of $7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$104 million, respectively, for acquisitions. The acquisitions for the nine months ended September 30, 2016 included an integrated system of NGL assets in Western Canada for a cash purchase price of approximately $204 million. In addition, during the first nine months of 2016, we completed the sale of various non-core assets, as well as the sale of 50% of our investment in each of Cheyenne Pipeline LLC and STACK Pipeline LLC, for cash proceeds of $638 million. We have signed definitive agreements to sell additional non-core assets, which we expect to be consummated in the fourth quarter of 2016 or the first half of 2017, subject to customary closing conditions, as applicable.</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2016 Capital Projects. </w:t>
      </w:r>
      <w:r>
        <w:rPr>
          <w:rFonts w:ascii="Arial" w:cs="Arial" w:eastAsia="Arial" w:hAnsi="Arial"/>
          <w:sz w:val="18"/>
          <w:szCs w:val="18"/>
          <w:color w:val="auto"/>
        </w:rPr>
        <w:t>We invested approximately $1.065 billion in midstream infrastructure during the nine months ended September 30, 2016. See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Capital Projects” for detail of our projected capital expenditures for the year ending December 31, 2016. We expect the majority of funding for our 2016 capital program will be provided by the proceeds from PAA’s January 2016 Series A preferred unit offering, the sale of various non-core assets throughout the year, the issuance of PAA common units under its continuous offering program and through the potential issuance of long-term debt by PAA.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credit facilities or the PAA commercial paper program, as well as payment of distributions to our Class A shareholders and noncontrolling interests.</w:t>
      </w:r>
    </w:p>
    <w:p>
      <w:pPr>
        <w:spacing w:after="0" w:line="17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(“Traditional Shelf”). At September 30, 2016, PAA had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approximately $1.7 billion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 PAA did not conduct any offerings under the WKSI Shelf during the nine months ended September 30, 2016.</w:t>
      </w:r>
    </w:p>
    <w:p>
      <w:pPr>
        <w:spacing w:after="0" w:line="166" w:lineRule="exact"/>
        <w:rPr>
          <w:sz w:val="20"/>
          <w:szCs w:val="20"/>
          <w:color w:val="auto"/>
        </w:rPr>
      </w:pPr>
    </w:p>
    <w:p>
      <w:pPr>
        <w:ind w:right="140" w:firstLine="675"/>
        <w:spacing w:after="0" w:line="279" w:lineRule="auto"/>
        <w:rPr>
          <w:sz w:val="20"/>
          <w:szCs w:val="20"/>
          <w:color w:val="auto"/>
        </w:rPr>
      </w:pPr>
      <w:r>
        <w:rPr>
          <w:rFonts w:ascii="Arial" w:cs="Arial" w:eastAsia="Arial" w:hAnsi="Arial"/>
          <w:sz w:val="17"/>
          <w:szCs w:val="17"/>
          <w:i w:val="1"/>
          <w:iCs w:val="1"/>
          <w:color w:val="auto"/>
        </w:rPr>
        <w:t xml:space="preserve">PAA Continuous Offering Program. </w:t>
      </w:r>
      <w:r>
        <w:rPr>
          <w:rFonts w:ascii="Arial" w:cs="Arial" w:eastAsia="Arial" w:hAnsi="Arial"/>
          <w:sz w:val="17"/>
          <w:szCs w:val="17"/>
          <w:color w:val="auto"/>
        </w:rPr>
        <w:t>During the nine months ended September 30, 2016, PAA issued an aggregate of approximately 9.9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units under its continuous offering program, generating proceeds of $283 million, net of $2 million of commissions paid to sales agents. The net proceeds from sales were used for general partnership purposes. Subsequent to September 30, 2016, PAA sold an additional 4.9 million common units under its continuous offering program, generating proceeds of $151 million, net of $2 million of commissions to sales agents.</w:t>
      </w:r>
    </w:p>
    <w:p>
      <w:pPr>
        <w:spacing w:after="0" w:line="17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PAA Series A Preferred Unit Issuance. </w:t>
      </w:r>
      <w:r>
        <w:rPr>
          <w:rFonts w:ascii="Arial" w:cs="Arial" w:eastAsia="Arial" w:hAnsi="Arial"/>
          <w:sz w:val="17"/>
          <w:szCs w:val="17"/>
          <w:color w:val="auto"/>
        </w:rPr>
        <w:t>On January 28, 2016, PAA completed the private placement of approximately 61.0 million PAA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at a price of $26.25 per unit resulting in total net proceeds, after deducting offering expenses and the 2% transaction fee due to the purchasers, of approximately $1.6 billion. We used the net proceeds for capital expenditures, repayment of debt and general partnership purposes.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PAA Series A preferred units rank senior to all classes or series of equity securities in PAA with respect to distribution rights. The holders of the PAA Series A preferred units are entitled to receive quarterly distributions, subject to customary antidilution adjustments, of $0.525 per unit ($2.10 per unit annualized), commencing with the quarter ended March 31, 2016. With respect to any quarter ending on or prior to December 31, 2017, PAA may elect to pay distributions on the PAA Series A preferred units in additional preferred units, in cash or a combination of both.</w:t>
      </w:r>
    </w:p>
    <w:p>
      <w:pPr>
        <w:spacing w:after="0" w:line="17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After two years, the PAA Series A preferred units are convertible at the purchasers’ option into common units on a one-for-one basis, subject to certain conditions, and are convertible at PAA’s option in certain circumstances after three years. See Note 8 to our Condensed Consolidated Financial Statements for additional information regarding the PAA Series A preferred units.</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The PAA credit agreements (which impact the ability to access the PAA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program because they provide the backstop that supports PAA’s short-term credit ratings), the AAP credit agreement and the indentures governing PAA’s senior notes contain cross-default provisions. A default under the credit agreements would permit the lenders to accelerate the maturity of the outstanding debt. As long as PAA and AAP are in compliance with the provisions in the credit agreements, their ability to make distributions of available cash is not restricted. As of September 30, 2016, PAA and AAP were in compliance with the covenants contained in the credit agreements and indentures.</w:t>
      </w:r>
    </w:p>
    <w:p>
      <w:pPr>
        <w:spacing w:after="0" w:line="15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On a consolidated basis, during the nine months ended September 30, 2016, we had net repayments on the credit agreements and PAA commercial paper program of $149 million. The net repayments resulted primarily from cash flow from operating activities and cash received from equity activities, which offset borrowings during the period related to funding needs for (i) inventory purchases and related margin balances required as part of our hedging activities, (ii) capital investments, (iii) repayment of PAA's $175 million senior notes in August 2016 and (iv) other general partnership purposes.</w:t>
      </w:r>
    </w:p>
    <w:p>
      <w:pPr>
        <w:spacing w:after="0" w:line="15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During the nine months ended September 30, 2015, we had net borrowings under credit agreements and the PAA commercial paper program of $174 million. These net borrowings resulted primarily from funding needs for (i) internal capital projects, (ii) repayment of PAA senior notes that matured during 2015 and (iii) other general partnership purposes, and were partially offset by repayments from cash received from PAA's debt and equity activities.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August 2016, PAA extended the maturity dates of its senior unsecured revolving credit facility, senior secured hedged inventory facility and 364-day credit facility to August 2021, August 2019 and August 2017, respectively.</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August 2016, PAA's $175 million, 5.88% senior notes matured and were repaid with cash on hand and proceeds from borrowings under the PAA commercial paper program.</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PAA's $400 million, 6.13% senior notes will mature in January 2017. We intend to use borrowings under the PAA commercial paper program or credit facilities to repay these senior notes when they mature.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 to Our Class A Shareholders and Noncontrolling Interests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Distributions to our Class A shareholders. </w:t>
      </w:r>
      <w:r>
        <w:rPr>
          <w:rFonts w:ascii="Arial" w:cs="Arial" w:eastAsia="Arial" w:hAnsi="Arial"/>
          <w:sz w:val="18"/>
          <w:szCs w:val="18"/>
          <w:color w:val="auto"/>
        </w:rPr>
        <w:t>We distribute 100% of our available cash within 55 days following the end of each quarter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Available cash is generally defined as all of our cash and cash equivalents 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hand at the end of each quarter less reserves established in the discretion of our general partner for future requirements. On November 14, 2016, we will pay a quarterly distribution of $0.2065 per Class A share, which equates to a 10.6% reduction to the quarterly distribution paid in August 2016. See Note 8 to our Condensed Consolidated Financial Statements for details of distributions paid during or pertaining to the first nine months of 2016. Also, see Item 5. “Market for Registrant’s Shares, Related Shareholder Matters and Issuer Purchases of Equity Securities—Cash Distribution Policy” included in our 2015 Annual Report on Form 10-K for additional discussion regarding distributions.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owned by us. During the nine months ended September 30, 2016 and 2015, we paid distributions of approximately $1.1 billion and $1.1 billion, respectively, to noncontrolling interests.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11, 2016, PAGP, PAA, AAP, PAA GP, GP LLC and GP Holdings entered into a Simplification Agreement pursuant to which, upon closing,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exchange for the issuance by PAA to AAP of approximately 245.5 million common units representing limited partner interests in PAA (“PAA Common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Units”) and the assumption by PAA of AAP’s outstanding debt (as of September 30, 2016, approximately $603 million but expected to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$641 million as of November 15, 2016), AAP will contribute the IDRs to PAA and PAA GP’s 2% economic general partner interest in PAA will be converted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 non-economic general partner interest in PAA. Following the closing of the transactions contemplated by the Simplification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“Simplification Transactions”), which is expected to occur on November 15, 2016, both PAGP and PAA will continue to be publicly traded.</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Pursuant to the terms of the Simplification Agreement, AAP agreed that if (i) the closing of the Simplification Transactions does not occur prior to the record date for PAA’s distribution of available cash in respect of the third quarter of 2016 and (ii) the amount of such distribution is below a quarterly level of $0.70 per common unit, AAP will borrow funds under its existing credit agreement as necessary to make a special “true-up” distribution to AAP’s unitholders that, when added to the distributions to be paid to AAP in respect of its indirect 2% general partner interest and IDRs, equals the total distribution such unitholders would have received had the closing of the Simplification Transactions occurred prior to such third quarter record date. As the Simplification Transactions did not close prior to the PAA third quarter distribution record date of October 31, 2016 and PAA declared a quarterly distribution of $0.55 per common unit for its third quarter distribution, it is currently estimated that the incremental borrowings that will be made by AAP will be approximately $33 million.</w:t>
      </w:r>
    </w:p>
    <w:p>
      <w:pPr>
        <w:spacing w:after="0" w:line="19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and may be terminated under certain conditions. On September 26, 2016, we announced November 15, 2016 as the date for the special meeting of our shareholders to consider and vote upon a proposal to approve the Simplification Transactions. Our Class A and Class B shareholders of record at the close of business on September 30, 2016 will be entitled to vote at the special meeting. See Note 15 to our Condensed Consolidated Financial Statements for additional discussion of the Simplification Transactions.</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These transactions are among consolidated subsidiaries of PAGP that are considered entities under common control. As such, in accordance with FASB guidance, these transactions will be recognized at carrying value. Additionally, the transactions will be accounted for as equity transactions in accordance with FASB guidance.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In the ordinary course of doing business, we purchase crude oil and NGL from third parties under contracts,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range in term from thirty-day evergreen to five years, with a limited number of contracts with remaining terms extending up to approximately nine years. We establish a margin for these purchases by entering into various types of physical and financial sale and exchange transactions through which we seek to maintain a position that 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September 30, 2016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Remainder of 2016</w:t>
            </w: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2021 and</w:t>
            </w: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Thereafter</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w:t>
            </w: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maturities and related interest payments</w:t>
            </w:r>
          </w:p>
        </w:tc>
        <w:tc>
          <w:tcPr>
            <w:tcW w:w="460" w:type="dxa"/>
            <w:vAlign w:val="bottom"/>
            <w:vMerge w:val="restart"/>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11,041</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1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460" w:type="dxa"/>
            <w:vAlign w:val="bottom"/>
            <w:tcBorders>
              <w:bottom w:val="single" w:sz="8" w:color="CCEEFF"/>
            </w:tcBorders>
            <w:vMerge w:val="continue"/>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(2)</w:t>
            </w:r>
          </w:p>
        </w:tc>
        <w:tc>
          <w:tcPr>
            <w:tcW w:w="4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4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4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12,153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19,378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Crude oil, natural gas, NGL and</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other purchases </w:t>
            </w:r>
            <w:r>
              <w:rPr>
                <w:rFonts w:ascii="Arial" w:cs="Arial" w:eastAsia="Arial" w:hAnsi="Arial"/>
                <w:sz w:val="25"/>
                <w:szCs w:val="25"/>
                <w:color w:val="auto"/>
                <w:vertAlign w:val="superscript"/>
              </w:rPr>
              <w:t>(4)</w:t>
            </w:r>
          </w:p>
        </w:tc>
        <w:tc>
          <w:tcPr>
            <w:tcW w:w="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16,583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33,111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17145</wp:posOffset>
            </wp:positionV>
            <wp:extent cx="52139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-130175</wp:posOffset>
            </wp:positionV>
            <wp:extent cx="5213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3" w:lineRule="exact"/>
        <w:rPr>
          <w:sz w:val="20"/>
          <w:szCs w:val="20"/>
          <w:color w:val="auto"/>
        </w:rPr>
      </w:pPr>
    </w:p>
    <w:p>
      <w:pPr>
        <w:ind w:left="660" w:right="20" w:hanging="652"/>
        <w:spacing w:after="0" w:line="274" w:lineRule="auto"/>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Includes debt service payments, interest payments due on PAA’s senior notes, interest payments on long-term borrowings outstanding under the AAP credit agreement and the commitment fee on assumed available capacity under the PAA revolving credit facilities and long-term borrowings under the PAA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 Contingent upon the closing of the Simplification Transactions, the maturity date of the borrowings under the AAP credit agreement will be accelerated from 2020 to 2017 or earlier. See Note 15 to our Condensed Consolidated Financial Statements for additional discussion of the Simplification Transactions.</w:t>
      </w:r>
    </w:p>
    <w:p>
      <w:pPr>
        <w:spacing w:after="0" w:line="233" w:lineRule="exact"/>
        <w:rPr>
          <w:rFonts w:ascii="Arial" w:cs="Arial" w:eastAsia="Arial" w:hAnsi="Arial"/>
          <w:sz w:val="22"/>
          <w:szCs w:val="22"/>
          <w:color w:val="auto"/>
          <w:vertAlign w:val="superscript"/>
        </w:rPr>
      </w:pPr>
    </w:p>
    <w:p>
      <w:pPr>
        <w:ind w:left="660" w:hanging="652"/>
        <w:spacing w:after="0" w:line="216"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203"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$875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204" w:lineRule="exact"/>
        <w:rPr>
          <w:rFonts w:ascii="Arial" w:cs="Arial" w:eastAsia="Arial" w:hAnsi="Arial"/>
          <w:sz w:val="25"/>
          <w:szCs w:val="25"/>
          <w:color w:val="auto"/>
          <w:vertAlign w:val="superscript"/>
        </w:rPr>
      </w:pPr>
    </w:p>
    <w:p>
      <w:pPr>
        <w:ind w:left="660" w:right="60" w:hanging="652"/>
        <w:spacing w:after="0" w:line="238" w:lineRule="auto"/>
        <w:tabs>
          <w:tab w:leader="none" w:pos="66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September 2016.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September 30, 2016 and December 31, 2015, we had outstanding letters of credit of approximately $47 million and $46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2015 Annual Report on Form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71" w:lineRule="exact"/>
        <w:rPr>
          <w:rFonts w:ascii="Arial" w:cs="Arial" w:eastAsia="Arial" w:hAnsi="Arial"/>
          <w:sz w:val="18"/>
          <w:szCs w:val="18"/>
          <w:color w:val="auto"/>
        </w:rPr>
      </w:pPr>
    </w:p>
    <w:p>
      <w:pPr>
        <w:ind w:left="980" w:right="16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3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71"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92"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171"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71"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16" w:lineRule="exact"/>
        <w:rPr>
          <w:rFonts w:ascii="Arial" w:cs="Arial" w:eastAsia="Arial" w:hAnsi="Arial"/>
          <w:sz w:val="18"/>
          <w:szCs w:val="18"/>
          <w:color w:val="auto"/>
        </w:rPr>
      </w:pPr>
    </w:p>
    <w:p>
      <w:pPr>
        <w:ind w:left="980" w:right="10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2015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65" w:lineRule="exact"/>
        <w:rPr>
          <w:rFonts w:ascii="Arial" w:cs="Arial" w:eastAsia="Arial" w:hAnsi="Arial"/>
          <w:sz w:val="18"/>
          <w:szCs w:val="18"/>
          <w:i w:val="1"/>
          <w:iCs w:val="1"/>
          <w:color w:val="auto"/>
        </w:rPr>
      </w:pPr>
    </w:p>
    <w:p>
      <w:pPr>
        <w:ind w:left="980" w:hanging="324"/>
        <w:spacing w:after="0"/>
        <w:tabs>
          <w:tab w:leader="none" w:pos="98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9 to our Condensed Consolidated Financial Statements for further discussion regarding our hedging strategies and objectives.</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2016 that would be expected from a 10% price increase or decrease is shown in the table below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2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September 30, 2016, approximately $2.1 billion, was subject to interest rate re-sets of one month or less. The average interest rate on variable rate debt that was outstanding during the nine months ended September 30, 2016 was 1.6%, based upon rates in effect during such period. The fair value of our interest rate derivatives was a liability of $175 million as of September 30, 2016. A 10% increase in the forward LIBOR curve as of September 30, 2016 would have resulted in an increase of $33 million to the fair value of our interest rate derivatives. A 10% decrease in the forward LIBOR curve as of September 30, 2016 would have resulted in a decrease of $33 million to the fair value of our interest rate derivatives. See Note 9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$3 million as of September 30, 2016. A 10% increase in the exchange rate (USD-to-CAD) would have resulted in a decrease of $13 million to the fair value of our foreign currency derivatives. A 10% decrease in the exchange rate (USD-to-CAD) would have resulted in an increase of $13 million to the fair value of our foreign currency derivatives. See Note 9 to our Condensed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common unit price, ten-year U.S. treasury rates and default probabilities to ultimately calculate the fair value of PAA’s Series A preferred units with and without the Preferred Distribution Rate Reset Option. The fair value of this embedded derivative was a liability of $18 million as of September 30, 2016. A 10% increase in the fair value would have an impact of $2 million. A 10% decrease in the fair value would also have an impact of $2 million. See Note 9 to our Condensed Consolidated Financial Statements for a discussion of embedded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2016,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2016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“Legal Proceedings — General”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Additionally, a holder of vested AAP Management Units is entitled to convert his or her AAP Management Units into AAP units and a like number of our Class B shares based on a conversion ratio calculated in accordance with the AAP limited partnership agreement. Following any such conversion, the holder will have the Exchange Right for our Class A shares. Holders of AAP Management Units who convert such units into AAP units and our Class B shares will not receive general partner units and thus will not need to include any general partner units in a transfer to us upon exercise of their Exchange Right. During the three months ended September 30, 2016, certain AAP unitholders or their permitted transferees exercised the Exchange Right, which resulted in the issuance of 1,320,189 Class A shares. The issuance of Class A shares in connection with the exercise of the Exchange Right was exempt from the registration requirements of the Securities Act of 1933, as amended, pursuant to Section 4(2)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HOLDINGS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Chairman of the Board,</w:t>
            </w:r>
          </w:p>
        </w:tc>
      </w:tr>
      <w:tr>
        <w:trPr>
          <w:trHeight w:val="216"/>
        </w:trPr>
        <w:tc>
          <w:tcPr>
            <w:tcW w:w="64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2016</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PAA GP</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2016</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Vice President—Accounting and Chief Accounting Officer of PAA</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GP 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480"/>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0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580"/>
        </w:trPr>
        <w:tc>
          <w:tcPr>
            <w:tcW w:w="1280" w:type="dxa"/>
            <w:vAlign w:val="bottom"/>
          </w:tcPr>
          <w:p>
            <w:pPr>
              <w:ind w:left="40"/>
              <w:spacing w:after="0"/>
              <w:rPr>
                <w:sz w:val="20"/>
                <w:szCs w:val="20"/>
                <w:color w:val="auto"/>
              </w:rPr>
            </w:pPr>
            <w:r>
              <w:rPr>
                <w:rFonts w:ascii="Arial" w:cs="Arial" w:eastAsia="Arial" w:hAnsi="Arial"/>
                <w:sz w:val="18"/>
                <w:szCs w:val="18"/>
                <w:color w:val="auto"/>
              </w:rPr>
              <w:t>2.1*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3"/>
              </w:rPr>
              <w:t>Simplification Agreement, dated as of July 11, 2016, by and among PAA GP Holdings LLC, Plains GP Holdings, L.P.,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American GP LLC, Plains AAP, L.P., PAA GP LLC and Plains All American Pipeline, L.P.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Exhibit 2.1 to PAA’s Current Report on Form 8-K filed July 14,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8"/>
              </w:rPr>
              <w:t>Certificate of Limited Partnership of Plains GP Holdings, L.P. (incorporated by reference to Exhibit 3.1 to our Registration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Statement on Form S-1 (333-190227) filed July 29,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1"/>
              </w:rPr>
              <w:t>Amended and Restated Agreement of Limited Partnership of Plains GP Holdings, L.P. dated as of October 21, 2013 (incorporated</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by reference to Exhibit 3.1 to our Current Report on Form 8-K filed October 25,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6"/>
              </w:rPr>
              <w:t>Certificate of Formation of PAA GP Holdings LLC (incorporated by reference to Exhibit 3.3 to our Registration Statement 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Form S-1 (333-190227) filed July 29,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rPr>
              <w:t>Amended and Restated Limited Liability Company Agreement of PAA GP Holdings LLC dated as of October 21, 2013</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1"/>
              </w:rPr>
              <w:t>Amendment No. 1 dated as of December 31, 2013 to the Amended and Restated Limited Liability Company Agreement of PAA GP</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Holdings LLC (incorporated by reference to Exhibit 3.2 to our Current Report on Form 8-K filed December 31,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1"/>
              </w:rPr>
              <w:t>Fifth Amended and Restated Agreement of Limited Partnership of Plains All American Pipeline, L.P. dated as of January 28, 2016</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(incorporated by reference to Exhibit 3.2 to PAA’s Current Report on Form 8-K filed February 2,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5"/>
              </w:rPr>
              <w:t>Amendment No. 1 to the Fifth Amended and Restated Agreement of Limited Partnership of Plains All American Pipeline, L.P.</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w w:val="95"/>
              </w:rPr>
              <w:t>dated as of July 10, 2016 (incorporated by reference to Exhibit 3.1 to PAA’s Current Report on Form 8-K filed July 14,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3.8</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6"/>
              </w:rPr>
              <w:t>Sixth Amended and Restated Limited Liability Company Agreement of Plains All American GP LLC dated October 21, 2013</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(incorporated by reference to Exhibit 3.4 to our Current Report on Form 8-K filed October 25,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3.9</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1"/>
              </w:rPr>
              <w:t>Amendment No. 1 dated January 28, 2016 to the Sixth Amended and Restated Limited Liability Company Agreement of Plains All</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w w:val="98"/>
              </w:rPr>
              <w:t>American GP LLC (incorporated by reference to Exhibit 3.1 to PAA’s Current Report on Form 8-K filed February 2,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3.10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4"/>
              </w:rPr>
              <w:t>Seventh Amended and Restated Limited Partnership Agreement of Plains AAP, L.P. dated October 21, 2013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reference to Exhibit 3.3 to our Current Report on Form 8-K filed October 25,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0"/>
              </w:rPr>
              <w:t>Amendment No. 1 dated December 31, 2013 to the Seventh Amended and Restated Limited Partnership Agreement of Plains AAP,</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L.P. (incorporated by reference to Exhibit 3.1 to our Current Report on Form 8-K filed December 31,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6"/>
              </w:rPr>
              <w:t>Limited Liability Company Agreement of PAA GP LLC dated December 28, 2007 (incorporated by reference to Exhibit 3.3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PAA’s Current Report on Form 8-K filed January 4, 2008).</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1"/>
              </w:rPr>
              <w:t>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w w:val="94"/>
              </w:rPr>
              <w:t>Association, as trustee (incorporated by reference to Exhibit 4.1 to PAA’s Quarterly Report on Form 10-Q for the quarter ended</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September 30, 2002).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2"/>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w w:val="99"/>
              </w:rPr>
              <w:t>as trustee (incorporated by reference to Exhibit 4.5 to PAA’s Registration Statement on Form S-4, File No. 333-121168).</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00" w:type="dxa"/>
            <w:vAlign w:val="bottom"/>
          </w:tcPr>
          <w:p>
            <w:pPr>
              <w:ind w:left="200"/>
              <w:spacing w:after="0"/>
              <w:rPr>
                <w:sz w:val="20"/>
                <w:szCs w:val="20"/>
                <w:color w:val="auto"/>
              </w:rPr>
            </w:pPr>
            <w:r>
              <w:rPr>
                <w:rFonts w:ascii="Arial" w:cs="Arial" w:eastAsia="Arial" w:hAnsi="Arial"/>
                <w:sz w:val="18"/>
                <w:szCs w:val="18"/>
                <w:color w:val="auto"/>
                <w:w w:val="96"/>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as trustee (incorporated by reference to Exhibit 4.1 to PAA’s Current Report on Form 8-K filed May 12, 2006).</w:t>
            </w: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80"/>
          </w:cols>
          <w:pgMar w:left="240" w:top="108" w:right="27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0" w:type="dxa"/>
            <w:vAlign w:val="bottom"/>
          </w:tcPr>
          <w:p>
            <w:pPr>
              <w:spacing w:after="0"/>
              <w:rPr>
                <w:sz w:val="17"/>
                <w:szCs w:val="17"/>
                <w:color w:val="auto"/>
              </w:rPr>
            </w:pPr>
          </w:p>
        </w:tc>
        <w:tc>
          <w:tcPr>
            <w:tcW w:w="9660" w:type="dxa"/>
            <w:vAlign w:val="bottom"/>
          </w:tcPr>
          <w:p>
            <w:pPr>
              <w:spacing w:after="0"/>
              <w:rPr>
                <w:sz w:val="17"/>
                <w:szCs w:val="17"/>
                <w:color w:val="auto"/>
              </w:rPr>
            </w:pPr>
          </w:p>
        </w:tc>
      </w:tr>
      <w:tr>
        <w:trPr>
          <w:trHeight w:val="627"/>
        </w:trPr>
        <w:tc>
          <w:tcPr>
            <w:tcW w:w="1280" w:type="dxa"/>
            <w:vAlign w:val="bottom"/>
          </w:tcPr>
          <w:p>
            <w:pPr>
              <w:ind w:left="40"/>
              <w:spacing w:after="0"/>
              <w:rPr>
                <w:sz w:val="20"/>
                <w:szCs w:val="20"/>
                <w:color w:val="auto"/>
              </w:rPr>
            </w:pPr>
            <w:r>
              <w:rPr>
                <w:rFonts w:ascii="Arial" w:cs="Arial" w:eastAsia="Arial" w:hAnsi="Arial"/>
                <w:sz w:val="18"/>
                <w:szCs w:val="18"/>
                <w:color w:val="auto"/>
              </w:rPr>
              <w:t>4.4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4.1 to PAA’s Current Report on Form 8-K filed October 30, 2006).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4.2 to PAA’s Current Report on Form 8-K filed October 30, 2006).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Thirteenth Supplemental Indenture (Series A and Series B 6.50% Senior Notes due 2018) dated April 23, 2008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4.1 to PAA’s Current Report on Form 8-K filed April 23, 2008).</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April 20, 2009).</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4.8</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(incorporated by reference to Exhibit 4.1 to PAA’s Current Report on Form 8-K filed September 4, 2009).</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4.9</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January 11, 2011).</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L.P., PAA Finance Corp and U.S. Bank National Association, as trustee (incorporated by reference to Exhibit 4.1 to PAA’s Current</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Twenty-First Supplemental Indenture (5.15% Senior Notes due 2042) dated March 22, 2012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L.P., PAA Finance Corp and U.S. Bank National Association, as trustee (incorporated by reference to Exhibit 4.3 to PAA’s Current</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4.1 to PAA’s Current Report on Form 8-K filed December 12,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Twenty-Third Supplemental Indenture (4.30% Senior Notes due 2043) dated December 10, 2012,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4.3 to PAA’s Current Report on Form 8-K filed December 12,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Twenty-Fourth Supplemental Indenture (3.85% Senior Notes due 2023) dated August 15, 2013, by and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PAA’s Current Report on Form 8-K filed August 15,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Twenty-Fifth Supplemental Indenture (4.70% Senior Notes due 2044) dated April 23, 2014, by and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Current Report on Form 8-K filed April 29, 2014).</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Twenty-Sixth Supplemental Indenture (3.60% Senior Notes due 2024) dated September 9, 2014,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391"/>
        </w:trPr>
        <w:tc>
          <w:tcPr>
            <w:tcW w:w="1280" w:type="dxa"/>
            <w:vAlign w:val="bottom"/>
          </w:tcPr>
          <w:p>
            <w:pPr>
              <w:ind w:left="40"/>
              <w:spacing w:after="0"/>
              <w:rPr>
                <w:sz w:val="20"/>
                <w:szCs w:val="20"/>
                <w:color w:val="auto"/>
              </w:rPr>
            </w:pPr>
            <w:r>
              <w:rPr>
                <w:rFonts w:ascii="Arial" w:cs="Arial" w:eastAsia="Arial" w:hAnsi="Arial"/>
                <w:sz w:val="18"/>
                <w:szCs w:val="18"/>
                <w:color w:val="auto"/>
              </w:rPr>
              <w:t>4.17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Twenty-Seventh Supplemental Indenture (2.60% Senior Notes due 2019) dated December 9, 2014,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4.1 to our Current Report on Form 8-K filed December 11, 2014).</w:t>
            </w: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40"/>
          </w:cols>
          <w:pgMar w:left="240" w:top="108" w:right="31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380" w:type="dxa"/>
            <w:vAlign w:val="bottom"/>
          </w:tcPr>
          <w:p>
            <w:pPr>
              <w:ind w:left="40"/>
              <w:spacing w:after="0"/>
              <w:rPr>
                <w:sz w:val="20"/>
                <w:szCs w:val="20"/>
                <w:color w:val="auto"/>
              </w:rPr>
            </w:pPr>
            <w:r>
              <w:rPr>
                <w:rFonts w:ascii="Arial" w:cs="Arial" w:eastAsia="Arial" w:hAnsi="Arial"/>
                <w:sz w:val="18"/>
                <w:szCs w:val="18"/>
                <w:color w:val="auto"/>
                <w:w w:val="91"/>
              </w:rPr>
              <w:t>4.18</w:t>
            </w:r>
          </w:p>
        </w:tc>
        <w:tc>
          <w:tcPr>
            <w:tcW w:w="9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7"/>
              </w:rPr>
              <w:t>Twenty-Eighth Supplemental Indenture (4.90% Senior Notes due 2045) dated December 9, 2014, by and among Plains All</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Exhibit 4.3 to our Current Report on Form 8-K filed December 11, 2014).</w:t>
            </w:r>
          </w:p>
        </w:tc>
        <w:tc>
          <w:tcPr>
            <w:tcW w:w="0" w:type="dxa"/>
            <w:vAlign w:val="bottom"/>
          </w:tcPr>
          <w:p>
            <w:pPr>
              <w:spacing w:after="0"/>
              <w:rPr>
                <w:sz w:val="1"/>
                <w:szCs w:val="1"/>
                <w:color w:val="auto"/>
              </w:rPr>
            </w:pP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4.19</w:t>
            </w:r>
          </w:p>
        </w:tc>
        <w:tc>
          <w:tcPr>
            <w:tcW w:w="9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2"/>
              </w:rPr>
              <w:t>Twenty-Ninth Supplemental Indenture (4.65% Senior Notes due 2025) dated August 24, 2015, by and among Plains All American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PAA’s Current Report on Form 8-K filed August 26, 2015).</w:t>
            </w:r>
          </w:p>
        </w:tc>
        <w:tc>
          <w:tcPr>
            <w:tcW w:w="0" w:type="dxa"/>
            <w:vAlign w:val="bottom"/>
          </w:tcPr>
          <w:p>
            <w:pPr>
              <w:spacing w:after="0"/>
              <w:rPr>
                <w:sz w:val="1"/>
                <w:szCs w:val="1"/>
                <w:color w:val="auto"/>
              </w:rPr>
            </w:pP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4.20</w:t>
            </w:r>
          </w:p>
        </w:tc>
        <w:tc>
          <w:tcPr>
            <w:tcW w:w="9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4"/>
              </w:rPr>
              <w:t>Shareholder and Registration Rights Agreement dated October 21, 2013 by and among Plains GP Holdings, L.P. and the other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5"/>
              </w:rPr>
              <w:t>parties signatory thereto (incorporated by reference to Exhibit 4.1 to our Current Report on Form 8-K filed October 25, 2013).</w:t>
            </w:r>
          </w:p>
        </w:tc>
        <w:tc>
          <w:tcPr>
            <w:tcW w:w="0" w:type="dxa"/>
            <w:vAlign w:val="bottom"/>
          </w:tcPr>
          <w:p>
            <w:pPr>
              <w:spacing w:after="0"/>
              <w:rPr>
                <w:sz w:val="1"/>
                <w:szCs w:val="1"/>
                <w:color w:val="auto"/>
              </w:rPr>
            </w:pP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10.1</w:t>
            </w:r>
          </w:p>
        </w:tc>
        <w:tc>
          <w:tcPr>
            <w:tcW w:w="9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2"/>
              </w:rPr>
              <w:t>Voting Agreement, dated as of July 11, 2016, by and among Plains All American Pipeline, L.P., Plains GP Holdings, L.P. and the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2"/>
              </w:rPr>
              <w:t>shareholders named therein (incorporated by reference to Exhibit 10.1 to PAA’s Current Report on Form 8-K filed July 14, 2016).</w:t>
            </w:r>
          </w:p>
        </w:tc>
        <w:tc>
          <w:tcPr>
            <w:tcW w:w="0" w:type="dxa"/>
            <w:vAlign w:val="bottom"/>
          </w:tcPr>
          <w:p>
            <w:pPr>
              <w:spacing w:after="0"/>
              <w:rPr>
                <w:sz w:val="1"/>
                <w:szCs w:val="1"/>
                <w:color w:val="auto"/>
              </w:rPr>
            </w:pP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10.2</w:t>
            </w:r>
          </w:p>
        </w:tc>
        <w:tc>
          <w:tcPr>
            <w:tcW w:w="9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9"/>
              </w:rPr>
              <w:t>Third Amendment to Credit Agreement dated as of August 11, 2016 among Plains All American Pipeline, L.P. and Plains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6"/>
              </w:rPr>
              <w:t>Midstream Canada ULC, as Borrowers; Bank of America, N.A., as Administrative Agent, Swing Line Lender and L/C Issuer;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1"/>
              </w:rPr>
              <w:t>Wells Fargo Bank, National Association, as an L/C Issuer; and the other Lenders party thereto (incorporated by reference to Exhibit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10.1 to PAA's Current Report on Form 8-K filed August 17, 2016).</w:t>
            </w:r>
          </w:p>
        </w:tc>
        <w:tc>
          <w:tcPr>
            <w:tcW w:w="0" w:type="dxa"/>
            <w:vAlign w:val="bottom"/>
          </w:tcPr>
          <w:p>
            <w:pPr>
              <w:spacing w:after="0"/>
              <w:rPr>
                <w:sz w:val="1"/>
                <w:szCs w:val="1"/>
                <w:color w:val="auto"/>
              </w:rPr>
            </w:pP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10.3</w:t>
            </w:r>
          </w:p>
        </w:tc>
        <w:tc>
          <w:tcPr>
            <w:tcW w:w="9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5"/>
              </w:rPr>
              <w:t>Second Amendment to 364-Day Credit Agreement dated as of August 11, 2016 among Plains All American Pipeline, L.P., as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4"/>
              </w:rPr>
              <w:t>Borrower; Bank of America, N.A., as Administrative Agent; Citibank, N.A., JPMorgan Chase Bank N.A. and Wells Fargo Bank,</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2"/>
              </w:rPr>
              <w:t>National Association, as Co-Syndication Agents; DNB Bank ASA, New York Branch and Mizuho Bank Ltd., as Co-Documentation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4"/>
              </w:rPr>
              <w:t>Agents; the other Lenders party thereto; and Merrill Lynch, Pierce, Fenner &amp; Smith Incorporated, Citigroup Global Markets Inc.,</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2"/>
              </w:rPr>
              <w:t>DNB Markets, Inc., J.P. Morgan Securities LLC, Mizuho Bank, Ltd. and Wells Fargo Securities, LLC, as Joint Lead Arrangers and</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8"/>
              </w:rPr>
              <w:t>Join Bookrunners (incorporated by reference to Exhibit 10.2 to PAA's Current Report on Form 8-K filed August 17, 2016).</w:t>
            </w:r>
          </w:p>
        </w:tc>
        <w:tc>
          <w:tcPr>
            <w:tcW w:w="0" w:type="dxa"/>
            <w:vAlign w:val="bottom"/>
          </w:tcPr>
          <w:p>
            <w:pPr>
              <w:spacing w:after="0"/>
              <w:rPr>
                <w:sz w:val="1"/>
                <w:szCs w:val="1"/>
                <w:color w:val="auto"/>
              </w:rPr>
            </w:pP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10.4</w:t>
            </w:r>
          </w:p>
        </w:tc>
        <w:tc>
          <w:tcPr>
            <w:tcW w:w="9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3"/>
              </w:rPr>
              <w:t>Third Amendment to Third Amended and Restated Credit Agreement dated as of August 11, 2016 among Plains Marketing, L.P.</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4"/>
              </w:rPr>
              <w:t>and Plains Midstream Canada ULC, as Borrowers; Plains All American Pipeline, L.P., as Guarantor; Bank of America, N.A., as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1"/>
              </w:rPr>
              <w:t>Administrative Agent, Swing Line Lender and L/C Issuer; Wells Fargo Bank, National Association, as an L/C Lender; and the other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5"/>
              </w:rPr>
              <w:t>Lenders party thereto (incorporated by reference to Exhibit 10.3 to PAA's Current Report on Form 8-K filed August 17, 2016).</w:t>
            </w:r>
          </w:p>
        </w:tc>
        <w:tc>
          <w:tcPr>
            <w:tcW w:w="0" w:type="dxa"/>
            <w:vAlign w:val="bottom"/>
          </w:tcPr>
          <w:p>
            <w:pPr>
              <w:spacing w:after="0"/>
              <w:rPr>
                <w:sz w:val="1"/>
                <w:szCs w:val="1"/>
                <w:color w:val="auto"/>
              </w:rPr>
            </w:pP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10.5</w:t>
            </w:r>
          </w:p>
        </w:tc>
        <w:tc>
          <w:tcPr>
            <w:tcW w:w="9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vMerge w:val="restart"/>
          </w:tcPr>
          <w:p>
            <w:pPr>
              <w:ind w:left="200"/>
              <w:spacing w:after="0"/>
              <w:rPr>
                <w:sz w:val="20"/>
                <w:szCs w:val="20"/>
                <w:color w:val="auto"/>
              </w:rPr>
            </w:pPr>
            <w:r>
              <w:rPr>
                <w:rFonts w:ascii="Arial" w:cs="Arial" w:eastAsia="Arial" w:hAnsi="Arial"/>
                <w:sz w:val="18"/>
                <w:szCs w:val="18"/>
                <w:color w:val="auto"/>
                <w:w w:val="90"/>
              </w:rPr>
              <w:t>Consent, Limited Waiver and Amendment to Second Amended and Restated Credit Agreement dated as of August 11, 2016 among</w:t>
            </w: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6"/>
              </w:rPr>
              <w:t>Plains AAP, L.P., as Borrower, Citibank, N.A. as Administrative Agent, and the other Lenders party thereto. (incorporated by</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reference to Exhibit 10.4 to our Current Report on Form 8-K filed August 17, 2016).</w:t>
            </w:r>
          </w:p>
        </w:tc>
        <w:tc>
          <w:tcPr>
            <w:tcW w:w="0" w:type="dxa"/>
            <w:vAlign w:val="bottom"/>
          </w:tcPr>
          <w:p>
            <w:pPr>
              <w:spacing w:after="0"/>
              <w:rPr>
                <w:sz w:val="1"/>
                <w:szCs w:val="1"/>
                <w:color w:val="auto"/>
              </w:rPr>
            </w:pPr>
          </w:p>
        </w:tc>
      </w:tr>
      <w:tr>
        <w:trPr>
          <w:trHeight w:val="458"/>
        </w:trPr>
        <w:tc>
          <w:tcPr>
            <w:tcW w:w="380" w:type="dxa"/>
            <w:vAlign w:val="bottom"/>
          </w:tcPr>
          <w:p>
            <w:pPr>
              <w:ind w:left="40"/>
              <w:spacing w:after="0"/>
              <w:rPr>
                <w:sz w:val="20"/>
                <w:szCs w:val="20"/>
                <w:color w:val="auto"/>
              </w:rPr>
            </w:pPr>
            <w:r>
              <w:rPr>
                <w:rFonts w:ascii="Arial" w:cs="Arial" w:eastAsia="Arial" w:hAnsi="Arial"/>
                <w:sz w:val="18"/>
                <w:szCs w:val="18"/>
                <w:color w:val="auto"/>
                <w:w w:val="91"/>
              </w:rPr>
              <w:t>10.6</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4"/>
              </w:rPr>
              <w:t>Form of PAA LTIP Grant Letter for Officers (August 2016) (incorporated by reference to Exhibit 10.5 to PAA's Quarterly Report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on Form 10-Q for the quarter ended September 30, 2016 filed November 8, 2016).</w:t>
            </w:r>
          </w:p>
        </w:tc>
        <w:tc>
          <w:tcPr>
            <w:tcW w:w="0" w:type="dxa"/>
            <w:vAlign w:val="bottom"/>
          </w:tcPr>
          <w:p>
            <w:pPr>
              <w:spacing w:after="0"/>
              <w:rPr>
                <w:sz w:val="1"/>
                <w:szCs w:val="1"/>
                <w:color w:val="auto"/>
              </w:rPr>
            </w:pP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10.7</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1"/>
              </w:rPr>
              <w:t>Form of Amendment to Plains AAP, L.P. Class B Restricted Units Agreement dated August 25, 2016 (incorporated by reference to</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8"/>
              </w:rPr>
              <w:t>Exhibit 10.6 to PAA's Quarterly Report on Form 10-Q for the quarter ended September 30, 2016 filed November 8, 2016).</w:t>
            </w:r>
          </w:p>
        </w:tc>
        <w:tc>
          <w:tcPr>
            <w:tcW w:w="0" w:type="dxa"/>
            <w:vAlign w:val="bottom"/>
          </w:tcPr>
          <w:p>
            <w:pPr>
              <w:spacing w:after="0"/>
              <w:rPr>
                <w:sz w:val="1"/>
                <w:szCs w:val="1"/>
                <w:color w:val="auto"/>
              </w:rPr>
            </w:pP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10.8</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6"/>
              </w:rPr>
              <w:t>Amendment dated August 25, 2016 to LTIP Grant Letter dated August 24, 2015 (Willie Chiang)(incorporated by reference to</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8"/>
              </w:rPr>
              <w:t>Exhibit 10.7 to PAA's Quarterly Report on Form 10-Q for the quarter ended September 30, 2016 filed November 8, 2016).</w:t>
            </w:r>
          </w:p>
        </w:tc>
        <w:tc>
          <w:tcPr>
            <w:tcW w:w="0" w:type="dxa"/>
            <w:vAlign w:val="bottom"/>
          </w:tcPr>
          <w:p>
            <w:pPr>
              <w:spacing w:after="0"/>
              <w:rPr>
                <w:sz w:val="1"/>
                <w:szCs w:val="1"/>
                <w:color w:val="auto"/>
              </w:rPr>
            </w:pP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10.9</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w w:val="92"/>
              </w:rPr>
              <w:t>First Amendment to Plains AAP, L.P. Class B Restricted Units Agreement dated August 25, 2016 (Willie Chiang) (incorporated by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3"/>
              </w:rPr>
              <w:t>reference to Exhibit 10.8 to PAA's Quarterly Report on Form 10-Q for the quarter ended September 30, 2016 filed November 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c>
          <w:tcPr>
            <w:tcW w:w="0" w:type="dxa"/>
            <w:vAlign w:val="bottom"/>
          </w:tcPr>
          <w:p>
            <w:pPr>
              <w:spacing w:after="0"/>
              <w:rPr>
                <w:sz w:val="1"/>
                <w:szCs w:val="1"/>
                <w:color w:val="auto"/>
              </w:rPr>
            </w:pPr>
          </w:p>
        </w:tc>
      </w:tr>
      <w:tr>
        <w:trPr>
          <w:trHeight w:val="540"/>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c>
          <w:tcPr>
            <w:tcW w:w="0" w:type="dxa"/>
            <w:vAlign w:val="bottom"/>
          </w:tcPr>
          <w:p>
            <w:pPr>
              <w:spacing w:after="0"/>
              <w:rPr>
                <w:sz w:val="1"/>
                <w:szCs w:val="1"/>
                <w:color w:val="auto"/>
              </w:rPr>
            </w:pPr>
          </w:p>
        </w:tc>
      </w:tr>
      <w:tr>
        <w:trPr>
          <w:trHeight w:val="540"/>
        </w:trPr>
        <w:tc>
          <w:tcPr>
            <w:tcW w:w="380" w:type="dxa"/>
            <w:vAlign w:val="bottom"/>
          </w:tcPr>
          <w:p>
            <w:pPr>
              <w:ind w:left="40"/>
              <w:spacing w:after="0"/>
              <w:rPr>
                <w:sz w:val="20"/>
                <w:szCs w:val="20"/>
                <w:color w:val="auto"/>
              </w:rPr>
            </w:pPr>
            <w:r>
              <w:rPr>
                <w:rFonts w:ascii="Arial" w:cs="Arial" w:eastAsia="Arial" w:hAnsi="Arial"/>
                <w:sz w:val="18"/>
                <w:szCs w:val="18"/>
                <w:color w:val="auto"/>
                <w:w w:val="91"/>
              </w:rPr>
              <w:t>32.1</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rPr>
              <w:t>Certification of Principal Executive Officer pursuant to 18 U.S.C. 1350.</w:t>
            </w:r>
          </w:p>
        </w:tc>
        <w:tc>
          <w:tcPr>
            <w:tcW w:w="0" w:type="dxa"/>
            <w:vAlign w:val="bottom"/>
          </w:tcPr>
          <w:p>
            <w:pPr>
              <w:spacing w:after="0"/>
              <w:rPr>
                <w:sz w:val="1"/>
                <w:szCs w:val="1"/>
                <w:color w:val="auto"/>
              </w:rPr>
            </w:pPr>
          </w:p>
        </w:tc>
      </w:tr>
      <w:tr>
        <w:trPr>
          <w:trHeight w:val="540"/>
        </w:trPr>
        <w:tc>
          <w:tcPr>
            <w:tcW w:w="380" w:type="dxa"/>
            <w:vAlign w:val="bottom"/>
          </w:tcPr>
          <w:p>
            <w:pPr>
              <w:ind w:left="40"/>
              <w:spacing w:after="0"/>
              <w:rPr>
                <w:sz w:val="20"/>
                <w:szCs w:val="20"/>
                <w:color w:val="auto"/>
              </w:rPr>
            </w:pPr>
            <w:r>
              <w:rPr>
                <w:rFonts w:ascii="Arial" w:cs="Arial" w:eastAsia="Arial" w:hAnsi="Arial"/>
                <w:sz w:val="18"/>
                <w:szCs w:val="18"/>
                <w:color w:val="auto"/>
                <w:w w:val="91"/>
              </w:rPr>
              <w:t>32.2</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rPr>
              <w:t>Certification of Principal Financial Officer pursuant to 18 U.S.C. 1350.</w:t>
            </w:r>
          </w:p>
        </w:tc>
        <w:tc>
          <w:tcPr>
            <w:tcW w:w="0" w:type="dxa"/>
            <w:vAlign w:val="bottom"/>
          </w:tcPr>
          <w:p>
            <w:pPr>
              <w:spacing w:after="0"/>
              <w:rPr>
                <w:sz w:val="1"/>
                <w:szCs w:val="1"/>
                <w:color w:val="auto"/>
              </w:rPr>
            </w:pP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108" w:right="25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468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4680" w:type="dxa"/>
            <w:vAlign w:val="bottom"/>
          </w:tcPr>
          <w:p>
            <w:pPr>
              <w:ind w:left="20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63"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schedules have been omitted pursuant to Item 601(b)(2) of Regulation S-K. A copy of any omitted schedule will be furnished supplementally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SEC upon request.</w:t>
      </w:r>
    </w:p>
    <w:p>
      <w:pPr>
        <w:spacing w:after="0" w:line="9"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00"/>
          </w:cols>
          <w:pgMar w:left="240" w:top="108"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2016</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1)"/>
      <w:numFmt w:val="lowerRoman"/>
      <w:start w:val="2"/>
    </w:lvl>
  </w:abstractNum>
  <w:abstractNum w:abstractNumId="3">
    <w:nsid w:val="836C40E"/>
    <w:multiLevelType w:val="hybridMultilevel"/>
    <w:lvl w:ilvl="0">
      <w:lvlJc w:val="left"/>
      <w:lvlText w:val="(%1)"/>
      <w:numFmt w:val="lowerRoman"/>
      <w:start w:val="2"/>
    </w:lvl>
  </w:abstractNum>
  <w:abstractNum w:abstractNumId="4">
    <w:nsid w:val="2901D82"/>
    <w:multiLevelType w:val="hybridMultilevel"/>
    <w:lvl w:ilvl="0">
      <w:lvlJc w:val="left"/>
      <w:lvlText w:val="(%1)"/>
      <w:numFmt w:val="lowerRoman"/>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lowerRoman"/>
      <w:start w:val="2"/>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3"/>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3"/>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lvl w:ilvl="1">
      <w:lvlJc w:val="left"/>
      <w:lvlText w:val="(%2)"/>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5"/>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5"/>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Roman"/>
      <w:start w:val="1"/>
    </w:lvl>
  </w:abstractNum>
  <w:abstractNum w:abstractNumId="52">
    <w:nsid w:val="70C6A5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2020-01-21T17:42:19Z</dcterms:created>
  <dcterms:modified xsi:type="dcterms:W3CDTF">2020-01-21T17:42:19Z</dcterms:modified>
</cp:coreProperties>
</file>