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6)*</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83" w:lineRule="exact"/>
        <w:rPr>
          <w:sz w:val="24"/>
          <w:szCs w:val="24"/>
          <w:color w:val="auto"/>
        </w:rPr>
      </w:pPr>
    </w:p>
    <w:p>
      <w:pPr>
        <w:ind w:left="880" w:hanging="818"/>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13d-1(b)</w:t>
      </w:r>
    </w:p>
    <w:p>
      <w:pPr>
        <w:spacing w:after="0" w:line="107" w:lineRule="exact"/>
        <w:rPr>
          <w:rFonts w:ascii="Times New Roman" w:cs="Times New Roman" w:eastAsia="Times New Roman" w:hAnsi="Times New Roman"/>
          <w:sz w:val="20"/>
          <w:szCs w:val="20"/>
          <w:color w:val="auto"/>
        </w:rPr>
      </w:pPr>
    </w:p>
    <w:p>
      <w:pPr>
        <w:ind w:left="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9"/>
          <w:szCs w:val="19"/>
          <w:color w:val="auto"/>
        </w:rPr>
        <w:t>Rule 13d-1(c)</w:t>
      </w:r>
    </w:p>
    <w:p>
      <w:pPr>
        <w:spacing w:after="0" w:line="107" w:lineRule="exact"/>
        <w:rPr>
          <w:rFonts w:ascii="Times New Roman" w:cs="Times New Roman" w:eastAsia="Times New Roman" w:hAnsi="Times New Roman"/>
          <w:sz w:val="20"/>
          <w:szCs w:val="20"/>
          <w:color w:val="auto"/>
        </w:rPr>
      </w:pPr>
    </w:p>
    <w:p>
      <w:pPr>
        <w:ind w:left="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9"/>
          <w:szCs w:val="19"/>
          <w:color w:val="auto"/>
        </w:rPr>
        <w:t>Rule 13d-1(d)</w:t>
      </w:r>
    </w:p>
    <w:p>
      <w:pPr>
        <w:spacing w:after="0" w:line="283" w:lineRule="exact"/>
        <w:rPr>
          <w:sz w:val="24"/>
          <w:szCs w:val="24"/>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221"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194310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560" w:hanging="403"/>
        <w:spacing w:after="0"/>
        <w:tabs>
          <w:tab w:leader="none" w:pos="5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ALPS Advisors, Inc. (Tax ID: 84-1583423)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60" w:hanging="403"/>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07" w:lineRule="exact"/>
        <w:rPr>
          <w:rFonts w:ascii="Times New Roman" w:cs="Times New Roman" w:eastAsia="Times New Roman" w:hAnsi="Times New Roman"/>
          <w:sz w:val="20"/>
          <w:szCs w:val="20"/>
          <w:color w:val="auto"/>
        </w:rPr>
      </w:pPr>
    </w:p>
    <w:p>
      <w:pPr>
        <w:spacing w:after="0"/>
        <w:tabs>
          <w:tab w:leader="none" w:pos="0" w:val="left"/>
        </w:tabs>
        <w:numPr>
          <w:ilvl w:val="1"/>
          <w:numId w:val="3"/>
        </w:numPr>
        <w:rPr>
          <w:rFonts w:ascii="Times New Roman" w:cs="Times New Roman" w:eastAsia="Times New Roman" w:hAnsi="Times New Roman"/>
          <w:sz w:val="20"/>
          <w:szCs w:val="20"/>
          <w:color w:val="auto"/>
        </w:rPr>
      </w:pPr>
    </w:p>
    <w:p>
      <w:pPr>
        <w:spacing w:after="0" w:line="107" w:lineRule="exact"/>
        <w:rPr>
          <w:rFonts w:ascii="Times New Roman" w:cs="Times New Roman" w:eastAsia="Times New Roman" w:hAnsi="Times New Roman"/>
          <w:sz w:val="20"/>
          <w:szCs w:val="20"/>
          <w:color w:val="auto"/>
        </w:rPr>
      </w:pPr>
    </w:p>
    <w:p>
      <w:pPr>
        <w:ind w:left="940" w:hanging="371"/>
        <w:spacing w:after="0"/>
        <w:tabs>
          <w:tab w:leader="none" w:pos="9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p>
    <w:p>
      <w:pPr>
        <w:spacing w:after="0" w:line="121" w:lineRule="exact"/>
        <w:rPr>
          <w:rFonts w:ascii="Times New Roman" w:cs="Times New Roman" w:eastAsia="Times New Roman" w:hAnsi="Times New Roman"/>
          <w:sz w:val="20"/>
          <w:szCs w:val="20"/>
          <w:color w:val="auto"/>
        </w:rPr>
      </w:pPr>
    </w:p>
    <w:p>
      <w:pPr>
        <w:ind w:left="560" w:hanging="403"/>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121" w:lineRule="exact"/>
        <w:rPr>
          <w:rFonts w:ascii="Times New Roman" w:cs="Times New Roman" w:eastAsia="Times New Roman" w:hAnsi="Times New Roman"/>
          <w:sz w:val="20"/>
          <w:szCs w:val="20"/>
          <w:color w:val="auto"/>
        </w:rPr>
      </w:pPr>
    </w:p>
    <w:p>
      <w:pPr>
        <w:ind w:left="560" w:hanging="403"/>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-173990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-396875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640" w:type="dxa"/>
            <w:vAlign w:val="bottom"/>
          </w:tcPr>
          <w:p>
            <w:pPr>
              <w:spacing w:after="0"/>
              <w:rPr>
                <w:sz w:val="22"/>
                <w:szCs w:val="22"/>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9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Voting Power</w:t>
            </w:r>
          </w:p>
        </w:tc>
        <w:tc>
          <w:tcPr>
            <w:tcW w:w="0" w:type="dxa"/>
            <w:vAlign w:val="bottom"/>
          </w:tcPr>
          <w:p>
            <w:pPr>
              <w:spacing w:after="0"/>
              <w:rPr>
                <w:sz w:val="1"/>
                <w:szCs w:val="1"/>
                <w:color w:val="auto"/>
              </w:rPr>
            </w:pPr>
          </w:p>
        </w:tc>
      </w:tr>
      <w:tr>
        <w:trPr>
          <w:trHeight w:val="430"/>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480" w:type="dxa"/>
            <w:vAlign w:val="bottom"/>
          </w:tcPr>
          <w:p>
            <w:pPr>
              <w:spacing w:after="0"/>
              <w:rPr>
                <w:sz w:val="24"/>
                <w:szCs w:val="24"/>
                <w:color w:val="auto"/>
              </w:rPr>
            </w:pPr>
          </w:p>
        </w:tc>
        <w:tc>
          <w:tcPr>
            <w:tcW w:w="9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77"/>
        </w:trPr>
        <w:tc>
          <w:tcPr>
            <w:tcW w:w="1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Shares</w:t>
            </w:r>
          </w:p>
        </w:tc>
        <w:tc>
          <w:tcPr>
            <w:tcW w:w="48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640" w:type="dxa"/>
            <w:vAlign w:val="bottom"/>
            <w:vMerge w:val="continue"/>
          </w:tcPr>
          <w:p>
            <w:pPr>
              <w:spacing w:after="0"/>
              <w:rPr>
                <w:sz w:val="11"/>
                <w:szCs w:val="11"/>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90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48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480" w:type="dxa"/>
            <w:vAlign w:val="bottom"/>
          </w:tcPr>
          <w:p>
            <w:pPr>
              <w:spacing w:after="0"/>
              <w:rPr>
                <w:sz w:val="19"/>
                <w:szCs w:val="19"/>
                <w:color w:val="auto"/>
              </w:rPr>
            </w:pPr>
          </w:p>
        </w:tc>
        <w:tc>
          <w:tcPr>
            <w:tcW w:w="906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55,340,191**see Note 1**</w:t>
            </w:r>
          </w:p>
        </w:tc>
        <w:tc>
          <w:tcPr>
            <w:tcW w:w="0" w:type="dxa"/>
            <w:vAlign w:val="bottom"/>
          </w:tcPr>
          <w:p>
            <w:pPr>
              <w:spacing w:after="0"/>
              <w:rPr>
                <w:sz w:val="1"/>
                <w:szCs w:val="1"/>
                <w:color w:val="auto"/>
              </w:rPr>
            </w:pPr>
          </w:p>
        </w:tc>
      </w:tr>
      <w:tr>
        <w:trPr>
          <w:trHeight w:val="150"/>
        </w:trPr>
        <w:tc>
          <w:tcPr>
            <w:tcW w:w="1640" w:type="dxa"/>
            <w:vAlign w:val="bottom"/>
            <w:vMerge w:val="restart"/>
          </w:tcPr>
          <w:p>
            <w:pPr>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480" w:type="dxa"/>
            <w:vAlign w:val="bottom"/>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64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9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48260</wp:posOffset>
            </wp:positionV>
            <wp:extent cx="6060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101" w:lineRule="exact"/>
        <w:rPr>
          <w:sz w:val="20"/>
          <w:szCs w:val="20"/>
          <w:color w:val="auto"/>
        </w:rPr>
      </w:pPr>
    </w:p>
    <w:p>
      <w:pPr>
        <w:ind w:left="2260" w:hanging="415"/>
        <w:spacing w:after="0"/>
        <w:tabs>
          <w:tab w:leader="none" w:pos="2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w:t>
      </w:r>
    </w:p>
    <w:p>
      <w:pPr>
        <w:spacing w:after="0" w:line="2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55,340,191**see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600" w:hanging="423"/>
        <w:spacing w:after="0"/>
        <w:tabs>
          <w:tab w:leader="none" w:pos="6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55,340,191**see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600" w:hanging="472"/>
        <w:spacing w:after="0"/>
        <w:tabs>
          <w:tab w:leader="none" w:pos="6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600" w:hanging="468"/>
        <w:spacing w:after="0"/>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600" w:hanging="472"/>
        <w:spacing w:after="0"/>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1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7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202565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560" w:hanging="403"/>
        <w:spacing w:after="0"/>
        <w:tabs>
          <w:tab w:leader="none" w:pos="5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Alerian MLP ETF (Tax ID: 27-3041076)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60" w:hanging="403"/>
        <w:spacing w:after="0"/>
        <w:tabs>
          <w:tab w:leader="none" w:pos="5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07" w:lineRule="exact"/>
        <w:rPr>
          <w:rFonts w:ascii="Times New Roman" w:cs="Times New Roman" w:eastAsia="Times New Roman" w:hAnsi="Times New Roman"/>
          <w:sz w:val="20"/>
          <w:szCs w:val="20"/>
          <w:color w:val="auto"/>
        </w:rPr>
      </w:pPr>
    </w:p>
    <w:p>
      <w:pPr>
        <w:spacing w:after="0"/>
        <w:tabs>
          <w:tab w:leader="none" w:pos="0" w:val="left"/>
        </w:tabs>
        <w:numPr>
          <w:ilvl w:val="1"/>
          <w:numId w:val="10"/>
        </w:numPr>
        <w:rPr>
          <w:rFonts w:ascii="Times New Roman" w:cs="Times New Roman" w:eastAsia="Times New Roman" w:hAnsi="Times New Roman"/>
          <w:sz w:val="20"/>
          <w:szCs w:val="20"/>
          <w:color w:val="auto"/>
        </w:rPr>
      </w:pPr>
    </w:p>
    <w:p>
      <w:pPr>
        <w:spacing w:after="0" w:line="107" w:lineRule="exact"/>
        <w:rPr>
          <w:rFonts w:ascii="Times New Roman" w:cs="Times New Roman" w:eastAsia="Times New Roman" w:hAnsi="Times New Roman"/>
          <w:sz w:val="20"/>
          <w:szCs w:val="20"/>
          <w:color w:val="auto"/>
        </w:rPr>
      </w:pPr>
    </w:p>
    <w:p>
      <w:pPr>
        <w:ind w:left="940" w:hanging="371"/>
        <w:spacing w:after="0"/>
        <w:tabs>
          <w:tab w:leader="none" w:pos="9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p>
    <w:p>
      <w:pPr>
        <w:spacing w:after="0" w:line="121" w:lineRule="exact"/>
        <w:rPr>
          <w:rFonts w:ascii="Times New Roman" w:cs="Times New Roman" w:eastAsia="Times New Roman" w:hAnsi="Times New Roman"/>
          <w:sz w:val="20"/>
          <w:szCs w:val="20"/>
          <w:color w:val="auto"/>
        </w:rPr>
      </w:pPr>
    </w:p>
    <w:p>
      <w:pPr>
        <w:ind w:left="560" w:hanging="403"/>
        <w:spacing w:after="0"/>
        <w:tabs>
          <w:tab w:leader="none" w:pos="5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121" w:lineRule="exact"/>
        <w:rPr>
          <w:rFonts w:ascii="Times New Roman" w:cs="Times New Roman" w:eastAsia="Times New Roman" w:hAnsi="Times New Roman"/>
          <w:sz w:val="20"/>
          <w:szCs w:val="20"/>
          <w:color w:val="auto"/>
        </w:rPr>
      </w:pPr>
    </w:p>
    <w:p>
      <w:pPr>
        <w:ind w:left="560" w:hanging="403"/>
        <w:spacing w:after="0"/>
        <w:tabs>
          <w:tab w:leader="none" w:pos="5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-173990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-396875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640" w:type="dxa"/>
            <w:vAlign w:val="bottom"/>
          </w:tcPr>
          <w:p>
            <w:pPr>
              <w:spacing w:after="0"/>
              <w:rPr>
                <w:sz w:val="22"/>
                <w:szCs w:val="22"/>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9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Voting Power</w:t>
            </w:r>
          </w:p>
        </w:tc>
        <w:tc>
          <w:tcPr>
            <w:tcW w:w="0" w:type="dxa"/>
            <w:vAlign w:val="bottom"/>
          </w:tcPr>
          <w:p>
            <w:pPr>
              <w:spacing w:after="0"/>
              <w:rPr>
                <w:sz w:val="1"/>
                <w:szCs w:val="1"/>
                <w:color w:val="auto"/>
              </w:rPr>
            </w:pPr>
          </w:p>
        </w:tc>
      </w:tr>
      <w:tr>
        <w:trPr>
          <w:trHeight w:val="430"/>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480" w:type="dxa"/>
            <w:vAlign w:val="bottom"/>
          </w:tcPr>
          <w:p>
            <w:pPr>
              <w:spacing w:after="0"/>
              <w:rPr>
                <w:sz w:val="24"/>
                <w:szCs w:val="24"/>
                <w:color w:val="auto"/>
              </w:rPr>
            </w:pPr>
          </w:p>
        </w:tc>
        <w:tc>
          <w:tcPr>
            <w:tcW w:w="9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77"/>
        </w:trPr>
        <w:tc>
          <w:tcPr>
            <w:tcW w:w="1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Shares</w:t>
            </w:r>
          </w:p>
        </w:tc>
        <w:tc>
          <w:tcPr>
            <w:tcW w:w="48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640" w:type="dxa"/>
            <w:vAlign w:val="bottom"/>
            <w:vMerge w:val="continue"/>
          </w:tcPr>
          <w:p>
            <w:pPr>
              <w:spacing w:after="0"/>
              <w:rPr>
                <w:sz w:val="11"/>
                <w:szCs w:val="11"/>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90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48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480" w:type="dxa"/>
            <w:vAlign w:val="bottom"/>
          </w:tcPr>
          <w:p>
            <w:pPr>
              <w:spacing w:after="0"/>
              <w:rPr>
                <w:sz w:val="19"/>
                <w:szCs w:val="19"/>
                <w:color w:val="auto"/>
              </w:rPr>
            </w:pPr>
          </w:p>
        </w:tc>
        <w:tc>
          <w:tcPr>
            <w:tcW w:w="906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55,337,101**see Note 1**</w:t>
            </w:r>
          </w:p>
        </w:tc>
        <w:tc>
          <w:tcPr>
            <w:tcW w:w="0" w:type="dxa"/>
            <w:vAlign w:val="bottom"/>
          </w:tcPr>
          <w:p>
            <w:pPr>
              <w:spacing w:after="0"/>
              <w:rPr>
                <w:sz w:val="1"/>
                <w:szCs w:val="1"/>
                <w:color w:val="auto"/>
              </w:rPr>
            </w:pPr>
          </w:p>
        </w:tc>
      </w:tr>
      <w:tr>
        <w:trPr>
          <w:trHeight w:val="150"/>
        </w:trPr>
        <w:tc>
          <w:tcPr>
            <w:tcW w:w="1640" w:type="dxa"/>
            <w:vAlign w:val="bottom"/>
            <w:vMerge w:val="restart"/>
          </w:tcPr>
          <w:p>
            <w:pPr>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480" w:type="dxa"/>
            <w:vAlign w:val="bottom"/>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64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9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48260</wp:posOffset>
            </wp:positionV>
            <wp:extent cx="6060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101" w:lineRule="exact"/>
        <w:rPr>
          <w:sz w:val="20"/>
          <w:szCs w:val="20"/>
          <w:color w:val="auto"/>
        </w:rPr>
      </w:pPr>
    </w:p>
    <w:p>
      <w:pPr>
        <w:ind w:left="2260" w:hanging="415"/>
        <w:spacing w:after="0"/>
        <w:tabs>
          <w:tab w:leader="none" w:pos="22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w:t>
      </w:r>
    </w:p>
    <w:p>
      <w:pPr>
        <w:spacing w:after="0" w:line="2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55,337,101**see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600" w:hanging="423"/>
        <w:spacing w:after="0"/>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55,337,101**see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600" w:hanging="472"/>
        <w:spacing w:after="0"/>
        <w:tabs>
          <w:tab w:leader="none" w:pos="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600" w:hanging="468"/>
        <w:spacing w:after="0"/>
        <w:tabs>
          <w:tab w:leader="none" w:pos="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600" w:hanging="472"/>
        <w:spacing w:after="0"/>
        <w:tabs>
          <w:tab w:leader="none" w:pos="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1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75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Item 1.</w:t>
      </w:r>
    </w:p>
    <w:p>
      <w:pPr>
        <w:spacing w:after="0" w:line="229" w:lineRule="exact"/>
        <w:rPr>
          <w:sz w:val="20"/>
          <w:szCs w:val="20"/>
          <w:color w:val="auto"/>
        </w:rPr>
      </w:pPr>
    </w:p>
    <w:p>
      <w:pPr>
        <w:ind w:left="1800" w:hanging="712"/>
        <w:spacing w:after="0"/>
        <w:tabs>
          <w:tab w:leader="none" w:pos="1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rFonts w:ascii="Times New Roman" w:cs="Times New Roman" w:eastAsia="Times New Roman" w:hAnsi="Times New Roman"/>
          <w:sz w:val="20"/>
          <w:szCs w:val="20"/>
          <w:color w:val="auto"/>
        </w:rPr>
      </w:pPr>
    </w:p>
    <w:p>
      <w:pPr>
        <w:ind w:left="1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Plains All American Pipeline, L.P.</w:t>
      </w:r>
    </w:p>
    <w:p>
      <w:pPr>
        <w:spacing w:after="0" w:line="229" w:lineRule="exact"/>
        <w:rPr>
          <w:rFonts w:ascii="Times New Roman" w:cs="Times New Roman" w:eastAsia="Times New Roman" w:hAnsi="Times New Roman"/>
          <w:sz w:val="20"/>
          <w:szCs w:val="20"/>
          <w:color w:val="auto"/>
        </w:rPr>
      </w:pPr>
    </w:p>
    <w:p>
      <w:pPr>
        <w:ind w:left="1800" w:hanging="712"/>
        <w:spacing w:after="0"/>
        <w:tabs>
          <w:tab w:leader="none" w:pos="1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9" w:lineRule="exact"/>
        <w:rPr>
          <w:rFonts w:ascii="Times New Roman" w:cs="Times New Roman" w:eastAsia="Times New Roman" w:hAnsi="Times New Roman"/>
          <w:sz w:val="20"/>
          <w:szCs w:val="20"/>
          <w:color w:val="auto"/>
        </w:rPr>
      </w:pPr>
    </w:p>
    <w:p>
      <w:pPr>
        <w:ind w:left="1800" w:right="714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333 Clay Street, Suite 1600 Houston, TX 77002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w:t>
      </w:r>
    </w:p>
    <w:p>
      <w:pPr>
        <w:spacing w:after="0" w:line="229" w:lineRule="exact"/>
        <w:rPr>
          <w:sz w:val="20"/>
          <w:szCs w:val="20"/>
          <w:color w:val="auto"/>
        </w:rPr>
      </w:pPr>
    </w:p>
    <w:p>
      <w:pPr>
        <w:ind w:left="1800" w:hanging="712"/>
        <w:spacing w:after="0"/>
        <w:tabs>
          <w:tab w:leader="none" w:pos="1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Person Filing</w:t>
      </w:r>
    </w:p>
    <w:p>
      <w:pPr>
        <w:spacing w:after="0" w:line="229" w:lineRule="exact"/>
        <w:rPr>
          <w:rFonts w:ascii="Times New Roman" w:cs="Times New Roman" w:eastAsia="Times New Roman" w:hAnsi="Times New Roman"/>
          <w:sz w:val="20"/>
          <w:szCs w:val="20"/>
          <w:color w:val="auto"/>
        </w:rPr>
      </w:pPr>
    </w:p>
    <w:p>
      <w:pPr>
        <w:ind w:left="3020" w:hanging="569"/>
        <w:spacing w:after="0"/>
        <w:tabs>
          <w:tab w:leader="none" w:pos="30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ALPS Advisors, Inc.</w:t>
      </w:r>
    </w:p>
    <w:p>
      <w:pPr>
        <w:spacing w:after="0" w:line="21" w:lineRule="exact"/>
        <w:rPr>
          <w:rFonts w:ascii="Times New Roman" w:cs="Times New Roman" w:eastAsia="Times New Roman" w:hAnsi="Times New Roman"/>
          <w:sz w:val="20"/>
          <w:szCs w:val="20"/>
          <w:color w:val="auto"/>
        </w:rPr>
      </w:pPr>
    </w:p>
    <w:p>
      <w:pPr>
        <w:ind w:left="3020" w:hanging="569"/>
        <w:spacing w:after="0"/>
        <w:tabs>
          <w:tab w:leader="none" w:pos="30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Alerian MLP ETF</w:t>
      </w:r>
    </w:p>
    <w:p>
      <w:pPr>
        <w:spacing w:after="0" w:line="207" w:lineRule="exact"/>
        <w:rPr>
          <w:rFonts w:ascii="Times New Roman" w:cs="Times New Roman" w:eastAsia="Times New Roman" w:hAnsi="Times New Roman"/>
          <w:sz w:val="20"/>
          <w:szCs w:val="20"/>
          <w:color w:val="auto"/>
        </w:rPr>
      </w:pPr>
    </w:p>
    <w:p>
      <w:pPr>
        <w:ind w:left="1800" w:hanging="712"/>
        <w:spacing w:after="0"/>
        <w:tabs>
          <w:tab w:leader="none" w:pos="1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Principal Business Office or, if none, Residence</w:t>
      </w:r>
    </w:p>
    <w:p>
      <w:pPr>
        <w:spacing w:after="0" w:line="229" w:lineRule="exact"/>
        <w:rPr>
          <w:rFonts w:ascii="Times New Roman" w:cs="Times New Roman" w:eastAsia="Times New Roman" w:hAnsi="Times New Roman"/>
          <w:sz w:val="20"/>
          <w:szCs w:val="20"/>
          <w:color w:val="auto"/>
        </w:rPr>
      </w:pPr>
    </w:p>
    <w:p>
      <w:pPr>
        <w:ind w:left="3020" w:hanging="569"/>
        <w:spacing w:after="0"/>
        <w:tabs>
          <w:tab w:leader="none" w:pos="30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Broadway, Suite 1000, Denver, CO 80203</w:t>
      </w:r>
    </w:p>
    <w:p>
      <w:pPr>
        <w:spacing w:after="0" w:line="21" w:lineRule="exact"/>
        <w:rPr>
          <w:rFonts w:ascii="Times New Roman" w:cs="Times New Roman" w:eastAsia="Times New Roman" w:hAnsi="Times New Roman"/>
          <w:sz w:val="20"/>
          <w:szCs w:val="20"/>
          <w:color w:val="auto"/>
        </w:rPr>
      </w:pPr>
    </w:p>
    <w:p>
      <w:pPr>
        <w:ind w:left="3020" w:hanging="569"/>
        <w:spacing w:after="0"/>
        <w:tabs>
          <w:tab w:leader="none" w:pos="30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Broadway, Suite 1000, Denver, CO 80203</w:t>
      </w:r>
    </w:p>
    <w:p>
      <w:pPr>
        <w:spacing w:after="0" w:line="207" w:lineRule="exact"/>
        <w:rPr>
          <w:rFonts w:ascii="Times New Roman" w:cs="Times New Roman" w:eastAsia="Times New Roman" w:hAnsi="Times New Roman"/>
          <w:sz w:val="20"/>
          <w:szCs w:val="20"/>
          <w:color w:val="auto"/>
        </w:rPr>
      </w:pPr>
    </w:p>
    <w:p>
      <w:pPr>
        <w:ind w:left="1800" w:hanging="712"/>
        <w:spacing w:after="0"/>
        <w:tabs>
          <w:tab w:leader="none" w:pos="1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29" w:lineRule="exact"/>
        <w:rPr>
          <w:rFonts w:ascii="Times New Roman" w:cs="Times New Roman" w:eastAsia="Times New Roman" w:hAnsi="Times New Roman"/>
          <w:sz w:val="20"/>
          <w:szCs w:val="20"/>
          <w:color w:val="auto"/>
        </w:rPr>
      </w:pPr>
    </w:p>
    <w:p>
      <w:pPr>
        <w:ind w:left="3020" w:hanging="569"/>
        <w:spacing w:after="0"/>
        <w:tabs>
          <w:tab w:leader="none" w:pos="30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Colorado</w:t>
      </w:r>
    </w:p>
    <w:p>
      <w:pPr>
        <w:spacing w:after="0" w:line="21" w:lineRule="exact"/>
        <w:rPr>
          <w:rFonts w:ascii="Times New Roman" w:cs="Times New Roman" w:eastAsia="Times New Roman" w:hAnsi="Times New Roman"/>
          <w:sz w:val="20"/>
          <w:szCs w:val="20"/>
          <w:color w:val="auto"/>
        </w:rPr>
      </w:pPr>
    </w:p>
    <w:p>
      <w:pPr>
        <w:ind w:left="3020" w:hanging="569"/>
        <w:spacing w:after="0"/>
        <w:tabs>
          <w:tab w:leader="none" w:pos="30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Delaware</w:t>
      </w:r>
    </w:p>
    <w:p>
      <w:pPr>
        <w:spacing w:after="0" w:line="207" w:lineRule="exact"/>
        <w:rPr>
          <w:rFonts w:ascii="Times New Roman" w:cs="Times New Roman" w:eastAsia="Times New Roman" w:hAnsi="Times New Roman"/>
          <w:sz w:val="20"/>
          <w:szCs w:val="20"/>
          <w:color w:val="auto"/>
        </w:rPr>
      </w:pPr>
    </w:p>
    <w:p>
      <w:pPr>
        <w:ind w:left="1800" w:hanging="712"/>
        <w:spacing w:after="0"/>
        <w:tabs>
          <w:tab w:leader="none" w:pos="1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60" w:right="7780" w:hanging="1372"/>
        <w:spacing w:after="0" w:line="504" w:lineRule="auto"/>
        <w:tabs>
          <w:tab w:leader="none" w:pos="1812"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CUSIP Number 726503105</w:t>
      </w:r>
    </w:p>
    <w:tbl>
      <w:tblPr>
        <w:tblLayout w:type="fixed"/>
        <w:tblInd w:w="0" w:type="dxa"/>
        <w:tblCellMar>
          <w:top w:w="0" w:type="dxa"/>
          <w:left w:w="0" w:type="dxa"/>
          <w:bottom w:w="0" w:type="dxa"/>
          <w:right w:w="0" w:type="dxa"/>
        </w:tblCellMar>
      </w:tblPr>
      <w:tr>
        <w:trPr>
          <w:trHeight w:val="25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10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w w:val="98"/>
              </w:rPr>
              <w:t>If this statement is filed pursuant to §§240.13d-1(b) or 240.13d-2(b) or (c), check whether the person filing is a:</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7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 (15 U.S.C. 78o);</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7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Bank as defined in section 3(a)(6) of the Act (15 U.S.C. 78c);</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7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 (15 U.S.C. 78c);</w:t>
            </w:r>
          </w:p>
        </w:tc>
      </w:tr>
    </w:tbl>
    <w:p>
      <w:pPr>
        <w:spacing w:after="0" w:line="201" w:lineRule="exact"/>
        <w:rPr>
          <w:sz w:val="20"/>
          <w:szCs w:val="20"/>
          <w:color w:val="auto"/>
        </w:rPr>
      </w:pPr>
    </w:p>
    <w:p>
      <w:pPr>
        <w:ind w:left="2520" w:right="80" w:hanging="1432"/>
        <w:spacing w:after="0" w:line="269" w:lineRule="auto"/>
        <w:tabs>
          <w:tab w:leader="none" w:pos="18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[X]Investment company registered under section 8 of the Investment Company Act of 1940 (15 U.S.C 80a-8) - </w:t>
      </w:r>
      <w:r>
        <w:rPr>
          <w:rFonts w:ascii="Times New Roman" w:cs="Times New Roman" w:eastAsia="Times New Roman" w:hAnsi="Times New Roman"/>
          <w:sz w:val="20"/>
          <w:szCs w:val="20"/>
          <w:b w:val="1"/>
          <w:bCs w:val="1"/>
          <w:color w:val="auto"/>
        </w:rPr>
        <w:t>Alerian MLP ETF</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left="1800" w:hanging="712"/>
        <w:spacing w:after="0"/>
        <w:tabs>
          <w:tab w:leader="none" w:pos="18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19"/>
          <w:szCs w:val="19"/>
          <w:color w:val="auto"/>
        </w:rPr>
        <w:t xml:space="preserve">An investment adviser in accordance with §240.13d-1(b)(1)(ii)(E) – </w:t>
      </w:r>
      <w:r>
        <w:rPr>
          <w:rFonts w:ascii="Times New Roman" w:cs="Times New Roman" w:eastAsia="Times New Roman" w:hAnsi="Times New Roman"/>
          <w:sz w:val="19"/>
          <w:szCs w:val="19"/>
          <w:b w:val="1"/>
          <w:bCs w:val="1"/>
          <w:color w:val="auto"/>
        </w:rPr>
        <w:t>ALPS Advisors,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2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§240.13d-1(b)(1)(ii)(F);</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 240.13d-1(b)(1)(ii)(G);</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(h)</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 savings associations as defined in Section 3(b) of the Federal Deposit Insurance Act (12 U.S.C. 1813);</w:t>
            </w:r>
          </w:p>
        </w:tc>
      </w:tr>
      <w:tr>
        <w:trPr>
          <w:trHeight w:val="430"/>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64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8"/>
              </w:rPr>
              <w:t>A church plan that is excluded from the definition of an investment company under section 3(c)(14) of the</w:t>
            </w:r>
          </w:p>
        </w:tc>
      </w:tr>
      <w:tr>
        <w:trPr>
          <w:trHeight w:val="258"/>
        </w:trPr>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Investment Company Act of 1940 (15 U.S.C. 80a-3);</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 non-U.S. institution in accordance with § 240.13d-1(b)(1)(ii)(J);</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(k)</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Group, in accordance with §240.13d-1(b)(1)(ii)(J).</w:t>
            </w:r>
          </w:p>
        </w:tc>
      </w:tr>
      <w:tr>
        <w:trPr>
          <w:trHeight w:val="4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w w:val="99"/>
              </w:rPr>
              <w:t>Ownership.</w:t>
            </w:r>
          </w:p>
        </w:tc>
        <w:tc>
          <w:tcPr>
            <w:tcW w:w="280" w:type="dxa"/>
            <w:vAlign w:val="bottom"/>
          </w:tcPr>
          <w:p>
            <w:pPr>
              <w:spacing w:after="0"/>
              <w:rPr>
                <w:sz w:val="24"/>
                <w:szCs w:val="24"/>
                <w:color w:val="auto"/>
              </w:rPr>
            </w:pPr>
          </w:p>
        </w:tc>
        <w:tc>
          <w:tcPr>
            <w:tcW w:w="864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Provide the following information regarding the aggregate number and percentage of the class of securities of the issuer identified in Item 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ALPS Advisors, Inc.</w:t>
      </w:r>
    </w:p>
    <w:p>
      <w:pPr>
        <w:spacing w:after="0" w:line="229" w:lineRule="exact"/>
        <w:rPr>
          <w:sz w:val="20"/>
          <w:szCs w:val="20"/>
          <w:color w:val="auto"/>
        </w:rPr>
      </w:pPr>
    </w:p>
    <w:p>
      <w:pPr>
        <w:ind w:left="1800" w:hanging="712"/>
        <w:spacing w:after="0"/>
        <w:tabs>
          <w:tab w:leader="none" w:pos="1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w:t>
      </w:r>
    </w:p>
    <w:p>
      <w:pPr>
        <w:sectPr>
          <w:pgSz w:w="11900" w:h="16838" w:orient="portrait"/>
          <w:cols w:equalWidth="0" w:num="1">
            <w:col w:w="11120"/>
          </w:cols>
          <w:pgMar w:left="320" w:top="468" w:right="459" w:bottom="0" w:gutter="0" w:footer="0" w:header="0"/>
        </w:sectPr>
      </w:pPr>
    </w:p>
    <w:bookmarkStart w:id="4" w:name="page5"/>
    <w:bookmarkEnd w:id="4"/>
    <w:p>
      <w:pPr>
        <w:ind w:left="1372"/>
        <w:spacing w:after="0"/>
        <w:rPr>
          <w:sz w:val="20"/>
          <w:szCs w:val="20"/>
          <w:color w:val="auto"/>
        </w:rPr>
      </w:pPr>
      <w:r>
        <w:rPr>
          <w:rFonts w:ascii="Times New Roman" w:cs="Times New Roman" w:eastAsia="Times New Roman" w:hAnsi="Times New Roman"/>
          <w:sz w:val="20"/>
          <w:szCs w:val="20"/>
          <w:color w:val="auto"/>
        </w:rPr>
        <w:t>55,340,191**see Note 1**</w:t>
      </w:r>
    </w:p>
    <w:p>
      <w:pPr>
        <w:spacing w:after="0" w:line="228" w:lineRule="exact"/>
        <w:rPr>
          <w:sz w:val="20"/>
          <w:szCs w:val="20"/>
          <w:color w:val="auto"/>
        </w:rPr>
      </w:pPr>
    </w:p>
    <w:p>
      <w:pPr>
        <w:ind w:left="1372" w:right="7039" w:hanging="1372"/>
        <w:spacing w:after="0" w:line="504" w:lineRule="auto"/>
        <w:tabs>
          <w:tab w:leader="none" w:pos="72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Percent of class: 7.93%</w:t>
      </w:r>
    </w:p>
    <w:p>
      <w:pPr>
        <w:ind w:left="712" w:hanging="712"/>
        <w:spacing w:after="0"/>
        <w:tabs>
          <w:tab w:leader="none" w:pos="71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29" w:lineRule="exact"/>
        <w:rPr>
          <w:rFonts w:ascii="Times New Roman" w:cs="Times New Roman" w:eastAsia="Times New Roman" w:hAnsi="Times New Roman"/>
          <w:sz w:val="20"/>
          <w:szCs w:val="20"/>
          <w:color w:val="auto"/>
        </w:rPr>
      </w:pPr>
    </w:p>
    <w:p>
      <w:pPr>
        <w:ind w:left="2072" w:right="4479" w:hanging="1357"/>
        <w:spacing w:after="0" w:line="508" w:lineRule="auto"/>
        <w:tabs>
          <w:tab w:leader="none" w:pos="142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 0</w:t>
      </w:r>
    </w:p>
    <w:p>
      <w:pPr>
        <w:sectPr>
          <w:pgSz w:w="11900" w:h="16838" w:orient="portrait"/>
          <w:cols w:equalWidth="0" w:num="1">
            <w:col w:w="9051"/>
          </w:cols>
          <w:pgMar w:left="1408" w:top="118" w:right="1440" w:bottom="1440" w:gutter="0" w:footer="0" w:header="0"/>
        </w:sectPr>
      </w:pPr>
    </w:p>
    <w:bookmarkStart w:id="5" w:name="page6"/>
    <w:bookmarkEnd w:id="5"/>
    <w:p>
      <w:pPr>
        <w:ind w:left="3160" w:right="5380" w:hanging="1357"/>
        <w:spacing w:after="0" w:line="479" w:lineRule="auto"/>
        <w:tabs>
          <w:tab w:leader="none" w:pos="251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 55,340,191**see Note 1**</w:t>
      </w:r>
    </w:p>
    <w:p>
      <w:pPr>
        <w:ind w:left="3160" w:right="4580" w:hanging="1357"/>
        <w:spacing w:after="0" w:line="479" w:lineRule="auto"/>
        <w:tabs>
          <w:tab w:leader="none" w:pos="251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 0</w:t>
      </w:r>
    </w:p>
    <w:p>
      <w:pPr>
        <w:ind w:left="3160" w:right="4380" w:hanging="1357"/>
        <w:spacing w:after="0" w:line="479" w:lineRule="auto"/>
        <w:tabs>
          <w:tab w:leader="none" w:pos="251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55,340,191**see Note 1**</w:t>
      </w:r>
    </w:p>
    <w:p>
      <w:pPr>
        <w:ind w:left="2520"/>
        <w:spacing w:after="0"/>
        <w:rPr>
          <w:sz w:val="20"/>
          <w:szCs w:val="20"/>
          <w:color w:val="auto"/>
        </w:rPr>
      </w:pPr>
      <w:r>
        <w:rPr>
          <w:rFonts w:ascii="Times New Roman" w:cs="Times New Roman" w:eastAsia="Times New Roman" w:hAnsi="Times New Roman"/>
          <w:sz w:val="20"/>
          <w:szCs w:val="20"/>
          <w:u w:val="single" w:color="auto"/>
          <w:color w:val="auto"/>
        </w:rPr>
        <w:t>Alerian MLP ETF</w:t>
      </w:r>
    </w:p>
    <w:p>
      <w:pPr>
        <w:spacing w:after="0" w:line="229" w:lineRule="exact"/>
        <w:rPr>
          <w:sz w:val="20"/>
          <w:szCs w:val="20"/>
          <w:color w:val="auto"/>
        </w:rPr>
      </w:pPr>
    </w:p>
    <w:p>
      <w:pPr>
        <w:ind w:left="2460" w:right="6660" w:hanging="1372"/>
        <w:spacing w:after="0" w:line="504" w:lineRule="auto"/>
        <w:tabs>
          <w:tab w:leader="none" w:pos="181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 beneficially owned: 55,337,101**see Note 1**</w:t>
      </w:r>
    </w:p>
    <w:p>
      <w:pPr>
        <w:ind w:left="1800" w:hanging="712"/>
        <w:spacing w:after="0"/>
        <w:tabs>
          <w:tab w:leader="none" w:pos="18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7.92%</w:t>
      </w:r>
    </w:p>
    <w:p>
      <w:pPr>
        <w:spacing w:after="0" w:line="229" w:lineRule="exact"/>
        <w:rPr>
          <w:sz w:val="20"/>
          <w:szCs w:val="20"/>
          <w:color w:val="auto"/>
        </w:rPr>
      </w:pPr>
    </w:p>
    <w:p>
      <w:pPr>
        <w:ind w:left="1800" w:hanging="712"/>
        <w:spacing w:after="0"/>
        <w:tabs>
          <w:tab w:leader="none" w:pos="18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29" w:lineRule="exact"/>
        <w:rPr>
          <w:rFonts w:ascii="Times New Roman" w:cs="Times New Roman" w:eastAsia="Times New Roman" w:hAnsi="Times New Roman"/>
          <w:sz w:val="20"/>
          <w:szCs w:val="20"/>
          <w:color w:val="auto"/>
        </w:rPr>
      </w:pPr>
    </w:p>
    <w:p>
      <w:pPr>
        <w:ind w:left="3160" w:right="5580" w:hanging="1357"/>
        <w:spacing w:after="0" w:line="479" w:lineRule="auto"/>
        <w:tabs>
          <w:tab w:leader="none" w:pos="2512"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 0</w:t>
      </w:r>
    </w:p>
    <w:p>
      <w:pPr>
        <w:ind w:left="3160" w:right="5380" w:hanging="1357"/>
        <w:spacing w:after="0" w:line="479" w:lineRule="auto"/>
        <w:tabs>
          <w:tab w:leader="none" w:pos="2512"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 55,337,101**see Note 1**</w:t>
      </w:r>
    </w:p>
    <w:p>
      <w:pPr>
        <w:ind w:left="3160" w:right="4580" w:hanging="1357"/>
        <w:spacing w:after="0" w:line="479" w:lineRule="auto"/>
        <w:tabs>
          <w:tab w:leader="none" w:pos="2512"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 0</w:t>
      </w:r>
    </w:p>
    <w:p>
      <w:pPr>
        <w:ind w:left="3160" w:right="4380" w:hanging="1357"/>
        <w:spacing w:after="0" w:line="479" w:lineRule="auto"/>
        <w:tabs>
          <w:tab w:leader="none" w:pos="2512"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55,337,101**see Note 1**</w:t>
      </w:r>
    </w:p>
    <w:p>
      <w:pPr>
        <w:jc w:val="both"/>
        <w:ind w:left="720" w:firstLine="8"/>
        <w:spacing w:after="0" w:line="243" w:lineRule="auto"/>
        <w:tabs>
          <w:tab w:leader="none" w:pos="97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 1 ** 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03" w:lineRule="exact"/>
        <w:rPr>
          <w:sz w:val="20"/>
          <w:szCs w:val="20"/>
          <w:color w:val="auto"/>
        </w:rPr>
      </w:pPr>
    </w:p>
    <w:p>
      <w:pPr>
        <w:jc w:val="both"/>
        <w:ind w:left="720"/>
        <w:spacing w:after="0" w:line="269" w:lineRule="auto"/>
        <w:rPr>
          <w:sz w:val="20"/>
          <w:szCs w:val="20"/>
          <w:color w:val="auto"/>
        </w:rPr>
      </w:pPr>
      <w:r>
        <w:rPr>
          <w:rFonts w:ascii="Times New Roman" w:cs="Times New Roman" w:eastAsia="Times New Roman" w:hAnsi="Times New Roman"/>
          <w:sz w:val="20"/>
          <w:szCs w:val="20"/>
          <w:color w:val="auto"/>
        </w:rPr>
        <w:t>Alerian MLP ETF is an investment company registered under the Investment Company Act of 1940 and is one of the Funds to which AAI provides investment advice.</w:t>
      </w:r>
    </w:p>
    <w:p>
      <w:pPr>
        <w:spacing w:after="0" w:line="17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29" w:lineRule="exact"/>
        <w:rPr>
          <w:sz w:val="20"/>
          <w:szCs w:val="20"/>
          <w:color w:val="auto"/>
        </w:rPr>
      </w:pPr>
    </w:p>
    <w:p>
      <w:pPr>
        <w:jc w:val="both"/>
        <w:ind w:left="720"/>
        <w:spacing w:after="0" w:line="269" w:lineRule="auto"/>
        <w:rPr>
          <w:sz w:val="20"/>
          <w:szCs w:val="20"/>
          <w:color w:val="auto"/>
        </w:rPr>
      </w:pPr>
      <w:r>
        <w:rPr>
          <w:rFonts w:ascii="Times New Roman" w:cs="Times New Roman" w:eastAsia="Times New Roman" w:hAnsi="Times New Roman"/>
          <w:sz w:val="20"/>
          <w:szCs w:val="20"/>
          <w:color w:val="auto"/>
        </w:rPr>
        <w:t>This statement is being filed to report the fact that as of the date hereof the reporting persons have ceased to be the beneficial owner of more than five percent of the class of securities.</w:t>
      </w:r>
    </w:p>
    <w:p>
      <w:pPr>
        <w:spacing w:after="0" w:line="17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29" w:lineRule="exact"/>
        <w:rPr>
          <w:sz w:val="20"/>
          <w:szCs w:val="20"/>
          <w:color w:val="auto"/>
        </w:rPr>
      </w:pPr>
    </w:p>
    <w:p>
      <w:pPr>
        <w:jc w:val="both"/>
        <w:ind w:left="720"/>
        <w:spacing w:after="0" w:line="249" w:lineRule="auto"/>
        <w:rPr>
          <w:sz w:val="20"/>
          <w:szCs w:val="20"/>
          <w:color w:val="auto"/>
        </w:rPr>
      </w:pPr>
      <w:r>
        <w:rPr>
          <w:rFonts w:ascii="Times New Roman" w:cs="Times New Roman" w:eastAsia="Times New Roman" w:hAnsi="Times New Roman"/>
          <w:sz w:val="20"/>
          <w:szCs w:val="20"/>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55,337,101 shares or 7.92% of the total outstanding Common Units.</w:t>
      </w:r>
    </w:p>
    <w:p>
      <w:pPr>
        <w:sectPr>
          <w:pgSz w:w="11900" w:h="16838" w:orient="portrait"/>
          <w:cols w:equalWidth="0" w:num="1">
            <w:col w:w="11240"/>
          </w:cols>
          <w:pgMar w:left="320" w:top="468" w:right="339" w:bottom="1440" w:gutter="0" w:footer="0" w:header="0"/>
        </w:sectPr>
      </w:pPr>
    </w:p>
    <w:bookmarkStart w:id="6" w:name="page7"/>
    <w:bookmarkEnd w:id="6"/>
    <w:p>
      <w:pPr>
        <w:ind w:left="1080" w:right="480" w:hanging="1079"/>
        <w:spacing w:after="0" w:line="269" w:lineRule="auto"/>
        <w:tabs>
          <w:tab w:leader="none" w:pos="10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 or Control Person.</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Identification and Classification of Members of the Group</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29" w:lineRule="exact"/>
        <w:rPr>
          <w:sz w:val="20"/>
          <w:szCs w:val="20"/>
          <w:color w:val="auto"/>
        </w:rPr>
      </w:pPr>
    </w:p>
    <w:p>
      <w:pPr>
        <w:jc w:val="both"/>
        <w:ind w:left="72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ALPS ADVISORS,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ALERIAN MLP ETF</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lvl w:ilvl="1">
      <w:lvlJc w:val="left"/>
      <w:lvlText w:val="(%2)"/>
      <w:numFmt w:val="lowerLetter"/>
      <w:start w:val="1"/>
    </w:lvl>
  </w:abstractNum>
  <w:abstractNum w:abstractNumId="3">
    <w:nsid w:val="DED7263"/>
    <w:multiLevelType w:val="hybridMultilevel"/>
    <w:lvl w:ilvl="0">
      <w:lvlJc w:val="left"/>
      <w:lvlText w:val="%1."/>
      <w:numFmt w:val="decimal"/>
      <w:start w:val="8"/>
    </w:lvl>
  </w:abstractNum>
  <w:abstractNum w:abstractNumId="4">
    <w:nsid w:val="7FDCC233"/>
    <w:multiLevelType w:val="hybridMultilevel"/>
    <w:lvl w:ilvl="0">
      <w:lvlJc w:val="left"/>
      <w:lvlText w:val="%1."/>
      <w:numFmt w:val="decimal"/>
      <w:start w:val="9"/>
    </w:lvl>
  </w:abstractNum>
  <w:abstractNum w:abstractNumId="5">
    <w:nsid w:val="1BEFD79F"/>
    <w:multiLevelType w:val="hybridMultilevel"/>
    <w:lvl w:ilvl="0">
      <w:lvlJc w:val="left"/>
      <w:lvlText w:val="%1."/>
      <w:numFmt w:val="decimal"/>
      <w:start w:val="10"/>
    </w:lvl>
  </w:abstractNum>
  <w:abstractNum w:abstractNumId="6">
    <w:nsid w:val="41A7C4C9"/>
    <w:multiLevelType w:val="hybridMultilevel"/>
    <w:lvl w:ilvl="0">
      <w:lvlJc w:val="left"/>
      <w:lvlText w:val="%1."/>
      <w:numFmt w:val="decimal"/>
      <w:start w:val="11"/>
    </w:lvl>
  </w:abstractNum>
  <w:abstractNum w:abstractNumId="7">
    <w:nsid w:val="6B68079A"/>
    <w:multiLevelType w:val="hybridMultilevel"/>
    <w:lvl w:ilvl="0">
      <w:lvlJc w:val="left"/>
      <w:lvlText w:val="%1."/>
      <w:numFmt w:val="decimal"/>
      <w:start w:val="12"/>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lvl w:ilvl="1">
      <w:lvlJc w:val="left"/>
      <w:lvlText w:val="(%2)"/>
      <w:numFmt w:val="lowerLetter"/>
      <w:start w:val="1"/>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lvl w:ilvl="1">
      <w:lvlJc w:val="left"/>
      <w:lvlText w:val="(%2)"/>
      <w:numFmt w:val="decimal"/>
      <w:start w:val="1"/>
    </w:lvl>
  </w:abstractNum>
  <w:abstractNum w:abstractNumId="17">
    <w:nsid w:val="628C895D"/>
    <w:multiLevelType w:val="hybridMultilevel"/>
    <w:lvl w:ilvl="0">
      <w:lvlJc w:val="left"/>
      <w:lvlText w:val="(%1)"/>
      <w:numFmt w:val="lowerLetter"/>
      <w:start w:val="5"/>
    </w:lvl>
  </w:abstractNum>
  <w:abstractNum w:abstractNumId="18">
    <w:nsid w:val="333AB105"/>
    <w:multiLevelType w:val="hybridMultilevel"/>
    <w:lvl w:ilvl="0">
      <w:lvlJc w:val="left"/>
      <w:lvlText w:val="(%1)"/>
      <w:numFmt w:val="lowerLetter"/>
      <w:start w:val="4"/>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2"/>
    </w:lvl>
    <w:lvl w:ilvl="1">
      <w:lvlJc w:val="left"/>
      <w:lvlText w:val="(%2)"/>
      <w:numFmt w:val="lowerLetter"/>
      <w:start w:val="9"/>
    </w:lvl>
  </w:abstractNum>
  <w:abstractNum w:abstractNumId="21">
    <w:nsid w:val="2D1D5AE9"/>
    <w:multiLevelType w:val="hybridMultilevel"/>
    <w:lvl w:ilvl="0">
      <w:lvlJc w:val="left"/>
      <w:lvlText w:val="(%1)"/>
      <w:numFmt w:val="lowerRoman"/>
      <w:start w:val="2"/>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2023-02-13T13:11:08Z</dcterms:created>
  <dcterms:modified xsi:type="dcterms:W3CDTF">2023-02-13T13:11:08Z</dcterms:modified>
</cp:coreProperties>
</file>