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2, 2022</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2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158750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November 2, 2022, the Registrant issued a press release reporting its third-quarter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0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0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20" w:type="dxa"/>
            <w:vAlign w:val="bottom"/>
            <w:tcBorders>
              <w:top w:val="single" w:sz="8" w:color="auto"/>
              <w:bottom w:val="single" w:sz="8" w:color="0000FF"/>
            </w:tcBorders>
          </w:tcPr>
          <w:p>
            <w:pPr>
              <w:spacing w:after="0" w:line="185" w:lineRule="exact"/>
              <w:rPr>
                <w:sz w:val="20"/>
                <w:szCs w:val="20"/>
                <w:color w:val="auto"/>
              </w:rPr>
            </w:pPr>
            <w:r>
              <w:rPr>
                <w:rFonts w:ascii="Arial" w:cs="Arial" w:eastAsia="Arial" w:hAnsi="Arial"/>
                <w:sz w:val="18"/>
                <w:szCs w:val="18"/>
                <w:color w:val="0000FF"/>
                <w:w w:val="87"/>
              </w:rPr>
              <w:t>Press Release dated November 2, 2022</w:t>
            </w:r>
          </w:p>
        </w:tc>
        <w:tc>
          <w:tcPr>
            <w:tcW w:w="4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60" w:hanging="792"/>
        <w:spacing w:after="0"/>
        <w:tabs>
          <w:tab w:leader="none" w:pos="1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140" w:type="dxa"/>
            <w:vAlign w:val="bottom"/>
          </w:tcPr>
          <w:p>
            <w:pPr>
              <w:spacing w:after="0"/>
              <w:rPr>
                <w:sz w:val="24"/>
                <w:szCs w:val="24"/>
                <w:color w:val="auto"/>
              </w:rPr>
            </w:pP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140" w:type="dxa"/>
            <w:vAlign w:val="bottom"/>
          </w:tcPr>
          <w:p>
            <w:pPr>
              <w:spacing w:after="0"/>
              <w:rPr>
                <w:sz w:val="20"/>
                <w:szCs w:val="20"/>
                <w:color w:val="auto"/>
              </w:rPr>
            </w:pPr>
            <w:r>
              <w:rPr>
                <w:rFonts w:ascii="Arial" w:cs="Arial" w:eastAsia="Arial" w:hAnsi="Arial"/>
                <w:sz w:val="18"/>
                <w:szCs w:val="18"/>
                <w:color w:val="auto"/>
              </w:rPr>
              <w:t>Date: November 2, 2022</w:t>
            </w:r>
          </w:p>
        </w:tc>
        <w:tc>
          <w:tcPr>
            <w:tcW w:w="8060" w:type="dxa"/>
            <w:vAlign w:val="bottom"/>
            <w:gridSpan w:val="3"/>
          </w:tcPr>
          <w:p>
            <w:pPr>
              <w:ind w:left="1380"/>
              <w:spacing w:after="0"/>
              <w:rPr>
                <w:sz w:val="20"/>
                <w:szCs w:val="20"/>
                <w:color w:val="auto"/>
              </w:rPr>
            </w:pPr>
            <w:r>
              <w:rPr>
                <w:rFonts w:ascii="Arial" w:cs="Arial" w:eastAsia="Arial" w:hAnsi="Arial"/>
                <w:sz w:val="18"/>
                <w:szCs w:val="18"/>
                <w:color w:val="auto"/>
              </w:rPr>
              <w:t>By:  /s/ Sharon Spurlin</w:t>
            </w:r>
          </w:p>
        </w:tc>
      </w:tr>
      <w:tr>
        <w:trPr>
          <w:trHeight w:val="222"/>
        </w:trPr>
        <w:tc>
          <w:tcPr>
            <w:tcW w:w="3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Plains All American Reports Third-Quarter 2022 Results, Increases 2022 Guidance and Announces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Multi-Year Capital Allocation Framework</w:t>
      </w:r>
    </w:p>
    <w:p>
      <w:pPr>
        <w:spacing w:after="0" w:line="2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Houston, TX – November 2, 2022 – Plains All American Pipeline, L.P. (Nasdaq: PAA) and Plains GP Holdings (Nasdaq: PAGP) today reported third-quarter 2022 results and provided the following highlights and increase to 2022 guidance:</w:t>
      </w:r>
    </w:p>
    <w:p>
      <w:pPr>
        <w:spacing w:after="0" w:line="19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Third-quarter Net income attributable to PAA of $384 million and Net cash provided by operating activities of $941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strong third-quarter Adjusted EBITDA attributable to PAA of $623 million</w:t>
      </w:r>
    </w:p>
    <w:p>
      <w:pPr>
        <w:spacing w:after="0" w:line="252"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guidance for full-year 2022 Adjusted EBITDA attributable to PAA by $75 million to +/- $2.450 billion, representing a $250 million increase compared to initial February 2022 guidance as a result of increased Permian tariff volumes, higher commodity prices and margin-based opportunities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leverage ratio below the mid-point (4.0x) of targeted range, expect year-end 2022 leverage of +/- 3.8x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Framework Update</w:t>
      </w:r>
    </w:p>
    <w:p>
      <w:pPr>
        <w:spacing w:after="0" w:line="252"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Plains has made significant progress on strengthening its financial position and continues to execute on its long-term goals of generating meaningful Free Cash Flow, maintaining capital discipline, improving financial flexibility, and increasing returns of capital to equity holders via both distribution growth and opportunistic equity repurchases. Plains has achieved leverage below the mid-point of its targeted leverage range well ahead of expectations entering 2022 and now anticipates exiting the year with a leverage ratio of approximately 3.8x.</w:t>
      </w:r>
    </w:p>
    <w:p>
      <w:pPr>
        <w:spacing w:after="0" w:line="19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Given the progress made on deleveraging, solid financial and operating performance, and confidence in the long-term outlook of the business, we are providing the following multi-year capital allocation and financial framework:</w:t>
      </w:r>
    </w:p>
    <w:p>
      <w:pPr>
        <w:spacing w:after="0" w:line="197" w:lineRule="exact"/>
        <w:rPr>
          <w:sz w:val="20"/>
          <w:szCs w:val="20"/>
          <w:color w:val="auto"/>
        </w:rPr>
      </w:pPr>
    </w:p>
    <w:p>
      <w:pPr>
        <w:ind w:left="660" w:right="2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Management currently intends to recommend to the Board of Directors of PAA GP Holdings LLC (“the Plains Board”) an annualized increase of $0.20 to PAA’s and PAGP’s fourth-quarter 2022 distribution payable in February 2023 (one quarter earlier than our standard beginning-of-the-year annual budgeting process), which would increase the annualized rate from $0.87 to $1.07 per common unit and Class A share</w:t>
      </w:r>
    </w:p>
    <w:p>
      <w:pPr>
        <w:spacing w:after="0" w:line="192" w:lineRule="exact"/>
        <w:rPr>
          <w:rFonts w:ascii="Arial" w:cs="Arial" w:eastAsia="Arial" w:hAnsi="Arial"/>
          <w:sz w:val="17"/>
          <w:szCs w:val="17"/>
          <w:color w:val="auto"/>
        </w:rPr>
      </w:pPr>
    </w:p>
    <w:p>
      <w:pPr>
        <w:ind w:left="660" w:right="58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Beyond 2023, as part of its standard annual review process, management anticipates targeting annualized common distribution increases of approximately $0.15 per unit each year until reaching a targeted Common Unit Distribution Coverage Ratio of approximately 160%</w:t>
      </w:r>
    </w:p>
    <w:p>
      <w:pPr>
        <w:spacing w:after="0" w:line="150" w:lineRule="exact"/>
        <w:rPr>
          <w:rFonts w:ascii="Arial" w:cs="Arial" w:eastAsia="Arial" w:hAnsi="Arial"/>
          <w:sz w:val="16"/>
          <w:szCs w:val="16"/>
          <w:color w:val="auto"/>
        </w:rPr>
      </w:pPr>
    </w:p>
    <w:p>
      <w:pPr>
        <w:ind w:left="660" w:right="5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capital discipline, enhancing financial flexibility and achieving mid-BBB/Baa credit ratings remain top priorities; management anticipates leverage migrating below the low-end of the targeted 3.75x - 4.25x range in 2023</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Opportunistic unit repurchases will remain a component of our long-term capital allocation framework</w:t>
      </w:r>
    </w:p>
    <w:p>
      <w:pPr>
        <w:spacing w:after="0" w:line="25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continue to execute, and we maintain a constructive view of long-term global energy fundamentals. We also believe our business has reached a positive inflection point, and we are pleased to be achieving our leverage objectives earlier than anticipated, allowing us to increase returns of capital to equity holders in a prudent, long-term manner,” stated Willie Chiang, Chairman and CEO of Plains. “Given the positive outlook for our business, operating leverage across our crude oil and NGL footprints and continued focus on capital discipline, we are positioned to continue generating Free Cash Flow and increasing returns to our equity holders over multiple years while further enhancing our financial flexibility.”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Consistent with past practice, the Plains Board will consider management’s recommendation prior to its approval and declaration of the distribution for the fourth quarter of 2022, payable in February of 2023. Moving forward, Plains management intends to review specific capital allocation recommendations with the Plains Board during its standard beginning-of-the-year annual budgeting process with any future adjustments occurring in the first quarter of each calendar year and payable in May. Future recommendations will be subject to financial positioning, investment opportunities and the general outlook for business, industry and macro economy.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ind w:left="20"/>
              <w:spacing w:after="0" w:line="202"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69" w:lineRule="auto"/>
        <w:tabs>
          <w:tab w:leader="none" w:pos="32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8" w:lineRule="exact"/>
        <w:rPr>
          <w:rFonts w:ascii="Arial" w:cs="Arial" w:eastAsia="Arial" w:hAnsi="Arial"/>
          <w:sz w:val="21"/>
          <w:szCs w:val="21"/>
          <w:color w:val="auto"/>
          <w:vertAlign w:val="superscript"/>
        </w:rPr>
      </w:pPr>
    </w:p>
    <w:p>
      <w:pPr>
        <w:ind w:left="340" w:right="520" w:hanging="332"/>
        <w:spacing w:after="0" w:line="227"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(the “Permian JV’) and Red River Pipeline LLC.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Three Months Ended September 30, 2021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459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59 %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2021 period further adjusted for impact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18 %</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59 %</w:t>
            </w:r>
          </w:p>
        </w:tc>
        <w:tc>
          <w:tcPr>
            <w:tcW w:w="0" w:type="dxa"/>
            <w:vAlign w:val="bottom"/>
          </w:tcPr>
          <w:p>
            <w:pPr>
              <w:spacing w:after="0"/>
              <w:rPr>
                <w:sz w:val="1"/>
                <w:szCs w:val="1"/>
                <w:color w:val="auto"/>
              </w:rPr>
            </w:pPr>
          </w:p>
        </w:tc>
      </w:tr>
      <w:tr>
        <w:trPr>
          <w:trHeight w:val="216"/>
        </w:trPr>
        <w:tc>
          <w:tcPr>
            <w:tcW w:w="7840" w:type="dxa"/>
            <w:vAlign w:val="bottom"/>
            <w:gridSpan w:val="2"/>
          </w:tcPr>
          <w:p>
            <w:pPr>
              <w:ind w:left="180"/>
              <w:spacing w:after="0" w:line="216"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38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Nine Months Ended September 30, 2021</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1,486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2021 period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2021 period further adjusted for impact of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155 %</w:t>
            </w:r>
          </w:p>
        </w:tc>
        <w:tc>
          <w:tcPr>
            <w:tcW w:w="0" w:type="dxa"/>
            <w:vAlign w:val="bottom"/>
          </w:tcPr>
          <w:p>
            <w:pPr>
              <w:spacing w:after="0"/>
              <w:rPr>
                <w:sz w:val="1"/>
                <w:szCs w:val="1"/>
                <w:color w:val="auto"/>
              </w:rPr>
            </w:pPr>
          </w:p>
        </w:tc>
      </w:tr>
      <w:tr>
        <w:trPr>
          <w:trHeight w:val="216"/>
        </w:trPr>
        <w:tc>
          <w:tcPr>
            <w:tcW w:w="7840" w:type="dxa"/>
            <w:vAlign w:val="bottom"/>
            <w:gridSpan w:val="2"/>
          </w:tcPr>
          <w:p>
            <w:pPr>
              <w:ind w:left="180"/>
              <w:spacing w:after="0" w:line="216"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right="20" w:hanging="332"/>
        <w:spacing w:after="0" w:line="238"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39" w:lineRule="exact"/>
        <w:rPr>
          <w:rFonts w:ascii="Arial" w:cs="Arial" w:eastAsia="Arial" w:hAnsi="Arial"/>
          <w:sz w:val="23"/>
          <w:szCs w:val="23"/>
          <w:color w:val="auto"/>
          <w:vertAlign w:val="superscript"/>
        </w:rPr>
      </w:pPr>
    </w:p>
    <w:p>
      <w:pPr>
        <w:ind w:left="340" w:right="40" w:hanging="332"/>
        <w:spacing w:after="0" w:line="244"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effected changes in the primary financial information provided to our CODM (our Chief Executive Officer) for assessing performance and allocating resources to present two operating segments, Crude Oil and NGL. Prior to the fourth quarter of 2021, this information was organized into three operating segments: Transportation, Facilities and Supply and Logistics. The change in our segments is reflective of a change in how our CODM views our business and stems primarily from (i) a multi-year transition in the midstream energy industry driven by increased competition that has reduced the stand alone earnings opportunities of our supply and logistics activities such that those activities now primarily support our effort to increase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40" w:lineRule="exact"/>
        <w:rPr>
          <w:rFonts w:ascii="Arial" w:cs="Arial" w:eastAsia="Arial" w:hAnsi="Arial"/>
          <w:sz w:val="23"/>
          <w:szCs w:val="23"/>
          <w:color w:val="auto"/>
          <w:vertAlign w:val="superscript"/>
        </w:rPr>
      </w:pPr>
    </w:p>
    <w:p>
      <w:pPr>
        <w:ind w:left="340" w:right="100" w:hanging="332"/>
        <w:spacing w:after="0" w:line="227"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natural gas storage facilities previously included in our Crude Oil segment.</w:t>
      </w:r>
    </w:p>
    <w:p>
      <w:pPr>
        <w:spacing w:after="0" w:line="33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Third-quarter 2022 Crude Oil Segment Adjusted EBITDA increased 17% versus comparable 2021 results primarily due to (i) higher tariff volumes on our pipelines and higher loss allowance revenue attributable to higher commodity prices and (ii) Canadian margin-based opportunities. These items were partially offset by the impact of asset sales and asset downtime associated with maintenance and repairs.</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Third-quarter 2022 NGL Segment Adjusted EBITDA increased 59% versus comparable 2021 results primarily due to the favorable impact of higher realized fractionation spreads between the price of natural gas and the extracted NGL (“frac spreads”).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4:30 p.m. CT on Wednesday, November 2, 2022 to discuss the following items:</w:t>
      </w:r>
    </w:p>
    <w:p>
      <w:pPr>
        <w:spacing w:after="0" w:line="117"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third-quarter 2022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and operating guidance;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Updated multi-year capital allocation framework.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https://edge.media-server.com/mmc/p/u9gkztmh.</w:t>
      </w:r>
    </w:p>
    <w:p>
      <w:pPr>
        <w:spacing w:after="0" w:line="252"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20"/>
          </w:cols>
          <w:pgMar w:left="320" w:top="368"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0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7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15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Basic and diluted net income/(loss) per common unit</w:t>
            </w:r>
          </w:p>
        </w:tc>
        <w:tc>
          <w:tcPr>
            <w:tcW w:w="15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vMerge w:val="restart"/>
          </w:tcPr>
          <w:p>
            <w:pPr>
              <w:ind w:left="620"/>
              <w:spacing w:after="0"/>
              <w:rPr>
                <w:sz w:val="20"/>
                <w:szCs w:val="20"/>
                <w:color w:val="auto"/>
              </w:rPr>
            </w:pPr>
            <w:r>
              <w:rPr>
                <w:rFonts w:ascii="Arial" w:cs="Arial" w:eastAsia="Arial" w:hAnsi="Arial"/>
                <w:sz w:val="18"/>
                <w:szCs w:val="18"/>
                <w:color w:val="auto"/>
              </w:rPr>
              <w:t>- more -</w:t>
            </w: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2"/>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ind w:left="20"/>
              <w:spacing w:after="0"/>
              <w:rPr>
                <w:sz w:val="20"/>
                <w:szCs w:val="20"/>
                <w:color w:val="auto"/>
              </w:rPr>
            </w:pPr>
            <w:r>
              <w:rPr>
                <w:rFonts w:ascii="Arial" w:cs="Arial" w:eastAsia="Arial" w:hAnsi="Arial"/>
                <w:sz w:val="18"/>
                <w:szCs w:val="18"/>
                <w:color w:val="auto"/>
              </w:rPr>
              <w:t>Current assets (including Cash and cash equivalents of $623 and $449, respectively)</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Linefill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partners’ capital</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2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jc w:val="center"/>
              <w:ind w:right="450"/>
              <w:spacing w:after="0"/>
              <w:rPr>
                <w:sz w:val="20"/>
                <w:szCs w:val="20"/>
                <w:color w:val="auto"/>
              </w:rPr>
            </w:pPr>
            <w:r>
              <w:rPr>
                <w:rFonts w:ascii="Arial" w:cs="Arial" w:eastAsia="Arial" w:hAnsi="Arial"/>
                <w:sz w:val="18"/>
                <w:szCs w:val="18"/>
                <w:color w:val="auto"/>
                <w:w w:val="91"/>
              </w:rPr>
              <w:t>- more -</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2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Houston, Texas 77002</w:t>
            </w:r>
          </w:p>
        </w:tc>
        <w:tc>
          <w:tcPr>
            <w:tcW w:w="2860" w:type="dxa"/>
            <w:vAlign w:val="bottom"/>
            <w:gridSpan w:val="3"/>
          </w:tcPr>
          <w:p>
            <w:pPr>
              <w:jc w:val="right"/>
              <w:ind w:right="152"/>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r>
      <w:tr>
        <w:trPr>
          <w:trHeight w:val="21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56"/>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4" w:lineRule="exact"/>
        <w:rPr>
          <w:sz w:val="20"/>
          <w:szCs w:val="20"/>
          <w:color w:val="auto"/>
        </w:rPr>
      </w:pPr>
    </w:p>
    <w:p>
      <w:pPr>
        <w:jc w:val="both"/>
        <w:ind w:left="340" w:right="20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income/(loss).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200" w:hanging="332"/>
        <w:spacing w:after="0" w:line="227"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nine months ended September 30, 2022 and 2021 as the effect was antidilutive.</w:t>
      </w:r>
    </w:p>
    <w:p>
      <w:pPr>
        <w:spacing w:after="0" w:line="40" w:lineRule="exact"/>
        <w:rPr>
          <w:rFonts w:ascii="Arial" w:cs="Arial" w:eastAsia="Arial" w:hAnsi="Arial"/>
          <w:sz w:val="23"/>
          <w:szCs w:val="23"/>
          <w:color w:val="auto"/>
          <w:vertAlign w:val="superscript"/>
        </w:rPr>
      </w:pPr>
    </w:p>
    <w:p>
      <w:pPr>
        <w:ind w:left="340" w:right="20" w:hanging="332"/>
        <w:spacing w:after="0" w:line="275" w:lineRule="auto"/>
        <w:tabs>
          <w:tab w:leader="none" w:pos="32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2022 and 2021, the effect of equity-indexed compensation plan awards was either antidilutive or did not change net income/(loss) per common unit.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2" w:lineRule="auto"/>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2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740" w:type="dxa"/>
            <w:vAlign w:val="bottom"/>
          </w:tcPr>
          <w:p>
            <w:pPr>
              <w:spacing w:after="0"/>
              <w:rPr>
                <w:sz w:val="17"/>
                <w:szCs w:val="17"/>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7"/>
                <w:szCs w:val="17"/>
                <w:color w:val="auto"/>
              </w:rPr>
            </w:pPr>
          </w:p>
        </w:tc>
        <w:tc>
          <w:tcPr>
            <w:tcW w:w="1700" w:type="dxa"/>
            <w:vAlign w:val="bottom"/>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r>
      <w:tr>
        <w:trPr>
          <w:trHeight w:val="186"/>
        </w:trPr>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70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r>
    </w:tbl>
    <w:p>
      <w:pPr>
        <w:spacing w:after="0" w:line="11" w:lineRule="exact"/>
        <w:rPr>
          <w:sz w:val="20"/>
          <w:szCs w:val="20"/>
          <w:color w:val="auto"/>
        </w:rPr>
      </w:pPr>
    </w:p>
    <w:p>
      <w:pPr>
        <w:sectPr>
          <w:pgSz w:w="11900" w:h="16838" w:orient="portrait"/>
          <w:cols w:equalWidth="0" w:num="1">
            <w:col w:w="11240"/>
          </w:cols>
          <w:pgMar w:left="320" w:top="368"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80"/>
        <w:spacing w:after="0" w:line="192" w:lineRule="auto"/>
        <w:rPr>
          <w:sz w:val="20"/>
          <w:szCs w:val="20"/>
          <w:color w:val="auto"/>
        </w:rPr>
      </w:pPr>
      <w:r>
        <w:rPr>
          <w:rFonts w:ascii="Arial" w:cs="Arial" w:eastAsia="Arial" w:hAnsi="Arial"/>
          <w:sz w:val="16"/>
          <w:szCs w:val="16"/>
          <w:color w:val="auto"/>
        </w:rPr>
        <w:t>Selected items impacting comparability - Adjusted net income attributable to PAA</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(2)</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Amounts allocated to participating securities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51"/>
        </w:trPr>
        <w:tc>
          <w:tcPr>
            <w:tcW w:w="520" w:type="dxa"/>
            <w:vAlign w:val="bottom"/>
          </w:tcPr>
          <w:p>
            <w:pPr>
              <w:jc w:val="right"/>
              <w:ind w:right="50"/>
              <w:spacing w:after="0"/>
              <w:rPr>
                <w:sz w:val="20"/>
                <w:szCs w:val="20"/>
                <w:color w:val="auto"/>
              </w:rPr>
            </w:pPr>
            <w:r>
              <w:rPr>
                <w:rFonts w:ascii="Arial" w:cs="Arial" w:eastAsia="Arial" w:hAnsi="Arial"/>
                <w:sz w:val="18"/>
                <w:szCs w:val="18"/>
                <w:color w:val="auto"/>
                <w:w w:val="85"/>
              </w:rPr>
              <w:t>(104)</w:t>
            </w: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22"/>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280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0"/>
        </w:trPr>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66"/>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698</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-334010</wp:posOffset>
            </wp:positionV>
            <wp:extent cx="7372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-488315</wp:posOffset>
            </wp:positionV>
            <wp:extent cx="737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-1079500</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3">
            <w:col w:w="6120" w:space="120"/>
            <w:col w:w="100" w:space="640"/>
            <w:col w:w="4260"/>
          </w:cols>
          <w:pgMar w:left="320" w:top="368" w:right="339" w:bottom="1440" w:gutter="0" w:footer="0" w:header="0"/>
          <w:type w:val="continuous"/>
        </w:sectPr>
      </w:pPr>
    </w:p>
    <w:p>
      <w:pPr>
        <w:spacing w:after="0" w:line="40" w:lineRule="exact"/>
        <w:rPr>
          <w:sz w:val="20"/>
          <w:szCs w:val="20"/>
          <w:color w:val="auto"/>
        </w:rPr>
      </w:pPr>
    </w:p>
    <w:p>
      <w:pPr>
        <w:ind w:left="20"/>
        <w:spacing w:after="0"/>
        <w:tabs>
          <w:tab w:leader="none" w:pos="6220" w:val="left"/>
          <w:tab w:leader="none" w:pos="6980" w:val="left"/>
          <w:tab w:leader="none" w:pos="7500" w:val="left"/>
          <w:tab w:leader="none" w:pos="8260" w:val="left"/>
          <w:tab w:leader="none" w:pos="8780" w:val="left"/>
          <w:tab w:leader="none" w:pos="9560" w:val="left"/>
          <w:tab w:leader="none" w:pos="10060" w:val="left"/>
          <w:tab w:leader="none" w:pos="10840" w:val="left"/>
        </w:tabs>
        <w:rPr>
          <w:sz w:val="20"/>
          <w:szCs w:val="20"/>
          <w:color w:val="auto"/>
        </w:rPr>
      </w:pPr>
      <w:r>
        <w:rPr>
          <w:rFonts w:ascii="Arial" w:cs="Arial" w:eastAsia="Arial" w:hAnsi="Arial"/>
          <w:sz w:val="18"/>
          <w:szCs w:val="18"/>
          <w:color w:val="auto"/>
        </w:rPr>
        <w:t>Basic and diluted adjusted net income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0.33</w:t>
        <w:tab/>
        <w:t>$</w:t>
      </w:r>
      <w:r>
        <w:rPr>
          <w:sz w:val="20"/>
          <w:szCs w:val="20"/>
          <w:color w:val="auto"/>
        </w:rPr>
        <w:tab/>
      </w:r>
      <w:r>
        <w:rPr>
          <w:rFonts w:ascii="Arial" w:cs="Arial" w:eastAsia="Arial" w:hAnsi="Arial"/>
          <w:sz w:val="18"/>
          <w:szCs w:val="18"/>
          <w:color w:val="auto"/>
        </w:rPr>
        <w:t>0.22</w:t>
        <w:tab/>
        <w:t>$</w:t>
      </w:r>
      <w:r>
        <w:rPr>
          <w:sz w:val="20"/>
          <w:szCs w:val="20"/>
          <w:color w:val="auto"/>
        </w:rPr>
        <w:tab/>
      </w:r>
      <w:r>
        <w:rPr>
          <w:rFonts w:ascii="Arial" w:cs="Arial" w:eastAsia="Arial" w:hAnsi="Arial"/>
          <w:sz w:val="18"/>
          <w:szCs w:val="18"/>
          <w:color w:val="auto"/>
        </w:rPr>
        <w:t>0.93</w:t>
        <w:tab/>
        <w:t>$</w:t>
      </w:r>
      <w:r>
        <w:rPr>
          <w:sz w:val="20"/>
          <w:szCs w:val="20"/>
          <w:color w:val="auto"/>
        </w:rPr>
        <w:tab/>
      </w:r>
      <w:r>
        <w:rPr>
          <w:rFonts w:ascii="Arial" w:cs="Arial" w:eastAsia="Arial" w:hAnsi="Arial"/>
          <w:sz w:val="15"/>
          <w:szCs w:val="15"/>
          <w:color w:val="auto"/>
        </w:rPr>
        <w:t>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8008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2459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5" w:lineRule="exact"/>
        <w:rPr>
          <w:sz w:val="20"/>
          <w:szCs w:val="20"/>
          <w:color w:val="auto"/>
        </w:rPr>
      </w:pPr>
    </w:p>
    <w:p>
      <w:pPr>
        <w:ind w:left="340" w:right="420" w:hanging="332"/>
        <w:spacing w:after="0" w:line="238"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50" w:lineRule="exact"/>
        <w:rPr>
          <w:rFonts w:ascii="Arial" w:cs="Arial" w:eastAsia="Arial" w:hAnsi="Arial"/>
          <w:sz w:val="21"/>
          <w:szCs w:val="21"/>
          <w:color w:val="auto"/>
          <w:vertAlign w:val="superscript"/>
        </w:rPr>
      </w:pPr>
    </w:p>
    <w:p>
      <w:pPr>
        <w:ind w:left="340" w:right="760" w:hanging="332"/>
        <w:spacing w:after="0" w:line="22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 See the “Selected Items Impacting Comparability” table for additional information.</w:t>
      </w:r>
    </w:p>
    <w:p>
      <w:pPr>
        <w:spacing w:after="0" w:line="36" w:lineRule="exact"/>
        <w:rPr>
          <w:rFonts w:ascii="Arial" w:cs="Arial" w:eastAsia="Arial" w:hAnsi="Arial"/>
          <w:sz w:val="21"/>
          <w:szCs w:val="21"/>
          <w:color w:val="auto"/>
          <w:vertAlign w:val="superscript"/>
        </w:rPr>
      </w:pPr>
    </w:p>
    <w:p>
      <w:pPr>
        <w:ind w:left="340" w:right="500" w:hanging="332"/>
        <w:spacing w:after="0" w:line="230"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was excluded from the calculation of diluted adjusted net income per common unit for the three and nine months ended September 30, 2022 and 2021 as the effect was antidilutive.</w:t>
      </w:r>
    </w:p>
    <w:p>
      <w:pPr>
        <w:spacing w:after="0" w:line="37" w:lineRule="exact"/>
        <w:rPr>
          <w:rFonts w:ascii="Arial" w:cs="Arial" w:eastAsia="Arial" w:hAnsi="Arial"/>
          <w:sz w:val="21"/>
          <w:szCs w:val="21"/>
          <w:color w:val="auto"/>
          <w:vertAlign w:val="superscript"/>
        </w:rPr>
      </w:pPr>
    </w:p>
    <w:p>
      <w:pPr>
        <w:ind w:left="340" w:right="140" w:hanging="332"/>
        <w:spacing w:after="0" w:line="24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nine months ended September 30, 2022 and 2021, the effect of equity-indexed compensation plan awards did not change adjusted net income per common unit.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9"/>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3"/>
              </w:rPr>
              <w:t>(0.01)</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3"/>
              </w:rPr>
              <w:t>(0.15)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95"/>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85"/>
              </w:rPr>
              <w:t>0.71</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8"/>
                <w:szCs w:val="18"/>
                <w:color w:val="auto"/>
                <w:w w:val="91"/>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5"/>
              </w:rPr>
              <w:t>0.70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9" w:lineRule="exact"/>
        <w:rPr>
          <w:sz w:val="20"/>
          <w:szCs w:val="20"/>
          <w:color w:val="auto"/>
        </w:rPr>
      </w:pPr>
    </w:p>
    <w:p>
      <w:pPr>
        <w:ind w:left="340" w:right="72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and the “Computation of Basic and Diluted Adjusted Net Income Per Common Unit” tables for additional information.</w:t>
      </w:r>
    </w:p>
    <w:p>
      <w:pPr>
        <w:spacing w:after="0" w:line="167"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to Adjusted EBITDA attributable to PAA and Implied DCF Reconciliation: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expense/(benefit)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9"/>
        </w:trPr>
        <w:tc>
          <w:tcPr>
            <w:tcW w:w="6220" w:type="dxa"/>
            <w:vAlign w:val="bottom"/>
          </w:tcPr>
          <w:p>
            <w:pPr>
              <w:ind w:left="140"/>
              <w:spacing w:after="0"/>
              <w:rPr>
                <w:sz w:val="20"/>
                <w:szCs w:val="20"/>
                <w:color w:val="auto"/>
              </w:rPr>
            </w:pPr>
            <w:r>
              <w:rPr>
                <w:rFonts w:ascii="Arial" w:cs="Arial" w:eastAsia="Arial" w:hAnsi="Arial"/>
                <w:sz w:val="17"/>
                <w:szCs w:val="17"/>
                <w:color w:val="auto"/>
              </w:rPr>
              <w:t>Gain on investment in unconsolidated entities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40"/>
              <w:spacing w:after="0" w:line="22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62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EBITDA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30"/>
        </w:trPr>
        <w:tc>
          <w:tcPr>
            <w:tcW w:w="6220" w:type="dxa"/>
            <w:vAlign w:val="bottom"/>
          </w:tcPr>
          <w:p>
            <w:pPr>
              <w:ind w:left="140"/>
              <w:spacing w:after="0" w:line="229"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Maintenance capital</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220" w:type="dxa"/>
            <w:vAlign w:val="bottom"/>
          </w:tcPr>
          <w:p>
            <w:pPr>
              <w:ind w:left="140"/>
              <w:spacing w:after="0" w:line="229"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3"/>
        </w:trPr>
        <w:tc>
          <w:tcPr>
            <w:tcW w:w="6220" w:type="dxa"/>
            <w:vAlign w:val="bottom"/>
          </w:tcPr>
          <w:p>
            <w:pPr>
              <w:ind w:left="140"/>
              <w:spacing w:after="0" w:line="163" w:lineRule="exact"/>
              <w:rPr>
                <w:sz w:val="20"/>
                <w:szCs w:val="20"/>
                <w:color w:val="auto"/>
              </w:rPr>
            </w:pPr>
            <w:r>
              <w:rPr>
                <w:rFonts w:ascii="Arial" w:cs="Arial" w:eastAsia="Arial" w:hAnsi="Arial"/>
                <w:sz w:val="17"/>
                <w:szCs w:val="17"/>
                <w:color w:val="auto"/>
                <w:w w:val="99"/>
              </w:rPr>
              <w:t>Distributions from unconsolidated entities in excess of/(less than) adjusted equity</w:t>
            </w: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6220" w:type="dxa"/>
            <w:vAlign w:val="bottom"/>
          </w:tcPr>
          <w:p>
            <w:pPr>
              <w:ind w:left="140"/>
              <w:spacing w:after="0" w:line="228"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(5)</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40"/>
              <w:spacing w:after="0" w:line="229"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line="22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08"/>
        </w:trPr>
        <w:tc>
          <w:tcPr>
            <w:tcW w:w="6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0.2175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0.6150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tcPr>
          <w:p>
            <w:pPr>
              <w:spacing w:after="0"/>
              <w:rPr>
                <w:sz w:val="19"/>
                <w:szCs w:val="19"/>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2.53x</w:t>
            </w:r>
          </w:p>
        </w:tc>
        <w:tc>
          <w:tcPr>
            <w:tcW w:w="74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2.61x</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2.74x</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2.77x</w:t>
            </w:r>
          </w:p>
        </w:tc>
        <w:tc>
          <w:tcPr>
            <w:tcW w:w="0" w:type="dxa"/>
            <w:vAlign w:val="bottom"/>
          </w:tcPr>
          <w:p>
            <w:pPr>
              <w:spacing w:after="0"/>
              <w:rPr>
                <w:sz w:val="1"/>
                <w:szCs w:val="1"/>
                <w:color w:val="auto"/>
              </w:rPr>
            </w:pPr>
          </w:p>
        </w:tc>
      </w:tr>
      <w:tr>
        <w:trPr>
          <w:trHeight w:val="108"/>
        </w:trPr>
        <w:tc>
          <w:tcPr>
            <w:tcW w:w="6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4"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of unconsolidated entities.</w:t>
      </w:r>
    </w:p>
    <w:p>
      <w:pPr>
        <w:spacing w:after="0" w:line="33"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See the “Selected Items Impacting Comparability” table for additional information.</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Excludes certain non-cash items impacting interest expense such as amortization of debt issuance costs and terminated interest rate swaps.</w:t>
      </w:r>
    </w:p>
    <w:p>
      <w:pPr>
        <w:spacing w:after="0" w:line="47"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Investment capital expenditures attributable to noncontrolling interests that reduce Implied DCF available to PAA common unitholders.</w:t>
      </w:r>
    </w:p>
    <w:p>
      <w:pPr>
        <w:spacing w:after="0" w:line="34" w:lineRule="exact"/>
        <w:rPr>
          <w:rFonts w:ascii="Arial" w:cs="Arial" w:eastAsia="Arial" w:hAnsi="Arial"/>
          <w:sz w:val="17"/>
          <w:szCs w:val="17"/>
          <w:color w:val="auto"/>
          <w:vertAlign w:val="superscript"/>
        </w:rPr>
      </w:pPr>
    </w:p>
    <w:p>
      <w:pPr>
        <w:ind w:left="340" w:right="200" w:hanging="332"/>
        <w:spacing w:after="0" w:line="220" w:lineRule="auto"/>
        <w:tabs>
          <w:tab w:leader="none" w:pos="331"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ind w:left="320" w:hanging="312"/>
        <w:spacing w:after="0" w:line="232"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Cash distributions paid during the period presented.</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divided by the weighted average common units outstanding for the period.</w:t>
      </w:r>
    </w:p>
    <w:p>
      <w:pPr>
        <w:spacing w:after="0" w:line="47" w:lineRule="exact"/>
        <w:rPr>
          <w:rFonts w:ascii="Arial" w:cs="Arial" w:eastAsia="Arial" w:hAnsi="Arial"/>
          <w:sz w:val="17"/>
          <w:szCs w:val="17"/>
          <w:color w:val="auto"/>
          <w:vertAlign w:val="superscript"/>
        </w:rPr>
      </w:pPr>
    </w:p>
    <w:p>
      <w:pPr>
        <w:ind w:left="340" w:right="120" w:hanging="332"/>
        <w:spacing w:after="0" w:line="225" w:lineRule="auto"/>
        <w:tabs>
          <w:tab w:leader="none" w:pos="331"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165" w:lineRule="exact"/>
        <w:rPr>
          <w:rFonts w:ascii="Arial" w:cs="Arial" w:eastAsia="Arial" w:hAnsi="Arial"/>
          <w:sz w:val="17"/>
          <w:szCs w:val="17"/>
          <w:color w:val="auto"/>
          <w:vertAlign w:val="superscript"/>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6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3"/>
              </w:rPr>
              <w:t>(0.01)</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85"/>
              </w:rPr>
              <w:t>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85"/>
              </w:rPr>
              <w:t>1.51</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1.50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center"/>
              <w:ind w:left="193"/>
              <w:spacing w:after="0"/>
              <w:rPr>
                <w:sz w:val="20"/>
                <w:szCs w:val="20"/>
                <w:color w:val="auto"/>
              </w:rPr>
            </w:pPr>
            <w:r>
              <w:rPr>
                <w:rFonts w:ascii="Arial" w:cs="Arial" w:eastAsia="Arial" w:hAnsi="Arial"/>
                <w:sz w:val="18"/>
                <w:szCs w:val="18"/>
                <w:color w:val="auto"/>
                <w:w w:val="93"/>
              </w:rPr>
              <w:t>(0.01)</w:t>
            </w:r>
          </w:p>
        </w:tc>
      </w:tr>
      <w:tr>
        <w:trPr>
          <w:trHeight w:val="230"/>
        </w:trPr>
        <w:tc>
          <w:tcPr>
            <w:tcW w:w="612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93"/>
              <w:spacing w:after="0"/>
              <w:rPr>
                <w:sz w:val="20"/>
                <w:szCs w:val="20"/>
                <w:color w:val="auto"/>
              </w:rPr>
            </w:pPr>
            <w:r>
              <w:rPr>
                <w:rFonts w:ascii="Arial" w:cs="Arial" w:eastAsia="Arial" w:hAnsi="Arial"/>
                <w:sz w:val="18"/>
                <w:szCs w:val="18"/>
                <w:color w:val="auto"/>
                <w:w w:val="85"/>
              </w:rPr>
              <w:t>0.63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85"/>
              </w:rPr>
              <w:t>1.52</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85"/>
              </w:rPr>
              <w:t>1.51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88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21" w:lineRule="exact"/>
        <w:rPr>
          <w:sz w:val="20"/>
          <w:szCs w:val="20"/>
          <w:color w:val="auto"/>
        </w:rPr>
      </w:pPr>
    </w:p>
    <w:p>
      <w:pPr>
        <w:ind w:left="340" w:right="28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Income/(Loss) to calculate Implied DCF Available to Common Unitholders. See the “Net Income/(Loss) to Adjusted EBITDA attributable to PAA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698 million, 715 million, 702 million and 719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2021</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in)/provided by investing activities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1,830</w:t>
            </w:r>
          </w:p>
        </w:tc>
      </w:tr>
      <w:tr>
        <w:trPr>
          <w:trHeight w:val="230"/>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r>
      <w:tr>
        <w:trPr>
          <w:trHeight w:val="20"/>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3880" w:type="dxa"/>
            <w:vAlign w:val="bottom"/>
            <w:tcBorders>
              <w:bottom w:val="single" w:sz="8" w:color="auto"/>
            </w:tcBorders>
          </w:tcPr>
          <w:p>
            <w:pPr>
              <w:spacing w:after="0"/>
              <w:rPr>
                <w:sz w:val="19"/>
                <w:szCs w:val="19"/>
                <w:color w:val="auto"/>
              </w:rPr>
            </w:pPr>
          </w:p>
        </w:tc>
        <w:tc>
          <w:tcPr>
            <w:tcW w:w="2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21" w:lineRule="exact"/>
        <w:rPr>
          <w:sz w:val="20"/>
          <w:szCs w:val="20"/>
          <w:color w:val="auto"/>
        </w:rPr>
      </w:pPr>
    </w:p>
    <w:p>
      <w:pPr>
        <w:ind w:left="340" w:right="300" w:hanging="332"/>
        <w:spacing w:after="0" w:line="238" w:lineRule="auto"/>
        <w:tabs>
          <w:tab w:leader="none" w:pos="32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175"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8"/>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2021</w:t>
            </w:r>
          </w:p>
        </w:tc>
      </w:tr>
      <w:tr>
        <w:trPr>
          <w:trHeight w:val="216"/>
        </w:trPr>
        <w:tc>
          <w:tcPr>
            <w:tcW w:w="62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Gains/(losses) from derivative activities and inventory valuation adjustments </w:t>
            </w:r>
            <w:r>
              <w:rPr>
                <w:rFonts w:ascii="Arial" w:cs="Arial" w:eastAsia="Arial" w:hAnsi="Arial"/>
                <w:sz w:val="22"/>
                <w:szCs w:val="22"/>
                <w:color w:val="auto"/>
                <w:vertAlign w:val="superscript"/>
              </w:rPr>
              <w:t>(2)</w:t>
            </w:r>
          </w:p>
        </w:tc>
        <w:tc>
          <w:tcPr>
            <w:tcW w:w="740" w:type="dxa"/>
            <w:vAlign w:val="bottom"/>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9"/>
                <w:szCs w:val="19"/>
                <w:color w:val="auto"/>
              </w:rPr>
            </w:pPr>
          </w:p>
        </w:tc>
        <w:tc>
          <w:tcPr>
            <w:tcW w:w="740" w:type="dxa"/>
            <w:vAlign w:val="bottom"/>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9"/>
        </w:trPr>
        <w:tc>
          <w:tcPr>
            <w:tcW w:w="62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0"/>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9"/>
        </w:trPr>
        <w:tc>
          <w:tcPr>
            <w:tcW w:w="62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Net loss on foreign currency revaluation </w:t>
            </w:r>
            <w:r>
              <w:rPr>
                <w:rFonts w:ascii="Arial" w:cs="Arial" w:eastAsia="Arial" w:hAnsi="Arial"/>
                <w:sz w:val="22"/>
                <w:szCs w:val="22"/>
                <w:color w:val="auto"/>
                <w:vertAlign w:val="superscript"/>
              </w:rPr>
              <w:t>(6)</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9"/>
        </w:trPr>
        <w:tc>
          <w:tcPr>
            <w:tcW w:w="624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Significant transaction-related expenses </w:t>
            </w:r>
            <w:r>
              <w:rPr>
                <w:rFonts w:ascii="Arial" w:cs="Arial" w:eastAsia="Arial" w:hAnsi="Arial"/>
                <w:sz w:val="22"/>
                <w:szCs w:val="22"/>
                <w:color w:val="auto"/>
                <w:vertAlign w:val="superscript"/>
              </w:rPr>
              <w:t>(8)</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2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740" w:type="dxa"/>
            <w:vAlign w:val="bottom"/>
            <w:tcBorders>
              <w:top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Gains from derivative activities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on investment in unconsolidated entities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29"/>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0"/>
        </w:trPr>
        <w:tc>
          <w:tcPr>
            <w:tcW w:w="624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2"/>
                <w:szCs w:val="22"/>
                <w:color w:val="auto"/>
                <w:vertAlign w:val="superscript"/>
              </w:rPr>
              <w:t>(9)</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6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w w:val="99"/>
              </w:rPr>
              <w:t>Selected items impacting comparability - Adjusted net income attributable to PAA</w:t>
            </w:r>
          </w:p>
        </w:tc>
        <w:tc>
          <w:tcPr>
            <w:tcW w:w="740" w:type="dxa"/>
            <w:vAlign w:val="bottom"/>
            <w:tcBorders>
              <w:top w:val="single" w:sz="8" w:color="auto"/>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43" w:lineRule="exact"/>
        <w:rPr>
          <w:sz w:val="20"/>
          <w:szCs w:val="20"/>
          <w:color w:val="auto"/>
        </w:rPr>
      </w:pPr>
    </w:p>
    <w:p>
      <w:pPr>
        <w:ind w:left="340" w:right="100" w:hanging="332"/>
        <w:spacing w:after="0" w:line="248" w:lineRule="auto"/>
        <w:tabs>
          <w:tab w:leader="none" w:pos="331"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 See the “Net Income/(Loss)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18" w:lineRule="exact"/>
        <w:rPr>
          <w:rFonts w:ascii="Arial" w:cs="Arial" w:eastAsia="Arial" w:hAnsi="Arial"/>
          <w:sz w:val="16"/>
          <w:szCs w:val="16"/>
          <w:color w:val="auto"/>
          <w:vertAlign w:val="superscript"/>
        </w:rPr>
      </w:pPr>
    </w:p>
    <w:p>
      <w:pPr>
        <w:ind w:left="340" w:right="120" w:hanging="332"/>
        <w:spacing w:after="0" w:line="265" w:lineRule="auto"/>
        <w:tabs>
          <w:tab w:leader="none" w:pos="331"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10" w:lineRule="exact"/>
        <w:rPr>
          <w:rFonts w:ascii="Arial" w:cs="Arial" w:eastAsia="Arial" w:hAnsi="Arial"/>
          <w:sz w:val="16"/>
          <w:szCs w:val="16"/>
          <w:color w:val="auto"/>
          <w:vertAlign w:val="superscript"/>
        </w:rPr>
      </w:pPr>
    </w:p>
    <w:p>
      <w:pPr>
        <w:ind w:left="340" w:right="100" w:hanging="332"/>
        <w:spacing w:after="0" w:line="237" w:lineRule="auto"/>
        <w:tabs>
          <w:tab w:leader="none" w:pos="331"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5" w:lineRule="exact"/>
        <w:rPr>
          <w:rFonts w:ascii="Arial" w:cs="Arial" w:eastAsia="Arial" w:hAnsi="Arial"/>
          <w:sz w:val="17"/>
          <w:szCs w:val="17"/>
          <w:color w:val="auto"/>
          <w:vertAlign w:val="superscript"/>
        </w:rPr>
      </w:pPr>
    </w:p>
    <w:p>
      <w:pPr>
        <w:ind w:left="340" w:right="100" w:hanging="332"/>
        <w:spacing w:after="0" w:line="268" w:lineRule="auto"/>
        <w:tabs>
          <w:tab w:leader="none" w:pos="331"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1" w:lineRule="exact"/>
        <w:rPr>
          <w:rFonts w:ascii="Arial" w:cs="Arial" w:eastAsia="Arial" w:hAnsi="Arial"/>
          <w:sz w:val="16"/>
          <w:szCs w:val="16"/>
          <w:color w:val="auto"/>
          <w:vertAlign w:val="superscript"/>
        </w:rPr>
      </w:pPr>
    </w:p>
    <w:p>
      <w:pPr>
        <w:ind w:left="340" w:right="20" w:hanging="332"/>
        <w:spacing w:after="0" w:line="237" w:lineRule="auto"/>
        <w:tabs>
          <w:tab w:leader="none" w:pos="331"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9" w:lineRule="exact"/>
        <w:rPr>
          <w:rFonts w:ascii="Arial" w:cs="Arial" w:eastAsia="Arial" w:hAnsi="Arial"/>
          <w:sz w:val="17"/>
          <w:szCs w:val="17"/>
          <w:color w:val="auto"/>
          <w:vertAlign w:val="superscript"/>
        </w:rPr>
      </w:pPr>
    </w:p>
    <w:p>
      <w:pPr>
        <w:ind w:left="340" w:right="180" w:hanging="332"/>
        <w:spacing w:after="0" w:line="230" w:lineRule="auto"/>
        <w:tabs>
          <w:tab w:leader="none" w:pos="331"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7"/>
          <w:szCs w:val="17"/>
          <w:color w:val="auto"/>
          <w:vertAlign w:val="superscript"/>
        </w:rPr>
      </w:pPr>
    </w:p>
    <w:p>
      <w:pPr>
        <w:ind w:left="320" w:hanging="312"/>
        <w:spacing w:after="0" w:line="232" w:lineRule="auto"/>
        <w:tabs>
          <w:tab w:leader="none" w:pos="3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7"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Permian Basin joint venture transaction announced in July 2021.</w:t>
      </w:r>
    </w:p>
    <w:p>
      <w:pPr>
        <w:spacing w:after="0" w:line="34" w:lineRule="exact"/>
        <w:rPr>
          <w:rFonts w:ascii="Arial" w:cs="Arial" w:eastAsia="Arial" w:hAnsi="Arial"/>
          <w:sz w:val="17"/>
          <w:szCs w:val="17"/>
          <w:color w:val="auto"/>
          <w:vertAlign w:val="superscript"/>
        </w:rPr>
      </w:pPr>
    </w:p>
    <w:p>
      <w:pPr>
        <w:ind w:left="320" w:hanging="312"/>
        <w:spacing w:after="0" w:line="190" w:lineRule="auto"/>
        <w:tabs>
          <w:tab w:leader="none" w:pos="3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other immaterial selected items impacting comparability, as well as the noncontrolling interests’ portion of selected items.</w:t>
      </w:r>
    </w:p>
    <w:p>
      <w:pPr>
        <w:spacing w:after="0" w:line="163" w:lineRule="exact"/>
        <w:rPr>
          <w:rFonts w:ascii="Arial" w:cs="Arial" w:eastAsia="Arial" w:hAnsi="Arial"/>
          <w:sz w:val="17"/>
          <w:szCs w:val="17"/>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7"/>
                <w:szCs w:val="17"/>
                <w:color w:val="auto"/>
              </w:rPr>
            </w:pPr>
          </w:p>
        </w:tc>
        <w:tc>
          <w:tcPr>
            <w:tcW w:w="226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 2021</w:t>
            </w:r>
          </w:p>
        </w:tc>
      </w:tr>
      <w:tr>
        <w:trPr>
          <w:trHeight w:val="200"/>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4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9"/>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156"/>
        </w:trPr>
        <w:tc>
          <w:tcPr>
            <w:tcW w:w="388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and Red River Pipeline LLC.</w:t>
      </w:r>
    </w:p>
    <w:p>
      <w:pPr>
        <w:spacing w:after="0" w:line="55"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6"/>
          </w:tcPr>
          <w:p>
            <w:pPr>
              <w:ind w:left="44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7"/>
                <w:szCs w:val="17"/>
                <w:color w:val="auto"/>
              </w:rPr>
            </w:pPr>
          </w:p>
        </w:tc>
        <w:tc>
          <w:tcPr>
            <w:tcW w:w="22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September 30, 2021</w:t>
            </w:r>
          </w:p>
        </w:tc>
      </w:tr>
      <w:tr>
        <w:trPr>
          <w:trHeight w:val="200"/>
        </w:trPr>
        <w:tc>
          <w:tcPr>
            <w:tcW w:w="38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NGL</w:t>
            </w:r>
          </w:p>
        </w:tc>
        <w:tc>
          <w:tcPr>
            <w:tcW w:w="22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5"/>
        </w:trPr>
        <w:tc>
          <w:tcPr>
            <w:tcW w:w="6120" w:type="dxa"/>
            <w:vAlign w:val="bottom"/>
            <w:tcBorders>
              <w:top w:val="single" w:sz="8" w:color="CCEEFF"/>
            </w:tcBorders>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(Gains)/losses from 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2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20"/>
          </w:cols>
          <w:pgMar w:left="320" w:top="368" w:right="339" w:bottom="1440" w:gutter="0" w:footer="0" w:header="0"/>
          <w:type w:val="continuous"/>
        </w:sectPr>
      </w:pPr>
    </w:p>
    <w:p>
      <w:pPr>
        <w:ind w:left="340" w:right="100" w:hanging="332"/>
        <w:spacing w:after="0" w:line="267"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(beginning October 2021) and Red River Pipeline LLC.</w:t>
      </w:r>
    </w:p>
    <w:p>
      <w:pPr>
        <w:spacing w:after="0" w:line="55" w:lineRule="exact"/>
        <w:rPr>
          <w:rFonts w:ascii="Arial" w:cs="Arial" w:eastAsia="Arial" w:hAnsi="Arial"/>
          <w:sz w:val="23"/>
          <w:szCs w:val="23"/>
          <w:color w:val="auto"/>
          <w:vertAlign w:val="superscript"/>
        </w:rPr>
      </w:pPr>
    </w:p>
    <w:p>
      <w:pPr>
        <w:ind w:left="340" w:right="120" w:hanging="332"/>
        <w:spacing w:after="0" w:line="233"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Permian JV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38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622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56"/>
        </w:trPr>
        <w:tc>
          <w:tcPr>
            <w:tcW w:w="6220" w:type="dxa"/>
            <w:vAlign w:val="bottom"/>
            <w:gridSpan w:val="2"/>
          </w:tcPr>
          <w:p>
            <w:pPr>
              <w:ind w:left="140"/>
              <w:spacing w:after="0" w:line="156" w:lineRule="exact"/>
              <w:rPr>
                <w:sz w:val="20"/>
                <w:szCs w:val="20"/>
                <w:color w:val="auto"/>
              </w:rPr>
            </w:pPr>
            <w:r>
              <w:rPr>
                <w:rFonts w:ascii="Arial" w:cs="Arial" w:eastAsia="Arial" w:hAnsi="Arial"/>
                <w:sz w:val="18"/>
                <w:szCs w:val="18"/>
                <w:color w:val="auto"/>
                <w:w w:val="92"/>
              </w:rPr>
              <w:t>Crude oil pipeline tariff volumes (average volumes in thousands of barrels per day)</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80" w:type="dxa"/>
            <w:vAlign w:val="bottom"/>
          </w:tcPr>
          <w:p>
            <w:pPr>
              <w:ind w:left="140"/>
              <w:spacing w:after="0" w:line="122" w:lineRule="exact"/>
              <w:rPr>
                <w:sz w:val="20"/>
                <w:szCs w:val="20"/>
                <w:color w:val="auto"/>
              </w:rPr>
            </w:pPr>
            <w:r>
              <w:rPr>
                <w:rFonts w:ascii="Arial" w:cs="Arial" w:eastAsia="Arial" w:hAnsi="Arial"/>
                <w:sz w:val="12"/>
                <w:szCs w:val="12"/>
                <w:color w:val="auto"/>
              </w:rPr>
              <w:t>(1) (2)</w:t>
            </w:r>
          </w:p>
        </w:tc>
        <w:tc>
          <w:tcPr>
            <w:tcW w:w="2340" w:type="dxa"/>
            <w:vAlign w:val="bottom"/>
          </w:tcPr>
          <w:p>
            <w:pPr>
              <w:spacing w:after="0"/>
              <w:rPr>
                <w:sz w:val="10"/>
                <w:szCs w:val="10"/>
                <w:color w:val="auto"/>
              </w:rPr>
            </w:pPr>
          </w:p>
        </w:tc>
        <w:tc>
          <w:tcPr>
            <w:tcW w:w="118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7,581</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6,162</w:t>
            </w:r>
          </w:p>
        </w:tc>
        <w:tc>
          <w:tcPr>
            <w:tcW w:w="100" w:type="dxa"/>
            <w:vAlign w:val="bottom"/>
          </w:tcPr>
          <w:p>
            <w:pPr>
              <w:spacing w:after="0"/>
              <w:rPr>
                <w:sz w:val="10"/>
                <w:szCs w:val="10"/>
                <w:color w:val="auto"/>
              </w:rPr>
            </w:pPr>
          </w:p>
        </w:tc>
        <w:tc>
          <w:tcPr>
            <w:tcW w:w="118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7,387</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54"/>
        </w:trPr>
        <w:tc>
          <w:tcPr>
            <w:tcW w:w="38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2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6"/>
              </w:rPr>
              <w:t>Commercial crude oil storage capacity (average monthly volumes in millions of</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(2) (3)</w:t>
            </w: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2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2"/>
              </w:rPr>
              <w:t>Crude oil lease gathering purchases (average volumes in thousands of barrels per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 xml:space="preserve">day)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20"/>
              <w:spacing w:after="0"/>
              <w:rPr>
                <w:sz w:val="20"/>
                <w:szCs w:val="20"/>
                <w:color w:val="auto"/>
              </w:rPr>
            </w:pPr>
            <w:r>
              <w:rPr>
                <w:rFonts w:ascii="Arial" w:cs="Arial" w:eastAsia="Arial" w:hAnsi="Arial"/>
                <w:sz w:val="18"/>
                <w:szCs w:val="18"/>
                <w:b w:val="1"/>
                <w:bCs w:val="1"/>
                <w:color w:val="auto"/>
              </w:rPr>
              <w:t>NGL Segment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fractionation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6220" w:type="dxa"/>
            <w:vAlign w:val="bottom"/>
            <w:gridSpan w:val="2"/>
          </w:tcPr>
          <w:p>
            <w:pPr>
              <w:ind w:left="180"/>
              <w:spacing w:after="0" w:line="230" w:lineRule="exact"/>
              <w:rPr>
                <w:sz w:val="20"/>
                <w:szCs w:val="20"/>
                <w:color w:val="auto"/>
              </w:rPr>
            </w:pPr>
            <w:r>
              <w:rPr>
                <w:rFonts w:ascii="Arial" w:cs="Arial" w:eastAsia="Arial" w:hAnsi="Arial"/>
                <w:sz w:val="18"/>
                <w:szCs w:val="18"/>
                <w:color w:val="auto"/>
                <w:w w:val="93"/>
              </w:rPr>
              <w:t xml:space="preserve">NGL pipeline tariff volumes (average volumes in thousands of barrels per day) </w:t>
            </w:r>
            <w:r>
              <w:rPr>
                <w:rFonts w:ascii="Arial" w:cs="Arial" w:eastAsia="Arial" w:hAnsi="Arial"/>
                <w:sz w:val="23"/>
                <w:szCs w:val="23"/>
                <w:color w:val="auto"/>
                <w:w w:val="93"/>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sales (average volumes in thousands of barrels per day) </w:t>
            </w:r>
            <w:r>
              <w:rPr>
                <w:rFonts w:ascii="Arial" w:cs="Arial" w:eastAsia="Arial" w:hAnsi="Arial"/>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22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Average daily volumes calculated as the total volumes (attributable to our interest for assets owned by unconsolidated entities or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assets owned by unconsolidated entities.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2021</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Crude Oil 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Segment Adjusted EBITDA</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29"/>
        </w:trPr>
        <w:tc>
          <w:tcPr>
            <w:tcW w:w="61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140" w:type="dxa"/>
            <w:vAlign w:val="bottom"/>
            <w:tcBorders>
              <w:bottom w:val="single" w:sz="8" w:color="CCEEFF"/>
            </w:tcBorders>
            <w:gridSpan w:val="2"/>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21" w:lineRule="exact"/>
        <w:rPr>
          <w:sz w:val="20"/>
          <w:szCs w:val="20"/>
          <w:color w:val="auto"/>
        </w:rPr>
      </w:pPr>
    </w:p>
    <w:p>
      <w:pPr>
        <w:ind w:left="340" w:right="60" w:hanging="332"/>
        <w:spacing w:after="0" w:line="273"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Represents “Other income/(expense), net” as reported on our Condensed Consolidated Statements of Operations, adjusted for selected items impacting comparability of $83 million and $11 million for the three months ended September 30, 2022 and 2021, respectively and $239 million and $(12) million for the nine months ended September 30, 2022 and 2021, respectively. See the “Selected Items Impacting Comparability” table for additional information. Adjusted other income/(expense), net attributable to noncontrolling interests is less than $1 million for each of the periods presented.</w:t>
      </w:r>
    </w:p>
    <w:p>
      <w:pPr>
        <w:ind w:left="320" w:hanging="312"/>
        <w:spacing w:after="0"/>
        <w:tabs>
          <w:tab w:leader="none" w:pos="32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See the “Net Income/(Loss) to Adjusted EBITDA attributable to PAA and Implied DCF Reconciliation” table for reconciliation to Net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4"/>
                <w:szCs w:val="14"/>
                <w:b w:val="1"/>
                <w:bCs w:val="1"/>
                <w:color w:val="auto"/>
                <w:w w:val="91"/>
              </w:rPr>
              <w:t>September 30, 2022</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91"/>
              </w:rPr>
              <w:t>September 30, 2021</w:t>
            </w:r>
          </w:p>
        </w:tc>
      </w:tr>
      <w:tr>
        <w:trPr>
          <w:trHeight w:val="200"/>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Pr>
          <w:p>
            <w:pPr>
              <w:spacing w:after="0"/>
              <w:rPr>
                <w:sz w:val="17"/>
                <w:szCs w:val="17"/>
                <w:color w:val="auto"/>
              </w:rPr>
            </w:pPr>
          </w:p>
        </w:tc>
        <w:tc>
          <w:tcPr>
            <w:tcW w:w="920" w:type="dxa"/>
            <w:vAlign w:val="bottom"/>
          </w:tcPr>
          <w:p>
            <w:pPr>
              <w:jc w:val="right"/>
              <w:ind w:right="337"/>
              <w:spacing w:after="0"/>
              <w:rPr>
                <w:sz w:val="20"/>
                <w:szCs w:val="20"/>
                <w:color w:val="auto"/>
              </w:rPr>
            </w:pPr>
            <w:r>
              <w:rPr>
                <w:rFonts w:ascii="Arial" w:cs="Arial" w:eastAsia="Arial" w:hAnsi="Arial"/>
                <w:sz w:val="15"/>
                <w:szCs w:val="15"/>
                <w:b w:val="1"/>
                <w:bCs w:val="1"/>
                <w:color w:val="auto"/>
              </w:rPr>
              <w:t>NGL</w:t>
            </w:r>
          </w:p>
        </w:tc>
      </w:tr>
      <w:tr>
        <w:trPr>
          <w:trHeight w:val="225"/>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29"/>
        </w:trPr>
        <w:tc>
          <w:tcPr>
            <w:tcW w:w="61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716"/>
        </w:trPr>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3"/>
          </w:tcPr>
          <w:p>
            <w:pPr>
              <w:jc w:val="center"/>
              <w:ind w:left="101"/>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3"/>
              </w:rPr>
              <w:t>Nine Months Ended</w:t>
            </w:r>
          </w:p>
        </w:tc>
      </w:tr>
      <w:tr>
        <w:trPr>
          <w:trHeight w:val="196"/>
        </w:trPr>
        <w:tc>
          <w:tcPr>
            <w:tcW w:w="6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4"/>
                <w:szCs w:val="14"/>
                <w:b w:val="1"/>
                <w:bCs w:val="1"/>
                <w:color w:val="auto"/>
                <w:w w:val="91"/>
              </w:rPr>
              <w:t>September 30, 2022</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w w:val="91"/>
              </w:rPr>
              <w:t>September 30, 2021</w:t>
            </w:r>
          </w:p>
        </w:tc>
      </w:tr>
      <w:tr>
        <w:trPr>
          <w:trHeight w:val="200"/>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b w:val="1"/>
                <w:bCs w:val="1"/>
                <w:color w:val="auto"/>
              </w:rPr>
              <w:t>Crude Oil</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NGL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5"/>
                <w:szCs w:val="15"/>
                <w:b w:val="1"/>
                <w:bCs w:val="1"/>
                <w:color w:val="auto"/>
              </w:rPr>
              <w:t>Crude Oil</w:t>
            </w:r>
          </w:p>
        </w:tc>
        <w:tc>
          <w:tcPr>
            <w:tcW w:w="260" w:type="dxa"/>
            <w:vAlign w:val="bottom"/>
          </w:tcPr>
          <w:p>
            <w:pPr>
              <w:spacing w:after="0"/>
              <w:rPr>
                <w:sz w:val="17"/>
                <w:szCs w:val="17"/>
                <w:color w:val="auto"/>
              </w:rPr>
            </w:pPr>
          </w:p>
        </w:tc>
        <w:tc>
          <w:tcPr>
            <w:tcW w:w="920" w:type="dxa"/>
            <w:vAlign w:val="bottom"/>
          </w:tcPr>
          <w:p>
            <w:pPr>
              <w:jc w:val="right"/>
              <w:ind w:right="337"/>
              <w:spacing w:after="0"/>
              <w:rPr>
                <w:sz w:val="20"/>
                <w:szCs w:val="20"/>
                <w:color w:val="auto"/>
              </w:rPr>
            </w:pPr>
            <w:r>
              <w:rPr>
                <w:rFonts w:ascii="Arial" w:cs="Arial" w:eastAsia="Arial" w:hAnsi="Arial"/>
                <w:sz w:val="15"/>
                <w:szCs w:val="15"/>
                <w:b w:val="1"/>
                <w:bCs w:val="1"/>
                <w:color w:val="auto"/>
              </w:rPr>
              <w:t>NGL</w:t>
            </w:r>
          </w:p>
        </w:tc>
      </w:tr>
      <w:tr>
        <w:trPr>
          <w:trHeight w:val="225"/>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1,482</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29"/>
        </w:trPr>
        <w:tc>
          <w:tcPr>
            <w:tcW w:w="61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5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 further adjusted for impact of divested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367</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340" w:right="100" w:hanging="332"/>
        <w:spacing w:after="0" w:line="213" w:lineRule="auto"/>
        <w:tabs>
          <w:tab w:leader="none" w:pos="328" w:val="left"/>
        </w:tabs>
        <w:numPr>
          <w:ilvl w:val="0"/>
          <w:numId w:val="19"/>
        </w:numPr>
        <w:rPr>
          <w:rFonts w:ascii="Arial" w:cs="Arial" w:eastAsia="Arial" w:hAnsi="Arial"/>
          <w:sz w:val="26"/>
          <w:szCs w:val="26"/>
          <w:color w:val="auto"/>
          <w:vertAlign w:val="superscript"/>
        </w:rPr>
      </w:pPr>
      <w:r>
        <w:rPr>
          <w:rFonts w:ascii="Arial" w:cs="Arial" w:eastAsia="Arial" w:hAnsi="Arial"/>
          <w:sz w:val="18"/>
          <w:szCs w:val="18"/>
          <w:color w:val="auto"/>
        </w:rPr>
        <w:t>Estimated impact of divestitures completed during 2021, assuming an effective date of January 1, 2021. Divested assets primarily included natural gas storage facilities previously included in our Crude Oil segment. Note: The natural gas storage business captured one-time benefits from Winter Storm Uri in the first quarter 2021.</w:t>
      </w:r>
    </w:p>
    <w:p>
      <w:pPr>
        <w:spacing w:after="0" w:line="163" w:lineRule="exact"/>
        <w:rPr>
          <w:rFonts w:ascii="Arial" w:cs="Arial" w:eastAsia="Arial" w:hAnsi="Arial"/>
          <w:sz w:val="26"/>
          <w:szCs w:val="26"/>
          <w:color w:val="auto"/>
          <w:vertAlign w:val="superscript"/>
        </w:rPr>
      </w:pP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7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INCOME/(LOSS) ATTRIBUTABLE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 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00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September 30, 2022</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2021</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41,181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26,743</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43,060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43,066</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Gain on investment in unconsolidated entities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5"/>
        </w:trPr>
        <w:tc>
          <w:tcPr>
            <w:tcW w:w="3360" w:type="dxa"/>
            <w:vAlign w:val="bottom"/>
          </w:tcPr>
          <w:p>
            <w:pPr>
              <w:ind w:left="18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INCOME/(LOSS) ATTRIBUTABLE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vMerge w:val="restart"/>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6"/>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 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gridSpan w:val="8"/>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BASIC AND DILUTED WEIGHTED AVERAGE CLASS A SHARES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000" w:type="dxa"/>
            <w:vAlign w:val="bottom"/>
            <w:tcBorders>
              <w:bottom w:val="single" w:sz="8" w:color="CCEEFF"/>
            </w:tcBorders>
            <w:gridSpan w:val="8"/>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2022</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0"/>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3,805</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48"/>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28,788</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6,234</w:t>
            </w: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15,801</w:t>
            </w:r>
          </w:p>
        </w:tc>
      </w:tr>
      <w:tr>
        <w:trPr>
          <w:trHeight w:val="270"/>
        </w:trPr>
        <w:tc>
          <w:tcPr>
            <w:tcW w:w="3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12,563</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12,644</w:t>
            </w:r>
          </w:p>
        </w:tc>
      </w:tr>
      <w:tr>
        <w:trPr>
          <w:trHeight w:val="22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w:t>
            </w:r>
          </w:p>
        </w:tc>
      </w:tr>
      <w:tr>
        <w:trPr>
          <w:trHeight w:val="263"/>
        </w:trPr>
        <w:tc>
          <w:tcPr>
            <w:tcW w:w="334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27,457</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CLASS A SHARE</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8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6"/>
              </w:rPr>
              <w:t>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r>
      <w:tr>
        <w:trPr>
          <w:trHeight w:val="21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Class A Share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Net income/(loss) attributable to PAGP</w:t>
            </w:r>
          </w:p>
        </w:tc>
        <w:tc>
          <w:tcPr>
            <w:tcW w:w="820" w:type="dxa"/>
            <w:vAlign w:val="bottom"/>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38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54"/>
        </w:trPr>
        <w:tc>
          <w:tcPr>
            <w:tcW w:w="6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Class A share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88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77" w:lineRule="exact"/>
        <w:rPr>
          <w:sz w:val="20"/>
          <w:szCs w:val="20"/>
          <w:color w:val="auto"/>
        </w:rPr>
      </w:pPr>
    </w:p>
    <w:p>
      <w:pPr>
        <w:ind w:left="340" w:right="180" w:hanging="332"/>
        <w:spacing w:after="0" w:line="224" w:lineRule="auto"/>
        <w:tabs>
          <w:tab w:leader="none" w:pos="334"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For each of the three and nine months ended September 30, 2022 and 2021, the possible exchange of AAP units and AAP Management units would not have had a dilutive effect on basic net income/(loss) per Class A share.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0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120" w:hanging="328"/>
        <w:spacing w:after="0" w:line="264"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5" w:lineRule="exact"/>
        <w:rPr>
          <w:rFonts w:ascii="Arial" w:cs="Arial" w:eastAsia="Arial" w:hAnsi="Arial"/>
          <w:sz w:val="21"/>
          <w:szCs w:val="21"/>
          <w:color w:val="auto"/>
        </w:rPr>
      </w:pPr>
    </w:p>
    <w:p>
      <w:pPr>
        <w:ind w:left="660" w:right="120" w:hanging="328"/>
        <w:spacing w:after="0" w:line="261"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the COVID-19 pandemic, future pandemics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19" w:lineRule="exact"/>
        <w:rPr>
          <w:rFonts w:ascii="Arial" w:cs="Arial" w:eastAsia="Arial" w:hAnsi="Arial"/>
          <w:sz w:val="21"/>
          <w:szCs w:val="21"/>
          <w:color w:val="auto"/>
        </w:rPr>
      </w:pPr>
    </w:p>
    <w:p>
      <w:pPr>
        <w:ind w:left="660" w:right="30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34" w:lineRule="exact"/>
        <w:rPr>
          <w:rFonts w:ascii="Arial" w:cs="Arial" w:eastAsia="Arial" w:hAnsi="Arial"/>
          <w:sz w:val="22"/>
          <w:szCs w:val="22"/>
          <w:color w:val="auto"/>
        </w:rPr>
      </w:pPr>
    </w:p>
    <w:p>
      <w:pPr>
        <w:ind w:left="660" w:right="120" w:hanging="328"/>
        <w:spacing w:after="0" w:line="23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35" w:lineRule="exact"/>
        <w:rPr>
          <w:rFonts w:ascii="Arial" w:cs="Arial" w:eastAsia="Arial" w:hAnsi="Arial"/>
          <w:sz w:val="22"/>
          <w:szCs w:val="22"/>
          <w:color w:val="auto"/>
        </w:rPr>
      </w:pPr>
    </w:p>
    <w:p>
      <w:pPr>
        <w:ind w:left="660" w:right="180" w:hanging="328"/>
        <w:spacing w:after="0" w:line="251" w:lineRule="auto"/>
        <w:tabs>
          <w:tab w:leader="none" w:pos="655" w:val="left"/>
        </w:tabs>
        <w:numPr>
          <w:ilvl w:val="0"/>
          <w:numId w:val="24"/>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82" w:lineRule="exact"/>
        <w:rPr>
          <w:sz w:val="20"/>
          <w:szCs w:val="20"/>
          <w:color w:val="auto"/>
        </w:rPr>
      </w:pPr>
    </w:p>
    <w:p>
      <w:pPr>
        <w:ind w:left="660" w:right="6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93"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71" w:lineRule="exact"/>
        <w:rPr>
          <w:rFonts w:ascii="Arial" w:cs="Arial" w:eastAsia="Arial" w:hAnsi="Arial"/>
          <w:sz w:val="19"/>
          <w:szCs w:val="19"/>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loss of key personnel and inability to attract and retain new talent;</w:t>
      </w:r>
    </w:p>
    <w:p>
      <w:pPr>
        <w:spacing w:after="0" w:line="134" w:lineRule="exact"/>
        <w:rPr>
          <w:rFonts w:ascii="Arial" w:cs="Arial" w:eastAsia="Arial" w:hAnsi="Arial"/>
          <w:sz w:val="22"/>
          <w:szCs w:val="22"/>
          <w:color w:val="auto"/>
        </w:rPr>
      </w:pPr>
    </w:p>
    <w:p>
      <w:pPr>
        <w:ind w:left="660" w:right="54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47" w:lineRule="exact"/>
        <w:rPr>
          <w:rFonts w:ascii="Arial" w:cs="Arial" w:eastAsia="Arial" w:hAnsi="Arial"/>
          <w:sz w:val="22"/>
          <w:szCs w:val="22"/>
          <w:color w:val="auto"/>
        </w:rPr>
      </w:pPr>
    </w:p>
    <w:p>
      <w:pPr>
        <w:ind w:left="660" w:right="60" w:hanging="328"/>
        <w:spacing w:after="0" w:line="297"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82" w:lineRule="exact"/>
        <w:rPr>
          <w:rFonts w:ascii="Arial" w:cs="Arial" w:eastAsia="Arial" w:hAnsi="Arial"/>
          <w:sz w:val="19"/>
          <w:szCs w:val="19"/>
          <w:color w:val="auto"/>
        </w:rPr>
      </w:pPr>
    </w:p>
    <w:p>
      <w:pPr>
        <w:ind w:left="660" w:right="10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34" w:lineRule="exact"/>
        <w:rPr>
          <w:rFonts w:ascii="Arial" w:cs="Arial" w:eastAsia="Arial" w:hAnsi="Arial"/>
          <w:sz w:val="22"/>
          <w:szCs w:val="22"/>
          <w:color w:val="auto"/>
        </w:rPr>
      </w:pPr>
    </w:p>
    <w:p>
      <w:pPr>
        <w:ind w:left="660" w:right="40" w:hanging="328"/>
        <w:spacing w:after="0" w:line="284"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ind w:left="660" w:right="200" w:hanging="328"/>
        <w:spacing w:after="0" w:line="238"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47" w:lineRule="exact"/>
        <w:rPr>
          <w:rFonts w:ascii="Arial" w:cs="Arial" w:eastAsia="Arial" w:hAnsi="Arial"/>
          <w:sz w:val="22"/>
          <w:szCs w:val="22"/>
          <w:color w:val="auto"/>
        </w:rPr>
      </w:pPr>
    </w:p>
    <w:p>
      <w:pPr>
        <w:ind w:left="660" w:right="380" w:hanging="328"/>
        <w:spacing w:after="0" w:line="232"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82" w:lineRule="exact"/>
        <w:rPr>
          <w:sz w:val="20"/>
          <w:szCs w:val="20"/>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3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500" w:hanging="328"/>
        <w:spacing w:after="0" w:line="238"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27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32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80"/>
      </w:cols>
      <w:pgMar w:left="320" w:top="3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04"/>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
      <w:numFmt w:val="bullet"/>
      <w:start w:val="1"/>
    </w:lvl>
  </w:abstractNum>
  <w:abstractNum w:abstractNumId="10">
    <w:nsid w:val="3F2DBA31"/>
    <w:multiLevelType w:val="hybridMultilevel"/>
    <w:lvl w:ilvl="0">
      <w:lvlJc w:val="left"/>
      <w:lvlText w:val="(%1)"/>
      <w:numFmt w:val="decimal"/>
      <w:start w:val="1"/>
    </w:lvl>
    <w:lvl w:ilvl="1">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lvl w:ilvl="1">
      <w:lvlJc w:val="left"/>
      <w:lvlText w:val="-"/>
      <w:numFmt w:val="bullet"/>
      <w:start w:val="1"/>
    </w:lvl>
  </w:abstractNum>
  <w:abstractNum w:abstractNumId="13">
    <w:nsid w:val="62BBD95A"/>
    <w:multiLevelType w:val="hybridMultilevel"/>
    <w:lvl w:ilvl="0">
      <w:lvlJc w:val="left"/>
      <w:lvlText w:val="(%1)"/>
      <w:numFmt w:val="decimal"/>
      <w:start w:val="1"/>
    </w:lvl>
    <w:lvl w:ilvl="1">
      <w:lvlJc w:val="left"/>
      <w:lvlText w:val="-"/>
      <w:numFmt w:val="bullet"/>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lvl w:ilvl="1">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2022-11-02T16:42:47Z</dcterms:created>
  <dcterms:modified xsi:type="dcterms:W3CDTF">2022-11-02T16:42:47Z</dcterms:modified>
</cp:coreProperties>
</file>