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173355</wp:posOffset>
            </wp:positionH>
            <wp:positionV relativeFrom="page">
              <wp:posOffset>664210</wp:posOffset>
            </wp:positionV>
            <wp:extent cx="7196455" cy="107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107950"/>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 w:lineRule="exact"/>
        <w:rPr>
          <w:sz w:val="24"/>
          <w:szCs w:val="24"/>
          <w:color w:val="auto"/>
        </w:rPr>
      </w:pPr>
    </w:p>
    <w:p>
      <w:pPr>
        <w:jc w:val="center"/>
        <w:ind w:left="3400" w:right="640" w:hanging="3400"/>
        <w:spacing w:after="0" w:line="277" w:lineRule="auto"/>
        <w:tabs>
          <w:tab w:leader="none" w:pos="341" w:val="left"/>
        </w:tabs>
        <w:numPr>
          <w:ilvl w:val="0"/>
          <w:numId w:val="1"/>
        </w:numPr>
        <w:rPr>
          <w:rFonts w:ascii="Arial" w:cs="Arial" w:eastAsia="Arial" w:hAnsi="Arial"/>
          <w:sz w:val="19"/>
          <w:szCs w:val="19"/>
          <w:b w:val="1"/>
          <w:bCs w:val="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 For the fiscal year ended December 31, 2022</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110" w:lineRule="exact"/>
        <w:rPr>
          <w:sz w:val="24"/>
          <w:szCs w:val="24"/>
          <w:color w:val="auto"/>
        </w:rPr>
      </w:pPr>
    </w:p>
    <w:p>
      <w:pPr>
        <w:ind w:left="340" w:hanging="340"/>
        <w:spacing w:after="0"/>
        <w:tabs>
          <w:tab w:leader="none" w:pos="340" w:val="left"/>
        </w:tabs>
        <w:numPr>
          <w:ilvl w:val="0"/>
          <w:numId w:val="2"/>
        </w:numPr>
        <w:rPr>
          <w:rFonts w:ascii="Arial" w:cs="Arial" w:eastAsia="Arial" w:hAnsi="Arial"/>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1-14569</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PLAINS ALL AMERICAN PIPELINE, L.P.</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70" w:lineRule="exact"/>
        <w:rPr>
          <w:sz w:val="24"/>
          <w:szCs w:val="24"/>
          <w:color w:val="auto"/>
        </w:rPr>
      </w:pPr>
    </w:p>
    <w:tbl>
      <w:tblPr>
        <w:tblLayout w:type="fixed"/>
        <w:tblInd w:w="800" w:type="dxa"/>
        <w:tblCellMar>
          <w:top w:w="0" w:type="dxa"/>
          <w:left w:w="0" w:type="dxa"/>
          <w:bottom w:w="0" w:type="dxa"/>
          <w:right w:w="0" w:type="dxa"/>
        </w:tblCellMar>
      </w:tblPr>
      <w:tr>
        <w:trPr>
          <w:trHeight w:val="205"/>
        </w:trPr>
        <w:tc>
          <w:tcPr>
            <w:tcW w:w="4800" w:type="dxa"/>
            <w:vAlign w:val="bottom"/>
          </w:tcPr>
          <w:p>
            <w:pPr>
              <w:jc w:val="center"/>
              <w:ind w:right="100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40" w:type="dxa"/>
            <w:vAlign w:val="bottom"/>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76-0582150</w:t>
            </w:r>
          </w:p>
        </w:tc>
      </w:tr>
      <w:tr>
        <w:trPr>
          <w:trHeight w:val="235"/>
        </w:trPr>
        <w:tc>
          <w:tcPr>
            <w:tcW w:w="4800" w:type="dxa"/>
            <w:vAlign w:val="bottom"/>
          </w:tcPr>
          <w:p>
            <w:pPr>
              <w:jc w:val="center"/>
              <w:ind w:right="1002"/>
              <w:spacing w:after="0"/>
              <w:rPr>
                <w:sz w:val="20"/>
                <w:szCs w:val="20"/>
                <w:color w:val="auto"/>
              </w:rPr>
            </w:pPr>
            <w:r>
              <w:rPr>
                <w:rFonts w:ascii="Times New Roman" w:cs="Times New Roman" w:eastAsia="Times New Roman" w:hAnsi="Times New Roman"/>
                <w:sz w:val="16"/>
                <w:szCs w:val="16"/>
                <w:color w:val="auto"/>
                <w:w w:val="97"/>
              </w:rPr>
              <w:t>(State or other jurisdiction of incorporation or organization)</w:t>
            </w:r>
          </w:p>
        </w:tc>
        <w:tc>
          <w:tcPr>
            <w:tcW w:w="3340" w:type="dxa"/>
            <w:vAlign w:val="bottom"/>
          </w:tcPr>
          <w:p>
            <w:pPr>
              <w:jc w:val="center"/>
              <w:ind w:left="1002"/>
              <w:spacing w:after="0"/>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332"/>
        </w:trPr>
        <w:tc>
          <w:tcPr>
            <w:tcW w:w="4800" w:type="dxa"/>
            <w:vAlign w:val="bottom"/>
          </w:tcPr>
          <w:p>
            <w:pPr>
              <w:jc w:val="center"/>
              <w:ind w:right="1002"/>
              <w:spacing w:after="0"/>
              <w:rPr>
                <w:sz w:val="20"/>
                <w:szCs w:val="20"/>
                <w:color w:val="auto"/>
              </w:rPr>
            </w:pPr>
            <w:r>
              <w:rPr>
                <w:rFonts w:ascii="Times New Roman" w:cs="Times New Roman" w:eastAsia="Times New Roman" w:hAnsi="Times New Roman"/>
                <w:sz w:val="16"/>
                <w:szCs w:val="16"/>
                <w:b w:val="1"/>
                <w:bCs w:val="1"/>
                <w:color w:val="auto"/>
                <w:w w:val="96"/>
              </w:rPr>
              <w:t>333 Clay Street, Suite 1600, Houston, Texas</w:t>
            </w:r>
          </w:p>
        </w:tc>
        <w:tc>
          <w:tcPr>
            <w:tcW w:w="3340" w:type="dxa"/>
            <w:vAlign w:val="bottom"/>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77002</w:t>
            </w:r>
          </w:p>
        </w:tc>
      </w:tr>
      <w:tr>
        <w:trPr>
          <w:trHeight w:val="235"/>
        </w:trPr>
        <w:tc>
          <w:tcPr>
            <w:tcW w:w="4800" w:type="dxa"/>
            <w:vAlign w:val="bottom"/>
          </w:tcPr>
          <w:p>
            <w:pPr>
              <w:jc w:val="center"/>
              <w:ind w:right="982"/>
              <w:spacing w:after="0"/>
              <w:rPr>
                <w:sz w:val="20"/>
                <w:szCs w:val="20"/>
                <w:color w:val="auto"/>
              </w:rPr>
            </w:pPr>
            <w:r>
              <w:rPr>
                <w:rFonts w:ascii="Times New Roman" w:cs="Times New Roman" w:eastAsia="Times New Roman" w:hAnsi="Times New Roman"/>
                <w:sz w:val="16"/>
                <w:szCs w:val="16"/>
                <w:color w:val="auto"/>
                <w:w w:val="96"/>
              </w:rPr>
              <w:t>(Address of principal executive offices)</w:t>
            </w:r>
          </w:p>
        </w:tc>
        <w:tc>
          <w:tcPr>
            <w:tcW w:w="3340" w:type="dxa"/>
            <w:vAlign w:val="bottom"/>
          </w:tcPr>
          <w:p>
            <w:pPr>
              <w:jc w:val="center"/>
              <w:ind w:left="1002"/>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(713) 646-4100</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83" w:lineRule="exact"/>
        <w:rPr>
          <w:sz w:val="24"/>
          <w:szCs w:val="24"/>
          <w:color w:val="auto"/>
        </w:rPr>
      </w:pPr>
    </w:p>
    <w:tbl>
      <w:tblPr>
        <w:tblLayout w:type="fixed"/>
        <w:tblInd w:w="800" w:type="dxa"/>
        <w:tblCellMar>
          <w:top w:w="0" w:type="dxa"/>
          <w:left w:w="0" w:type="dxa"/>
          <w:bottom w:w="0" w:type="dxa"/>
          <w:right w:w="0" w:type="dxa"/>
        </w:tblCellMar>
      </w:tblPr>
      <w:tr>
        <w:trPr>
          <w:trHeight w:val="187"/>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60" w:type="dxa"/>
            <w:vAlign w:val="bottom"/>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60" w:type="dxa"/>
            <w:vAlign w:val="bottom"/>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r>
      <w:tr>
        <w:trPr>
          <w:trHeight w:val="217"/>
        </w:trPr>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Common Units</w:t>
            </w:r>
          </w:p>
        </w:tc>
        <w:tc>
          <w:tcPr>
            <w:tcW w:w="6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PAA</w:t>
            </w:r>
          </w:p>
        </w:tc>
        <w:tc>
          <w:tcPr>
            <w:tcW w:w="6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Nasdaq</w:t>
            </w:r>
          </w:p>
        </w:tc>
      </w:tr>
    </w:tbl>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180" w:lineRule="exact"/>
        <w:rPr>
          <w:sz w:val="24"/>
          <w:szCs w:val="24"/>
          <w:color w:val="auto"/>
        </w:rPr>
      </w:pPr>
    </w:p>
    <w:p>
      <w:pPr>
        <w:ind w:left="340" w:right="1840"/>
        <w:spacing w:after="0" w:line="23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b w:val="1"/>
          <w:bCs w:val="1"/>
          <w:color w:val="auto"/>
        </w:rPr>
        <w:t>☑</w:t>
      </w:r>
    </w:p>
    <w:p>
      <w:pPr>
        <w:spacing w:after="0" w:line="29" w:lineRule="exact"/>
        <w:rPr>
          <w:sz w:val="24"/>
          <w:szCs w:val="24"/>
          <w:color w:val="auto"/>
        </w:rPr>
      </w:pPr>
    </w:p>
    <w:p>
      <w:pPr>
        <w:ind w:right="20" w:firstLine="349"/>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28" w:lineRule="exact"/>
        <w:rPr>
          <w:sz w:val="24"/>
          <w:szCs w:val="24"/>
          <w:color w:val="auto"/>
        </w:rPr>
      </w:pPr>
    </w:p>
    <w:p>
      <w:pPr>
        <w:ind w:right="20" w:firstLine="349"/>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29" w:lineRule="exact"/>
        <w:rPr>
          <w:sz w:val="24"/>
          <w:szCs w:val="24"/>
          <w:color w:val="auto"/>
        </w:rPr>
      </w:pPr>
    </w:p>
    <w:p>
      <w:pPr>
        <w:jc w:val="both"/>
        <w:ind w:firstLine="349"/>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p>
      <w:pPr>
        <w:ind w:left="1620"/>
        <w:spacing w:after="0" w:line="184" w:lineRule="exact"/>
        <w:tabs>
          <w:tab w:leader="none" w:pos="69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b w:val="1"/>
          <w:bCs w:val="1"/>
          <w:color w:val="auto"/>
        </w:rPr>
        <w:t>☐</w:t>
      </w:r>
    </w:p>
    <w:p>
      <w:pPr>
        <w:spacing w:after="0" w:line="93" w:lineRule="exact"/>
        <w:rPr>
          <w:sz w:val="24"/>
          <w:szCs w:val="24"/>
          <w:color w:val="auto"/>
        </w:rPr>
      </w:pPr>
    </w:p>
    <w:p>
      <w:pPr>
        <w:ind w:left="1660"/>
        <w:spacing w:after="0" w:line="184" w:lineRule="exact"/>
        <w:tabs>
          <w:tab w:leader="none" w:pos="656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b w:val="1"/>
          <w:bCs w:val="1"/>
          <w:color w:val="auto"/>
        </w:rPr>
        <w:t>☐</w:t>
      </w:r>
    </w:p>
    <w:p>
      <w:pPr>
        <w:spacing w:after="0" w:line="93" w:lineRule="exact"/>
        <w:rPr>
          <w:sz w:val="24"/>
          <w:szCs w:val="24"/>
          <w:color w:val="auto"/>
        </w:rPr>
      </w:pPr>
    </w:p>
    <w:p>
      <w:pPr>
        <w:ind w:left="65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b w:val="1"/>
          <w:bCs w:val="1"/>
          <w:color w:val="auto"/>
        </w:rPr>
        <w:t>☐</w:t>
      </w:r>
    </w:p>
    <w:p>
      <w:pPr>
        <w:spacing w:after="0" w:line="153" w:lineRule="exact"/>
        <w:rPr>
          <w:sz w:val="24"/>
          <w:szCs w:val="24"/>
          <w:color w:val="auto"/>
        </w:rPr>
      </w:pPr>
    </w:p>
    <w:p>
      <w:pPr>
        <w:ind w:right="40" w:firstLine="349"/>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auto"/>
        </w:rPr>
        <w:t>☐</w:t>
      </w:r>
    </w:p>
    <w:p>
      <w:pPr>
        <w:spacing w:after="0" w:line="28" w:lineRule="exact"/>
        <w:rPr>
          <w:sz w:val="24"/>
          <w:szCs w:val="24"/>
          <w:color w:val="auto"/>
        </w:rPr>
      </w:pPr>
    </w:p>
    <w:p>
      <w:pPr>
        <w:ind w:right="20" w:firstLine="349"/>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b w:val="1"/>
          <w:bCs w:val="1"/>
          <w:color w:val="auto"/>
        </w:rPr>
        <w:t>☑</w:t>
      </w:r>
    </w:p>
    <w:p>
      <w:pPr>
        <w:spacing w:after="0" w:line="28" w:lineRule="exact"/>
        <w:rPr>
          <w:sz w:val="24"/>
          <w:szCs w:val="24"/>
          <w:color w:val="auto"/>
        </w:rPr>
      </w:pPr>
    </w:p>
    <w:p>
      <w:pPr>
        <w:ind w:right="20" w:firstLine="349"/>
        <w:spacing w:after="0" w:line="200"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b w:val="1"/>
          <w:bCs w:val="1"/>
          <w:color w:val="auto"/>
        </w:rPr>
        <w:t>☐</w:t>
      </w:r>
    </w:p>
    <w:p>
      <w:pPr>
        <w:spacing w:after="0" w:line="28" w:lineRule="exact"/>
        <w:rPr>
          <w:sz w:val="24"/>
          <w:szCs w:val="24"/>
          <w:color w:val="auto"/>
        </w:rPr>
      </w:pPr>
    </w:p>
    <w:p>
      <w:pPr>
        <w:ind w:right="20" w:firstLine="349"/>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b w:val="1"/>
          <w:bCs w:val="1"/>
          <w:color w:val="auto"/>
        </w:rPr>
        <w:t>☐</w:t>
      </w:r>
    </w:p>
    <w:p>
      <w:pPr>
        <w:spacing w:after="0" w:line="17" w:lineRule="exact"/>
        <w:rPr>
          <w:sz w:val="24"/>
          <w:szCs w:val="24"/>
          <w:color w:val="auto"/>
        </w:rPr>
      </w:pPr>
    </w:p>
    <w:p>
      <w:pPr>
        <w:ind w:left="34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b w:val="1"/>
          <w:bCs w:val="1"/>
          <w:color w:val="auto"/>
        </w:rPr>
        <w:t>☑</w:t>
      </w:r>
    </w:p>
    <w:p>
      <w:pPr>
        <w:spacing w:after="0" w:line="81" w:lineRule="exact"/>
        <w:rPr>
          <w:sz w:val="24"/>
          <w:szCs w:val="24"/>
          <w:color w:val="auto"/>
        </w:rPr>
      </w:pPr>
    </w:p>
    <w:p>
      <w:pPr>
        <w:ind w:right="20" w:firstLine="349"/>
        <w:spacing w:after="0" w:line="275" w:lineRule="auto"/>
        <w:rPr>
          <w:sz w:val="20"/>
          <w:szCs w:val="20"/>
          <w:color w:val="auto"/>
        </w:rPr>
      </w:pPr>
      <w:r>
        <w:rPr>
          <w:rFonts w:ascii="Times New Roman" w:cs="Times New Roman" w:eastAsia="Times New Roman" w:hAnsi="Times New Roman"/>
          <w:sz w:val="15"/>
          <w:szCs w:val="15"/>
          <w:color w:val="auto"/>
        </w:rPr>
        <w:t>The aggregate market value of the approximately 451.4 million Common Units held by non-affiliates of the registrant (treating all executive officers and directors of the registrant and holders of 10% or more of the Common Units outstanding, for this purpose, as if they are affiliates of the registrant) on June 30, 2022 was approximately $4.4 billion, based on a closing price of $9.82 per Common Unit as reported on the Nasdaq Global Select Market on such date.</w:t>
      </w:r>
    </w:p>
    <w:p>
      <w:pPr>
        <w:spacing w:after="0" w:line="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As of February 14, 2023, there were 698,390,006 Common Units outstanding.</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ectPr>
          <w:pgSz w:w="11880" w:h="15480" w:orient="portrait"/>
          <w:cols w:equalWidth="0" w:num="1">
            <w:col w:w="10480"/>
          </w:cols>
          <w:pgMar w:left="700" w:top="1140" w:right="700" w:bottom="556" w:gutter="0" w:footer="0" w:header="0"/>
        </w:sectPr>
      </w:pPr>
    </w:p>
    <w:p>
      <w:pPr>
        <w:spacing w:after="0" w:line="84" w:lineRule="exact"/>
        <w:rPr>
          <w:sz w:val="24"/>
          <w:szCs w:val="24"/>
          <w:color w:val="auto"/>
        </w:rPr>
      </w:pPr>
    </w:p>
    <w:p>
      <w:pPr>
        <w:jc w:val="both"/>
        <w:ind w:left="60" w:right="40" w:firstLine="13"/>
        <w:spacing w:after="0" w:line="309" w:lineRule="auto"/>
        <w:rPr>
          <w:sz w:val="20"/>
          <w:szCs w:val="20"/>
          <w:color w:val="auto"/>
        </w:rPr>
      </w:pPr>
      <w:r>
        <w:rPr>
          <w:rFonts w:ascii="Times New Roman" w:cs="Times New Roman" w:eastAsia="Times New Roman" w:hAnsi="Times New Roman"/>
          <w:sz w:val="15"/>
          <w:szCs w:val="15"/>
          <w:color w:val="auto"/>
        </w:rPr>
        <w:t>Portions of the registrant’s definitive Proxy Statement to be filed pursuant to Regulation 14A pertaining to the 2023 Annual Meeting of Unitholders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-220980</wp:posOffset>
                </wp:positionH>
                <wp:positionV relativeFrom="paragraph">
                  <wp:posOffset>-10795</wp:posOffset>
                </wp:positionV>
                <wp:extent cx="709676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676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999pt,-0.8499pt" to="541.4pt,-0.8499pt" o:allowincell="f" strokecolor="#000000" strokeweight="0.97pt"/>
            </w:pict>
          </mc:Fallback>
        </mc:AlternateContent>
        <mc:AlternateContent>
          <mc:Choice Requires="wps">
            <w:drawing>
              <wp:anchor simplePos="0" relativeHeight="251657728" behindDoc="1" locked="0" layoutInCell="0" allowOverlap="1">
                <wp:simplePos x="0" y="0"/>
                <wp:positionH relativeFrom="column">
                  <wp:posOffset>-220980</wp:posOffset>
                </wp:positionH>
                <wp:positionV relativeFrom="paragraph">
                  <wp:posOffset>34925</wp:posOffset>
                </wp:positionV>
                <wp:extent cx="709676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6760" cy="4763"/>
                        </a:xfrm>
                        <a:prstGeom prst="line">
                          <a:avLst/>
                        </a:prstGeom>
                        <a:solidFill>
                          <a:srgbClr val="FFFFFF"/>
                        </a:solidFill>
                        <a:ln w="2465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999pt,2.75pt" to="541.4pt,2.75pt" o:allowincell="f" strokecolor="#000000" strokeweight="1.9409pt"/>
            </w:pict>
          </mc:Fallback>
        </mc:AlternateContent>
      </w:r>
    </w:p>
    <w:p>
      <w:pPr>
        <w:sectPr>
          <w:pgSz w:w="11880" w:h="15480" w:orient="portrait"/>
          <w:cols w:equalWidth="0" w:num="1">
            <w:col w:w="10480"/>
          </w:cols>
          <w:pgMar w:left="700" w:top="1140" w:right="700" w:bottom="556" w:gutter="0" w:footer="0" w:header="0"/>
          <w:type w:val="continuous"/>
        </w:sectPr>
      </w:pPr>
    </w:p>
    <w:bookmarkStart w:id="1" w:name="page2"/>
    <w:bookmarkEnd w:id="1"/>
    <w:p>
      <w:pPr>
        <w:jc w:val="center"/>
        <w:ind w:left="1520" w:right="640"/>
        <w:spacing w:after="0" w:line="265" w:lineRule="auto"/>
        <w:rPr>
          <w:sz w:val="20"/>
          <w:szCs w:val="20"/>
          <w:color w:val="auto"/>
        </w:rPr>
      </w:pPr>
      <w:r>
        <w:rPr>
          <w:rFonts w:ascii="Times New Roman" w:cs="Times New Roman" w:eastAsia="Times New Roman" w:hAnsi="Times New Roman"/>
          <w:sz w:val="20"/>
          <w:szCs w:val="20"/>
          <w:b w:val="1"/>
          <w:bCs w:val="1"/>
          <w:color w:val="auto"/>
        </w:rPr>
        <w:t>PLAINS ALL AMERICAN PIPELINE, L.P. AND SUBSIDIARIES FORM 10-K—2022 ANNUAL REPORT Table of Contents</w:t>
      </w:r>
    </w:p>
    <w:p>
      <w:pPr>
        <w:spacing w:after="0" w:line="27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Items 1 and 2. Business and Properties</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19"/>
          <w:szCs w:val="19"/>
          <w:color w:val="auto"/>
        </w:rPr>
        <w:t>Risk Factors</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19"/>
          <w:szCs w:val="19"/>
          <w:color w:val="auto"/>
        </w:rPr>
        <w:t>Unresolved Staff Comments</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Legal Proceedings</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Mine Safety Disclosures</w:t>
      </w:r>
    </w:p>
    <w:p>
      <w:pPr>
        <w:spacing w:after="0" w:line="3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3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Units, Related Unitholder Matters and Issuer Purchases</w:t>
      </w:r>
    </w:p>
    <w:p>
      <w:pPr>
        <w:ind w:left="1240"/>
        <w:spacing w:after="0"/>
        <w:rPr>
          <w:sz w:val="20"/>
          <w:szCs w:val="20"/>
          <w:color w:val="auto"/>
        </w:rPr>
      </w:pPr>
      <w:r>
        <w:rPr>
          <w:rFonts w:ascii="Times New Roman" w:cs="Times New Roman" w:eastAsia="Times New Roman" w:hAnsi="Times New Roman"/>
          <w:sz w:val="20"/>
          <w:szCs w:val="20"/>
          <w:color w:val="auto"/>
        </w:rPr>
        <w:t>of Equity Securities</w:t>
      </w:r>
    </w:p>
    <w:p>
      <w:pPr>
        <w:spacing w:after="0" w:line="6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Reserved</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 of Operations</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19"/>
          <w:szCs w:val="19"/>
          <w:color w:val="auto"/>
        </w:rPr>
        <w:t>Quantitative and Qualitative Disclosures About Market Risk</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19"/>
          <w:szCs w:val="19"/>
          <w:color w:val="auto"/>
        </w:rPr>
        <w:t>Financial Statements and Supplementary Data</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 Financial Disclosure</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19"/>
          <w:szCs w:val="19"/>
          <w:color w:val="auto"/>
        </w:rPr>
        <w:t>Controls and Procedures</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19"/>
          <w:szCs w:val="19"/>
          <w:color w:val="auto"/>
        </w:rPr>
        <w:t>Other Information</w:t>
      </w:r>
    </w:p>
    <w:p>
      <w:pPr>
        <w:spacing w:after="0" w:line="8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19"/>
          <w:szCs w:val="19"/>
          <w:color w:val="auto"/>
        </w:rPr>
        <w:t>Disclosure Regarding Foreign Jurisdictions that Prevent Inspections</w:t>
      </w:r>
    </w:p>
    <w:p>
      <w:pPr>
        <w:spacing w:after="0" w:line="3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5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Directors and Executive Officers of Our General Partner and Corporate Governance</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19"/>
          <w:szCs w:val="19"/>
          <w:color w:val="auto"/>
        </w:rPr>
        <w:t>Executive Compensation</w:t>
      </w:r>
    </w:p>
    <w:p>
      <w:pPr>
        <w:spacing w:after="0" w:line="3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 Related Unitholder</w:t>
      </w:r>
    </w:p>
    <w:p>
      <w:pPr>
        <w:ind w:left="1240"/>
        <w:spacing w:after="0"/>
        <w:rPr>
          <w:sz w:val="20"/>
          <w:szCs w:val="20"/>
          <w:color w:val="auto"/>
        </w:rPr>
      </w:pPr>
      <w:r>
        <w:rPr>
          <w:rFonts w:ascii="Times New Roman" w:cs="Times New Roman" w:eastAsia="Times New Roman" w:hAnsi="Times New Roman"/>
          <w:sz w:val="20"/>
          <w:szCs w:val="20"/>
          <w:color w:val="auto"/>
        </w:rPr>
        <w:t>Matters</w:t>
      </w:r>
    </w:p>
    <w:p>
      <w:pPr>
        <w:spacing w:after="0" w:line="6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19"/>
          <w:szCs w:val="19"/>
          <w:color w:val="auto"/>
        </w:rPr>
        <w:t>Certain Relationships and Related Transactions, and Director Independence</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19"/>
          <w:szCs w:val="19"/>
          <w:color w:val="auto"/>
        </w:rPr>
        <w:t>Principal Accountant Fees and Services</w:t>
      </w:r>
    </w:p>
    <w:p>
      <w:pPr>
        <w:spacing w:after="0" w:line="35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5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19"/>
          <w:szCs w:val="19"/>
          <w:color w:val="auto"/>
        </w:rPr>
        <w:t>Exhibits and Financial Statement Schedules</w:t>
      </w:r>
    </w:p>
    <w:p>
      <w:pPr>
        <w:spacing w:after="0" w:line="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19"/>
          <w:szCs w:val="19"/>
          <w:color w:val="auto"/>
        </w:rPr>
        <w:t>Form 10-K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-327025</wp:posOffset>
                </wp:positionH>
                <wp:positionV relativeFrom="paragraph">
                  <wp:posOffset>26670</wp:posOffset>
                </wp:positionV>
                <wp:extent cx="86741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741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499pt,2.1pt" to="42.55pt,2.1pt" o:allowincell="f" strokecolor="#000000" strokeweight="0.99pt"/>
            </w:pict>
          </mc:Fallback>
        </mc:AlternateConten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37</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64</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64</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64</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65</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65</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66</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66</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90</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92</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92</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92</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93</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93</w:t>
      </w: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94</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94</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94</w:t>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94</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95</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95</w:t>
      </w: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96</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96</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102</w:t>
      </w:r>
    </w:p>
    <w:p>
      <w:pPr>
        <w:spacing w:after="0" w:line="200" w:lineRule="exact"/>
        <w:rPr>
          <w:sz w:val="20"/>
          <w:szCs w:val="20"/>
          <w:color w:val="auto"/>
        </w:rPr>
      </w:pPr>
    </w:p>
    <w:p>
      <w:pPr>
        <w:sectPr>
          <w:pgSz w:w="11880" w:h="15480" w:orient="portrait"/>
          <w:cols w:equalWidth="0" w:num="2">
            <w:col w:w="8520" w:space="720"/>
            <w:col w:w="800"/>
          </w:cols>
          <w:pgMar w:left="920" w:top="67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880" w:h="15480" w:orient="portrait"/>
          <w:cols w:equalWidth="0" w:num="1">
            <w:col w:w="10040"/>
          </w:cols>
          <w:pgMar w:left="920" w:top="676" w:right="920" w:bottom="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33" w:lineRule="exact"/>
        <w:rPr>
          <w:sz w:val="20"/>
          <w:szCs w:val="20"/>
          <w:color w:val="auto"/>
        </w:rPr>
      </w:pPr>
    </w:p>
    <w:p>
      <w:pPr>
        <w:ind w:right="20" w:firstLine="713"/>
        <w:spacing w:after="0" w:line="268" w:lineRule="auto"/>
        <w:rPr>
          <w:sz w:val="20"/>
          <w:szCs w:val="20"/>
          <w:color w:val="auto"/>
        </w:rPr>
      </w:pPr>
      <w:r>
        <w:rPr>
          <w:rFonts w:ascii="Times New Roman" w:cs="Times New Roman" w:eastAsia="Times New Roman" w:hAnsi="Times New Roman"/>
          <w:sz w:val="19"/>
          <w:szCs w:val="19"/>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34" w:lineRule="exact"/>
        <w:rPr>
          <w:sz w:val="20"/>
          <w:szCs w:val="20"/>
          <w:color w:val="auto"/>
        </w:rPr>
      </w:pPr>
    </w:p>
    <w:p>
      <w:pPr>
        <w:ind w:left="1080" w:right="20" w:hanging="366"/>
        <w:spacing w:after="0" w:line="255"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91" w:lineRule="exact"/>
        <w:rPr>
          <w:rFonts w:ascii="Times New Roman" w:cs="Times New Roman" w:eastAsia="Times New Roman" w:hAnsi="Times New Roman"/>
          <w:sz w:val="20"/>
          <w:szCs w:val="20"/>
          <w:color w:val="auto"/>
        </w:rPr>
      </w:pPr>
    </w:p>
    <w:p>
      <w:pPr>
        <w:ind w:left="1080" w:right="60" w:hanging="366"/>
        <w:spacing w:after="0" w:line="252" w:lineRule="auto"/>
        <w:tabs>
          <w:tab w:leader="none" w:pos="1080" w:val="left"/>
        </w:tabs>
        <w:numPr>
          <w:ilvl w:val="0"/>
          <w:numId w:val="3"/>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declines in global crude oil demand and crude oil prices (whether due to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9" w:lineRule="exact"/>
        <w:rPr>
          <w:rFonts w:ascii="Arial" w:cs="Arial" w:eastAsia="Arial" w:hAnsi="Arial"/>
          <w:sz w:val="20"/>
          <w:szCs w:val="20"/>
          <w:b w:val="1"/>
          <w:bCs w:val="1"/>
          <w:color w:val="auto"/>
        </w:rPr>
      </w:pPr>
    </w:p>
    <w:p>
      <w:pPr>
        <w:ind w:left="1080" w:right="60" w:hanging="366"/>
        <w:spacing w:after="0" w:line="263"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75"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changes in crude oil and NGL market structure, grade differentials and volatility (or lack thereof);</w:t>
      </w:r>
    </w:p>
    <w:p>
      <w:pPr>
        <w:spacing w:after="0" w:line="126" w:lineRule="exact"/>
        <w:rPr>
          <w:rFonts w:ascii="Times New Roman" w:cs="Times New Roman" w:eastAsia="Times New Roman" w:hAnsi="Times New Roman"/>
          <w:sz w:val="20"/>
          <w:szCs w:val="20"/>
          <w:color w:val="auto"/>
        </w:rPr>
      </w:pPr>
    </w:p>
    <w:p>
      <w:pPr>
        <w:ind w:left="1080" w:right="340" w:hanging="366"/>
        <w:spacing w:after="0" w:line="283" w:lineRule="auto"/>
        <w:tabs>
          <w:tab w:leader="none" w:pos="108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58" w:lineRule="exact"/>
        <w:rPr>
          <w:rFonts w:ascii="Times New Roman" w:cs="Times New Roman" w:eastAsia="Times New Roman" w:hAnsi="Times New Roman"/>
          <w:sz w:val="19"/>
          <w:szCs w:val="19"/>
          <w:color w:val="auto"/>
        </w:rPr>
      </w:pPr>
    </w:p>
    <w:p>
      <w:pPr>
        <w:ind w:left="1080" w:right="500" w:hanging="366"/>
        <w:spacing w:after="0" w:line="263"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75" w:lineRule="exact"/>
        <w:rPr>
          <w:rFonts w:ascii="Times New Roman" w:cs="Times New Roman" w:eastAsia="Times New Roman" w:hAnsi="Times New Roman"/>
          <w:sz w:val="20"/>
          <w:szCs w:val="20"/>
          <w:color w:val="auto"/>
        </w:rPr>
      </w:pPr>
    </w:p>
    <w:p>
      <w:pPr>
        <w:ind w:left="1080" w:right="380" w:hanging="366"/>
        <w:spacing w:after="0" w:line="278"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liabilities, litigation or other events that are not covered by an indemnity, insurance or existing reserves;</w:t>
      </w:r>
    </w:p>
    <w:p>
      <w:pPr>
        <w:spacing w:after="0" w:line="61" w:lineRule="exact"/>
        <w:rPr>
          <w:rFonts w:ascii="Times New Roman" w:cs="Times New Roman" w:eastAsia="Times New Roman" w:hAnsi="Times New Roman"/>
          <w:sz w:val="20"/>
          <w:szCs w:val="20"/>
          <w:color w:val="auto"/>
        </w:rPr>
      </w:pPr>
    </w:p>
    <w:p>
      <w:pPr>
        <w:ind w:left="1080" w:hanging="366"/>
        <w:spacing w:after="0" w:line="278"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1" w:lineRule="exact"/>
        <w:rPr>
          <w:rFonts w:ascii="Times New Roman" w:cs="Times New Roman" w:eastAsia="Times New Roman" w:hAnsi="Times New Roman"/>
          <w:sz w:val="20"/>
          <w:szCs w:val="20"/>
          <w:color w:val="auto"/>
        </w:rPr>
      </w:pPr>
    </w:p>
    <w:p>
      <w:pPr>
        <w:ind w:left="1080" w:right="300" w:hanging="366"/>
        <w:spacing w:after="0" w:line="278"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interference with business operations or project construction, including the impact of extreme weather events or conditions;</w:t>
      </w:r>
    </w:p>
    <w:p>
      <w:pPr>
        <w:spacing w:after="0" w:line="61" w:lineRule="exact"/>
        <w:rPr>
          <w:rFonts w:ascii="Times New Roman" w:cs="Times New Roman" w:eastAsia="Times New Roman" w:hAnsi="Times New Roman"/>
          <w:sz w:val="20"/>
          <w:szCs w:val="20"/>
          <w:color w:val="auto"/>
        </w:rPr>
      </w:pPr>
    </w:p>
    <w:p>
      <w:pPr>
        <w:ind w:left="1080" w:right="20" w:hanging="366"/>
        <w:spacing w:after="0" w:line="255"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85"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key personnel and inability to attract and retain new talent;</w:t>
      </w:r>
    </w:p>
    <w:p>
      <w:pPr>
        <w:spacing w:after="0" w:line="126" w:lineRule="exact"/>
        <w:rPr>
          <w:rFonts w:ascii="Times New Roman" w:cs="Times New Roman" w:eastAsia="Times New Roman" w:hAnsi="Times New Roman"/>
          <w:sz w:val="20"/>
          <w:szCs w:val="20"/>
          <w:color w:val="auto"/>
        </w:rPr>
      </w:pPr>
    </w:p>
    <w:p>
      <w:pPr>
        <w:ind w:left="1080" w:right="180" w:hanging="366"/>
        <w:spacing w:after="0" w:line="278"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to futures markets for crude oil, NGL and other petroleum products, which may impair our ability to execute our commercial or hedging strategies;</w:t>
      </w:r>
    </w:p>
    <w:p>
      <w:pPr>
        <w:spacing w:after="0" w:line="61"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risk management activities;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shortages or cost increases of supplies, materials or labor;</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maintenance of our credit rating and ability to receive open credit from our suppliers and trade counterparties;</w:t>
      </w:r>
    </w:p>
    <w:p>
      <w:pPr>
        <w:sectPr>
          <w:pgSz w:w="11880" w:h="15480" w:orient="portrait"/>
          <w:cols w:equalWidth="0" w:num="1">
            <w:col w:w="10120"/>
          </w:cols>
          <w:pgMar w:left="860" w:top="6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10120"/>
          </w:cols>
          <w:pgMar w:left="860" w:top="676" w:right="900" w:bottom="0" w:gutter="0" w:footer="0" w:header="0"/>
          <w:type w:val="continuous"/>
        </w:sectPr>
      </w:pPr>
    </w:p>
    <w:bookmarkStart w:id="3" w:name="page4"/>
    <w:bookmarkEnd w:id="3"/>
    <w:p>
      <w:pPr>
        <w:ind w:left="1080" w:right="80" w:hanging="366"/>
        <w:spacing w:after="0" w:line="263"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Times New Roman" w:cs="Times New Roman" w:eastAsia="Times New Roman" w:hAnsi="Times New Roman"/>
          <w:sz w:val="20"/>
          <w:szCs w:val="20"/>
          <w:color w:val="auto"/>
        </w:rPr>
      </w:pPr>
    </w:p>
    <w:p>
      <w:pPr>
        <w:ind w:left="1080" w:right="40" w:hanging="366"/>
        <w:spacing w:after="0" w:line="263"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75" w:lineRule="exact"/>
        <w:rPr>
          <w:rFonts w:ascii="Times New Roman" w:cs="Times New Roman" w:eastAsia="Times New Roman" w:hAnsi="Times New Roman"/>
          <w:sz w:val="20"/>
          <w:szCs w:val="20"/>
          <w:color w:val="auto"/>
        </w:rPr>
      </w:pPr>
    </w:p>
    <w:p>
      <w:pPr>
        <w:ind w:left="1080" w:right="540" w:hanging="366"/>
        <w:spacing w:after="0" w:line="27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and our ability to consummate, divestitures, joint ventures, acquisitions or other strategic opportunities;</w:t>
      </w:r>
    </w:p>
    <w:p>
      <w:pPr>
        <w:spacing w:after="0" w:line="61" w:lineRule="exact"/>
        <w:rPr>
          <w:rFonts w:ascii="Times New Roman" w:cs="Times New Roman" w:eastAsia="Times New Roman" w:hAnsi="Times New Roman"/>
          <w:sz w:val="20"/>
          <w:szCs w:val="20"/>
          <w:color w:val="auto"/>
        </w:rPr>
      </w:pPr>
    </w:p>
    <w:p>
      <w:pPr>
        <w:ind w:left="1080" w:right="20" w:hanging="366"/>
        <w:spacing w:after="0" w:line="272" w:lineRule="auto"/>
        <w:tabs>
          <w:tab w:leader="none" w:pos="10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8" w:lineRule="exact"/>
        <w:rPr>
          <w:rFonts w:ascii="Times New Roman" w:cs="Times New Roman" w:eastAsia="Times New Roman" w:hAnsi="Times New Roman"/>
          <w:sz w:val="19"/>
          <w:szCs w:val="19"/>
          <w:color w:val="auto"/>
        </w:rPr>
      </w:pPr>
    </w:p>
    <w:p>
      <w:pPr>
        <w:ind w:left="1080" w:right="260" w:hanging="366"/>
        <w:spacing w:after="0" w:line="263"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75" w:lineRule="exact"/>
        <w:rPr>
          <w:rFonts w:ascii="Times New Roman" w:cs="Times New Roman" w:eastAsia="Times New Roman" w:hAnsi="Times New Roman"/>
          <w:sz w:val="20"/>
          <w:szCs w:val="20"/>
          <w:color w:val="auto"/>
        </w:rPr>
      </w:pPr>
    </w:p>
    <w:p>
      <w:pPr>
        <w:ind w:left="1080" w:hanging="366"/>
        <w:spacing w:after="0" w:line="27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costs and expenses related to unexpected or unplanned capital expenditures, third-party claims or other factors;</w:t>
      </w:r>
    </w:p>
    <w:p>
      <w:pPr>
        <w:spacing w:after="0" w:line="61" w:lineRule="exact"/>
        <w:rPr>
          <w:rFonts w:ascii="Times New Roman" w:cs="Times New Roman" w:eastAsia="Times New Roman" w:hAnsi="Times New Roman"/>
          <w:sz w:val="20"/>
          <w:szCs w:val="20"/>
          <w:color w:val="auto"/>
        </w:rPr>
      </w:pPr>
    </w:p>
    <w:p>
      <w:pPr>
        <w:ind w:left="1080" w:right="560" w:hanging="366"/>
        <w:spacing w:after="0" w:line="27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implement or capitalize, or delays in implementing or capitalizing, on investment capital projects, whether due to permitting delays, permitting withdrawals or other factors;</w:t>
      </w:r>
    </w:p>
    <w:p>
      <w:pPr>
        <w:spacing w:after="0" w:line="61" w:lineRule="exact"/>
        <w:rPr>
          <w:rFonts w:ascii="Times New Roman" w:cs="Times New Roman" w:eastAsia="Times New Roman" w:hAnsi="Times New Roman"/>
          <w:sz w:val="20"/>
          <w:szCs w:val="20"/>
          <w:color w:val="auto"/>
        </w:rPr>
      </w:pPr>
    </w:p>
    <w:p>
      <w:pPr>
        <w:ind w:left="1080" w:right="340" w:hanging="366"/>
        <w:spacing w:after="0" w:line="27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amplification of other risks caused by volatile financial markets, capital constraints, liquidity concerns and inflation;</w:t>
      </w:r>
    </w:p>
    <w:p>
      <w:pPr>
        <w:spacing w:after="0" w:line="61" w:lineRule="exact"/>
        <w:rPr>
          <w:rFonts w:ascii="Times New Roman" w:cs="Times New Roman" w:eastAsia="Times New Roman" w:hAnsi="Times New Roman"/>
          <w:sz w:val="20"/>
          <w:szCs w:val="20"/>
          <w:color w:val="auto"/>
        </w:rPr>
      </w:pPr>
    </w:p>
    <w:p>
      <w:pPr>
        <w:ind w:left="1080" w:right="100" w:hanging="366"/>
        <w:spacing w:after="0" w:line="27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or availability of third-party assets upon which our operations depend and over which we have little or no control;</w:t>
      </w:r>
    </w:p>
    <w:p>
      <w:pPr>
        <w:spacing w:after="0" w:line="61"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currency exchange rate of the Canadian dollar to the United States dollar;</w:t>
      </w:r>
    </w:p>
    <w:p>
      <w:pPr>
        <w:spacing w:after="0" w:line="126" w:lineRule="exact"/>
        <w:rPr>
          <w:rFonts w:ascii="Times New Roman" w:cs="Times New Roman" w:eastAsia="Times New Roman" w:hAnsi="Times New Roman"/>
          <w:sz w:val="20"/>
          <w:szCs w:val="20"/>
          <w:color w:val="auto"/>
        </w:rPr>
      </w:pPr>
    </w:p>
    <w:p>
      <w:pPr>
        <w:ind w:left="1080" w:right="360" w:hanging="366"/>
        <w:spacing w:after="0" w:line="27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recognize current revenue attributable to deficiency payments received from customers who fail to ship or move more than minimum contracted volumes until the related credits expire or are used;</w:t>
      </w:r>
    </w:p>
    <w:p>
      <w:pPr>
        <w:spacing w:after="0" w:line="61"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under-utilization of our assets and facilities;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or lack of availability, of insurance;</w:t>
      </w:r>
    </w:p>
    <w:p>
      <w:pPr>
        <w:spacing w:after="0" w:line="126" w:lineRule="exact"/>
        <w:rPr>
          <w:rFonts w:ascii="Times New Roman" w:cs="Times New Roman" w:eastAsia="Times New Roman" w:hAnsi="Times New Roman"/>
          <w:sz w:val="20"/>
          <w:szCs w:val="20"/>
          <w:color w:val="auto"/>
        </w:rPr>
      </w:pPr>
    </w:p>
    <w:p>
      <w:pPr>
        <w:ind w:left="1080" w:right="160" w:hanging="366"/>
        <w:spacing w:after="0" w:line="27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debt and equity markets, including the price of our units at the time of vesting under our long-term incentive plans;</w:t>
      </w:r>
    </w:p>
    <w:p>
      <w:pPr>
        <w:spacing w:after="0" w:line="61"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development and operation of our assets; and</w:t>
      </w:r>
    </w:p>
    <w:p>
      <w:pPr>
        <w:spacing w:after="0" w:line="126" w:lineRule="exact"/>
        <w:rPr>
          <w:rFonts w:ascii="Times New Roman" w:cs="Times New Roman" w:eastAsia="Times New Roman" w:hAnsi="Times New Roman"/>
          <w:sz w:val="20"/>
          <w:szCs w:val="20"/>
          <w:color w:val="auto"/>
        </w:rPr>
      </w:pPr>
    </w:p>
    <w:p>
      <w:pPr>
        <w:ind w:left="1080" w:right="200" w:hanging="366"/>
        <w:spacing w:after="0" w:line="27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factors and uncertainties inherent in the transportation, storage, terminalling and marketing of crude oil, as well as in the processing, transportation, fractionation, storage and marketing of NGL.</w:t>
      </w:r>
    </w:p>
    <w:p>
      <w:pPr>
        <w:spacing w:after="0" w:line="180" w:lineRule="exact"/>
        <w:rPr>
          <w:sz w:val="20"/>
          <w:szCs w:val="20"/>
          <w:color w:val="auto"/>
        </w:rPr>
      </w:pPr>
    </w:p>
    <w:p>
      <w:pPr>
        <w:jc w:val="both"/>
        <w:ind w:firstLine="713"/>
        <w:spacing w:after="0" w:line="263" w:lineRule="auto"/>
        <w:rPr>
          <w:sz w:val="20"/>
          <w:szCs w:val="20"/>
          <w:color w:val="auto"/>
        </w:rPr>
      </w:pPr>
      <w:r>
        <w:rPr>
          <w:rFonts w:ascii="Times New Roman" w:cs="Times New Roman" w:eastAsia="Times New Roman" w:hAnsi="Times New Roman"/>
          <w:sz w:val="20"/>
          <w:szCs w:val="20"/>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ectPr>
          <w:pgSz w:w="11880" w:h="15480" w:orient="portrait"/>
          <w:cols w:equalWidth="0" w:num="1">
            <w:col w:w="10140"/>
          </w:cols>
          <w:pgMar w:left="860" w:top="68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10140"/>
          </w:cols>
          <w:pgMar w:left="860" w:top="683" w:right="880" w:bottom="0" w:gutter="0" w:footer="0" w:header="0"/>
          <w:type w:val="continuous"/>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Items 1 and 2. </w:t>
      </w:r>
      <w:r>
        <w:rPr>
          <w:rFonts w:ascii="Times New Roman" w:cs="Times New Roman" w:eastAsia="Times New Roman" w:hAnsi="Times New Roman"/>
          <w:sz w:val="20"/>
          <w:szCs w:val="20"/>
          <w:b w:val="1"/>
          <w:bCs w:val="1"/>
          <w:i w:val="1"/>
          <w:iCs w:val="1"/>
          <w:color w:val="auto"/>
        </w:rPr>
        <w:t>Business and Properties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52"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color w:val="auto"/>
        </w:rPr>
        <w:t>Plains All American Pipeline, L.P. is a publicly traded Delaware limited partnership. Our common units are listed on the Nasdaq Global Select Market (“Nasdaq”) under the ticker symbol “PAA.” 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crude oil and NGL.</w:t>
      </w:r>
    </w:p>
    <w:p>
      <w:pPr>
        <w:spacing w:after="0" w:line="207" w:lineRule="exact"/>
        <w:rPr>
          <w:sz w:val="20"/>
          <w:szCs w:val="20"/>
          <w:color w:val="auto"/>
        </w:rPr>
      </w:pPr>
    </w:p>
    <w:p>
      <w:pPr>
        <w:ind w:firstLine="713"/>
        <w:spacing w:after="0" w:line="267" w:lineRule="auto"/>
        <w:rPr>
          <w:sz w:val="20"/>
          <w:szCs w:val="20"/>
          <w:color w:val="auto"/>
        </w:rPr>
      </w:pPr>
      <w:r>
        <w:rPr>
          <w:rFonts w:ascii="Times New Roman" w:cs="Times New Roman" w:eastAsia="Times New Roman" w:hAnsi="Times New Roman"/>
          <w:sz w:val="19"/>
          <w:szCs w:val="19"/>
          <w:color w:val="auto"/>
        </w:rPr>
        <w:t>Our business is based on the fundamental thesis that hydrocarbons are essential to the security and advancement of human quality of life and will continue to play a major long-term role in the world economy. We further believe that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w:t>
      </w:r>
    </w:p>
    <w:p>
      <w:pPr>
        <w:spacing w:after="0" w:line="194" w:lineRule="exact"/>
        <w:rPr>
          <w:sz w:val="20"/>
          <w:szCs w:val="20"/>
          <w:color w:val="auto"/>
        </w:rPr>
      </w:pPr>
    </w:p>
    <w:p>
      <w:pPr>
        <w:ind w:right="160" w:firstLine="713"/>
        <w:spacing w:after="0" w:line="263" w:lineRule="auto"/>
        <w:rPr>
          <w:sz w:val="20"/>
          <w:szCs w:val="20"/>
          <w:color w:val="auto"/>
        </w:rPr>
      </w:pPr>
      <w:r>
        <w:rPr>
          <w:rFonts w:ascii="Times New Roman" w:cs="Times New Roman" w:eastAsia="Times New Roman" w:hAnsi="Times New Roman"/>
          <w:sz w:val="20"/>
          <w:szCs w:val="20"/>
          <w:color w:val="auto"/>
        </w:rPr>
        <w:t>Our assets are owned, and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ectPr>
          <w:pgSz w:w="11880" w:h="15480" w:orient="portrait"/>
          <w:cols w:equalWidth="0" w:num="1">
            <w:col w:w="10100"/>
          </w:cols>
          <w:pgMar w:left="860" w:top="67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10100"/>
          </w:cols>
          <w:pgMar w:left="860" w:top="676" w:right="92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The diagram below shows our organizational structure as of December 31, 2022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353060</wp:posOffset>
            </wp:positionV>
            <wp:extent cx="6449695" cy="7814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extLst>
                    </a:blip>
                    <a:srcRect/>
                    <a:stretch>
                      <a:fillRect/>
                    </a:stretch>
                  </pic:blipFill>
                  <pic:spPr bwMode="auto">
                    <a:xfrm>
                      <a:off x="0" y="0"/>
                      <a:ext cx="6449695" cy="7814310"/>
                    </a:xfrm>
                    <a:prstGeom prst="rect">
                      <a:avLst/>
                    </a:prstGeom>
                    <a:noFill/>
                  </pic:spPr>
                </pic:pic>
              </a:graphicData>
            </a:graphic>
          </wp:anchor>
        </w:drawing>
      </w:r>
    </w:p>
    <w:p>
      <w:pPr>
        <w:sectPr>
          <w:pgSz w:w="11880" w:h="15480" w:orient="portrait"/>
          <w:cols w:equalWidth="0" w:num="1">
            <w:col w:w="9580"/>
          </w:cols>
          <w:pgMar w:left="860" w:top="6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9580"/>
          </w:cols>
          <w:pgMar w:left="860" w:top="676" w:right="144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br w:type="column"/>
      </w:r>
    </w:p>
    <w:p>
      <w:pPr>
        <w:ind w:right="40"/>
        <w:spacing w:after="0" w:line="269" w:lineRule="auto"/>
        <w:rPr>
          <w:sz w:val="20"/>
          <w:szCs w:val="20"/>
          <w:color w:val="auto"/>
        </w:rPr>
      </w:pPr>
      <w:r>
        <w:rPr>
          <w:rFonts w:ascii="Times New Roman" w:cs="Times New Roman" w:eastAsia="Times New Roman" w:hAnsi="Times New Roman"/>
          <w:sz w:val="19"/>
          <w:szCs w:val="19"/>
          <w:color w:val="auto"/>
        </w:rPr>
        <w:t>Each Class C share represents a non-economic limited partner interest in PAGP. The number of Class C shares that we own is equal to the number of outstanding common units and Series A Preferred units (“Common Unit Equivalents”) that are entitled to vote, pro rata with the holders of PAGP Class A and Class B shares, for the election of eligible PAGP GP directors. Thus, the Class C shares function as a “pass-through” voting mechanism through which we vote at the direction of and as proxy for our common unitholders and Series A preferred unitholders in such director elections. Common units held by AAP and Series B preferred units are not entitled to vote in the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-455930</wp:posOffset>
                </wp:positionH>
                <wp:positionV relativeFrom="paragraph">
                  <wp:posOffset>-993775</wp:posOffset>
                </wp:positionV>
                <wp:extent cx="207391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391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999pt,-78.2499pt" to="127.4pt,-78.2499pt" o:allowincell="f" strokecolor="#000000" strokeweight="0.99pt"/>
            </w:pict>
          </mc:Fallback>
        </mc:AlternateContent>
      </w:r>
    </w:p>
    <w:p>
      <w:pPr>
        <w:spacing w:after="0" w:line="5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The Partnership holds (i) direct and indirect ownership interests in consolidated operating subsidiaries including, but not limited to, Plains Marketing, L.P., Plains Pipeline, L.P., Plains Midstream Canada ULC (“PMCULC”), Plains Oryx Permian Basin LLC (the “Permian JV”), Cactus II 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spacing w:after="0" w:line="200" w:lineRule="exact"/>
        <w:rPr>
          <w:sz w:val="20"/>
          <w:szCs w:val="20"/>
          <w:color w:val="auto"/>
        </w:rPr>
      </w:pPr>
    </w:p>
    <w:p>
      <w:pPr>
        <w:sectPr>
          <w:pgSz w:w="11880" w:h="15480" w:orient="portrait"/>
          <w:cols w:equalWidth="0" w:num="2">
            <w:col w:w="160" w:space="560"/>
            <w:col w:w="9440"/>
          </w:cols>
          <w:pgMar w:left="860" w:top="897" w:right="860" w:bottom="0" w:gutter="0" w:footer="0" w:header="0"/>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Strategy</w:t>
      </w:r>
    </w:p>
    <w:p>
      <w:pPr>
        <w:spacing w:after="0" w:line="252" w:lineRule="exact"/>
        <w:rPr>
          <w:sz w:val="20"/>
          <w:szCs w:val="20"/>
          <w:color w:val="auto"/>
        </w:rPr>
      </w:pPr>
    </w:p>
    <w:p>
      <w:pPr>
        <w:ind w:right="40" w:firstLine="713"/>
        <w:spacing w:after="0" w:line="258" w:lineRule="auto"/>
        <w:rPr>
          <w:sz w:val="20"/>
          <w:szCs w:val="20"/>
          <w:color w:val="auto"/>
        </w:rPr>
      </w:pPr>
      <w:r>
        <w:rPr>
          <w:rFonts w:ascii="Times New Roman" w:cs="Times New Roman" w:eastAsia="Times New Roman" w:hAnsi="Times New Roman"/>
          <w:sz w:val="20"/>
          <w:szCs w:val="20"/>
          <w:color w:val="auto"/>
        </w:rPr>
        <w:t>Our principal business strategy is to provide competitive and efficient midstream infrastructure and logistics services to producers, refiners and other customers. We strive to address regional supply and demand imbalances for crude oil and NGL in the United States and Canada by combining the strategic location and capabilities of our transportation, terminalling, storage, processing and fractionation assets with our commercial expertise. We intend to execute our strategy by:</w:t>
      </w:r>
    </w:p>
    <w:p>
      <w:pPr>
        <w:spacing w:after="0" w:line="120" w:lineRule="exact"/>
        <w:rPr>
          <w:sz w:val="20"/>
          <w:szCs w:val="20"/>
          <w:color w:val="auto"/>
        </w:rPr>
      </w:pPr>
    </w:p>
    <w:p>
      <w:pPr>
        <w:ind w:left="1160" w:right="200" w:hanging="446"/>
        <w:spacing w:after="0" w:line="278" w:lineRule="auto"/>
        <w:tabs>
          <w:tab w:leader="none" w:pos="11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Focusing on operational excellence, continuous improvement and running a safe, reliable, and environmentally and socially responsible operation;</w:t>
      </w:r>
    </w:p>
    <w:p>
      <w:pPr>
        <w:spacing w:after="0" w:line="61" w:lineRule="exact"/>
        <w:rPr>
          <w:rFonts w:ascii="Times New Roman" w:cs="Times New Roman" w:eastAsia="Times New Roman" w:hAnsi="Times New Roman"/>
          <w:sz w:val="20"/>
          <w:szCs w:val="20"/>
          <w:color w:val="auto"/>
        </w:rPr>
      </w:pPr>
    </w:p>
    <w:p>
      <w:pPr>
        <w:ind w:left="1160" w:hanging="446"/>
        <w:spacing w:after="0" w:line="263" w:lineRule="auto"/>
        <w:tabs>
          <w:tab w:leader="none" w:pos="11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our well positioned network of midstream infrastructure in conjunction with our commercial capabilities to provide our customers with market access, flexibility and value chain solutions, capture market opportunities, address physical market imbalances, mitigate risks and generate and grow sustainable cash flow and margin;</w:t>
      </w:r>
    </w:p>
    <w:p>
      <w:pPr>
        <w:spacing w:after="0" w:line="75" w:lineRule="exact"/>
        <w:rPr>
          <w:rFonts w:ascii="Times New Roman" w:cs="Times New Roman" w:eastAsia="Times New Roman" w:hAnsi="Times New Roman"/>
          <w:sz w:val="20"/>
          <w:szCs w:val="20"/>
          <w:color w:val="auto"/>
        </w:rPr>
      </w:pPr>
    </w:p>
    <w:p>
      <w:pPr>
        <w:ind w:left="1160" w:right="180" w:hanging="446"/>
        <w:spacing w:after="0" w:line="263" w:lineRule="auto"/>
        <w:tabs>
          <w:tab w:leader="none" w:pos="11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Optimizing and enhancing our asset portfolio and operations (through disciplined and accretive capital investments and through the pursuit of emerging energy opportunities) to maximize returns on invested capital; and</w:t>
      </w:r>
    </w:p>
    <w:p>
      <w:pPr>
        <w:spacing w:after="0" w:line="75" w:lineRule="exact"/>
        <w:rPr>
          <w:rFonts w:ascii="Times New Roman" w:cs="Times New Roman" w:eastAsia="Times New Roman" w:hAnsi="Times New Roman"/>
          <w:sz w:val="20"/>
          <w:szCs w:val="20"/>
          <w:color w:val="auto"/>
        </w:rPr>
      </w:pPr>
    </w:p>
    <w:p>
      <w:pPr>
        <w:ind w:left="1160" w:right="540" w:hanging="446"/>
        <w:spacing w:after="0" w:line="278" w:lineRule="auto"/>
        <w:tabs>
          <w:tab w:leader="none" w:pos="11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Pursuing a balanced, long-term financial strategy that is focused on maintaining an investment grade credit profile and enhancing financial flexibility by making disciplined capital allocation decisions.</w:t>
      </w:r>
    </w:p>
    <w:p>
      <w:pPr>
        <w:spacing w:after="0" w:line="180" w:lineRule="exact"/>
        <w:rPr>
          <w:sz w:val="20"/>
          <w:szCs w:val="20"/>
          <w:color w:val="auto"/>
        </w:rPr>
      </w:pPr>
    </w:p>
    <w:p>
      <w:pPr>
        <w:ind w:right="120" w:firstLine="713"/>
        <w:spacing w:after="0" w:line="263" w:lineRule="auto"/>
        <w:rPr>
          <w:sz w:val="20"/>
          <w:szCs w:val="20"/>
          <w:color w:val="auto"/>
        </w:rPr>
      </w:pPr>
      <w:r>
        <w:rPr>
          <w:rFonts w:ascii="Times New Roman" w:cs="Times New Roman" w:eastAsia="Times New Roman" w:hAnsi="Times New Roman"/>
          <w:sz w:val="20"/>
          <w:szCs w:val="20"/>
          <w:color w:val="auto"/>
        </w:rPr>
        <w:t>We believe successful execution of this strategy will enable us to generate and grow sustainable earnings and cash flow, and will position us to maintain an investment grade credit profile and increase returns to equity holders over time, while also continuing to migrate leverage lower.</w:t>
      </w:r>
    </w:p>
    <w:p>
      <w:pPr>
        <w:sectPr>
          <w:pgSz w:w="11880" w:h="15480" w:orient="portrait"/>
          <w:cols w:equalWidth="0" w:num="1">
            <w:col w:w="10160"/>
          </w:cols>
          <w:pgMar w:left="860" w:top="897"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10160"/>
          </w:cols>
          <w:pgMar w:left="860" w:top="897" w:right="86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Competitive Strengths</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We believe that the following competitive strengths position us to successfully execute our principal business strategy:</w:t>
      </w:r>
    </w:p>
    <w:p>
      <w:pPr>
        <w:spacing w:after="0" w:line="175" w:lineRule="exact"/>
        <w:rPr>
          <w:sz w:val="20"/>
          <w:szCs w:val="20"/>
          <w:color w:val="auto"/>
        </w:rPr>
      </w:pPr>
    </w:p>
    <w:p>
      <w:pPr>
        <w:ind w:left="1080" w:right="60" w:hanging="366"/>
        <w:spacing w:after="0" w:line="252" w:lineRule="auto"/>
        <w:tabs>
          <w:tab w:leader="none" w:pos="1080" w:val="left"/>
        </w:tabs>
        <w:numPr>
          <w:ilvl w:val="0"/>
          <w:numId w:val="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We own a strategically located, geographically diverse and interconnected large-scale asset base that provides operational flexibility and commercial optionality. </w:t>
      </w:r>
      <w:r>
        <w:rPr>
          <w:rFonts w:ascii="Times New Roman" w:cs="Times New Roman" w:eastAsia="Times New Roman" w:hAnsi="Times New Roman"/>
          <w:sz w:val="20"/>
          <w:szCs w:val="20"/>
          <w:color w:val="auto"/>
        </w:rPr>
        <w:t>The majority of our primary transportation assets are in crude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oil service, are located in well-established crude oil producing regions (with our largest asset presence in the Permian Basin) and other transportation corridors and are connected, directly or indirectly, with our terminals and facilities assets. The majority of our terminals and facilities assets are located at major trading locations and premium markets that serve as gateways to major North American refinery and distribution markets and key export terminals where we have strong business relationships. In addition, our pipeline, rail, truck and storage assets provide our customers and us with significant flexibility and optionality to satisfy demand and balance markets, and participate in emerging energy opportunities.</w:t>
      </w:r>
    </w:p>
    <w:p>
      <w:pPr>
        <w:spacing w:after="0" w:line="143" w:lineRule="exact"/>
        <w:rPr>
          <w:rFonts w:ascii="Times New Roman" w:cs="Times New Roman" w:eastAsia="Times New Roman" w:hAnsi="Times New Roman"/>
          <w:sz w:val="20"/>
          <w:szCs w:val="20"/>
          <w:b w:val="1"/>
          <w:bCs w:val="1"/>
          <w:i w:val="1"/>
          <w:iCs w:val="1"/>
          <w:color w:val="auto"/>
        </w:rPr>
      </w:pPr>
    </w:p>
    <w:p>
      <w:pPr>
        <w:ind w:left="1080" w:right="140" w:hanging="366"/>
        <w:spacing w:after="0" w:line="252"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Our full-service integrated model and long-term focus attracts a broad, diverse and high-quality customer base that supports sustainable fee-based cash flow generation. </w:t>
      </w:r>
      <w:r>
        <w:rPr>
          <w:rFonts w:ascii="Times New Roman" w:cs="Times New Roman" w:eastAsia="Times New Roman" w:hAnsi="Times New Roman"/>
          <w:sz w:val="20"/>
          <w:szCs w:val="20"/>
          <w:color w:val="auto"/>
        </w:rPr>
        <w:t>Our strategically located and interconnected asset base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enables us to provide our customers with a wide variety of services, including supply aggregation, quality segregation, flow assurance and market access. We focus on building long-term relationships and alignment of interests with our customers. We believe this approach has helped us build a high-quality portfolio of customers and contracts (including long-term, third-party transportation contracts and acreage dedication contracts) that provide long-term volume support for our assets and, in turn, support long-term fee-based cash flow generation from our assets.</w:t>
      </w:r>
    </w:p>
    <w:p>
      <w:pPr>
        <w:spacing w:after="0" w:line="147" w:lineRule="exact"/>
        <w:rPr>
          <w:rFonts w:ascii="Times New Roman" w:cs="Times New Roman" w:eastAsia="Times New Roman" w:hAnsi="Times New Roman"/>
          <w:sz w:val="20"/>
          <w:szCs w:val="20"/>
          <w:color w:val="auto"/>
        </w:rPr>
      </w:pPr>
    </w:p>
    <w:p>
      <w:pPr>
        <w:ind w:left="1080" w:right="220" w:hanging="366"/>
        <w:spacing w:after="0" w:line="256"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We possess specialized crude oil and NGL market knowledge. </w:t>
      </w:r>
      <w:r>
        <w:rPr>
          <w:rFonts w:ascii="Times New Roman" w:cs="Times New Roman" w:eastAsia="Times New Roman" w:hAnsi="Times New Roman"/>
          <w:sz w:val="20"/>
          <w:szCs w:val="20"/>
          <w:color w:val="auto"/>
        </w:rPr>
        <w:t>We believe our business relationships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in various phases of the crude oil and NGL distribution chain, from producers to refiners, as well as our own industry expertise (including our knowledge of North American crude oil and NGL flows), provide us with extensive market insight and an understanding of the North American physical crude oil and NGL markets that enables us to provide value chain solutions for our customers.</w:t>
      </w:r>
    </w:p>
    <w:p>
      <w:pPr>
        <w:spacing w:after="0" w:line="139" w:lineRule="exact"/>
        <w:rPr>
          <w:rFonts w:ascii="Times New Roman" w:cs="Times New Roman" w:eastAsia="Times New Roman" w:hAnsi="Times New Roman"/>
          <w:sz w:val="20"/>
          <w:szCs w:val="20"/>
          <w:color w:val="auto"/>
        </w:rPr>
      </w:pPr>
    </w:p>
    <w:p>
      <w:pPr>
        <w:ind w:left="1080" w:right="80" w:hanging="366"/>
        <w:spacing w:after="0" w:line="285" w:lineRule="auto"/>
        <w:tabs>
          <w:tab w:leader="none" w:pos="108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Our merchant activities provide us with the opportunity to realize incremental margins. </w:t>
      </w:r>
      <w:r>
        <w:rPr>
          <w:rFonts w:ascii="Times New Roman" w:cs="Times New Roman" w:eastAsia="Times New Roman" w:hAnsi="Times New Roman"/>
          <w:sz w:val="19"/>
          <w:szCs w:val="19"/>
          <w:color w:val="auto"/>
        </w:rPr>
        <w:t>We believe the variety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merchant activities provides us with a low-risk opportunity to generate incremental margin, the amount of which may vary depending on market conditions (such as differentials and certain competitive factors).</w:t>
      </w:r>
    </w:p>
    <w:p>
      <w:pPr>
        <w:spacing w:after="0" w:line="112" w:lineRule="exact"/>
        <w:rPr>
          <w:rFonts w:ascii="Times New Roman" w:cs="Times New Roman" w:eastAsia="Times New Roman" w:hAnsi="Times New Roman"/>
          <w:sz w:val="19"/>
          <w:szCs w:val="19"/>
          <w:color w:val="auto"/>
        </w:rPr>
      </w:pPr>
    </w:p>
    <w:p>
      <w:pPr>
        <w:ind w:left="1080" w:right="260" w:hanging="366"/>
        <w:spacing w:after="0" w:line="273" w:lineRule="auto"/>
        <w:tabs>
          <w:tab w:leader="none" w:pos="108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We have the financial, strategic and technical skills needed to execute strategic transactions that support our business and financial objectives, including joint ventures, joint ownership arrangements, acquisitions and divestitures. </w:t>
      </w:r>
      <w:r>
        <w:rPr>
          <w:rFonts w:ascii="Times New Roman" w:cs="Times New Roman" w:eastAsia="Times New Roman" w:hAnsi="Times New Roman"/>
          <w:sz w:val="19"/>
          <w:szCs w:val="19"/>
          <w:color w:val="auto"/>
        </w:rPr>
        <w:t>Since 2016 through December 31, 2022, we have consummated over 10 joint venture and/or joint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ownership arrangements, including the Permian JV formation completed in October 2021, and completed more than $4.6 billion of divestitures of non-core assets and/or strategic sales of partial interests in selected assets.</w:t>
      </w:r>
    </w:p>
    <w:p>
      <w:pPr>
        <w:spacing w:after="0" w:line="123" w:lineRule="exact"/>
        <w:rPr>
          <w:rFonts w:ascii="Times New Roman" w:cs="Times New Roman" w:eastAsia="Times New Roman" w:hAnsi="Times New Roman"/>
          <w:sz w:val="19"/>
          <w:szCs w:val="19"/>
          <w:color w:val="auto"/>
        </w:rPr>
      </w:pPr>
    </w:p>
    <w:p>
      <w:pPr>
        <w:ind w:left="1080" w:hanging="366"/>
        <w:spacing w:after="0" w:line="254"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We have an experienced management team whose interests are aligned with those of our equity holders. </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executive management team has an average of 30+ years of experience spanning across all sectors of the energy industry, as well as investment banking, and an average of over 15 years of experience with us or our predecessors and affiliates. In addition, through their ownership of equity interests and grants of long-term equity incentive awards, our management team has a vested interest in our continued success that is aligned with the interests of our equity holders.</w:t>
      </w:r>
    </w:p>
    <w:p>
      <w:pPr>
        <w:sectPr>
          <w:pgSz w:w="11880" w:h="15480" w:orient="portrait"/>
          <w:cols w:equalWidth="0" w:num="1">
            <w:col w:w="10140"/>
          </w:cols>
          <w:pgMar w:left="860" w:top="67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10140"/>
          </w:cols>
          <w:pgMar w:left="860" w:top="676" w:right="8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Financial Strategy</w:t>
      </w:r>
    </w:p>
    <w:p>
      <w:pPr>
        <w:spacing w:after="0" w:line="252" w:lineRule="exact"/>
        <w:rPr>
          <w:sz w:val="20"/>
          <w:szCs w:val="20"/>
          <w:color w:val="auto"/>
        </w:rPr>
      </w:pPr>
    </w:p>
    <w:p>
      <w:pPr>
        <w:ind w:right="20" w:firstLine="713"/>
        <w:spacing w:after="0" w:line="253" w:lineRule="auto"/>
        <w:rPr>
          <w:sz w:val="20"/>
          <w:szCs w:val="20"/>
          <w:color w:val="auto"/>
        </w:rPr>
      </w:pPr>
      <w:r>
        <w:rPr>
          <w:rFonts w:ascii="Times New Roman" w:cs="Times New Roman" w:eastAsia="Times New Roman" w:hAnsi="Times New Roman"/>
          <w:sz w:val="20"/>
          <w:szCs w:val="20"/>
          <w:color w:val="auto"/>
        </w:rPr>
        <w:t>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our initial public offering in 1998, we have completed and integrated over 100 acquisitions with an aggregate purchase price of approximately $14.0 billion, implemented investment capital projects totaling approximately $17.3 billion, returned $17.2 billion to our equity holders, primarily in the form of distributions, and enhanced our credit rating to investment grade from non-investment grade.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Targeted Credit Profile</w:t>
      </w:r>
    </w:p>
    <w:p>
      <w:pPr>
        <w:spacing w:after="0" w:line="253" w:lineRule="exact"/>
        <w:rPr>
          <w:sz w:val="20"/>
          <w:szCs w:val="20"/>
          <w:color w:val="auto"/>
        </w:rPr>
      </w:pPr>
    </w:p>
    <w:p>
      <w:pPr>
        <w:ind w:right="260" w:firstLine="713"/>
        <w:spacing w:after="0" w:line="278" w:lineRule="auto"/>
        <w:rPr>
          <w:sz w:val="20"/>
          <w:szCs w:val="20"/>
          <w:color w:val="auto"/>
        </w:rPr>
      </w:pPr>
      <w:r>
        <w:rPr>
          <w:rFonts w:ascii="Times New Roman" w:cs="Times New Roman" w:eastAsia="Times New Roman" w:hAnsi="Times New Roman"/>
          <w:sz w:val="20"/>
          <w:szCs w:val="20"/>
          <w:color w:val="auto"/>
        </w:rPr>
        <w:t>As part of our financial strategy, we intend to maintain a credit profile that we believe is consistent with investment grade credit ratings. We target a credit profile with the following attributes:</w:t>
      </w:r>
    </w:p>
    <w:p>
      <w:pPr>
        <w:spacing w:after="0" w:line="180" w:lineRule="exact"/>
        <w:rPr>
          <w:sz w:val="20"/>
          <w:szCs w:val="20"/>
          <w:color w:val="auto"/>
        </w:rPr>
      </w:pPr>
    </w:p>
    <w:p>
      <w:pPr>
        <w:ind w:left="1080" w:right="400" w:hanging="366"/>
        <w:spacing w:after="0" w:line="263"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leverage multiple averaging between 3.75x to 4.25x, which is calculated as total debt plus 50% of preferred units, divided by Adjusted EBITDA attributable to PAA (this is roughly equivalent to a long-term debt-to-Adjusted EBITDA attributable to PAA multiple of between 3.0x and 3.5x);</w:t>
      </w:r>
    </w:p>
    <w:p>
      <w:pPr>
        <w:spacing w:after="0" w:line="75"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average long-term debt-to-total capitalization ratio of approximately 50% or less;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average total debt-to-total capitalization ratio of approximately 60% or less; and</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average Adjusted EBITDA-to-interest coverage multiple of approximately 3.3x or better.</w:t>
      </w:r>
    </w:p>
    <w:p>
      <w:pPr>
        <w:spacing w:after="0" w:line="245" w:lineRule="exact"/>
        <w:rPr>
          <w:sz w:val="20"/>
          <w:szCs w:val="20"/>
          <w:color w:val="auto"/>
        </w:rPr>
      </w:pPr>
    </w:p>
    <w:p>
      <w:pPr>
        <w:ind w:right="260" w:firstLine="713"/>
        <w:spacing w:after="0" w:line="263" w:lineRule="auto"/>
        <w:rPr>
          <w:sz w:val="20"/>
          <w:szCs w:val="20"/>
          <w:color w:val="auto"/>
        </w:rPr>
      </w:pPr>
      <w:r>
        <w:rPr>
          <w:rFonts w:ascii="Times New Roman" w:cs="Times New Roman" w:eastAsia="Times New Roman" w:hAnsi="Times New Roman"/>
          <w:sz w:val="20"/>
          <w:szCs w:val="20"/>
          <w:color w:val="auto"/>
        </w:rPr>
        <w:t>See Item 7. “Management’s Discussion and Analysis of Financial Condition and Results of Operations—Results of Operations—Non-GAAP Financial Measures” for our definition of Adjusted EBITDA and a reconciliation to Adjusted EBITDA attributable to PAA.</w:t>
      </w:r>
    </w:p>
    <w:p>
      <w:pPr>
        <w:spacing w:after="0" w:line="194" w:lineRule="exact"/>
        <w:rPr>
          <w:sz w:val="20"/>
          <w:szCs w:val="20"/>
          <w:color w:val="auto"/>
        </w:rPr>
      </w:pPr>
    </w:p>
    <w:p>
      <w:pPr>
        <w:ind w:right="180" w:firstLine="713"/>
        <w:spacing w:after="0" w:line="252" w:lineRule="auto"/>
        <w:rPr>
          <w:sz w:val="20"/>
          <w:szCs w:val="20"/>
          <w:color w:val="auto"/>
        </w:rPr>
      </w:pPr>
      <w:r>
        <w:rPr>
          <w:rFonts w:ascii="Times New Roman" w:cs="Times New Roman" w:eastAsia="Times New Roman" w:hAnsi="Times New Roman"/>
          <w:sz w:val="20"/>
          <w:szCs w:val="20"/>
          <w:color w:val="auto"/>
        </w:rPr>
        <w:t>At December 31, 2022, our publicly-traded senior notes comprised approximately 99% of our long-term debt. Additionally, we also routinely incur short-term debt primarily in connection with our merchant activities that involve the simultaneous purchase and forward sale of crude oil and NGL. The crude oil and NGL purchased in these transactions are volumetrically hedged.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above baseline levels. Similar to our working capital borrowings, these borrowings are self-liquidating. We do not consider the working capital borrowings or margin requirements associated with these activities to be part of our long-term capital structure.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Values and Sustainability</w:t>
      </w:r>
    </w:p>
    <w:p>
      <w:pPr>
        <w:spacing w:after="0" w:line="252" w:lineRule="exact"/>
        <w:rPr>
          <w:sz w:val="20"/>
          <w:szCs w:val="20"/>
          <w:color w:val="auto"/>
        </w:rPr>
      </w:pPr>
    </w:p>
    <w:p>
      <w:pPr>
        <w:ind w:firstLine="713"/>
        <w:spacing w:after="0" w:line="264" w:lineRule="auto"/>
        <w:rPr>
          <w:sz w:val="20"/>
          <w:szCs w:val="20"/>
          <w:color w:val="auto"/>
        </w:rPr>
      </w:pPr>
      <w:r>
        <w:rPr>
          <w:rFonts w:ascii="Times New Roman" w:cs="Times New Roman" w:eastAsia="Times New Roman" w:hAnsi="Times New Roman"/>
          <w:sz w:val="19"/>
          <w:szCs w:val="19"/>
          <w:color w:val="auto"/>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we conduct ourselves and engage in business relationships. Our approach to sustainability involves integrating prudent environmental, social and governance (“ESG”) practices throughout the organization with a focus on transparency and building trust among stakeholders, managing operating and business risks and minimizing environmental impacts, and utilizing our people, assets and systems to maximize long-term value for our stakeholders. The tenets of sustainability align with our values, underpin our business strategy and offer a framework to measure and report our progress. Annual environmental, safety and operational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Board Committee provides additional oversight and perspectives with respect to HSES matters. Additional information regarding our Core Values and our commitment to environmental and social responsibility, including our annual Sustainability report, is available in the Sustainability section of our website. See “—Available Information” below.</w:t>
      </w:r>
    </w:p>
    <w:p>
      <w:pPr>
        <w:sectPr>
          <w:pgSz w:w="11880" w:h="15480" w:orient="portrait"/>
          <w:cols w:equalWidth="0" w:num="1">
            <w:col w:w="10120"/>
          </w:cols>
          <w:pgMar w:left="860" w:top="6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10120"/>
          </w:cols>
          <w:pgMar w:left="860" w:top="676" w:right="90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Description of Segments and Associated Assets</w:t>
      </w:r>
    </w:p>
    <w:p>
      <w:pPr>
        <w:spacing w:after="0" w:line="252" w:lineRule="exact"/>
        <w:rPr>
          <w:sz w:val="20"/>
          <w:szCs w:val="20"/>
          <w:color w:val="auto"/>
        </w:rPr>
      </w:pPr>
    </w:p>
    <w:p>
      <w:pPr>
        <w:ind w:firstLine="713"/>
        <w:spacing w:after="0" w:line="263" w:lineRule="auto"/>
        <w:rPr>
          <w:sz w:val="20"/>
          <w:szCs w:val="20"/>
          <w:color w:val="auto"/>
        </w:rPr>
      </w:pPr>
      <w:r>
        <w:rPr>
          <w:rFonts w:ascii="Times New Roman" w:cs="Times New Roman" w:eastAsia="Times New Roman" w:hAnsi="Times New Roman"/>
          <w:sz w:val="20"/>
          <w:szCs w:val="20"/>
          <w:color w:val="auto"/>
        </w:rPr>
        <w:t>Our business activities are conducted through two segments — Crude Oil and Natural Gas Liquids (“NGL”). We have an extensive network of pipeline transportation, terminalling, storage and gathering assets in key crude oil and NGL producing basins and transportation corridors and at major market hubs in the United States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163195</wp:posOffset>
            </wp:positionV>
            <wp:extent cx="5997575" cy="5170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5997575" cy="517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Following is a description of the activities and assets for each of our segments.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Crude Oil Segment</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Crude Oil Market and Business Overview</w:t>
      </w:r>
    </w:p>
    <w:p>
      <w:pPr>
        <w:spacing w:after="0" w:line="252" w:lineRule="exact"/>
        <w:rPr>
          <w:sz w:val="20"/>
          <w:szCs w:val="20"/>
          <w:color w:val="auto"/>
        </w:rPr>
      </w:pPr>
    </w:p>
    <w:p>
      <w:pPr>
        <w:ind w:right="80" w:firstLine="713"/>
        <w:spacing w:after="0" w:line="252" w:lineRule="auto"/>
        <w:rPr>
          <w:sz w:val="20"/>
          <w:szCs w:val="20"/>
          <w:color w:val="auto"/>
        </w:rPr>
      </w:pPr>
      <w:r>
        <w:rPr>
          <w:rFonts w:ascii="Times New Roman" w:cs="Times New Roman" w:eastAsia="Times New Roman" w:hAnsi="Times New Roman"/>
          <w:sz w:val="20"/>
          <w:szCs w:val="20"/>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sectPr>
          <w:pgSz w:w="11880" w:h="15480" w:orient="portrait"/>
          <w:cols w:equalWidth="0" w:num="1">
            <w:col w:w="10140"/>
          </w:cols>
          <w:pgMar w:left="860" w:top="67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140"/>
          </w:cols>
          <w:pgMar w:left="860" w:top="676" w:right="880" w:bottom="0" w:gutter="0" w:footer="0" w:header="0"/>
          <w:type w:val="continuous"/>
        </w:sectPr>
      </w:pPr>
    </w:p>
    <w:bookmarkStart w:id="10" w:name="page11"/>
    <w:bookmarkEnd w:id="10"/>
    <w:p>
      <w:pPr>
        <w:ind w:firstLine="713"/>
        <w:spacing w:after="0" w:line="272" w:lineRule="auto"/>
        <w:rPr>
          <w:sz w:val="20"/>
          <w:szCs w:val="20"/>
          <w:color w:val="auto"/>
        </w:rPr>
      </w:pPr>
      <w:r>
        <w:rPr>
          <w:rFonts w:ascii="Times New Roman" w:cs="Times New Roman" w:eastAsia="Times New Roman" w:hAnsi="Times New Roman"/>
          <w:sz w:val="19"/>
          <w:szCs w:val="19"/>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w:t>
      </w:r>
    </w:p>
    <w:p>
      <w:pPr>
        <w:spacing w:after="0" w:line="188" w:lineRule="exact"/>
        <w:rPr>
          <w:sz w:val="20"/>
          <w:szCs w:val="20"/>
          <w:color w:val="auto"/>
        </w:rPr>
      </w:pPr>
    </w:p>
    <w:p>
      <w:pPr>
        <w:ind w:right="100" w:firstLine="713"/>
        <w:spacing w:after="0" w:line="253" w:lineRule="auto"/>
        <w:rPr>
          <w:sz w:val="20"/>
          <w:szCs w:val="20"/>
          <w:color w:val="auto"/>
        </w:rPr>
      </w:pPr>
      <w:r>
        <w:rPr>
          <w:rFonts w:ascii="Times New Roman" w:cs="Times New Roman" w:eastAsia="Times New Roman" w:hAnsi="Times New Roman"/>
          <w:sz w:val="20"/>
          <w:szCs w:val="20"/>
          <w:color w:val="auto"/>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204" w:lineRule="exact"/>
        <w:rPr>
          <w:sz w:val="20"/>
          <w:szCs w:val="20"/>
          <w:color w:val="auto"/>
        </w:rPr>
      </w:pPr>
    </w:p>
    <w:p>
      <w:pPr>
        <w:ind w:firstLine="713"/>
        <w:spacing w:after="0" w:line="254" w:lineRule="auto"/>
        <w:rPr>
          <w:sz w:val="20"/>
          <w:szCs w:val="20"/>
          <w:color w:val="auto"/>
        </w:rPr>
      </w:pPr>
      <w:r>
        <w:rPr>
          <w:rFonts w:ascii="Times New Roman" w:cs="Times New Roman" w:eastAsia="Times New Roman" w:hAnsi="Times New Roman"/>
          <w:sz w:val="20"/>
          <w:szCs w:val="20"/>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w:t>
      </w:r>
    </w:p>
    <w:p>
      <w:pPr>
        <w:spacing w:after="0" w:line="203" w:lineRule="exact"/>
        <w:rPr>
          <w:sz w:val="20"/>
          <w:szCs w:val="20"/>
          <w:color w:val="auto"/>
        </w:rPr>
      </w:pPr>
    </w:p>
    <w:p>
      <w:pPr>
        <w:ind w:firstLine="713"/>
        <w:spacing w:after="0" w:line="278" w:lineRule="auto"/>
        <w:rPr>
          <w:sz w:val="20"/>
          <w:szCs w:val="20"/>
          <w:color w:val="auto"/>
        </w:rPr>
      </w:pPr>
      <w:r>
        <w:rPr>
          <w:rFonts w:ascii="Times New Roman" w:cs="Times New Roman" w:eastAsia="Times New Roman" w:hAnsi="Times New Roman"/>
          <w:sz w:val="20"/>
          <w:szCs w:val="20"/>
          <w:color w:val="auto"/>
        </w:rPr>
        <w:t>The figure below provides an illustrative and simplified overview of the assets and activities associated with our Crude Oil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6449695" cy="1617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449695"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80" w:firstLine="713"/>
        <w:spacing w:after="0" w:line="261" w:lineRule="auto"/>
        <w:rPr>
          <w:sz w:val="20"/>
          <w:szCs w:val="20"/>
          <w:color w:val="auto"/>
        </w:rPr>
      </w:pPr>
      <w:r>
        <w:rPr>
          <w:rFonts w:ascii="Times New Roman" w:cs="Times New Roman" w:eastAsia="Times New Roman" w:hAnsi="Times New Roman"/>
          <w:sz w:val="19"/>
          <w:szCs w:val="19"/>
          <w:color w:val="auto"/>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(i) storage, throughput and loading/unloading fees at our crude oil terminals, and</w:t>
      </w:r>
    </w:p>
    <w:p>
      <w:pPr>
        <w:ind w:right="640" w:firstLine="1"/>
        <w:spacing w:after="0" w:line="278" w:lineRule="auto"/>
        <w:tabs>
          <w:tab w:leader="none" w:pos="29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from condensate processing services. We also generate significant revenue through a variety of commercial and merchant activities that often result in increased utilization of our transportation and storage assets.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Crude Oil Segment Assets Overview</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2022, the assets utilized in our Crude Oil segment included the following:</w:t>
      </w:r>
    </w:p>
    <w:p>
      <w:pPr>
        <w:spacing w:after="0" w:line="229" w:lineRule="exact"/>
        <w:rPr>
          <w:sz w:val="20"/>
          <w:szCs w:val="20"/>
          <w:color w:val="auto"/>
        </w:rPr>
      </w:pPr>
    </w:p>
    <w:p>
      <w:pPr>
        <w:ind w:left="1080" w:hanging="366"/>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18,075 miles of active crude oil transportation pipelines and gathering systems;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72 million barrels of commercial crude oil storage capacity at our terminalling and storage locations;</w:t>
      </w:r>
    </w:p>
    <w:p>
      <w:pPr>
        <w:spacing w:after="0" w:line="126" w:lineRule="exact"/>
        <w:rPr>
          <w:rFonts w:ascii="Times New Roman" w:cs="Times New Roman" w:eastAsia="Times New Roman" w:hAnsi="Times New Roman"/>
          <w:sz w:val="20"/>
          <w:szCs w:val="20"/>
          <w:color w:val="auto"/>
        </w:rPr>
      </w:pPr>
    </w:p>
    <w:p>
      <w:pPr>
        <w:ind w:left="1080" w:right="180" w:hanging="366"/>
        <w:spacing w:after="0" w:line="278" w:lineRule="auto"/>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39 million barrels of active, above-ground tank capacity used to facilitate pipeline throughput or support our rail assets and help maintain product quality segregation;</w:t>
      </w:r>
    </w:p>
    <w:p>
      <w:pPr>
        <w:spacing w:after="0" w:line="61"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 marine facilities in the United States;</w:t>
      </w:r>
    </w:p>
    <w:p>
      <w:pPr>
        <w:spacing w:after="0" w:line="126" w:lineRule="exact"/>
        <w:rPr>
          <w:rFonts w:ascii="Times New Roman" w:cs="Times New Roman" w:eastAsia="Times New Roman" w:hAnsi="Times New Roman"/>
          <w:sz w:val="20"/>
          <w:szCs w:val="20"/>
          <w:color w:val="auto"/>
        </w:rPr>
      </w:pPr>
    </w:p>
    <w:p>
      <w:pPr>
        <w:ind w:left="1080" w:right="540" w:hanging="366"/>
        <w:spacing w:after="0" w:line="278" w:lineRule="auto"/>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condensate processing facility located in the Eagle Ford area of South Texas with an aggregate processing capacity of 120,000 barrels per day;</w:t>
      </w:r>
    </w:p>
    <w:p>
      <w:pPr>
        <w:spacing w:after="0" w:line="61" w:lineRule="exact"/>
        <w:rPr>
          <w:rFonts w:ascii="Times New Roman" w:cs="Times New Roman" w:eastAsia="Times New Roman" w:hAnsi="Times New Roman"/>
          <w:sz w:val="20"/>
          <w:szCs w:val="20"/>
          <w:color w:val="auto"/>
        </w:rPr>
      </w:pPr>
    </w:p>
    <w:p>
      <w:pPr>
        <w:ind w:left="1080" w:right="200" w:hanging="366"/>
        <w:spacing w:after="0" w:line="278" w:lineRule="auto"/>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seven crude oil rail terminals with aggregate loading and unloading capacity of 264,000 and 350,000 barrels per day, respectively;</w:t>
      </w:r>
    </w:p>
    <w:p>
      <w:pPr>
        <w:sectPr>
          <w:pgSz w:w="11880" w:h="15480" w:orient="portrait"/>
          <w:cols w:equalWidth="0" w:num="1">
            <w:col w:w="10140"/>
          </w:cols>
          <w:pgMar w:left="860" w:top="683" w:right="880" w:bottom="0" w:gutter="0" w:footer="0" w:header="0"/>
        </w:sect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140"/>
          </w:cols>
          <w:pgMar w:left="860" w:top="683" w:right="880" w:bottom="0" w:gutter="0" w:footer="0" w:header="0"/>
          <w:type w:val="continuous"/>
        </w:sectPr>
      </w:pPr>
    </w:p>
    <w:bookmarkStart w:id="11" w:name="page12"/>
    <w:bookmarkEnd w:id="11"/>
    <w:p>
      <w:pPr>
        <w:ind w:left="1080" w:hanging="366"/>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2,100 crude oil railcars; and</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720 trucks and 1,440 trailers.</w:t>
      </w:r>
    </w:p>
    <w:p>
      <w:pPr>
        <w:spacing w:after="0" w:line="245" w:lineRule="exact"/>
        <w:rPr>
          <w:rFonts w:ascii="Times New Roman" w:cs="Times New Roman" w:eastAsia="Times New Roman" w:hAnsi="Times New Roman"/>
          <w:sz w:val="20"/>
          <w:szCs w:val="20"/>
          <w:color w:val="auto"/>
        </w:rPr>
      </w:pPr>
    </w:p>
    <w:p>
      <w:pPr>
        <w:ind w:left="10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our assets include the linefill associated with our commercial activities, including approximately:</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 million barrels of crude oil linefill in pipelines and tanks owned by us; and</w:t>
      </w:r>
    </w:p>
    <w:p>
      <w:pPr>
        <w:spacing w:after="0" w:line="126" w:lineRule="exact"/>
        <w:rPr>
          <w:rFonts w:ascii="Times New Roman" w:cs="Times New Roman" w:eastAsia="Times New Roman" w:hAnsi="Times New Roman"/>
          <w:sz w:val="20"/>
          <w:szCs w:val="20"/>
          <w:color w:val="auto"/>
        </w:rPr>
      </w:pPr>
    </w:p>
    <w:p>
      <w:pPr>
        <w:ind w:left="1080" w:right="180" w:hanging="366"/>
        <w:spacing w:after="0" w:line="278"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million barrels of crude oil utilized as linefill in pipelines owned by third parties or otherwise required as long-term inventory.</w:t>
      </w:r>
    </w:p>
    <w:p>
      <w:pPr>
        <w:spacing w:after="0" w:line="180" w:lineRule="exact"/>
        <w:rPr>
          <w:sz w:val="20"/>
          <w:szCs w:val="20"/>
          <w:color w:val="auto"/>
        </w:rPr>
      </w:pPr>
    </w:p>
    <w:p>
      <w:pPr>
        <w:ind w:right="760" w:firstLine="713"/>
        <w:spacing w:after="0" w:line="263" w:lineRule="auto"/>
        <w:rPr>
          <w:sz w:val="20"/>
          <w:szCs w:val="20"/>
          <w:color w:val="auto"/>
        </w:rPr>
      </w:pPr>
      <w:r>
        <w:rPr>
          <w:rFonts w:ascii="Times New Roman" w:cs="Times New Roman" w:eastAsia="Times New Roman" w:hAnsi="Times New Roman"/>
          <w:sz w:val="20"/>
          <w:szCs w:val="20"/>
          <w:color w:val="auto"/>
        </w:rPr>
        <w:t>The following table presents additional information about our pipelines and terminals by geographic location, including active pipeline miles and commercial storage capacity as of December 31, 2022 and average daily volumes transported on our crude oil pipelines for the year ended December 31,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Region</w:t>
            </w:r>
          </w:p>
        </w:tc>
        <w:tc>
          <w:tcPr>
            <w:tcW w:w="60" w:type="dxa"/>
            <w:vAlign w:val="bottom"/>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Ownership Percentage</w:t>
            </w:r>
          </w:p>
        </w:tc>
        <w:tc>
          <w:tcPr>
            <w:tcW w:w="60" w:type="dxa"/>
            <w:vAlign w:val="bottom"/>
          </w:tcPr>
          <w:p>
            <w:pPr>
              <w:spacing w:after="0"/>
              <w:rPr>
                <w:sz w:val="17"/>
                <w:szCs w:val="17"/>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7"/>
                <w:szCs w:val="17"/>
                <w:b w:val="1"/>
                <w:bCs w:val="1"/>
                <w:color w:val="auto"/>
              </w:rPr>
              <w:t>Approximate</w:t>
            </w:r>
          </w:p>
        </w:tc>
        <w:tc>
          <w:tcPr>
            <w:tcW w:w="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 Average</w:t>
            </w:r>
          </w:p>
        </w:tc>
        <w:tc>
          <w:tcPr>
            <w:tcW w:w="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Commercial Storage</w:t>
            </w:r>
          </w:p>
        </w:tc>
        <w:tc>
          <w:tcPr>
            <w:tcW w:w="0" w:type="dxa"/>
            <w:vAlign w:val="bottom"/>
          </w:tcPr>
          <w:p>
            <w:pPr>
              <w:spacing w:after="0"/>
              <w:rPr>
                <w:sz w:val="1"/>
                <w:szCs w:val="1"/>
                <w:color w:val="auto"/>
              </w:rPr>
            </w:pPr>
          </w:p>
        </w:tc>
      </w:tr>
      <w:tr>
        <w:trPr>
          <w:trHeight w:val="224"/>
        </w:trPr>
        <w:tc>
          <w:tcPr>
            <w:tcW w:w="3600" w:type="dxa"/>
            <w:vAlign w:val="bottom"/>
            <w:tcBorders>
              <w:bottom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Borders>
              <w:bottom w:val="single" w:sz="8" w:color="auto"/>
            </w:tcBorders>
          </w:tcPr>
          <w:p>
            <w:pPr>
              <w:jc w:val="right"/>
              <w:ind w:right="31"/>
              <w:spacing w:after="0" w:line="224" w:lineRule="exact"/>
              <w:rPr>
                <w:sz w:val="20"/>
                <w:szCs w:val="20"/>
                <w:color w:val="auto"/>
              </w:rPr>
            </w:pPr>
            <w:r>
              <w:rPr>
                <w:rFonts w:ascii="Times New Roman" w:cs="Times New Roman" w:eastAsia="Times New Roman" w:hAnsi="Times New Roman"/>
                <w:sz w:val="17"/>
                <w:szCs w:val="17"/>
                <w:b w:val="1"/>
                <w:bCs w:val="1"/>
                <w:color w:val="auto"/>
              </w:rPr>
              <w:t xml:space="preserve">System Miles </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center"/>
              <w:spacing w:after="0" w:line="224" w:lineRule="exact"/>
              <w:rPr>
                <w:sz w:val="20"/>
                <w:szCs w:val="20"/>
                <w:color w:val="auto"/>
              </w:rPr>
            </w:pPr>
            <w:r>
              <w:rPr>
                <w:rFonts w:ascii="Times New Roman" w:cs="Times New Roman" w:eastAsia="Times New Roman" w:hAnsi="Times New Roman"/>
                <w:sz w:val="17"/>
                <w:szCs w:val="17"/>
                <w:b w:val="1"/>
                <w:bCs w:val="1"/>
                <w:color w:val="auto"/>
                <w:w w:val="96"/>
              </w:rPr>
              <w:t xml:space="preserve">Barrels per Day </w:t>
            </w:r>
            <w:r>
              <w:rPr>
                <w:rFonts w:ascii="Times New Roman" w:cs="Times New Roman" w:eastAsia="Times New Roman" w:hAnsi="Times New Roman"/>
                <w:sz w:val="21"/>
                <w:szCs w:val="21"/>
                <w:b w:val="1"/>
                <w:bCs w:val="1"/>
                <w:color w:val="auto"/>
                <w:w w:val="96"/>
                <w:vertAlign w:val="superscript"/>
              </w:rPr>
              <w:t>(2)</w:t>
            </w:r>
          </w:p>
        </w:tc>
        <w:tc>
          <w:tcPr>
            <w:tcW w:w="40" w:type="dxa"/>
            <w:vAlign w:val="bottom"/>
          </w:tcPr>
          <w:p>
            <w:pPr>
              <w:spacing w:after="0"/>
              <w:rPr>
                <w:sz w:val="19"/>
                <w:szCs w:val="19"/>
                <w:color w:val="auto"/>
              </w:rPr>
            </w:pPr>
          </w:p>
        </w:tc>
        <w:tc>
          <w:tcPr>
            <w:tcW w:w="1600" w:type="dxa"/>
            <w:vAlign w:val="bottom"/>
            <w:tcBorders>
              <w:bottom w:val="single" w:sz="8" w:color="auto"/>
            </w:tcBorders>
          </w:tcPr>
          <w:p>
            <w:pPr>
              <w:jc w:val="right"/>
              <w:ind w:right="291"/>
              <w:spacing w:after="0" w:line="224" w:lineRule="exact"/>
              <w:rPr>
                <w:sz w:val="20"/>
                <w:szCs w:val="20"/>
                <w:color w:val="auto"/>
              </w:rPr>
            </w:pPr>
            <w:r>
              <w:rPr>
                <w:rFonts w:ascii="Times New Roman" w:cs="Times New Roman" w:eastAsia="Times New Roman" w:hAnsi="Times New Roman"/>
                <w:sz w:val="17"/>
                <w:szCs w:val="17"/>
                <w:b w:val="1"/>
                <w:bCs w:val="1"/>
                <w:color w:val="auto"/>
              </w:rPr>
              <w:t xml:space="preserve">Capacity </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40" w:type="dxa"/>
            <w:vAlign w:val="bottom"/>
          </w:tcPr>
          <w:p>
            <w:pPr>
              <w:spacing w:after="0"/>
              <w:rPr>
                <w:sz w:val="20"/>
                <w:szCs w:val="20"/>
                <w:color w:val="auto"/>
              </w:rPr>
            </w:pPr>
          </w:p>
        </w:tc>
        <w:tc>
          <w:tcPr>
            <w:tcW w:w="160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90"/>
        </w:trPr>
        <w:tc>
          <w:tcPr>
            <w:tcW w:w="360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Permian Basin:</w:t>
            </w:r>
          </w:p>
        </w:tc>
        <w:tc>
          <w:tcPr>
            <w:tcW w:w="60" w:type="dxa"/>
            <w:vAlign w:val="bottom"/>
            <w:shd w:val="clear" w:color="auto" w:fill="E6E6E6"/>
          </w:tcPr>
          <w:p>
            <w:pPr>
              <w:spacing w:after="0"/>
              <w:rPr>
                <w:sz w:val="24"/>
                <w:szCs w:val="24"/>
                <w:color w:val="auto"/>
              </w:rPr>
            </w:pPr>
          </w:p>
        </w:tc>
        <w:tc>
          <w:tcPr>
            <w:tcW w:w="17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3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6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6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 xml:space="preserve">Gathering pipelines </w:t>
            </w:r>
            <w:r>
              <w:rPr>
                <w:rFonts w:ascii="Times New Roman" w:cs="Times New Roman" w:eastAsia="Times New Roman" w:hAnsi="Times New Roman"/>
                <w:sz w:val="25"/>
                <w:szCs w:val="25"/>
                <w:color w:val="auto"/>
                <w:vertAlign w:val="superscript"/>
              </w:rPr>
              <w:t>(4)</w:t>
            </w:r>
          </w:p>
        </w:tc>
        <w:tc>
          <w:tcPr>
            <w:tcW w:w="180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8"/>
              </w:rPr>
              <w:t>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4,915</w:t>
            </w: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2,346</w:t>
            </w: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gridSpan w:val="2"/>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 xml:space="preserve">Intra-basin pipelines </w:t>
            </w:r>
            <w:r>
              <w:rPr>
                <w:rFonts w:ascii="Times New Roman" w:cs="Times New Roman" w:eastAsia="Times New Roman" w:hAnsi="Times New Roman"/>
                <w:sz w:val="25"/>
                <w:szCs w:val="25"/>
                <w:color w:val="auto"/>
                <w:vertAlign w:val="superscript"/>
              </w:rPr>
              <w:t>(4) (5)</w:t>
            </w:r>
          </w:p>
        </w:tc>
        <w:tc>
          <w:tcPr>
            <w:tcW w:w="1800" w:type="dxa"/>
            <w:vAlign w:val="bottom"/>
            <w:gridSpan w:val="2"/>
            <w:shd w:val="clear" w:color="auto" w:fill="E6E6E6"/>
          </w:tcPr>
          <w:p>
            <w:pPr>
              <w:jc w:val="center"/>
              <w:ind w:left="21"/>
              <w:spacing w:after="0"/>
              <w:rPr>
                <w:sz w:val="20"/>
                <w:szCs w:val="20"/>
                <w:color w:val="auto"/>
              </w:rPr>
            </w:pPr>
            <w:r>
              <w:rPr>
                <w:rFonts w:ascii="Times New Roman" w:cs="Times New Roman" w:eastAsia="Times New Roman" w:hAnsi="Times New Roman"/>
                <w:sz w:val="20"/>
                <w:szCs w:val="20"/>
                <w:color w:val="auto"/>
                <w:w w:val="99"/>
              </w:rPr>
              <w:t>65% - 100%</w:t>
            </w: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1680" w:type="dxa"/>
            <w:vAlign w:val="bottom"/>
            <w:gridSpan w:val="2"/>
            <w:shd w:val="clear" w:color="auto" w:fill="E6E6E6"/>
          </w:tcPr>
          <w:p>
            <w:pPr>
              <w:jc w:val="right"/>
              <w:ind w:right="13"/>
              <w:spacing w:after="0"/>
              <w:rPr>
                <w:sz w:val="20"/>
                <w:szCs w:val="20"/>
                <w:color w:val="auto"/>
              </w:rPr>
            </w:pPr>
            <w:r>
              <w:rPr>
                <w:rFonts w:ascii="Times New Roman" w:cs="Times New Roman" w:eastAsia="Times New Roman" w:hAnsi="Times New Roman"/>
                <w:sz w:val="20"/>
                <w:szCs w:val="20"/>
                <w:color w:val="auto"/>
              </w:rPr>
              <w:t>2,084</w:t>
            </w:r>
          </w:p>
        </w:tc>
        <w:tc>
          <w:tcPr>
            <w:tcW w:w="40" w:type="dxa"/>
            <w:vAlign w:val="bottom"/>
            <w:shd w:val="clear" w:color="auto" w:fill="E6E6E6"/>
          </w:tcPr>
          <w:p>
            <w:pPr>
              <w:spacing w:after="0"/>
              <w:rPr>
                <w:sz w:val="24"/>
                <w:szCs w:val="24"/>
                <w:color w:val="auto"/>
              </w:rPr>
            </w:pPr>
          </w:p>
        </w:tc>
        <w:tc>
          <w:tcPr>
            <w:tcW w:w="16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600" w:type="dxa"/>
            <w:vAlign w:val="bottom"/>
            <w:tcBorders>
              <w:bottom w:val="single" w:sz="8" w:color="E6E6E6"/>
            </w:tcBorders>
            <w:gridSpan w:val="2"/>
          </w:tcPr>
          <w:p>
            <w:pPr>
              <w:ind w:left="300"/>
              <w:spacing w:after="0"/>
              <w:rPr>
                <w:sz w:val="20"/>
                <w:szCs w:val="20"/>
                <w:color w:val="auto"/>
              </w:rPr>
            </w:pPr>
            <w:r>
              <w:rPr>
                <w:rFonts w:ascii="Times New Roman" w:cs="Times New Roman" w:eastAsia="Times New Roman" w:hAnsi="Times New Roman"/>
                <w:sz w:val="20"/>
                <w:szCs w:val="20"/>
                <w:color w:val="auto"/>
              </w:rPr>
              <w:t xml:space="preserve">Long-haul pipelines </w:t>
            </w:r>
            <w:r>
              <w:rPr>
                <w:rFonts w:ascii="Times New Roman" w:cs="Times New Roman" w:eastAsia="Times New Roman" w:hAnsi="Times New Roman"/>
                <w:sz w:val="25"/>
                <w:szCs w:val="25"/>
                <w:color w:val="auto"/>
                <w:vertAlign w:val="superscript"/>
              </w:rPr>
              <w:t>(5)</w:t>
            </w:r>
          </w:p>
        </w:tc>
        <w:tc>
          <w:tcPr>
            <w:tcW w:w="1800" w:type="dxa"/>
            <w:vAlign w:val="bottom"/>
            <w:tcBorders>
              <w:bottom w:val="single" w:sz="8" w:color="E6E6E6"/>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16% - 100%</w:t>
            </w:r>
          </w:p>
        </w:tc>
        <w:tc>
          <w:tcPr>
            <w:tcW w:w="60" w:type="dxa"/>
            <w:vAlign w:val="bottom"/>
            <w:tcBorders>
              <w:bottom w:val="single" w:sz="8" w:color="E6E6E6"/>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1,620</w:t>
            </w:r>
          </w:p>
        </w:tc>
        <w:tc>
          <w:tcPr>
            <w:tcW w:w="80" w:type="dxa"/>
            <w:vAlign w:val="bottom"/>
            <w:tcBorders>
              <w:bottom w:val="single" w:sz="8" w:color="E6E6E6"/>
            </w:tcBorders>
          </w:tcPr>
          <w:p>
            <w:pPr>
              <w:spacing w:after="0"/>
              <w:rPr>
                <w:sz w:val="24"/>
                <w:szCs w:val="24"/>
                <w:color w:val="auto"/>
              </w:rPr>
            </w:pPr>
          </w:p>
        </w:tc>
        <w:tc>
          <w:tcPr>
            <w:tcW w:w="16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20"/>
                <w:szCs w:val="20"/>
                <w:color w:val="auto"/>
              </w:rPr>
              <w:t>1,208</w:t>
            </w:r>
          </w:p>
        </w:tc>
        <w:tc>
          <w:tcPr>
            <w:tcW w:w="40" w:type="dxa"/>
            <w:vAlign w:val="bottom"/>
            <w:tcBorders>
              <w:bottom w:val="single" w:sz="8" w:color="E6E6E6"/>
            </w:tcBorders>
          </w:tcPr>
          <w:p>
            <w:pPr>
              <w:spacing w:after="0"/>
              <w:rPr>
                <w:sz w:val="24"/>
                <w:szCs w:val="24"/>
                <w:color w:val="auto"/>
              </w:rPr>
            </w:pPr>
          </w:p>
        </w:tc>
        <w:tc>
          <w:tcPr>
            <w:tcW w:w="160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60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Permian Basin</w:t>
            </w:r>
          </w:p>
        </w:tc>
        <w:tc>
          <w:tcPr>
            <w:tcW w:w="60" w:type="dxa"/>
            <w:vAlign w:val="bottom"/>
            <w:shd w:val="clear" w:color="auto" w:fill="E6E6E6"/>
          </w:tcPr>
          <w:p>
            <w:pPr>
              <w:spacing w:after="0"/>
              <w:rPr>
                <w:sz w:val="24"/>
                <w:szCs w:val="24"/>
                <w:color w:val="auto"/>
              </w:rPr>
            </w:pPr>
          </w:p>
        </w:tc>
        <w:tc>
          <w:tcPr>
            <w:tcW w:w="1740" w:type="dxa"/>
            <w:vAlign w:val="bottom"/>
            <w:shd w:val="clear" w:color="auto" w:fill="E6E6E6"/>
          </w:tcPr>
          <w:p>
            <w:pPr>
              <w:spacing w:after="0"/>
              <w:rPr>
                <w:sz w:val="24"/>
                <w:szCs w:val="24"/>
                <w:color w:val="auto"/>
              </w:rPr>
            </w:pP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7,320</w:t>
            </w:r>
          </w:p>
        </w:tc>
        <w:tc>
          <w:tcPr>
            <w:tcW w:w="1680" w:type="dxa"/>
            <w:vAlign w:val="bottom"/>
            <w:gridSpan w:val="2"/>
            <w:shd w:val="clear" w:color="auto" w:fill="E6E6E6"/>
          </w:tcPr>
          <w:p>
            <w:pPr>
              <w:jc w:val="right"/>
              <w:ind w:right="13"/>
              <w:spacing w:after="0"/>
              <w:rPr>
                <w:sz w:val="20"/>
                <w:szCs w:val="20"/>
                <w:color w:val="auto"/>
              </w:rPr>
            </w:pPr>
            <w:r>
              <w:rPr>
                <w:rFonts w:ascii="Times New Roman" w:cs="Times New Roman" w:eastAsia="Times New Roman" w:hAnsi="Times New Roman"/>
                <w:sz w:val="20"/>
                <w:szCs w:val="20"/>
                <w:color w:val="auto"/>
              </w:rPr>
              <w:t>5,638</w:t>
            </w:r>
          </w:p>
        </w:tc>
        <w:tc>
          <w:tcPr>
            <w:tcW w:w="1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60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South Texas/Eagle Ford</w:t>
            </w:r>
          </w:p>
        </w:tc>
        <w:tc>
          <w:tcPr>
            <w:tcW w:w="180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50% - 100%</w:t>
            </w: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1680" w:type="dxa"/>
            <w:vAlign w:val="bottom"/>
            <w:gridSpan w:val="2"/>
            <w:shd w:val="clear" w:color="auto" w:fill="E6E6E6"/>
          </w:tcPr>
          <w:p>
            <w:pPr>
              <w:jc w:val="right"/>
              <w:ind w:right="13"/>
              <w:spacing w:after="0"/>
              <w:rPr>
                <w:sz w:val="20"/>
                <w:szCs w:val="20"/>
                <w:color w:val="auto"/>
              </w:rPr>
            </w:pPr>
            <w:r>
              <w:rPr>
                <w:rFonts w:ascii="Times New Roman" w:cs="Times New Roman" w:eastAsia="Times New Roman" w:hAnsi="Times New Roman"/>
                <w:sz w:val="20"/>
                <w:szCs w:val="20"/>
                <w:color w:val="auto"/>
              </w:rPr>
              <w:t>357</w:t>
            </w:r>
          </w:p>
        </w:tc>
        <w:tc>
          <w:tcPr>
            <w:tcW w:w="1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60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Mid-Continent</w:t>
            </w:r>
          </w:p>
        </w:tc>
        <w:tc>
          <w:tcPr>
            <w:tcW w:w="180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50% - 100%</w:t>
            </w: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2,440</w:t>
            </w:r>
          </w:p>
        </w:tc>
        <w:tc>
          <w:tcPr>
            <w:tcW w:w="1680" w:type="dxa"/>
            <w:vAlign w:val="bottom"/>
            <w:gridSpan w:val="2"/>
            <w:shd w:val="clear" w:color="auto" w:fill="E6E6E6"/>
          </w:tcPr>
          <w:p>
            <w:pPr>
              <w:jc w:val="right"/>
              <w:ind w:right="13"/>
              <w:spacing w:after="0"/>
              <w:rPr>
                <w:sz w:val="20"/>
                <w:szCs w:val="20"/>
                <w:color w:val="auto"/>
              </w:rPr>
            </w:pPr>
            <w:r>
              <w:rPr>
                <w:rFonts w:ascii="Times New Roman" w:cs="Times New Roman" w:eastAsia="Times New Roman" w:hAnsi="Times New Roman"/>
                <w:sz w:val="20"/>
                <w:szCs w:val="20"/>
                <w:color w:val="auto"/>
              </w:rPr>
              <w:t>512</w:t>
            </w:r>
          </w:p>
        </w:tc>
        <w:tc>
          <w:tcPr>
            <w:tcW w:w="1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60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Gulf Coast</w:t>
            </w:r>
          </w:p>
        </w:tc>
        <w:tc>
          <w:tcPr>
            <w:tcW w:w="180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54% - 100%</w:t>
            </w: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1680" w:type="dxa"/>
            <w:vAlign w:val="bottom"/>
            <w:gridSpan w:val="2"/>
            <w:shd w:val="clear" w:color="auto" w:fill="E6E6E6"/>
          </w:tcPr>
          <w:p>
            <w:pPr>
              <w:jc w:val="right"/>
              <w:ind w:right="13"/>
              <w:spacing w:after="0"/>
              <w:rPr>
                <w:sz w:val="20"/>
                <w:szCs w:val="20"/>
                <w:color w:val="auto"/>
              </w:rPr>
            </w:pPr>
            <w:r>
              <w:rPr>
                <w:rFonts w:ascii="Times New Roman" w:cs="Times New Roman" w:eastAsia="Times New Roman" w:hAnsi="Times New Roman"/>
                <w:sz w:val="20"/>
                <w:szCs w:val="20"/>
                <w:color w:val="auto"/>
              </w:rPr>
              <w:t>219</w:t>
            </w:r>
          </w:p>
        </w:tc>
        <w:tc>
          <w:tcPr>
            <w:tcW w:w="1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85"/>
        </w:trPr>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00" w:type="dxa"/>
            <w:vAlign w:val="bottom"/>
            <w:gridSpan w:val="2"/>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Rocky Mountain</w:t>
            </w:r>
          </w:p>
        </w:tc>
        <w:tc>
          <w:tcPr>
            <w:tcW w:w="180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21% - 100%</w:t>
            </w: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3,365</w:t>
            </w:r>
          </w:p>
        </w:tc>
        <w:tc>
          <w:tcPr>
            <w:tcW w:w="1680" w:type="dxa"/>
            <w:vAlign w:val="bottom"/>
            <w:gridSpan w:val="2"/>
            <w:shd w:val="clear" w:color="auto" w:fill="E6E6E6"/>
          </w:tcPr>
          <w:p>
            <w:pPr>
              <w:jc w:val="right"/>
              <w:ind w:right="13"/>
              <w:spacing w:after="0"/>
              <w:rPr>
                <w:sz w:val="20"/>
                <w:szCs w:val="20"/>
                <w:color w:val="auto"/>
              </w:rPr>
            </w:pPr>
            <w:r>
              <w:rPr>
                <w:rFonts w:ascii="Times New Roman" w:cs="Times New Roman" w:eastAsia="Times New Roman" w:hAnsi="Times New Roman"/>
                <w:sz w:val="20"/>
                <w:szCs w:val="20"/>
                <w:color w:val="auto"/>
              </w:rPr>
              <w:t>332</w:t>
            </w:r>
          </w:p>
        </w:tc>
        <w:tc>
          <w:tcPr>
            <w:tcW w:w="1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00"/>
        </w:trPr>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gridSpan w:val="2"/>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Canada</w:t>
            </w:r>
          </w:p>
        </w:tc>
        <w:tc>
          <w:tcPr>
            <w:tcW w:w="180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100%</w:t>
            </w: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2,570</w:t>
            </w:r>
          </w:p>
        </w:tc>
        <w:tc>
          <w:tcPr>
            <w:tcW w:w="1680" w:type="dxa"/>
            <w:vAlign w:val="bottom"/>
            <w:gridSpan w:val="2"/>
            <w:shd w:val="clear" w:color="auto" w:fill="E6E6E6"/>
          </w:tcPr>
          <w:p>
            <w:pPr>
              <w:jc w:val="right"/>
              <w:ind w:right="13"/>
              <w:spacing w:after="0"/>
              <w:rPr>
                <w:sz w:val="20"/>
                <w:szCs w:val="20"/>
                <w:color w:val="auto"/>
              </w:rPr>
            </w:pPr>
            <w:r>
              <w:rPr>
                <w:rFonts w:ascii="Times New Roman" w:cs="Times New Roman" w:eastAsia="Times New Roman" w:hAnsi="Times New Roman"/>
                <w:sz w:val="20"/>
                <w:szCs w:val="20"/>
                <w:color w:val="auto"/>
              </w:rPr>
              <w:t>328</w:t>
            </w:r>
          </w:p>
        </w:tc>
        <w:tc>
          <w:tcPr>
            <w:tcW w:w="40" w:type="dxa"/>
            <w:vAlign w:val="bottom"/>
            <w:shd w:val="clear" w:color="auto" w:fill="E6E6E6"/>
          </w:tcPr>
          <w:p>
            <w:pPr>
              <w:spacing w:after="0"/>
              <w:rPr>
                <w:sz w:val="24"/>
                <w:szCs w:val="24"/>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0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Western</w:t>
            </w:r>
          </w:p>
        </w:tc>
        <w:tc>
          <w:tcPr>
            <w:tcW w:w="180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100%</w:t>
            </w: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1680" w:type="dxa"/>
            <w:vAlign w:val="bottom"/>
            <w:gridSpan w:val="2"/>
            <w:shd w:val="clear" w:color="auto" w:fill="E6E6E6"/>
          </w:tcPr>
          <w:p>
            <w:pPr>
              <w:jc w:val="right"/>
              <w:ind w:right="13"/>
              <w:spacing w:after="0"/>
              <w:rPr>
                <w:sz w:val="20"/>
                <w:szCs w:val="20"/>
                <w:color w:val="auto"/>
              </w:rPr>
            </w:pPr>
            <w:r>
              <w:rPr>
                <w:rFonts w:ascii="Times New Roman" w:cs="Times New Roman" w:eastAsia="Times New Roman" w:hAnsi="Times New Roman"/>
                <w:sz w:val="20"/>
                <w:szCs w:val="20"/>
                <w:color w:val="auto"/>
              </w:rPr>
              <w:t>179</w:t>
            </w:r>
          </w:p>
        </w:tc>
        <w:tc>
          <w:tcPr>
            <w:tcW w:w="40" w:type="dxa"/>
            <w:vAlign w:val="bottom"/>
            <w:shd w:val="clear" w:color="auto" w:fill="E6E6E6"/>
          </w:tcPr>
          <w:p>
            <w:pPr>
              <w:spacing w:after="0"/>
              <w:rPr>
                <w:sz w:val="24"/>
                <w:szCs w:val="24"/>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0"/>
        </w:trPr>
        <w:tc>
          <w:tcPr>
            <w:tcW w:w="326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7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gridSpan w:val="2"/>
            <w:shd w:val="clear" w:color="auto" w:fill="E6E6E6"/>
          </w:tcPr>
          <w:p>
            <w:pPr>
              <w:ind w:left="5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shd w:val="clear" w:color="auto" w:fill="E6E6E6"/>
          </w:tcPr>
          <w:p>
            <w:pPr>
              <w:spacing w:after="0"/>
              <w:rPr>
                <w:sz w:val="24"/>
                <w:szCs w:val="24"/>
                <w:color w:val="auto"/>
              </w:rPr>
            </w:pPr>
          </w:p>
        </w:tc>
        <w:tc>
          <w:tcPr>
            <w:tcW w:w="1740" w:type="dxa"/>
            <w:vAlign w:val="bottom"/>
            <w:shd w:val="clear" w:color="auto" w:fill="E6E6E6"/>
          </w:tcPr>
          <w:p>
            <w:pPr>
              <w:spacing w:after="0"/>
              <w:rPr>
                <w:sz w:val="24"/>
                <w:szCs w:val="24"/>
                <w:color w:val="auto"/>
              </w:rPr>
            </w:pP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18,075</w:t>
            </w:r>
          </w:p>
        </w:tc>
        <w:tc>
          <w:tcPr>
            <w:tcW w:w="1680" w:type="dxa"/>
            <w:vAlign w:val="bottom"/>
            <w:gridSpan w:val="2"/>
            <w:shd w:val="clear" w:color="auto" w:fill="E6E6E6"/>
          </w:tcPr>
          <w:p>
            <w:pPr>
              <w:jc w:val="right"/>
              <w:ind w:right="13"/>
              <w:spacing w:after="0"/>
              <w:rPr>
                <w:sz w:val="20"/>
                <w:szCs w:val="20"/>
                <w:color w:val="auto"/>
              </w:rPr>
            </w:pPr>
            <w:r>
              <w:rPr>
                <w:rFonts w:ascii="Times New Roman" w:cs="Times New Roman" w:eastAsia="Times New Roman" w:hAnsi="Times New Roman"/>
                <w:sz w:val="20"/>
                <w:szCs w:val="20"/>
                <w:b w:val="1"/>
                <w:bCs w:val="1"/>
                <w:color w:val="auto"/>
              </w:rPr>
              <w:t>7,565</w:t>
            </w:r>
          </w:p>
        </w:tc>
        <w:tc>
          <w:tcPr>
            <w:tcW w:w="1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72</w:t>
            </w:r>
          </w:p>
        </w:tc>
        <w:tc>
          <w:tcPr>
            <w:tcW w:w="0" w:type="dxa"/>
            <w:vAlign w:val="bottom"/>
          </w:tcPr>
          <w:p>
            <w:pPr>
              <w:spacing w:after="0"/>
              <w:rPr>
                <w:sz w:val="1"/>
                <w:szCs w:val="1"/>
                <w:color w:val="auto"/>
              </w:rPr>
            </w:pPr>
          </w:p>
        </w:tc>
      </w:tr>
      <w:tr>
        <w:trPr>
          <w:trHeight w:val="134"/>
        </w:trPr>
        <w:tc>
          <w:tcPr>
            <w:tcW w:w="3260" w:type="dxa"/>
            <w:vAlign w:val="bottom"/>
            <w:tcBorders>
              <w:top w:val="single" w:sz="8" w:color="E6E6E6"/>
              <w:bottom w:val="single" w:sz="8" w:color="auto"/>
            </w:tcBorders>
          </w:tcPr>
          <w:p>
            <w:pPr>
              <w:spacing w:after="0"/>
              <w:rPr>
                <w:sz w:val="11"/>
                <w:szCs w:val="11"/>
                <w:color w:val="auto"/>
              </w:rPr>
            </w:pPr>
          </w:p>
        </w:tc>
        <w:tc>
          <w:tcPr>
            <w:tcW w:w="340" w:type="dxa"/>
            <w:vAlign w:val="bottom"/>
            <w:tcBorders>
              <w:top w:val="single" w:sz="8" w:color="E6E6E6"/>
            </w:tcBorders>
          </w:tcPr>
          <w:p>
            <w:pPr>
              <w:spacing w:after="0"/>
              <w:rPr>
                <w:sz w:val="11"/>
                <w:szCs w:val="11"/>
                <w:color w:val="auto"/>
              </w:rPr>
            </w:pPr>
          </w:p>
        </w:tc>
        <w:tc>
          <w:tcPr>
            <w:tcW w:w="60" w:type="dxa"/>
            <w:vAlign w:val="bottom"/>
            <w:tcBorders>
              <w:top w:val="single" w:sz="8" w:color="E6E6E6"/>
            </w:tcBorders>
          </w:tcPr>
          <w:p>
            <w:pPr>
              <w:spacing w:after="0"/>
              <w:rPr>
                <w:sz w:val="11"/>
                <w:szCs w:val="11"/>
                <w:color w:val="auto"/>
              </w:rPr>
            </w:pPr>
          </w:p>
        </w:tc>
        <w:tc>
          <w:tcPr>
            <w:tcW w:w="1740" w:type="dxa"/>
            <w:vAlign w:val="bottom"/>
            <w:tcBorders>
              <w:top w:val="single" w:sz="8" w:color="E6E6E6"/>
            </w:tcBorders>
          </w:tcPr>
          <w:p>
            <w:pPr>
              <w:spacing w:after="0"/>
              <w:rPr>
                <w:sz w:val="11"/>
                <w:szCs w:val="11"/>
                <w:color w:val="auto"/>
              </w:rPr>
            </w:pPr>
          </w:p>
        </w:tc>
        <w:tc>
          <w:tcPr>
            <w:tcW w:w="60" w:type="dxa"/>
            <w:vAlign w:val="bottom"/>
            <w:tcBorders>
              <w:top w:val="single" w:sz="8" w:color="E6E6E6"/>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40" w:type="dxa"/>
            <w:vAlign w:val="bottom"/>
            <w:tcBorders>
              <w:top w:val="single" w:sz="8" w:color="E6E6E6"/>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-3742690</wp:posOffset>
            </wp:positionV>
            <wp:extent cx="1059180" cy="50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1059180" cy="5016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-2837815</wp:posOffset>
            </wp:positionV>
            <wp:extent cx="1983105"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1983105" cy="5016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-329565</wp:posOffset>
            </wp:positionV>
            <wp:extent cx="303022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3030220" cy="5016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-153670</wp:posOffset>
            </wp:positionV>
            <wp:extent cx="3030220" cy="75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3030220" cy="75565"/>
                    </a:xfrm>
                    <a:prstGeom prst="rect">
                      <a:avLst/>
                    </a:prstGeom>
                    <a:noFill/>
                  </pic:spPr>
                </pic:pic>
              </a:graphicData>
            </a:graphic>
          </wp:anchor>
        </w:drawing>
      </w:r>
    </w:p>
    <w:p>
      <w:pPr>
        <w:sectPr>
          <w:pgSz w:w="11880" w:h="15480" w:orient="portrait"/>
          <w:cols w:equalWidth="0" w:num="1">
            <w:col w:w="10160"/>
          </w:cols>
          <w:pgMar w:left="860" w:top="683" w:right="860" w:bottom="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Includes total mileage of pipelines in which we own less than 100%.</w:t>
      </w:r>
    </w:p>
    <w:p>
      <w:pPr>
        <w:spacing w:after="0" w:line="12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Represents average daily volumes for the entire year attributable to our interest for pipelines owned by consolidated entities, unconsolidated entities or through undivided joint interests.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during the year represent total volumes for the number of days we actually owned the assets divided by the number of days in the period.</w:t>
      </w:r>
    </w:p>
    <w:p>
      <w:pPr>
        <w:spacing w:after="0" w:line="84"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color w:val="auto"/>
        </w:rPr>
        <w:t>Commercial storage capacity in millions of barrels. Does not include operational storage capacity used to facilitate pipeline throughput and maintain product quality segregation.</w:t>
      </w:r>
    </w:p>
    <w:p>
      <w:pPr>
        <w:spacing w:after="0" w:line="6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All of our gathering pipelines and a majority of our intra-basin pipelines in the Permian Basin are owned by the Permian JV, a consolidated entity in which we own a 65% interest. The Permian JV has a 57% interest in an unconsolidated entity that owns one of the gathering pipelines and a 63% undivided joint interest in one of the intra-basin pipelines in the Permian Basin.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Includes pipelines operated by a third party.</w:t>
      </w:r>
    </w:p>
    <w:p>
      <w:pPr>
        <w:spacing w:after="0" w:line="200" w:lineRule="exact"/>
        <w:rPr>
          <w:sz w:val="20"/>
          <w:szCs w:val="20"/>
          <w:color w:val="auto"/>
        </w:rPr>
      </w:pPr>
    </w:p>
    <w:p>
      <w:pPr>
        <w:sectPr>
          <w:pgSz w:w="11880" w:h="15480" w:orient="portrait"/>
          <w:cols w:equalWidth="0" w:num="2">
            <w:col w:w="160" w:space="560"/>
            <w:col w:w="9440"/>
          </w:cols>
          <w:pgMar w:left="860" w:top="683" w:right="860" w:bottom="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160"/>
          </w:cols>
          <w:pgMar w:left="860" w:top="683" w:right="860" w:bottom="0" w:gutter="0" w:footer="0" w:header="0"/>
          <w:type w:val="continuous"/>
        </w:sectPr>
      </w:pPr>
    </w:p>
    <w:bookmarkStart w:id="12" w:name="page13"/>
    <w:bookmarkEnd w:id="12"/>
    <w:p>
      <w:pPr>
        <w:ind w:left="720"/>
        <w:spacing w:after="0"/>
        <w:rPr>
          <w:sz w:val="20"/>
          <w:szCs w:val="20"/>
          <w:color w:val="auto"/>
        </w:rPr>
      </w:pPr>
      <w:r>
        <w:rPr>
          <w:rFonts w:ascii="Times New Roman" w:cs="Times New Roman" w:eastAsia="Times New Roman" w:hAnsi="Times New Roman"/>
          <w:sz w:val="20"/>
          <w:szCs w:val="20"/>
          <w:b w:val="1"/>
          <w:bCs w:val="1"/>
          <w:color w:val="auto"/>
        </w:rPr>
        <w:t>Crude Oil Infrastructure</w:t>
      </w:r>
    </w:p>
    <w:p>
      <w:pPr>
        <w:spacing w:after="0" w:line="252" w:lineRule="exact"/>
        <w:rPr>
          <w:sz w:val="20"/>
          <w:szCs w:val="20"/>
          <w:color w:val="auto"/>
        </w:rPr>
      </w:pPr>
    </w:p>
    <w:p>
      <w:pPr>
        <w:ind w:firstLine="713"/>
        <w:spacing w:after="0" w:line="268" w:lineRule="auto"/>
        <w:rPr>
          <w:sz w:val="20"/>
          <w:szCs w:val="20"/>
          <w:color w:val="auto"/>
        </w:rPr>
      </w:pPr>
      <w:r>
        <w:rPr>
          <w:rFonts w:ascii="Times New Roman" w:cs="Times New Roman" w:eastAsia="Times New Roman" w:hAnsi="Times New Roman"/>
          <w:sz w:val="19"/>
          <w:szCs w:val="19"/>
          <w:color w:val="auto"/>
        </w:rPr>
        <w:t>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crude oil pipelines are comprised of:</w:t>
      </w:r>
    </w:p>
    <w:p>
      <w:pPr>
        <w:spacing w:after="0" w:line="242" w:lineRule="exact"/>
        <w:rPr>
          <w:sz w:val="20"/>
          <w:szCs w:val="20"/>
          <w:color w:val="auto"/>
        </w:rPr>
      </w:pPr>
    </w:p>
    <w:p>
      <w:pPr>
        <w:ind w:left="1420" w:hanging="349"/>
        <w:spacing w:after="0"/>
        <w:tabs>
          <w:tab w:leader="none" w:pos="142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gathering pipelines </w:t>
      </w:r>
      <w:r>
        <w:rPr>
          <w:rFonts w:ascii="Times New Roman" w:cs="Times New Roman" w:eastAsia="Times New Roman" w:hAnsi="Times New Roman"/>
          <w:sz w:val="19"/>
          <w:szCs w:val="19"/>
          <w:color w:val="auto"/>
        </w:rPr>
        <w:t>that move crude oil from wellhead or central battery connections to regional market hubs;</w:t>
      </w:r>
    </w:p>
    <w:p>
      <w:pPr>
        <w:spacing w:after="0" w:line="256" w:lineRule="exact"/>
        <w:rPr>
          <w:rFonts w:ascii="Times New Roman" w:cs="Times New Roman" w:eastAsia="Times New Roman" w:hAnsi="Times New Roman"/>
          <w:sz w:val="19"/>
          <w:szCs w:val="19"/>
          <w:color w:val="auto"/>
        </w:rPr>
      </w:pPr>
    </w:p>
    <w:p>
      <w:pPr>
        <w:ind w:left="1420" w:right="80" w:hanging="349"/>
        <w:spacing w:after="0" w:line="281" w:lineRule="auto"/>
        <w:tabs>
          <w:tab w:leader="none" w:pos="14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intra-basin pipelines </w:t>
      </w:r>
      <w:r>
        <w:rPr>
          <w:rFonts w:ascii="Times New Roman" w:cs="Times New Roman" w:eastAsia="Times New Roman" w:hAnsi="Times New Roman"/>
          <w:sz w:val="20"/>
          <w:szCs w:val="20"/>
          <w:color w:val="auto"/>
        </w:rPr>
        <w:t>that are used as a hub system allowing for a significant amount of flexibility by creating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connections between regional hub locations; and</w:t>
      </w:r>
    </w:p>
    <w:p>
      <w:pPr>
        <w:spacing w:after="0" w:line="174" w:lineRule="exact"/>
        <w:rPr>
          <w:rFonts w:ascii="Times New Roman" w:cs="Times New Roman" w:eastAsia="Times New Roman" w:hAnsi="Times New Roman"/>
          <w:sz w:val="20"/>
          <w:szCs w:val="20"/>
          <w:color w:val="auto"/>
        </w:rPr>
      </w:pPr>
    </w:p>
    <w:p>
      <w:pPr>
        <w:ind w:left="1420" w:right="100" w:hanging="349"/>
        <w:spacing w:after="0" w:line="264" w:lineRule="auto"/>
        <w:tabs>
          <w:tab w:leader="none" w:pos="14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long-haul pipelines </w:t>
      </w:r>
      <w:r>
        <w:rPr>
          <w:rFonts w:ascii="Times New Roman" w:cs="Times New Roman" w:eastAsia="Times New Roman" w:hAnsi="Times New Roman"/>
          <w:sz w:val="20"/>
          <w:szCs w:val="20"/>
          <w:color w:val="auto"/>
        </w:rPr>
        <w:t>that move crude oil from (i) regional market hubs to major market hubs such as Cushing,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Oklahoma or to export facilities, including our Corpus Christi terminal, or (ii) a refinery or other major market hubs, such as the Houston market.</w:t>
      </w:r>
    </w:p>
    <w:p>
      <w:pPr>
        <w:spacing w:after="0" w:line="194" w:lineRule="exact"/>
        <w:rPr>
          <w:sz w:val="20"/>
          <w:szCs w:val="20"/>
          <w:color w:val="auto"/>
        </w:rPr>
      </w:pPr>
    </w:p>
    <w:p>
      <w:pPr>
        <w:ind w:right="120" w:firstLine="713"/>
        <w:spacing w:after="0" w:line="258" w:lineRule="auto"/>
        <w:rPr>
          <w:sz w:val="20"/>
          <w:szCs w:val="20"/>
          <w:color w:val="auto"/>
        </w:rPr>
      </w:pPr>
      <w:r>
        <w:rPr>
          <w:rFonts w:ascii="Times New Roman" w:cs="Times New Roman" w:eastAsia="Times New Roman" w:hAnsi="Times New Roman"/>
          <w:sz w:val="20"/>
          <w:szCs w:val="20"/>
          <w:color w:val="auto"/>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most significant assets are described further below by region.</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Permian Basin</w:t>
      </w:r>
    </w:p>
    <w:p>
      <w:pPr>
        <w:spacing w:after="0" w:line="250" w:lineRule="exact"/>
        <w:rPr>
          <w:sz w:val="20"/>
          <w:szCs w:val="20"/>
          <w:color w:val="auto"/>
        </w:rPr>
      </w:pPr>
    </w:p>
    <w:p>
      <w:pPr>
        <w:ind w:right="100" w:firstLine="71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 xml:space="preserve">Gathering Pipelines. </w:t>
      </w:r>
      <w:r>
        <w:rPr>
          <w:rFonts w:ascii="Times New Roman" w:cs="Times New Roman" w:eastAsia="Times New Roman" w:hAnsi="Times New Roman"/>
          <w:sz w:val="19"/>
          <w:szCs w:val="19"/>
          <w:color w:val="auto"/>
        </w:rPr>
        <w:t>We operate approximately 4,900 miles of gathering pipelines in both the Midland Basin and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Delaware Basin that in aggregate represent approximately 3.7 million barrels per day of pipeline capacity. This gathering capacity includes pipeline capacity that delivers volumes to regional market hubs. Approximately 80% of the capacity of our gathering systems is in the Delaware Basin. Our gathering pipelines are supported by long-term acreage dedications. All of our gathering pipelines in the Permian Basin are owned by the Permian JV, a consolidated entity in which we own a 65% interest.</w:t>
      </w:r>
    </w:p>
    <w:p>
      <w:pPr>
        <w:spacing w:after="0" w:line="18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Intra-Basin Pipelines. </w:t>
      </w:r>
      <w:r>
        <w:rPr>
          <w:rFonts w:ascii="Times New Roman" w:cs="Times New Roman" w:eastAsia="Times New Roman" w:hAnsi="Times New Roman"/>
          <w:sz w:val="20"/>
          <w:szCs w:val="20"/>
          <w:color w:val="auto"/>
        </w:rPr>
        <w:t>Our intra-basin pipeline system in the Permian Basin has a capacity of approximately</w:t>
      </w:r>
    </w:p>
    <w:p>
      <w:pPr>
        <w:spacing w:after="0" w:line="1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3.1 million barrels per day and 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w:t>
      </w:r>
    </w:p>
    <w:p>
      <w:pPr>
        <w:spacing w:after="0" w:line="201" w:lineRule="exact"/>
        <w:rPr>
          <w:sz w:val="20"/>
          <w:szCs w:val="20"/>
          <w:color w:val="auto"/>
        </w:rPr>
      </w:pPr>
    </w:p>
    <w:p>
      <w:pPr>
        <w:ind w:right="120" w:firstLine="713"/>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Long-Haul Pipelines. </w:t>
      </w:r>
      <w:r>
        <w:rPr>
          <w:rFonts w:ascii="Times New Roman" w:cs="Times New Roman" w:eastAsia="Times New Roman" w:hAnsi="Times New Roman"/>
          <w:sz w:val="20"/>
          <w:szCs w:val="20"/>
          <w:color w:val="auto"/>
        </w:rPr>
        <w:t>We own interests in multiple long-haul pipeline systems that, on a combined basis, represent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approximately 2.1 million barrels per day of currently operational takeaway capacity out of the Permian Basin to major market hubs in Corpus Christi and Houston, Texas and Cushing, Oklahoma. Our long-haul pipelines are supported by long-term commitments. Below is a description of some of our most significant long-haul pipeline systems originating from the Permian Basin region.</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Permian to Cushing/Mid-Continent</w:t>
      </w:r>
    </w:p>
    <w:p>
      <w:pPr>
        <w:spacing w:after="0" w:line="249" w:lineRule="exact"/>
        <w:rPr>
          <w:sz w:val="20"/>
          <w:szCs w:val="20"/>
          <w:color w:val="auto"/>
        </w:rPr>
      </w:pPr>
    </w:p>
    <w:p>
      <w:pPr>
        <w:ind w:left="1080" w:right="180" w:hanging="366"/>
        <w:spacing w:after="0" w:line="256"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Basin Pipeline (Permian to Cushing). </w:t>
      </w:r>
      <w:r>
        <w:rPr>
          <w:rFonts w:ascii="Times New Roman" w:cs="Times New Roman" w:eastAsia="Times New Roman" w:hAnsi="Times New Roman"/>
          <w:sz w:val="20"/>
          <w:szCs w:val="20"/>
          <w:color w:val="auto"/>
        </w:rPr>
        <w:t>We own an 87% undivided joint interest (“UJI”) in and are the operator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Basin Pipeline. Basin Pipeline has 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ectPr>
          <w:pgSz w:w="11880" w:h="15480" w:orient="portrait"/>
          <w:cols w:equalWidth="0" w:num="1">
            <w:col w:w="10160"/>
          </w:cols>
          <w:pgMar w:left="860" w:top="67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160"/>
          </w:cols>
          <w:pgMar w:left="860" w:top="676" w:right="860" w:bottom="0" w:gutter="0" w:footer="0" w:header="0"/>
          <w:type w:val="continuous"/>
        </w:sectPr>
      </w:pPr>
    </w:p>
    <w:bookmarkStart w:id="13" w:name="page14"/>
    <w:bookmarkEnd w:id="13"/>
    <w:p>
      <w:pPr>
        <w:ind w:left="1080" w:right="140" w:hanging="366"/>
        <w:spacing w:after="0" w:line="264"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Sunrise II Pipeline. </w:t>
      </w:r>
      <w:r>
        <w:rPr>
          <w:rFonts w:ascii="Times New Roman" w:cs="Times New Roman" w:eastAsia="Times New Roman" w:hAnsi="Times New Roman"/>
          <w:sz w:val="20"/>
          <w:szCs w:val="20"/>
          <w:color w:val="auto"/>
        </w:rPr>
        <w:t>We operate the Sunrise II Pipeline and, through a UJI arrangement, own 80% of the capacity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pipeline, which equates to 400,000 barrels of capacity. Our Sunrise II Pipeline transports crude oil from Midland and Colorado City to connecting carriers at Wichita Falls.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Permian to Gulf Coast</w:t>
      </w:r>
    </w:p>
    <w:p>
      <w:pPr>
        <w:spacing w:after="0" w:line="249" w:lineRule="exact"/>
        <w:rPr>
          <w:sz w:val="20"/>
          <w:szCs w:val="20"/>
          <w:color w:val="auto"/>
        </w:rPr>
      </w:pPr>
    </w:p>
    <w:p>
      <w:pPr>
        <w:jc w:val="both"/>
        <w:ind w:left="1080" w:right="40" w:hanging="366"/>
        <w:spacing w:after="0" w:line="259" w:lineRule="auto"/>
        <w:tabs>
          <w:tab w:leader="none" w:pos="1080" w:val="left"/>
        </w:tabs>
        <w:numPr>
          <w:ilvl w:val="0"/>
          <w:numId w:val="1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BridgeTex Pipeline (Permian to Houston). </w:t>
      </w:r>
      <w:r>
        <w:rPr>
          <w:rFonts w:ascii="Times New Roman" w:cs="Times New Roman" w:eastAsia="Times New Roman" w:hAnsi="Times New Roman"/>
          <w:sz w:val="20"/>
          <w:szCs w:val="20"/>
          <w:color w:val="auto"/>
        </w:rPr>
        <w:t>We own a 20% interest in the entity that owns the BridgeTex Pipeline.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pipeline, operated by a subsidiary of Magellan Midstream Partners, L.P. (“Magellan”), originates at Colorado City, Texas and extends to Houston, Texas. The BridgeTex pipeline has a capacity of 440,000 barrels per day and is capable of receiving supply from both our Basin and Midland South pipelines.</w:t>
      </w:r>
    </w:p>
    <w:p>
      <w:pPr>
        <w:spacing w:after="0" w:line="195" w:lineRule="exact"/>
        <w:rPr>
          <w:rFonts w:ascii="Times New Roman" w:cs="Times New Roman" w:eastAsia="Times New Roman" w:hAnsi="Times New Roman"/>
          <w:sz w:val="20"/>
          <w:szCs w:val="20"/>
          <w:b w:val="1"/>
          <w:bCs w:val="1"/>
          <w:i w:val="1"/>
          <w:iCs w:val="1"/>
          <w:color w:val="auto"/>
        </w:rPr>
      </w:pPr>
    </w:p>
    <w:p>
      <w:pPr>
        <w:jc w:val="both"/>
        <w:ind w:left="1080" w:right="260" w:hanging="366"/>
        <w:spacing w:after="0" w:line="277" w:lineRule="auto"/>
        <w:tabs>
          <w:tab w:leader="none" w:pos="10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Cactus Pipeline (Permian to Corpus Christi). </w:t>
      </w:r>
      <w:r>
        <w:rPr>
          <w:rFonts w:ascii="Times New Roman" w:cs="Times New Roman" w:eastAsia="Times New Roman" w:hAnsi="Times New Roman"/>
          <w:sz w:val="19"/>
          <w:szCs w:val="19"/>
          <w:color w:val="auto"/>
        </w:rPr>
        <w:t>We own and operate the Cactus Pipeline, which has a capacity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390,000 barrels per day, 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spacing w:after="0" w:line="179" w:lineRule="exact"/>
        <w:rPr>
          <w:rFonts w:ascii="Times New Roman" w:cs="Times New Roman" w:eastAsia="Times New Roman" w:hAnsi="Times New Roman"/>
          <w:sz w:val="19"/>
          <w:szCs w:val="19"/>
          <w:color w:val="auto"/>
        </w:rPr>
      </w:pPr>
    </w:p>
    <w:p>
      <w:pPr>
        <w:ind w:left="1080" w:right="20" w:hanging="366"/>
        <w:spacing w:after="0" w:line="273" w:lineRule="auto"/>
        <w:tabs>
          <w:tab w:leader="none" w:pos="1080" w:val="left"/>
        </w:tabs>
        <w:numPr>
          <w:ilvl w:val="0"/>
          <w:numId w:val="1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Cactus II Pipeline (Permian to Corpus Christi). </w:t>
      </w:r>
      <w:r>
        <w:rPr>
          <w:rFonts w:ascii="Times New Roman" w:cs="Times New Roman" w:eastAsia="Times New Roman" w:hAnsi="Times New Roman"/>
          <w:sz w:val="19"/>
          <w:szCs w:val="19"/>
          <w:color w:val="auto"/>
        </w:rPr>
        <w:t>In November 2022, we and Enbridge Inc. (“Enbridge”) purchased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Western Midstream Partners, LP (“WES”)’s 15% interest in the entity that owns the Cactus II Pipeline. Enbridge acquired 10% and we acquired 5% of Cactus II. We and Enbridge are now the sole owners of Cactus II, with 70% and 30% respective ownership interests. We continue to operate the Cactus II Pipeline, which is a Permian mainline system that extends directly to the Corpus Christi market, and has a capacity of 670,000 barrels per day.</w:t>
      </w:r>
    </w:p>
    <w:p>
      <w:pPr>
        <w:spacing w:after="0" w:line="183" w:lineRule="exact"/>
        <w:rPr>
          <w:rFonts w:ascii="Times New Roman" w:cs="Times New Roman" w:eastAsia="Times New Roman" w:hAnsi="Times New Roman"/>
          <w:sz w:val="19"/>
          <w:szCs w:val="19"/>
          <w:b w:val="1"/>
          <w:bCs w:val="1"/>
          <w:i w:val="1"/>
          <w:iCs w:val="1"/>
          <w:color w:val="auto"/>
        </w:rPr>
      </w:pPr>
    </w:p>
    <w:p>
      <w:pPr>
        <w:ind w:left="1080" w:hanging="366"/>
        <w:spacing w:after="0" w:line="252"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Wink to Webster Pipeline. </w:t>
      </w:r>
      <w:r>
        <w:rPr>
          <w:rFonts w:ascii="Times New Roman" w:cs="Times New Roman" w:eastAsia="Times New Roman" w:hAnsi="Times New Roman"/>
          <w:sz w:val="20"/>
          <w:szCs w:val="20"/>
          <w:color w:val="auto"/>
        </w:rPr>
        <w:t>We own a 16% interest in the entity that owns the Wink to Webster Pipeline (“W2W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Pipeline”), which in turn 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(1.1 million barrels per day, net to the UJI interest). Phases one and two of the pipeline system project are currently in service. Phase three of the project, which includes the segments from Wink, Texas to Midland, Texas and from Webster, Texas to Baytown, Texas, is under construction and is expected to be completed by the fourth quarter of 2023.</w:t>
      </w:r>
    </w:p>
    <w:p>
      <w:pPr>
        <w:spacing w:after="0" w:line="207" w:lineRule="exact"/>
        <w:rPr>
          <w:sz w:val="20"/>
          <w:szCs w:val="20"/>
          <w:color w:val="auto"/>
        </w:rPr>
      </w:pPr>
    </w:p>
    <w:p>
      <w:pPr>
        <w:ind w:right="100" w:firstLine="713"/>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Terminals</w:t>
      </w:r>
      <w:r>
        <w:rPr>
          <w:rFonts w:ascii="Times New Roman" w:cs="Times New Roman" w:eastAsia="Times New Roman" w:hAnsi="Times New Roman"/>
          <w:sz w:val="20"/>
          <w:szCs w:val="20"/>
          <w:color w:val="auto"/>
        </w:rPr>
        <w:t>. Our Midland terminal has access to all of the Permian JV gathering pipelines, either through direct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connections, or through the Permian 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South Texas/Eagle Ford</w:t>
      </w:r>
    </w:p>
    <w:p>
      <w:pPr>
        <w:spacing w:after="0" w:line="250" w:lineRule="exact"/>
        <w:rPr>
          <w:sz w:val="20"/>
          <w:szCs w:val="20"/>
          <w:color w:val="auto"/>
        </w:rPr>
      </w:pPr>
    </w:p>
    <w:p>
      <w:pPr>
        <w:ind w:right="160" w:firstLine="713"/>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Gathering Pipelines</w:t>
      </w:r>
      <w:r>
        <w:rPr>
          <w:rFonts w:ascii="Times New Roman" w:cs="Times New Roman" w:eastAsia="Times New Roman" w:hAnsi="Times New Roman"/>
          <w:sz w:val="20"/>
          <w:szCs w:val="20"/>
          <w:color w:val="auto"/>
        </w:rPr>
        <w:t>. We own and operate various gathering systems in the Eagle Ford producing region that connect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into our Eagle Ford joint venture pipeline system or to third-party pipelines.</w:t>
      </w:r>
    </w:p>
    <w:p>
      <w:pPr>
        <w:spacing w:after="0" w:line="174" w:lineRule="exact"/>
        <w:rPr>
          <w:sz w:val="20"/>
          <w:szCs w:val="20"/>
          <w:color w:val="auto"/>
        </w:rPr>
      </w:pPr>
    </w:p>
    <w:p>
      <w:pPr>
        <w:ind w:right="180" w:firstLine="713"/>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Long-Haul Pipelines. </w:t>
      </w:r>
      <w:r>
        <w:rPr>
          <w:rFonts w:ascii="Times New Roman" w:cs="Times New Roman" w:eastAsia="Times New Roman" w:hAnsi="Times New Roman"/>
          <w:sz w:val="20"/>
          <w:szCs w:val="20"/>
          <w:color w:val="auto"/>
        </w:rPr>
        <w:t>We own a 50% interest in the entity that owns the Eagle Ford Pipeline through a joint venture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a subsidiary of Enterprise Products Partners, L.P. (“Enterprise”). We serve as the operator of the Eagle Ford Pipeline, which has a total capacity of approximately 660,000 barrels per day and connects Permian, through a connection with our Cactus Pipeline, and Eagle Ford area production to Corpus Christi, Texas refiners and terminals. Additionally, the Eagle Ford Pipeline has connectivity to Houston, Texas via a connection with Enterprise’s pipeline at Lyssy, Texas. The Eagle Ford Pipeline is supported by long-term shipper commitments.</w:t>
      </w:r>
    </w:p>
    <w:p>
      <w:pPr>
        <w:spacing w:after="0" w:line="203" w:lineRule="exact"/>
        <w:rPr>
          <w:sz w:val="20"/>
          <w:szCs w:val="20"/>
          <w:color w:val="auto"/>
        </w:rPr>
      </w:pPr>
    </w:p>
    <w:p>
      <w:pPr>
        <w:jc w:val="both"/>
        <w:ind w:right="260" w:firstLine="713"/>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Terminals</w:t>
      </w:r>
      <w:r>
        <w:rPr>
          <w:rFonts w:ascii="Times New Roman" w:cs="Times New Roman" w:eastAsia="Times New Roman" w:hAnsi="Times New Roman"/>
          <w:sz w:val="20"/>
          <w:szCs w:val="20"/>
          <w:color w:val="auto"/>
        </w:rPr>
        <w:t>. We own a 50% interest in the entity that owns the Corpus Christi terminal through a joint venture with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subsidiary of Enterprise. The Corpus Christi terminal has a dock and the capacity to export crude oil and approximately one million barrels of commercial storage capacity.</w:t>
      </w:r>
    </w:p>
    <w:p>
      <w:pPr>
        <w:spacing w:after="0" w:line="191" w:lineRule="exact"/>
        <w:rPr>
          <w:sz w:val="20"/>
          <w:szCs w:val="20"/>
          <w:color w:val="auto"/>
        </w:rPr>
      </w:pPr>
    </w:p>
    <w:p>
      <w:pPr>
        <w:jc w:val="both"/>
        <w:ind w:right="320" w:firstLine="713"/>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Condensate Processing. </w:t>
      </w:r>
      <w:r>
        <w:rPr>
          <w:rFonts w:ascii="Times New Roman" w:cs="Times New Roman" w:eastAsia="Times New Roman" w:hAnsi="Times New Roman"/>
          <w:sz w:val="20"/>
          <w:szCs w:val="20"/>
          <w:color w:val="auto"/>
        </w:rPr>
        <w:t>We own a condensate processing facility located in La Salle County, Texas that stabilizes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condensate that is primarily sourced from our Eagle Ford area gathering systems. The stabilized condensate is delivered to a third-party pipeline that delivers into Mont Belvieu, Texas.</w:t>
      </w:r>
    </w:p>
    <w:p>
      <w:pPr>
        <w:sectPr>
          <w:pgSz w:w="11880" w:h="15480" w:orient="portrait"/>
          <w:cols w:equalWidth="0" w:num="1">
            <w:col w:w="10140"/>
          </w:cols>
          <w:pgMar w:left="860" w:top="68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140"/>
          </w:cols>
          <w:pgMar w:left="860" w:top="680" w:right="880" w:bottom="0" w:gutter="0" w:footer="0" w:header="0"/>
          <w:type w:val="continuous"/>
        </w:sectPr>
      </w:pPr>
    </w:p>
    <w:bookmarkStart w:id="14" w:name="page15"/>
    <w:bookmarkEnd w:id="14"/>
    <w:p>
      <w:pPr>
        <w:ind w:left="1420"/>
        <w:spacing w:after="0"/>
        <w:rPr>
          <w:sz w:val="20"/>
          <w:szCs w:val="20"/>
          <w:color w:val="auto"/>
        </w:rPr>
      </w:pPr>
      <w:r>
        <w:rPr>
          <w:rFonts w:ascii="Times New Roman" w:cs="Times New Roman" w:eastAsia="Times New Roman" w:hAnsi="Times New Roman"/>
          <w:sz w:val="20"/>
          <w:szCs w:val="20"/>
          <w:b w:val="1"/>
          <w:bCs w:val="1"/>
          <w:i w:val="1"/>
          <w:iCs w:val="1"/>
          <w:color w:val="auto"/>
        </w:rPr>
        <w:t>Mid-Continent</w:t>
      </w:r>
    </w:p>
    <w:p>
      <w:pPr>
        <w:spacing w:after="0" w:line="250" w:lineRule="exact"/>
        <w:rPr>
          <w:sz w:val="20"/>
          <w:szCs w:val="20"/>
          <w:color w:val="auto"/>
        </w:rPr>
      </w:pPr>
    </w:p>
    <w:p>
      <w:pPr>
        <w:ind w:right="760" w:firstLine="713"/>
        <w:spacing w:after="0" w:line="309" w:lineRule="auto"/>
        <w:rPr>
          <w:sz w:val="20"/>
          <w:szCs w:val="20"/>
          <w:color w:val="auto"/>
        </w:rPr>
      </w:pPr>
      <w:r>
        <w:rPr>
          <w:rFonts w:ascii="Times New Roman" w:cs="Times New Roman" w:eastAsia="Times New Roman" w:hAnsi="Times New Roman"/>
          <w:sz w:val="19"/>
          <w:szCs w:val="19"/>
          <w:b w:val="1"/>
          <w:bCs w:val="1"/>
          <w:i w:val="1"/>
          <w:iCs w:val="1"/>
          <w:color w:val="auto"/>
        </w:rPr>
        <w:t>Gathering Pipelines</w:t>
      </w:r>
      <w:r>
        <w:rPr>
          <w:rFonts w:ascii="Times New Roman" w:cs="Times New Roman" w:eastAsia="Times New Roman" w:hAnsi="Times New Roman"/>
          <w:sz w:val="19"/>
          <w:szCs w:val="19"/>
          <w:color w:val="auto"/>
        </w:rPr>
        <w:t>. We own and operate gathering pipelines that source crude oil from Western and Central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Oklahoma and Southwest Kansas for transportation and delivery into our terminal facilities at Cushing, Oklahoma.</w:t>
      </w:r>
    </w:p>
    <w:p>
      <w:pPr>
        <w:spacing w:after="0" w:line="150" w:lineRule="exact"/>
        <w:rPr>
          <w:sz w:val="20"/>
          <w:szCs w:val="20"/>
          <w:color w:val="auto"/>
        </w:rPr>
      </w:pPr>
    </w:p>
    <w:p>
      <w:pPr>
        <w:ind w:firstLine="713"/>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Long-haul Pipelines. </w:t>
      </w:r>
      <w:r>
        <w:rPr>
          <w:rFonts w:ascii="Times New Roman" w:cs="Times New Roman" w:eastAsia="Times New Roman" w:hAnsi="Times New Roman"/>
          <w:sz w:val="20"/>
          <w:szCs w:val="20"/>
          <w:color w:val="auto"/>
        </w:rPr>
        <w:t>We own and operate various pipeline systems that extend from our Cushing terminal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Oklahoma to various refineries and/or crude oil hubs. Below is a description of some of our most significant pipeline systems in the Mid-Continent region.</w:t>
      </w:r>
    </w:p>
    <w:p>
      <w:pPr>
        <w:spacing w:after="0" w:line="191" w:lineRule="exact"/>
        <w:rPr>
          <w:sz w:val="20"/>
          <w:szCs w:val="20"/>
          <w:color w:val="auto"/>
        </w:rPr>
      </w:pPr>
    </w:p>
    <w:p>
      <w:pPr>
        <w:ind w:left="1080" w:right="280" w:hanging="366"/>
        <w:spacing w:after="0" w:line="259" w:lineRule="auto"/>
        <w:tabs>
          <w:tab w:leader="none" w:pos="1080" w:val="left"/>
        </w:tabs>
        <w:numPr>
          <w:ilvl w:val="0"/>
          <w:numId w:val="1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Diamond Pipeline (Cushing to Memphis). </w:t>
      </w:r>
      <w:r>
        <w:rPr>
          <w:rFonts w:ascii="Times New Roman" w:cs="Times New Roman" w:eastAsia="Times New Roman" w:hAnsi="Times New Roman"/>
          <w:sz w:val="20"/>
          <w:szCs w:val="20"/>
          <w:color w:val="auto"/>
        </w:rPr>
        <w:t>We own a 50% interest in the entity that owns the Diamond Pipeline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through a joint venture with Valero Energy Corporation (“Valero”). We operate the Diamond Pipeline, which extends from our Cushing Terminal to Valero’s refinery in Memphis, Tennessee. The Diamond Pipeline has a total capacity of 200,000 barrels per day.</w:t>
      </w:r>
    </w:p>
    <w:p>
      <w:pPr>
        <w:spacing w:after="0" w:line="195" w:lineRule="exact"/>
        <w:rPr>
          <w:rFonts w:ascii="Times New Roman" w:cs="Times New Roman" w:eastAsia="Times New Roman" w:hAnsi="Times New Roman"/>
          <w:sz w:val="20"/>
          <w:szCs w:val="20"/>
          <w:b w:val="1"/>
          <w:bCs w:val="1"/>
          <w:i w:val="1"/>
          <w:iCs w:val="1"/>
          <w:color w:val="auto"/>
        </w:rPr>
      </w:pPr>
    </w:p>
    <w:p>
      <w:pPr>
        <w:ind w:left="1080" w:right="60" w:hanging="366"/>
        <w:spacing w:after="0" w:line="254" w:lineRule="auto"/>
        <w:tabs>
          <w:tab w:leader="none" w:pos="1080" w:val="left"/>
        </w:tabs>
        <w:numPr>
          <w:ilvl w:val="0"/>
          <w:numId w:val="1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Red River Pipeline (Cushing to Longview)</w:t>
      </w:r>
      <w:r>
        <w:rPr>
          <w:rFonts w:ascii="Times New Roman" w:cs="Times New Roman" w:eastAsia="Times New Roman" w:hAnsi="Times New Roman"/>
          <w:sz w:val="20"/>
          <w:szCs w:val="20"/>
          <w:color w:val="auto"/>
        </w:rPr>
        <w:t>. We own 67% of the entity that owns the Red River Pipeline through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joint venture with Delek Logistics Partners, LP (“Delek”).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spacing w:after="0" w:line="206" w:lineRule="exact"/>
        <w:rPr>
          <w:sz w:val="20"/>
          <w:szCs w:val="20"/>
          <w:color w:val="auto"/>
        </w:rPr>
      </w:pPr>
    </w:p>
    <w:p>
      <w:pPr>
        <w:ind w:right="40" w:firstLine="713"/>
        <w:spacing w:after="0" w:line="263" w:lineRule="auto"/>
        <w:rPr>
          <w:sz w:val="20"/>
          <w:szCs w:val="20"/>
          <w:color w:val="auto"/>
        </w:rPr>
      </w:pPr>
      <w:r>
        <w:rPr>
          <w:rFonts w:ascii="Times New Roman" w:cs="Times New Roman" w:eastAsia="Times New Roman" w:hAnsi="Times New Roman"/>
          <w:sz w:val="20"/>
          <w:szCs w:val="20"/>
          <w:color w:val="auto"/>
        </w:rPr>
        <w:t>In addition, we own 50% interests in both the Cushing Connect and Midway pipelines that originate at our Cushing terminal and terminate at refineries in Tulsa, Oklahoma and Coffeyville, Kansas, respectively. Our partners in each pipeline are the refiner customers at the terminus of the pipelines.</w:t>
      </w:r>
    </w:p>
    <w:p>
      <w:pPr>
        <w:spacing w:after="0" w:line="191" w:lineRule="exact"/>
        <w:rPr>
          <w:sz w:val="20"/>
          <w:szCs w:val="20"/>
          <w:color w:val="auto"/>
        </w:rPr>
      </w:pPr>
    </w:p>
    <w:p>
      <w:pPr>
        <w:ind w:right="560" w:firstLine="713"/>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Terminals</w:t>
      </w:r>
      <w:r>
        <w:rPr>
          <w:rFonts w:ascii="Times New Roman" w:cs="Times New Roman" w:eastAsia="Times New Roman" w:hAnsi="Times New Roman"/>
          <w:sz w:val="20"/>
          <w:szCs w:val="20"/>
          <w:color w:val="auto"/>
        </w:rPr>
        <w:t>. We are a large provider of crude oil terminalling services in Cushing, Oklahoma, which is one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largest physical trading hubs in the United States and is the delivery point for the NYMEX light sweet crude oil futures contracts (the benchmark for U.S. crude oil). Our Cushing terminal has been designated by the NYMEX as an approved delivery location.</w:t>
      </w:r>
    </w:p>
    <w:p>
      <w:pPr>
        <w:spacing w:after="0" w:line="198" w:lineRule="exact"/>
        <w:rPr>
          <w:sz w:val="20"/>
          <w:szCs w:val="20"/>
          <w:color w:val="auto"/>
        </w:rPr>
      </w:pPr>
    </w:p>
    <w:p>
      <w:pPr>
        <w:jc w:val="both"/>
        <w:ind w:right="360" w:firstLine="713"/>
        <w:spacing w:after="0" w:line="283" w:lineRule="auto"/>
        <w:rPr>
          <w:sz w:val="20"/>
          <w:szCs w:val="20"/>
          <w:color w:val="auto"/>
        </w:rPr>
      </w:pPr>
      <w:r>
        <w:rPr>
          <w:rFonts w:ascii="Times New Roman" w:cs="Times New Roman" w:eastAsia="Times New Roman" w:hAnsi="Times New Roman"/>
          <w:sz w:val="19"/>
          <w:szCs w:val="19"/>
          <w:color w:val="auto"/>
        </w:rPr>
        <w:t>Our Cushing terminal, which has 27 million barrels of commercial storage capacity, is connected to our long-haul pipelines from the Permian Basin and Rocky Mountain regions, as well as to our Mid-Continent region gathering pipelines. Additionally, the terminal supplies crude oil to all of our joint venture, Mid-Continent region long-haul pipelines.</w:t>
      </w:r>
    </w:p>
    <w:p>
      <w:pPr>
        <w:spacing w:after="0" w:line="178" w:lineRule="exact"/>
        <w:rPr>
          <w:sz w:val="20"/>
          <w:szCs w:val="20"/>
          <w:color w:val="auto"/>
        </w:rPr>
      </w:pPr>
    </w:p>
    <w:p>
      <w:pPr>
        <w:ind w:right="40" w:firstLine="713"/>
        <w:spacing w:after="0" w:line="278" w:lineRule="auto"/>
        <w:rPr>
          <w:sz w:val="20"/>
          <w:szCs w:val="20"/>
          <w:color w:val="auto"/>
        </w:rPr>
      </w:pPr>
      <w:r>
        <w:rPr>
          <w:rFonts w:ascii="Times New Roman" w:cs="Times New Roman" w:eastAsia="Times New Roman" w:hAnsi="Times New Roman"/>
          <w:sz w:val="20"/>
          <w:szCs w:val="20"/>
          <w:color w:val="auto"/>
        </w:rPr>
        <w:t>Our crude oil terminal in Patoka, Illinois, which has 7 million barrels of commercial storage capacity, has connectivity to major inbound and outbound pipelines at this hub, including the Capline Pipeline (discussed further below).</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Gulf Coast</w:t>
      </w:r>
    </w:p>
    <w:p>
      <w:pPr>
        <w:spacing w:after="0" w:line="250" w:lineRule="exact"/>
        <w:rPr>
          <w:sz w:val="20"/>
          <w:szCs w:val="20"/>
          <w:color w:val="auto"/>
        </w:rPr>
      </w:pPr>
    </w:p>
    <w:p>
      <w:pPr>
        <w:ind w:right="40" w:firstLine="713"/>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Long-haul Pipelines. </w:t>
      </w:r>
      <w:r>
        <w:rPr>
          <w:rFonts w:ascii="Times New Roman" w:cs="Times New Roman" w:eastAsia="Times New Roman" w:hAnsi="Times New Roman"/>
          <w:sz w:val="20"/>
          <w:szCs w:val="20"/>
          <w:color w:val="auto"/>
        </w:rPr>
        <w:t>We own an approximate 54% interest in the entity that owns the Capline Pipeline, which extends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Patoka, Illinois to various terminals in St. James, Louisiana. The Capline Pipeline is supported by long-term shipper commitments, and a subsidiary of Marathon Petroleum Corporation serves as the operator.</w:t>
      </w:r>
    </w:p>
    <w:p>
      <w:pPr>
        <w:spacing w:after="0" w:line="191" w:lineRule="exact"/>
        <w:rPr>
          <w:sz w:val="20"/>
          <w:szCs w:val="20"/>
          <w:color w:val="auto"/>
        </w:rPr>
      </w:pPr>
    </w:p>
    <w:p>
      <w:pPr>
        <w:ind w:right="120" w:firstLine="713"/>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Terminals</w:t>
      </w:r>
      <w:r>
        <w:rPr>
          <w:rFonts w:ascii="Times New Roman" w:cs="Times New Roman" w:eastAsia="Times New Roman" w:hAnsi="Times New Roman"/>
          <w:sz w:val="20"/>
          <w:szCs w:val="20"/>
          <w:color w:val="auto"/>
        </w:rPr>
        <w:t>. Our terminal at St. James, Louisiana, which has 15 million barrels of commercial storage capacity, is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destination facility connected to the Capline Pipeline and other third-party pipelines, and also has a rail unload facility that can move crude oil from rail cars to pipelines that service local refiners, or to our dock which can receive or export crude oil. Our terminal at Mobile, Alabama, which has 4 million barrels of commercial storage capacity, also has a dock and the capacity to receive or export crude oil.</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Rocky Mountain</w:t>
      </w:r>
    </w:p>
    <w:p>
      <w:pPr>
        <w:spacing w:after="0" w:line="250" w:lineRule="exact"/>
        <w:rPr>
          <w:sz w:val="20"/>
          <w:szCs w:val="20"/>
          <w:color w:val="auto"/>
        </w:rPr>
      </w:pPr>
    </w:p>
    <w:p>
      <w:pPr>
        <w:ind w:right="420" w:firstLine="713"/>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Gathering Pipelines</w:t>
      </w:r>
      <w:r>
        <w:rPr>
          <w:rFonts w:ascii="Times New Roman" w:cs="Times New Roman" w:eastAsia="Times New Roman" w:hAnsi="Times New Roman"/>
          <w:sz w:val="20"/>
          <w:szCs w:val="20"/>
          <w:color w:val="auto"/>
        </w:rPr>
        <w:t>. We own and operate pipelines that provide gathering services in the Bakken and the Powder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River Basin.</w:t>
      </w:r>
    </w:p>
    <w:p>
      <w:pPr>
        <w:sectPr>
          <w:pgSz w:w="11880" w:h="15480" w:orient="portrait"/>
          <w:cols w:equalWidth="0" w:num="1">
            <w:col w:w="10140"/>
          </w:cols>
          <w:pgMar w:left="860"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140"/>
          </w:cols>
          <w:pgMar w:left="860" w:top="675" w:right="880" w:bottom="0" w:gutter="0" w:footer="0" w:header="0"/>
          <w:type w:val="continuous"/>
        </w:sectPr>
      </w:pPr>
    </w:p>
    <w:bookmarkStart w:id="15" w:name="page16"/>
    <w:bookmarkEnd w:id="15"/>
    <w:p>
      <w:pPr>
        <w:ind w:firstLine="713"/>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Long-haul Pipelines. </w:t>
      </w:r>
      <w:r>
        <w:rPr>
          <w:rFonts w:ascii="Times New Roman" w:cs="Times New Roman" w:eastAsia="Times New Roman" w:hAnsi="Times New Roman"/>
          <w:sz w:val="20"/>
          <w:szCs w:val="20"/>
          <w:color w:val="auto"/>
        </w:rPr>
        <w:t>Our pipeline systems in the Rocky Mountain region provide access to our terminal in Cushing,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Oklahoma as well as other 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spacing w:after="0" w:line="207" w:lineRule="exact"/>
        <w:rPr>
          <w:sz w:val="20"/>
          <w:szCs w:val="20"/>
          <w:color w:val="auto"/>
        </w:rPr>
      </w:pPr>
    </w:p>
    <w:p>
      <w:pPr>
        <w:ind w:left="1080" w:right="60" w:hanging="366"/>
        <w:spacing w:after="0" w:line="259"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Saddlehorn Pipeline</w:t>
      </w:r>
      <w:r>
        <w:rPr>
          <w:rFonts w:ascii="Times New Roman" w:cs="Times New Roman" w:eastAsia="Times New Roman" w:hAnsi="Times New Roman"/>
          <w:sz w:val="20"/>
          <w:szCs w:val="20"/>
          <w:color w:val="auto"/>
        </w:rPr>
        <w:t>. We own a 30% interest in the entity that owns the Saddlehorn Pipeline which, through a UJI</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arrangement, owns 290,000 barrels per day of capacity in the Saddlehorn Pipeline. The pipeline extends from the Niobrara and Denver-Julesburg (“DJ”) Basin to Cushing and is operated by Magellan. The Saddlehorn Pipeline is supported by minimum volume commitments.</w:t>
      </w:r>
    </w:p>
    <w:p>
      <w:pPr>
        <w:spacing w:after="0" w:line="195" w:lineRule="exact"/>
        <w:rPr>
          <w:rFonts w:ascii="Times New Roman" w:cs="Times New Roman" w:eastAsia="Times New Roman" w:hAnsi="Times New Roman"/>
          <w:sz w:val="20"/>
          <w:szCs w:val="20"/>
          <w:color w:val="auto"/>
        </w:rPr>
      </w:pPr>
    </w:p>
    <w:p>
      <w:pPr>
        <w:ind w:left="1080" w:right="60" w:hanging="366"/>
        <w:spacing w:after="0" w:line="253" w:lineRule="auto"/>
        <w:tabs>
          <w:tab w:leader="none" w:pos="108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White Cliffs Pipeline. </w:t>
      </w:r>
      <w:r>
        <w:rPr>
          <w:rFonts w:ascii="Times New Roman" w:cs="Times New Roman" w:eastAsia="Times New Roman" w:hAnsi="Times New Roman"/>
          <w:sz w:val="20"/>
          <w:szCs w:val="20"/>
          <w:color w:val="auto"/>
        </w:rPr>
        <w:t>We own an approximate 36% interest in the entity that owns the White Cliffs Pipeline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system through a joint venture 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Canada</w:t>
      </w:r>
    </w:p>
    <w:p>
      <w:pPr>
        <w:spacing w:after="0" w:line="250" w:lineRule="exact"/>
        <w:rPr>
          <w:sz w:val="20"/>
          <w:szCs w:val="20"/>
          <w:color w:val="auto"/>
        </w:rPr>
      </w:pPr>
    </w:p>
    <w:p>
      <w:pPr>
        <w:ind w:right="20" w:firstLine="713"/>
        <w:spacing w:after="0" w:line="309" w:lineRule="auto"/>
        <w:rPr>
          <w:sz w:val="20"/>
          <w:szCs w:val="20"/>
          <w:color w:val="auto"/>
        </w:rPr>
      </w:pPr>
      <w:r>
        <w:rPr>
          <w:rFonts w:ascii="Times New Roman" w:cs="Times New Roman" w:eastAsia="Times New Roman" w:hAnsi="Times New Roman"/>
          <w:sz w:val="19"/>
          <w:szCs w:val="19"/>
          <w:b w:val="1"/>
          <w:bCs w:val="1"/>
          <w:i w:val="1"/>
          <w:iCs w:val="1"/>
          <w:color w:val="auto"/>
        </w:rPr>
        <w:t>Gathering Pipelines</w:t>
      </w:r>
      <w:r>
        <w:rPr>
          <w:rFonts w:ascii="Times New Roman" w:cs="Times New Roman" w:eastAsia="Times New Roman" w:hAnsi="Times New Roman"/>
          <w:sz w:val="19"/>
          <w:szCs w:val="19"/>
          <w:color w:val="auto"/>
        </w:rPr>
        <w:t>. We own and operate gathering systems that source crude oil from truck terminals and pipeline-connected facilities to deliver to the Enbridge Mainline system at our Kerrobert and Regina terminals in Saskatchewan, Canada.</w:t>
      </w:r>
    </w:p>
    <w:p>
      <w:pPr>
        <w:spacing w:after="0" w:line="150" w:lineRule="exact"/>
        <w:rPr>
          <w:sz w:val="20"/>
          <w:szCs w:val="20"/>
          <w:color w:val="auto"/>
        </w:rPr>
      </w:pPr>
    </w:p>
    <w:p>
      <w:pPr>
        <w:jc w:val="both"/>
        <w:ind w:right="280" w:firstLine="713"/>
        <w:spacing w:after="0" w:line="285"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Intra-basin Pipelines. </w:t>
      </w:r>
      <w:r>
        <w:rPr>
          <w:rFonts w:ascii="Times New Roman" w:cs="Times New Roman" w:eastAsia="Times New Roman" w:hAnsi="Times New Roman"/>
          <w:sz w:val="19"/>
          <w:szCs w:val="19"/>
          <w:color w:val="auto"/>
        </w:rPr>
        <w:t>We own and operate intra-basin pipelines with capacity of approximately 300,000 barrels per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day that deliver crude oil from northern and southern Alberta to the Edmonton, Alberta market hub. These pipelines provide shippers with flexibility to access the Enbridge and TransMountain long-haul pipelines along with the Imperial Oil Refinery.</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Western</w:t>
      </w:r>
    </w:p>
    <w:p>
      <w:pPr>
        <w:spacing w:after="0" w:line="250" w:lineRule="exact"/>
        <w:rPr>
          <w:sz w:val="20"/>
          <w:szCs w:val="20"/>
          <w:color w:val="auto"/>
        </w:rPr>
      </w:pPr>
    </w:p>
    <w:p>
      <w:pPr>
        <w:ind w:right="80" w:firstLine="713"/>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Gathering Pipelines. </w:t>
      </w:r>
      <w:r>
        <w:rPr>
          <w:rFonts w:ascii="Times New Roman" w:cs="Times New Roman" w:eastAsia="Times New Roman" w:hAnsi="Times New Roman"/>
          <w:sz w:val="20"/>
          <w:szCs w:val="20"/>
          <w:color w:val="auto"/>
        </w:rPr>
        <w:t>We own and operate a pipeline in the San Joaquin Valley that gathers locally produced crude oil,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is then delivered via our Line 63 pipeline system and/or Line 2000 pipeline for transportation to Los Angeles area refiners.</w:t>
      </w:r>
    </w:p>
    <w:p>
      <w:pPr>
        <w:spacing w:after="0" w:line="191" w:lineRule="exact"/>
        <w:rPr>
          <w:sz w:val="20"/>
          <w:szCs w:val="20"/>
          <w:color w:val="auto"/>
        </w:rPr>
      </w:pPr>
    </w:p>
    <w:p>
      <w:pPr>
        <w:ind w:right="20" w:firstLine="713"/>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Long-haul Pipelines</w:t>
      </w:r>
      <w:r>
        <w:rPr>
          <w:rFonts w:ascii="Times New Roman" w:cs="Times New Roman" w:eastAsia="Times New Roman" w:hAnsi="Times New Roman"/>
          <w:sz w:val="20"/>
          <w:szCs w:val="20"/>
          <w:color w:val="auto"/>
        </w:rPr>
        <w:t>. We own and operate Line 63 and Line 2000 pipelines in California. Line 2000 is a mainline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system that has the capacity to 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 During the third quarter of 2022, we temporarily ceased service on Line 2000 as a precautionary measure following a routine inspection and initiated a program of additional tests and inspections. Line 2000 was returned to service in the first quarter of 2023.</w:t>
      </w:r>
    </w:p>
    <w:p>
      <w:pPr>
        <w:spacing w:after="0" w:line="207" w:lineRule="exact"/>
        <w:rPr>
          <w:sz w:val="20"/>
          <w:szCs w:val="20"/>
          <w:color w:val="auto"/>
        </w:rPr>
      </w:pPr>
    </w:p>
    <w:p>
      <w:pPr>
        <w:ind w:right="1060" w:firstLine="713"/>
        <w:spacing w:after="0" w:line="278" w:lineRule="auto"/>
        <w:rPr>
          <w:sz w:val="20"/>
          <w:szCs w:val="20"/>
          <w:color w:val="auto"/>
        </w:rPr>
      </w:pPr>
      <w:r>
        <w:rPr>
          <w:rFonts w:ascii="Times New Roman" w:cs="Times New Roman" w:eastAsia="Times New Roman" w:hAnsi="Times New Roman"/>
          <w:sz w:val="20"/>
          <w:szCs w:val="20"/>
          <w:color w:val="auto"/>
        </w:rPr>
        <w:t>In 2022, we recorded an impairment related to certain of our California crude oil assets. See Note 6 to our Consolidated Financial Statements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Natural Gas Liquids (“NGL”) Segment</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NGL Market and Business Overview</w:t>
      </w:r>
    </w:p>
    <w:p>
      <w:pPr>
        <w:spacing w:after="0" w:line="252" w:lineRule="exact"/>
        <w:rPr>
          <w:sz w:val="20"/>
          <w:szCs w:val="20"/>
          <w:color w:val="auto"/>
        </w:rPr>
      </w:pPr>
    </w:p>
    <w:p>
      <w:pPr>
        <w:ind w:right="40" w:firstLine="713"/>
        <w:spacing w:after="0" w:line="255" w:lineRule="auto"/>
        <w:rPr>
          <w:sz w:val="20"/>
          <w:szCs w:val="20"/>
          <w:color w:val="auto"/>
        </w:rPr>
      </w:pPr>
      <w:r>
        <w:rPr>
          <w:rFonts w:ascii="Times New Roman" w:cs="Times New Roman" w:eastAsia="Times New Roman" w:hAnsi="Times New Roman"/>
          <w:sz w:val="20"/>
          <w:szCs w:val="20"/>
          <w:color w:val="auto"/>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sectPr>
          <w:pgSz w:w="11880" w:h="15480" w:orient="portrait"/>
          <w:cols w:equalWidth="0" w:num="1">
            <w:col w:w="10160"/>
          </w:cols>
          <w:pgMar w:left="860" w:top="68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160"/>
          </w:cols>
          <w:pgMar w:left="860" w:top="680" w:right="860" w:bottom="0" w:gutter="0" w:footer="0" w:header="0"/>
          <w:type w:val="continuous"/>
        </w:sectPr>
      </w:pPr>
    </w:p>
    <w:bookmarkStart w:id="16" w:name="page17"/>
    <w:bookmarkEnd w:id="16"/>
    <w:p>
      <w:pPr>
        <w:ind w:right="20" w:firstLine="713"/>
        <w:spacing w:after="0" w:line="251" w:lineRule="auto"/>
        <w:rPr>
          <w:sz w:val="20"/>
          <w:szCs w:val="20"/>
          <w:color w:val="auto"/>
        </w:rPr>
      </w:pPr>
      <w:r>
        <w:rPr>
          <w:rFonts w:ascii="Times New Roman" w:cs="Times New Roman" w:eastAsia="Times New Roman" w:hAnsi="Times New Roman"/>
          <w:sz w:val="20"/>
          <w:szCs w:val="20"/>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that support the assets. Our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spacing w:after="0" w:line="208" w:lineRule="exact"/>
        <w:rPr>
          <w:sz w:val="20"/>
          <w:szCs w:val="20"/>
          <w:color w:val="auto"/>
        </w:rPr>
      </w:pPr>
    </w:p>
    <w:p>
      <w:pPr>
        <w:ind w:firstLine="713"/>
        <w:spacing w:after="0" w:line="278" w:lineRule="auto"/>
        <w:rPr>
          <w:sz w:val="20"/>
          <w:szCs w:val="20"/>
          <w:color w:val="auto"/>
        </w:rPr>
      </w:pPr>
      <w:r>
        <w:rPr>
          <w:rFonts w:ascii="Times New Roman" w:cs="Times New Roman" w:eastAsia="Times New Roman" w:hAnsi="Times New Roman"/>
          <w:sz w:val="20"/>
          <w:szCs w:val="20"/>
          <w:color w:val="auto"/>
        </w:rPr>
        <w:t>The figure below provides an illustrative and simplified overview of the assets and activities associated with our NGL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153670</wp:posOffset>
            </wp:positionV>
            <wp:extent cx="6468745" cy="1744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6468745" cy="174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NGL Segment Assets Overview</w:t>
      </w:r>
    </w:p>
    <w:p>
      <w:pPr>
        <w:spacing w:after="0" w:line="236" w:lineRule="exact"/>
        <w:rPr>
          <w:sz w:val="20"/>
          <w:szCs w:val="20"/>
          <w:color w:val="auto"/>
        </w:rPr>
      </w:pPr>
    </w:p>
    <w:p>
      <w:pPr>
        <w:jc w:val="both"/>
        <w:ind w:right="40" w:firstLine="713"/>
        <w:spacing w:after="0" w:line="246" w:lineRule="auto"/>
        <w:rPr>
          <w:sz w:val="20"/>
          <w:szCs w:val="20"/>
          <w:color w:val="auto"/>
        </w:rPr>
      </w:pPr>
      <w:r>
        <w:rPr>
          <w:rFonts w:ascii="Times New Roman" w:cs="Times New Roman" w:eastAsia="Times New Roman" w:hAnsi="Times New Roman"/>
          <w:sz w:val="20"/>
          <w:szCs w:val="20"/>
          <w:color w:val="auto"/>
        </w:rPr>
        <w:t>We operate a highly integrated network of assets, strategically positioned across Canada and the United States, with a particular focus on serving production from the liquids-rich Western Canadian Sedimentary Basin. As of December 31, 2022, the assets utilized in our NGL segment included the following:</w:t>
      </w:r>
    </w:p>
    <w:p>
      <w:pPr>
        <w:spacing w:after="0" w:line="77" w:lineRule="exact"/>
        <w:rPr>
          <w:sz w:val="20"/>
          <w:szCs w:val="20"/>
          <w:color w:val="auto"/>
        </w:rPr>
      </w:pPr>
    </w:p>
    <w:p>
      <w:pPr>
        <w:ind w:left="1080" w:hanging="366"/>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 natural gas processing plants;</w:t>
      </w:r>
    </w:p>
    <w:p>
      <w:pPr>
        <w:spacing w:after="0" w:line="110" w:lineRule="exact"/>
        <w:rPr>
          <w:rFonts w:ascii="Times New Roman" w:cs="Times New Roman" w:eastAsia="Times New Roman" w:hAnsi="Times New Roman"/>
          <w:sz w:val="20"/>
          <w:szCs w:val="20"/>
          <w:color w:val="auto"/>
        </w:rPr>
      </w:pPr>
    </w:p>
    <w:p>
      <w:pPr>
        <w:ind w:left="1080" w:right="80" w:hanging="366"/>
        <w:spacing w:after="0" w:line="278"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eight fractionation plants located throughout Canada and the United States with an aggregate useable capacity of approximately 185,600 barrels per day;</w:t>
      </w:r>
    </w:p>
    <w:p>
      <w:pPr>
        <w:spacing w:after="0" w:line="61"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NGL storage facilities with approximately 28 million barrels of capacity;</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1,620 miles of active NGL transportation pipelines;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 NGL rail terminals and approximately 4,100 NGL rail cars; and</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220 trailers.</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Additionally, our assets include the linefill associated with our commercial activities, including approximately:</w:t>
      </w:r>
    </w:p>
    <w:p>
      <w:pPr>
        <w:spacing w:after="0" w:line="126" w:lineRule="exact"/>
        <w:rPr>
          <w:sz w:val="20"/>
          <w:szCs w:val="20"/>
          <w:color w:val="auto"/>
        </w:rPr>
      </w:pPr>
    </w:p>
    <w:p>
      <w:pPr>
        <w:ind w:left="1080" w:hanging="366"/>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million barrels of NGL linefill in pipelines and storage owned by us; and</w:t>
      </w:r>
    </w:p>
    <w:p>
      <w:pPr>
        <w:spacing w:after="0" w:line="126" w:lineRule="exact"/>
        <w:rPr>
          <w:rFonts w:ascii="Times New Roman" w:cs="Times New Roman" w:eastAsia="Times New Roman" w:hAnsi="Times New Roman"/>
          <w:sz w:val="20"/>
          <w:szCs w:val="20"/>
          <w:color w:val="auto"/>
        </w:rPr>
      </w:pPr>
    </w:p>
    <w:p>
      <w:pPr>
        <w:ind w:left="1080" w:hanging="366"/>
        <w:spacing w:after="0" w:line="278"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million barrels of NGL utilized as linefill in pipelines owned by third parties or otherwise required as long-term inventory.</w:t>
      </w:r>
    </w:p>
    <w:p>
      <w:pPr>
        <w:sectPr>
          <w:pgSz w:w="11880" w:h="15480" w:orient="portrait"/>
          <w:cols w:equalWidth="0" w:num="1">
            <w:col w:w="10060"/>
          </w:cols>
          <w:pgMar w:left="860" w:top="68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060"/>
          </w:cols>
          <w:pgMar w:left="860" w:top="683" w:right="960" w:bottom="0" w:gutter="0" w:footer="0" w:header="0"/>
          <w:type w:val="continuous"/>
        </w:sectPr>
      </w:pPr>
    </w:p>
    <w:bookmarkStart w:id="17" w:name="page18"/>
    <w:bookmarkEnd w:id="17"/>
    <w:p>
      <w:pPr>
        <w:ind w:right="220" w:firstLine="713"/>
        <w:spacing w:after="0" w:line="262" w:lineRule="auto"/>
        <w:rPr>
          <w:sz w:val="20"/>
          <w:szCs w:val="20"/>
          <w:color w:val="auto"/>
        </w:rPr>
      </w:pPr>
      <w:r>
        <w:rPr>
          <w:rFonts w:ascii="Times New Roman" w:cs="Times New Roman" w:eastAsia="Times New Roman" w:hAnsi="Times New Roman"/>
          <w:sz w:val="20"/>
          <w:szCs w:val="20"/>
          <w:color w:val="auto"/>
        </w:rPr>
        <w:t>The tables below present volumes and capacities for our NGL assets and activities as of December 31, 2022 and our natural gas processing and NGL infrastructure and activities are described further below.</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Gas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Processing</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w w:val="93"/>
              </w:rPr>
              <w:t>Inlet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Natural Gas Processing Facilities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Ownership Interest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6"/>
                <w:szCs w:val="16"/>
                <w:b w:val="1"/>
                <w:bCs w:val="1"/>
                <w:color w:val="auto"/>
              </w:rPr>
              <w:t>Capacity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18"/>
                <w:szCs w:val="18"/>
                <w:b w:val="1"/>
                <w:bCs w:val="1"/>
                <w:color w:val="auto"/>
                <w:vertAlign w:val="superscript"/>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380" w:type="dxa"/>
            <w:vAlign w:val="bottom"/>
            <w:tcBorders>
              <w:bottom w:val="single" w:sz="8" w:color="auto"/>
            </w:tcBorders>
            <w:gridSpan w:val="2"/>
          </w:tcPr>
          <w:p>
            <w:pPr>
              <w:jc w:val="center"/>
              <w:spacing w:after="0" w:line="212" w:lineRule="exact"/>
              <w:rPr>
                <w:sz w:val="20"/>
                <w:szCs w:val="20"/>
                <w:color w:val="auto"/>
              </w:rPr>
            </w:pPr>
            <w:r>
              <w:rPr>
                <w:rFonts w:ascii="Times New Roman" w:cs="Times New Roman" w:eastAsia="Times New Roman" w:hAnsi="Times New Roman"/>
                <w:sz w:val="16"/>
                <w:szCs w:val="16"/>
                <w:b w:val="1"/>
                <w:bCs w:val="1"/>
                <w:color w:val="auto"/>
                <w:w w:val="92"/>
              </w:rPr>
              <w:t xml:space="preserve">(Bcf/d) </w:t>
            </w:r>
            <w:r>
              <w:rPr>
                <w:rFonts w:ascii="Times New Roman" w:cs="Times New Roman" w:eastAsia="Times New Roman" w:hAnsi="Times New Roman"/>
                <w:sz w:val="20"/>
                <w:szCs w:val="20"/>
                <w:b w:val="1"/>
                <w:bCs w:val="1"/>
                <w:color w:val="auto"/>
                <w:w w:val="92"/>
                <w:vertAlign w:val="superscript"/>
              </w:rPr>
              <w:t>(1)</w:t>
            </w:r>
          </w:p>
        </w:tc>
        <w:tc>
          <w:tcPr>
            <w:tcW w:w="60" w:type="dxa"/>
            <w:vAlign w:val="bottom"/>
            <w:tcBorders>
              <w:bottom w:val="single" w:sz="8" w:color="E6E6E6"/>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7"/>
              </w:rPr>
              <w:t>(Bcf/d)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55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Empress</w:t>
            </w:r>
          </w:p>
        </w:tc>
        <w:tc>
          <w:tcPr>
            <w:tcW w:w="166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4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shd w:val="clear" w:color="auto" w:fill="E6E6E6"/>
          </w:tcPr>
          <w:p>
            <w:pPr>
              <w:spacing w:after="0"/>
              <w:rPr>
                <w:sz w:val="23"/>
                <w:szCs w:val="23"/>
                <w:color w:val="auto"/>
              </w:rPr>
            </w:pPr>
          </w:p>
        </w:tc>
        <w:tc>
          <w:tcPr>
            <w:tcW w:w="1440" w:type="dxa"/>
            <w:vAlign w:val="bottom"/>
            <w:gridSpan w:val="4"/>
            <w:shd w:val="clear" w:color="auto" w:fill="E6E6E6"/>
          </w:tcPr>
          <w:p>
            <w:pPr>
              <w:jc w:val="right"/>
              <w:ind w:right="1"/>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Fractionation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NGL Fractionation Facilities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Ownership Interest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jc w:val="center"/>
              <w:ind w:right="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Capacity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ind w:right="41"/>
              <w:spacing w:after="0" w:line="158" w:lineRule="exact"/>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18"/>
                <w:szCs w:val="18"/>
                <w:b w:val="1"/>
                <w:bCs w:val="1"/>
                <w:color w:val="auto"/>
                <w:vertAlign w:val="superscript"/>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380" w:type="dxa"/>
            <w:vAlign w:val="bottom"/>
            <w:tcBorders>
              <w:bottom w:val="single" w:sz="8" w:color="auto"/>
            </w:tcBorders>
            <w:gridSpan w:val="2"/>
          </w:tcPr>
          <w:p>
            <w:pPr>
              <w:jc w:val="center"/>
              <w:ind w:right="20"/>
              <w:spacing w:after="0" w:line="212" w:lineRule="exact"/>
              <w:rPr>
                <w:sz w:val="20"/>
                <w:szCs w:val="20"/>
                <w:color w:val="auto"/>
              </w:rPr>
            </w:pPr>
            <w:r>
              <w:rPr>
                <w:rFonts w:ascii="Times New Roman" w:cs="Times New Roman" w:eastAsia="Times New Roman" w:hAnsi="Times New Roman"/>
                <w:sz w:val="16"/>
                <w:szCs w:val="16"/>
                <w:b w:val="1"/>
                <w:bCs w:val="1"/>
                <w:color w:val="auto"/>
                <w:w w:val="92"/>
              </w:rPr>
              <w:t xml:space="preserve">(Bbls/d) </w:t>
            </w:r>
            <w:r>
              <w:rPr>
                <w:rFonts w:ascii="Times New Roman" w:cs="Times New Roman" w:eastAsia="Times New Roman" w:hAnsi="Times New Roman"/>
                <w:sz w:val="20"/>
                <w:szCs w:val="20"/>
                <w:b w:val="1"/>
                <w:bCs w:val="1"/>
                <w:color w:val="auto"/>
                <w:w w:val="92"/>
                <w:vertAlign w:val="superscript"/>
              </w:rPr>
              <w:t>(1)</w:t>
            </w:r>
          </w:p>
        </w:tc>
        <w:tc>
          <w:tcPr>
            <w:tcW w:w="60" w:type="dxa"/>
            <w:vAlign w:val="bottom"/>
            <w:tcBorders>
              <w:bottom w:val="single" w:sz="8" w:color="E6E6E6"/>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5"/>
              </w:rPr>
              <w:t>(Bbls/d)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55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Empress</w:t>
            </w:r>
          </w:p>
        </w:tc>
        <w:tc>
          <w:tcPr>
            <w:tcW w:w="1660" w:type="dxa"/>
            <w:vAlign w:val="bottom"/>
            <w:gridSpan w:val="4"/>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100 %</w:t>
            </w:r>
          </w:p>
        </w:tc>
        <w:tc>
          <w:tcPr>
            <w:tcW w:w="14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23,300</w:t>
            </w:r>
          </w:p>
        </w:tc>
        <w:tc>
          <w:tcPr>
            <w:tcW w:w="20" w:type="dxa"/>
            <w:vAlign w:val="bottom"/>
            <w:shd w:val="clear" w:color="auto" w:fill="E6E6E6"/>
          </w:tcPr>
          <w:p>
            <w:pPr>
              <w:spacing w:after="0"/>
              <w:rPr>
                <w:sz w:val="24"/>
                <w:szCs w:val="24"/>
                <w:color w:val="auto"/>
              </w:rPr>
            </w:pPr>
          </w:p>
        </w:tc>
        <w:tc>
          <w:tcPr>
            <w:tcW w:w="1440" w:type="dxa"/>
            <w:vAlign w:val="bottom"/>
            <w:gridSpan w:val="4"/>
            <w:shd w:val="clear" w:color="auto" w:fill="E6E6E6"/>
          </w:tcPr>
          <w:p>
            <w:pPr>
              <w:jc w:val="right"/>
              <w:ind w:right="1"/>
              <w:spacing w:after="0"/>
              <w:rPr>
                <w:sz w:val="20"/>
                <w:szCs w:val="20"/>
                <w:color w:val="auto"/>
              </w:rPr>
            </w:pPr>
            <w:r>
              <w:rPr>
                <w:rFonts w:ascii="Times New Roman" w:cs="Times New Roman" w:eastAsia="Times New Roman" w:hAnsi="Times New Roman"/>
                <w:sz w:val="20"/>
                <w:szCs w:val="20"/>
                <w:color w:val="auto"/>
              </w:rPr>
              <w:t>20,700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52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Fort Saskatchewan </w:t>
            </w:r>
            <w:r>
              <w:rPr>
                <w:rFonts w:ascii="Times New Roman" w:cs="Times New Roman" w:eastAsia="Times New Roman" w:hAnsi="Times New Roman"/>
                <w:sz w:val="25"/>
                <w:szCs w:val="25"/>
                <w:b w:val="1"/>
                <w:bCs w:val="1"/>
                <w:i w:val="1"/>
                <w:iCs w:val="1"/>
                <w:color w:val="auto"/>
                <w:vertAlign w:val="superscript"/>
              </w:rPr>
              <w:t>(3)</w:t>
            </w:r>
          </w:p>
        </w:tc>
        <w:tc>
          <w:tcPr>
            <w:tcW w:w="16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21-100%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61,700</w:t>
            </w:r>
          </w:p>
        </w:tc>
        <w:tc>
          <w:tcPr>
            <w:tcW w:w="20" w:type="dxa"/>
            <w:vAlign w:val="bottom"/>
          </w:tcPr>
          <w:p>
            <w:pPr>
              <w:spacing w:after="0"/>
              <w:rPr>
                <w:sz w:val="24"/>
                <w:szCs w:val="24"/>
                <w:color w:val="auto"/>
              </w:rPr>
            </w:pPr>
          </w:p>
        </w:tc>
        <w:tc>
          <w:tcPr>
            <w:tcW w:w="1440" w:type="dxa"/>
            <w:vAlign w:val="bottom"/>
            <w:gridSpan w:val="4"/>
          </w:tcPr>
          <w:p>
            <w:pPr>
              <w:jc w:val="right"/>
              <w:ind w:right="1"/>
              <w:spacing w:after="0"/>
              <w:rPr>
                <w:sz w:val="20"/>
                <w:szCs w:val="20"/>
                <w:color w:val="auto"/>
              </w:rPr>
            </w:pPr>
            <w:r>
              <w:rPr>
                <w:rFonts w:ascii="Times New Roman" w:cs="Times New Roman" w:eastAsia="Times New Roman" w:hAnsi="Times New Roman"/>
                <w:sz w:val="20"/>
                <w:szCs w:val="20"/>
                <w:color w:val="auto"/>
              </w:rPr>
              <w:t>49,900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5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Sarnia</w:t>
            </w:r>
          </w:p>
        </w:tc>
        <w:tc>
          <w:tcPr>
            <w:tcW w:w="1660" w:type="dxa"/>
            <w:vAlign w:val="bottom"/>
            <w:gridSpan w:val="4"/>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62-84%</w:t>
            </w:r>
          </w:p>
        </w:tc>
        <w:tc>
          <w:tcPr>
            <w:tcW w:w="14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20" w:type="dxa"/>
            <w:vAlign w:val="bottom"/>
            <w:shd w:val="clear" w:color="auto" w:fill="E6E6E6"/>
          </w:tcPr>
          <w:p>
            <w:pPr>
              <w:spacing w:after="0"/>
              <w:rPr>
                <w:sz w:val="24"/>
                <w:szCs w:val="24"/>
                <w:color w:val="auto"/>
              </w:rPr>
            </w:pPr>
          </w:p>
        </w:tc>
        <w:tc>
          <w:tcPr>
            <w:tcW w:w="1440" w:type="dxa"/>
            <w:vAlign w:val="bottom"/>
            <w:gridSpan w:val="4"/>
            <w:shd w:val="clear" w:color="auto" w:fill="E6E6E6"/>
          </w:tcPr>
          <w:p>
            <w:pPr>
              <w:jc w:val="right"/>
              <w:ind w:right="1"/>
              <w:spacing w:after="0"/>
              <w:rPr>
                <w:sz w:val="20"/>
                <w:szCs w:val="20"/>
                <w:color w:val="auto"/>
              </w:rPr>
            </w:pPr>
            <w:r>
              <w:rPr>
                <w:rFonts w:ascii="Times New Roman" w:cs="Times New Roman" w:eastAsia="Times New Roman" w:hAnsi="Times New Roman"/>
                <w:sz w:val="20"/>
                <w:szCs w:val="20"/>
                <w:color w:val="auto"/>
              </w:rPr>
              <w:t>58,400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552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Other</w:t>
            </w:r>
          </w:p>
        </w:tc>
        <w:tc>
          <w:tcPr>
            <w:tcW w:w="1660" w:type="dxa"/>
            <w:vAlign w:val="bottom"/>
            <w:tcBorders>
              <w:bottom w:val="single" w:sz="8" w:color="E6E6E6"/>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82-100%</w:t>
            </w:r>
          </w:p>
        </w:tc>
        <w:tc>
          <w:tcPr>
            <w:tcW w:w="80" w:type="dxa"/>
            <w:vAlign w:val="bottom"/>
            <w:tcBorders>
              <w:bottom w:val="single" w:sz="8" w:color="E6E6E6"/>
            </w:tcBorders>
            <w:gridSpan w:val="2"/>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25,600</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38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7,800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5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5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185,600</w:t>
            </w:r>
          </w:p>
        </w:tc>
        <w:tc>
          <w:tcPr>
            <w:tcW w:w="20" w:type="dxa"/>
            <w:vAlign w:val="bottom"/>
            <w:shd w:val="clear" w:color="auto" w:fill="E6E6E6"/>
          </w:tcPr>
          <w:p>
            <w:pPr>
              <w:spacing w:after="0"/>
              <w:rPr>
                <w:sz w:val="24"/>
                <w:szCs w:val="24"/>
                <w:color w:val="auto"/>
              </w:rPr>
            </w:pPr>
          </w:p>
        </w:tc>
        <w:tc>
          <w:tcPr>
            <w:tcW w:w="1440" w:type="dxa"/>
            <w:vAlign w:val="bottom"/>
            <w:gridSpan w:val="4"/>
            <w:shd w:val="clear" w:color="auto" w:fill="E6E6E6"/>
          </w:tcPr>
          <w:p>
            <w:pPr>
              <w:jc w:val="right"/>
              <w:ind w:right="1"/>
              <w:spacing w:after="0"/>
              <w:rPr>
                <w:sz w:val="20"/>
                <w:szCs w:val="20"/>
                <w:color w:val="auto"/>
              </w:rPr>
            </w:pPr>
            <w:r>
              <w:rPr>
                <w:rFonts w:ascii="Times New Roman" w:cs="Times New Roman" w:eastAsia="Times New Roman" w:hAnsi="Times New Roman"/>
                <w:sz w:val="20"/>
                <w:szCs w:val="20"/>
                <w:color w:val="auto"/>
              </w:rPr>
              <w:t>136,800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20" w:type="dxa"/>
            <w:vAlign w:val="bottom"/>
          </w:tcPr>
          <w:p>
            <w:pPr>
              <w:spacing w:after="0"/>
              <w:rPr>
                <w:sz w:val="24"/>
                <w:szCs w:val="24"/>
                <w:color w:val="auto"/>
              </w:rPr>
            </w:pPr>
          </w:p>
        </w:tc>
        <w:tc>
          <w:tcPr>
            <w:tcW w:w="5520" w:type="dxa"/>
            <w:vAlign w:val="bottom"/>
            <w:tcBorders>
              <w:top w:val="single" w:sz="8" w:color="E6E6E6"/>
            </w:tcBorders>
          </w:tcPr>
          <w:p>
            <w:pPr>
              <w:spacing w:after="0"/>
              <w:rPr>
                <w:sz w:val="24"/>
                <w:szCs w:val="24"/>
                <w:color w:val="auto"/>
              </w:rPr>
            </w:pPr>
          </w:p>
        </w:tc>
        <w:tc>
          <w:tcPr>
            <w:tcW w:w="60" w:type="dxa"/>
            <w:vAlign w:val="bottom"/>
            <w:tcBorders>
              <w:top w:val="single" w:sz="8" w:color="E6E6E6"/>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1560" w:type="dxa"/>
            <w:vAlign w:val="bottom"/>
            <w:tcBorders>
              <w:top w:val="single" w:sz="8" w:color="E6E6E6"/>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60" w:type="dxa"/>
            <w:vAlign w:val="bottom"/>
            <w:tcBorders>
              <w:top w:val="single" w:sz="8" w:color="E6E6E6"/>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E6E6E6"/>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Storage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NGL Storage Facilities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ind w:left="260"/>
              <w:spacing w:after="0" w:line="158" w:lineRule="exact"/>
              <w:rPr>
                <w:sz w:val="20"/>
                <w:szCs w:val="20"/>
                <w:color w:val="auto"/>
              </w:rPr>
            </w:pPr>
            <w:r>
              <w:rPr>
                <w:rFonts w:ascii="Times New Roman" w:cs="Times New Roman" w:eastAsia="Times New Roman" w:hAnsi="Times New Roman"/>
                <w:sz w:val="14"/>
                <w:szCs w:val="14"/>
                <w:b w:val="1"/>
                <w:bCs w:val="1"/>
                <w:color w:val="auto"/>
              </w:rPr>
              <w:t xml:space="preserve">Capacity </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55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(MMBbls)</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20" w:type="dxa"/>
            <w:vAlign w:val="bottom"/>
            <w:shd w:val="clear" w:color="auto" w:fill="E6E6E6"/>
          </w:tcPr>
          <w:p>
            <w:pPr>
              <w:spacing w:after="0"/>
              <w:rPr>
                <w:sz w:val="24"/>
                <w:szCs w:val="24"/>
                <w:color w:val="auto"/>
              </w:rPr>
            </w:pPr>
          </w:p>
        </w:tc>
        <w:tc>
          <w:tcPr>
            <w:tcW w:w="55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Fort Saskatchewan </w:t>
            </w:r>
            <w:r>
              <w:rPr>
                <w:rFonts w:ascii="Times New Roman" w:cs="Times New Roman" w:eastAsia="Times New Roman" w:hAnsi="Times New Roman"/>
                <w:sz w:val="25"/>
                <w:szCs w:val="25"/>
                <w:b w:val="1"/>
                <w:bCs w:val="1"/>
                <w:i w:val="1"/>
                <w:iCs w:val="1"/>
                <w:color w:val="auto"/>
                <w:vertAlign w:val="superscript"/>
              </w:rPr>
              <w:t>(3)</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5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3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4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Sarnia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shd w:val="clear" w:color="auto" w:fill="E6E6E6"/>
          </w:tcPr>
          <w:p>
            <w:pPr>
              <w:spacing w:after="0"/>
              <w:rPr>
                <w:sz w:val="24"/>
                <w:szCs w:val="24"/>
                <w:color w:val="auto"/>
              </w:rPr>
            </w:pPr>
          </w:p>
        </w:tc>
        <w:tc>
          <w:tcPr>
            <w:tcW w:w="55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Empress</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5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3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4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Borders>
              <w:bottom w:val="single" w:sz="8" w:color="E6E6E6"/>
            </w:tcBorders>
          </w:tcPr>
          <w:p>
            <w:pPr>
              <w:spacing w:after="0"/>
              <w:rPr>
                <w:sz w:val="24"/>
                <w:szCs w:val="24"/>
                <w:color w:val="auto"/>
              </w:rPr>
            </w:pPr>
          </w:p>
        </w:tc>
        <w:tc>
          <w:tcPr>
            <w:tcW w:w="552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Other</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5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3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gridSpan w:val="3"/>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shd w:val="clear" w:color="auto" w:fill="E6E6E6"/>
          </w:tcPr>
          <w:p>
            <w:pPr>
              <w:spacing w:after="0"/>
              <w:rPr>
                <w:sz w:val="24"/>
                <w:szCs w:val="24"/>
                <w:color w:val="auto"/>
              </w:rPr>
            </w:pPr>
          </w:p>
        </w:tc>
        <w:tc>
          <w:tcPr>
            <w:tcW w:w="55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5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3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4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20" w:type="dxa"/>
            <w:vAlign w:val="bottom"/>
            <w:tcBorders>
              <w:top w:val="single" w:sz="8" w:color="E6E6E6"/>
            </w:tcBorders>
          </w:tcPr>
          <w:p>
            <w:pPr>
              <w:spacing w:after="0"/>
              <w:rPr>
                <w:sz w:val="24"/>
                <w:szCs w:val="24"/>
                <w:color w:val="auto"/>
              </w:rPr>
            </w:pPr>
          </w:p>
        </w:tc>
        <w:tc>
          <w:tcPr>
            <w:tcW w:w="5520" w:type="dxa"/>
            <w:vAlign w:val="bottom"/>
            <w:tcBorders>
              <w:top w:val="single" w:sz="8" w:color="E6E6E6"/>
            </w:tcBorders>
          </w:tcPr>
          <w:p>
            <w:pPr>
              <w:spacing w:after="0"/>
              <w:rPr>
                <w:sz w:val="24"/>
                <w:szCs w:val="24"/>
                <w:color w:val="auto"/>
              </w:rPr>
            </w:pPr>
          </w:p>
        </w:tc>
        <w:tc>
          <w:tcPr>
            <w:tcW w:w="60" w:type="dxa"/>
            <w:vAlign w:val="bottom"/>
            <w:tcBorders>
              <w:top w:val="single" w:sz="8" w:color="E6E6E6"/>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1560" w:type="dxa"/>
            <w:vAlign w:val="bottom"/>
            <w:tcBorders>
              <w:top w:val="single" w:sz="8" w:color="E6E6E6"/>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60" w:type="dxa"/>
            <w:vAlign w:val="bottom"/>
            <w:tcBorders>
              <w:top w:val="single" w:sz="8" w:color="E6E6E6"/>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1380" w:type="dxa"/>
            <w:vAlign w:val="bottom"/>
            <w:tcBorders>
              <w:top w:val="single" w:sz="8" w:color="E6E6E6"/>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Approximate</w:t>
            </w:r>
          </w:p>
        </w:tc>
        <w:tc>
          <w:tcPr>
            <w:tcW w:w="60" w:type="dxa"/>
            <w:vAlign w:val="bottom"/>
            <w:tcBorders>
              <w:top w:val="single" w:sz="8" w:color="E6E6E6"/>
            </w:tcBorders>
          </w:tcPr>
          <w:p>
            <w:pPr>
              <w:spacing w:after="0"/>
              <w:rPr>
                <w:sz w:val="24"/>
                <w:szCs w:val="24"/>
                <w:color w:val="auto"/>
              </w:rPr>
            </w:pPr>
          </w:p>
        </w:tc>
        <w:tc>
          <w:tcPr>
            <w:tcW w:w="60" w:type="dxa"/>
            <w:vAlign w:val="bottom"/>
            <w:tcBorders>
              <w:top w:val="single" w:sz="8" w:color="E6E6E6"/>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1240" w:type="dxa"/>
            <w:vAlign w:val="bottom"/>
            <w:tcBorders>
              <w:top w:val="single" w:sz="8" w:color="auto"/>
            </w:tcBorders>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ind w:right="41"/>
              <w:spacing w:after="0" w:line="168" w:lineRule="exact"/>
              <w:rPr>
                <w:sz w:val="20"/>
                <w:szCs w:val="20"/>
                <w:color w:val="auto"/>
              </w:rPr>
            </w:pPr>
            <w:r>
              <w:rPr>
                <w:rFonts w:ascii="Times New Roman" w:cs="Times New Roman" w:eastAsia="Times New Roman" w:hAnsi="Times New Roman"/>
                <w:sz w:val="15"/>
                <w:szCs w:val="15"/>
                <w:b w:val="1"/>
                <w:bCs w:val="1"/>
                <w:color w:val="auto"/>
              </w:rPr>
              <w:t xml:space="preserve">Volumes </w:t>
            </w:r>
            <w:r>
              <w:rPr>
                <w:rFonts w:ascii="Times New Roman" w:cs="Times New Roman" w:eastAsia="Times New Roman" w:hAnsi="Times New Roman"/>
                <w:sz w:val="19"/>
                <w:szCs w:val="19"/>
                <w:b w:val="1"/>
                <w:bCs w:val="1"/>
                <w:color w:val="auto"/>
                <w:vertAlign w:val="superscript"/>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E6E6E6"/>
            </w:tcBorders>
          </w:tcPr>
          <w:p>
            <w:pPr>
              <w:spacing w:after="0"/>
              <w:rPr>
                <w:sz w:val="19"/>
                <w:szCs w:val="19"/>
                <w:color w:val="auto"/>
              </w:rPr>
            </w:pPr>
          </w:p>
        </w:tc>
        <w:tc>
          <w:tcPr>
            <w:tcW w:w="5520" w:type="dxa"/>
            <w:vAlign w:val="bottom"/>
            <w:tcBorders>
              <w:bottom w:val="single" w:sz="8" w:color="E6E6E6"/>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Ownership Interest</w:t>
            </w:r>
          </w:p>
        </w:tc>
        <w:tc>
          <w:tcPr>
            <w:tcW w:w="20" w:type="dxa"/>
            <w:vAlign w:val="bottom"/>
            <w:tcBorders>
              <w:bottom w:val="single" w:sz="8" w:color="E6E6E6"/>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spacing w:after="0" w:line="224" w:lineRule="exact"/>
              <w:rPr>
                <w:sz w:val="20"/>
                <w:szCs w:val="20"/>
                <w:color w:val="auto"/>
              </w:rPr>
            </w:pPr>
            <w:r>
              <w:rPr>
                <w:rFonts w:ascii="Times New Roman" w:cs="Times New Roman" w:eastAsia="Times New Roman" w:hAnsi="Times New Roman"/>
                <w:sz w:val="17"/>
                <w:szCs w:val="17"/>
                <w:b w:val="1"/>
                <w:bCs w:val="1"/>
                <w:color w:val="auto"/>
                <w:w w:val="96"/>
              </w:rPr>
              <w:t xml:space="preserve">System Miles </w:t>
            </w:r>
            <w:r>
              <w:rPr>
                <w:rFonts w:ascii="Times New Roman" w:cs="Times New Roman" w:eastAsia="Times New Roman" w:hAnsi="Times New Roman"/>
                <w:sz w:val="21"/>
                <w:szCs w:val="21"/>
                <w:b w:val="1"/>
                <w:bCs w:val="1"/>
                <w:color w:val="auto"/>
                <w:w w:val="96"/>
                <w:vertAlign w:val="superscript"/>
              </w:rPr>
              <w:t>(4)</w:t>
            </w:r>
          </w:p>
        </w:tc>
        <w:tc>
          <w:tcPr>
            <w:tcW w:w="20" w:type="dxa"/>
            <w:vAlign w:val="bottom"/>
            <w:tcBorders>
              <w:bottom w:val="single" w:sz="8" w:color="E6E6E6"/>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w w:val="97"/>
              </w:rPr>
              <w:t>(MBbls/d)</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20" w:type="dxa"/>
            <w:vAlign w:val="bottom"/>
            <w:shd w:val="clear" w:color="auto" w:fill="E6E6E6"/>
          </w:tcPr>
          <w:p>
            <w:pPr>
              <w:spacing w:after="0"/>
              <w:rPr>
                <w:sz w:val="23"/>
                <w:szCs w:val="23"/>
                <w:color w:val="auto"/>
              </w:rPr>
            </w:pPr>
          </w:p>
        </w:tc>
        <w:tc>
          <w:tcPr>
            <w:tcW w:w="55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NGL Pipelines</w:t>
            </w:r>
          </w:p>
        </w:tc>
        <w:tc>
          <w:tcPr>
            <w:tcW w:w="60" w:type="dxa"/>
            <w:vAlign w:val="bottom"/>
            <w:shd w:val="clear" w:color="auto" w:fill="E6E6E6"/>
          </w:tcPr>
          <w:p>
            <w:pPr>
              <w:spacing w:after="0"/>
              <w:rPr>
                <w:sz w:val="23"/>
                <w:szCs w:val="23"/>
                <w:color w:val="auto"/>
              </w:rPr>
            </w:pPr>
          </w:p>
        </w:tc>
        <w:tc>
          <w:tcPr>
            <w:tcW w:w="15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21-100%</w:t>
            </w:r>
          </w:p>
        </w:tc>
        <w:tc>
          <w:tcPr>
            <w:tcW w:w="20" w:type="dxa"/>
            <w:vAlign w:val="bottom"/>
            <w:shd w:val="clear" w:color="auto" w:fill="E6E6E6"/>
          </w:tcPr>
          <w:p>
            <w:pPr>
              <w:spacing w:after="0"/>
              <w:rPr>
                <w:sz w:val="23"/>
                <w:szCs w:val="23"/>
                <w:color w:val="auto"/>
              </w:rPr>
            </w:pPr>
          </w:p>
        </w:tc>
        <w:tc>
          <w:tcPr>
            <w:tcW w:w="14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1,620</w:t>
            </w:r>
          </w:p>
        </w:tc>
        <w:tc>
          <w:tcPr>
            <w:tcW w:w="20" w:type="dxa"/>
            <w:vAlign w:val="bottom"/>
            <w:shd w:val="clear" w:color="auto" w:fill="E6E6E6"/>
          </w:tcPr>
          <w:p>
            <w:pPr>
              <w:spacing w:after="0"/>
              <w:rPr>
                <w:sz w:val="23"/>
                <w:szCs w:val="23"/>
                <w:color w:val="auto"/>
              </w:rPr>
            </w:pPr>
          </w:p>
        </w:tc>
        <w:tc>
          <w:tcPr>
            <w:tcW w:w="144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Ownership Interest</w:t>
            </w:r>
          </w:p>
        </w:tc>
        <w:tc>
          <w:tcPr>
            <w:tcW w:w="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E6E6E6"/>
            </w:tcBorders>
          </w:tcPr>
          <w:p>
            <w:pPr>
              <w:spacing w:after="0"/>
              <w:rPr>
                <w:sz w:val="18"/>
                <w:szCs w:val="18"/>
                <w:color w:val="auto"/>
              </w:rPr>
            </w:pPr>
          </w:p>
        </w:tc>
        <w:tc>
          <w:tcPr>
            <w:tcW w:w="552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E6E6E6"/>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Rack Spots</w:t>
            </w:r>
          </w:p>
        </w:tc>
        <w:tc>
          <w:tcPr>
            <w:tcW w:w="2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Storage Spots</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shd w:val="clear" w:color="auto" w:fill="E6E6E6"/>
          </w:tcPr>
          <w:p>
            <w:pPr>
              <w:spacing w:after="0"/>
              <w:rPr>
                <w:sz w:val="23"/>
                <w:szCs w:val="23"/>
                <w:color w:val="auto"/>
              </w:rPr>
            </w:pPr>
          </w:p>
        </w:tc>
        <w:tc>
          <w:tcPr>
            <w:tcW w:w="55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NGL Rail Facilities</w:t>
            </w:r>
          </w:p>
        </w:tc>
        <w:tc>
          <w:tcPr>
            <w:tcW w:w="60" w:type="dxa"/>
            <w:vAlign w:val="bottom"/>
            <w:shd w:val="clear" w:color="auto" w:fill="E6E6E6"/>
          </w:tcPr>
          <w:p>
            <w:pPr>
              <w:spacing w:after="0"/>
              <w:rPr>
                <w:sz w:val="23"/>
                <w:szCs w:val="23"/>
                <w:color w:val="auto"/>
              </w:rPr>
            </w:pPr>
          </w:p>
        </w:tc>
        <w:tc>
          <w:tcPr>
            <w:tcW w:w="15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75-100%</w:t>
            </w:r>
          </w:p>
        </w:tc>
        <w:tc>
          <w:tcPr>
            <w:tcW w:w="20" w:type="dxa"/>
            <w:vAlign w:val="bottom"/>
            <w:shd w:val="clear" w:color="auto" w:fill="E6E6E6"/>
          </w:tcPr>
          <w:p>
            <w:pPr>
              <w:spacing w:after="0"/>
              <w:rPr>
                <w:sz w:val="23"/>
                <w:szCs w:val="23"/>
                <w:color w:val="auto"/>
              </w:rPr>
            </w:pPr>
          </w:p>
        </w:tc>
        <w:tc>
          <w:tcPr>
            <w:tcW w:w="14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20" w:type="dxa"/>
            <w:vAlign w:val="bottom"/>
            <w:shd w:val="clear" w:color="auto" w:fill="E6E6E6"/>
          </w:tcPr>
          <w:p>
            <w:pPr>
              <w:spacing w:after="0"/>
              <w:rPr>
                <w:sz w:val="23"/>
                <w:szCs w:val="23"/>
                <w:color w:val="auto"/>
              </w:rPr>
            </w:pPr>
          </w:p>
        </w:tc>
        <w:tc>
          <w:tcPr>
            <w:tcW w:w="144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1,527</w:t>
            </w: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-4660265</wp:posOffset>
            </wp:positionV>
            <wp:extent cx="6440805"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6440805" cy="501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-3909695</wp:posOffset>
            </wp:positionV>
            <wp:extent cx="6462395" cy="50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6462395" cy="5016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-3155315</wp:posOffset>
            </wp:positionV>
            <wp:extent cx="1851660" cy="5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1851660" cy="50165"/>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-2979420</wp:posOffset>
            </wp:positionV>
            <wp:extent cx="1851660" cy="75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1851660" cy="7556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-2385060</wp:posOffset>
            </wp:positionV>
            <wp:extent cx="6481445" cy="50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6481445" cy="5016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-1630680</wp:posOffset>
            </wp:positionV>
            <wp:extent cx="851535" cy="50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851535" cy="5016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-1454785</wp:posOffset>
            </wp:positionV>
            <wp:extent cx="851535" cy="75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851535" cy="7556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-850900</wp:posOffset>
            </wp:positionV>
            <wp:extent cx="2926080" cy="50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2926080" cy="5016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-203835</wp:posOffset>
            </wp:positionV>
            <wp:extent cx="2926080" cy="5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2926080"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260350</wp:posOffset>
                </wp:positionV>
                <wp:extent cx="207454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454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20.5pt" to="163.4pt,20.5pt" o:allowincell="f" strokecolor="#000000" strokeweight="0.99pt"/>
            </w:pict>
          </mc:Fallback>
        </mc:AlternateContent>
      </w:r>
    </w:p>
    <w:p>
      <w:pPr>
        <w:sectPr>
          <w:pgSz w:w="11880" w:h="15480" w:orient="portrait"/>
          <w:cols w:equalWidth="0" w:num="1">
            <w:col w:w="10140"/>
          </w:cols>
          <w:pgMar w:left="860" w:top="683" w:right="880" w:bottom="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Represents total average annual capacity of the facilities, net to our ownership interest.</w:t>
      </w:r>
    </w:p>
    <w:p>
      <w:pPr>
        <w:spacing w:after="0" w:line="126"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Average daily volumes are calculated as the total volumes for the year, net to our share, divided by the number of days in the year.</w:t>
      </w:r>
    </w:p>
    <w:p>
      <w:pPr>
        <w:spacing w:after="0" w:line="6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auto"/>
        </w:rPr>
        <w:t>Includes our approximately 21% non-operated/undivided joint ownership interest in the Keyera Fort Saskatchewan facility and associated fractionation capacity of 17,300 barrels per day and storage capacity of approximately four million barrels. In December 2022, we entered into a definitive agreement to sell our interest in this facility. The transaction closed in February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Includes total mileage of pipelines in which we own a less than 100% interest.</w:t>
      </w:r>
    </w:p>
    <w:p>
      <w:pPr>
        <w:spacing w:after="0" w:line="200" w:lineRule="exact"/>
        <w:rPr>
          <w:sz w:val="20"/>
          <w:szCs w:val="20"/>
          <w:color w:val="auto"/>
        </w:rPr>
      </w:pPr>
    </w:p>
    <w:p>
      <w:pPr>
        <w:sectPr>
          <w:pgSz w:w="11880" w:h="15480" w:orient="portrait"/>
          <w:cols w:equalWidth="0" w:num="2">
            <w:col w:w="160" w:space="560"/>
            <w:col w:w="9420"/>
          </w:cols>
          <w:pgMar w:left="860" w:top="683" w:right="8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140"/>
          </w:cols>
          <w:pgMar w:left="860" w:top="683" w:right="880" w:bottom="0" w:gutter="0" w:footer="0" w:header="0"/>
          <w:type w:val="continuous"/>
        </w:sectPr>
      </w:pPr>
    </w:p>
    <w:bookmarkStart w:id="18" w:name="page19"/>
    <w:bookmarkEnd w:id="18"/>
    <w:p>
      <w:pPr>
        <w:ind w:left="720"/>
        <w:spacing w:after="0"/>
        <w:rPr>
          <w:sz w:val="20"/>
          <w:szCs w:val="20"/>
          <w:color w:val="auto"/>
        </w:rPr>
      </w:pPr>
      <w:r>
        <w:rPr>
          <w:rFonts w:ascii="Times New Roman" w:cs="Times New Roman" w:eastAsia="Times New Roman" w:hAnsi="Times New Roman"/>
          <w:sz w:val="20"/>
          <w:szCs w:val="20"/>
          <w:b w:val="1"/>
          <w:bCs w:val="1"/>
          <w:color w:val="auto"/>
        </w:rPr>
        <w:t>Natural Gas Processing and NGL Infrastructure</w:t>
      </w:r>
    </w:p>
    <w:p>
      <w:pPr>
        <w:spacing w:after="0" w:line="252" w:lineRule="exact"/>
        <w:rPr>
          <w:sz w:val="20"/>
          <w:szCs w:val="20"/>
          <w:color w:val="auto"/>
        </w:rPr>
      </w:pPr>
    </w:p>
    <w:p>
      <w:pPr>
        <w:ind w:firstLine="713"/>
        <w:spacing w:after="0" w:line="255" w:lineRule="auto"/>
        <w:rPr>
          <w:sz w:val="20"/>
          <w:szCs w:val="20"/>
          <w:color w:val="auto"/>
        </w:rPr>
      </w:pPr>
      <w:r>
        <w:rPr>
          <w:rFonts w:ascii="Times New Roman" w:cs="Times New Roman" w:eastAsia="Times New Roman" w:hAnsi="Times New Roman"/>
          <w:sz w:val="20"/>
          <w:szCs w:val="20"/>
          <w:color w:val="auto"/>
        </w:rPr>
        <w:t>Our network of liquids infrastructure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infrastructure provides the opportunity to maximize margins across the NGL value chain for both us and our customers. The most significant of these assets include the following:</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Empress Facility</w:t>
      </w:r>
    </w:p>
    <w:p>
      <w:pPr>
        <w:spacing w:after="0" w:line="253" w:lineRule="exact"/>
        <w:rPr>
          <w:sz w:val="20"/>
          <w:szCs w:val="20"/>
          <w:color w:val="auto"/>
        </w:rPr>
      </w:pPr>
    </w:p>
    <w:p>
      <w:pPr>
        <w:ind w:right="20" w:firstLine="713"/>
        <w:spacing w:after="0" w:line="254" w:lineRule="auto"/>
        <w:rPr>
          <w:sz w:val="20"/>
          <w:szCs w:val="20"/>
          <w:color w:val="auto"/>
        </w:rPr>
      </w:pPr>
      <w:r>
        <w:rPr>
          <w:rFonts w:ascii="Times New Roman" w:cs="Times New Roman" w:eastAsia="Times New Roman" w:hAnsi="Times New Roman"/>
          <w:sz w:val="20"/>
          <w:szCs w:val="20"/>
          <w:color w:val="auto"/>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spacing w:after="0" w:line="203" w:lineRule="exact"/>
        <w:rPr>
          <w:sz w:val="20"/>
          <w:szCs w:val="20"/>
          <w:color w:val="auto"/>
        </w:rPr>
      </w:pPr>
    </w:p>
    <w:p>
      <w:pPr>
        <w:ind w:right="120" w:firstLine="713"/>
        <w:spacing w:after="0" w:line="272" w:lineRule="auto"/>
        <w:rPr>
          <w:sz w:val="20"/>
          <w:szCs w:val="20"/>
          <w:color w:val="auto"/>
        </w:rPr>
      </w:pPr>
      <w:r>
        <w:rPr>
          <w:rFonts w:ascii="Times New Roman" w:cs="Times New Roman" w:eastAsia="Times New Roman" w:hAnsi="Times New Roman"/>
          <w:sz w:val="19"/>
          <w:szCs w:val="19"/>
          <w:color w:val="auto"/>
        </w:rPr>
        <w:t>Our Empress plants are capable of processing up to 6.2 Bcf of natural gas per day; however, supply available to these plants is typically in the 3.0 to 4.0 Bcf per day range. These plants produce approximately 50,000 to 85,000 barrels per day of ethane, and 30,000 to 50,000 barrels per day of NGL mix. Our Empress fractionation facility is capable of processing and producing up to 23,300 barrels per day of NGL products and is connected to rail loading infrastructure at Empress and our PPTC pipeline system, which enables NGL to be transported to storage and loading terminals in Saskatchewan and Manitoba.</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Co-Ed Pipeline</w:t>
      </w:r>
    </w:p>
    <w:p>
      <w:pPr>
        <w:spacing w:after="0" w:line="253" w:lineRule="exact"/>
        <w:rPr>
          <w:sz w:val="20"/>
          <w:szCs w:val="20"/>
          <w:color w:val="auto"/>
        </w:rPr>
      </w:pPr>
    </w:p>
    <w:p>
      <w:pPr>
        <w:ind w:firstLine="713"/>
        <w:spacing w:after="0" w:line="263" w:lineRule="auto"/>
        <w:rPr>
          <w:sz w:val="20"/>
          <w:szCs w:val="20"/>
          <w:color w:val="auto"/>
        </w:rPr>
      </w:pPr>
      <w:r>
        <w:rPr>
          <w:rFonts w:ascii="Times New Roman" w:cs="Times New Roman" w:eastAsia="Times New Roman" w:hAnsi="Times New Roman"/>
          <w:sz w:val="20"/>
          <w:szCs w:val="20"/>
          <w:color w:val="auto"/>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Fort Saskatchewan Complex</w:t>
      </w:r>
    </w:p>
    <w:p>
      <w:pPr>
        <w:spacing w:after="0" w:line="253" w:lineRule="exact"/>
        <w:rPr>
          <w:sz w:val="20"/>
          <w:szCs w:val="20"/>
          <w:color w:val="auto"/>
        </w:rPr>
      </w:pPr>
    </w:p>
    <w:p>
      <w:pPr>
        <w:ind w:right="200" w:firstLine="713"/>
        <w:spacing w:after="0" w:line="253" w:lineRule="auto"/>
        <w:rPr>
          <w:sz w:val="20"/>
          <w:szCs w:val="20"/>
          <w:color w:val="auto"/>
        </w:rPr>
      </w:pPr>
      <w:r>
        <w:rPr>
          <w:rFonts w:ascii="Times New Roman" w:cs="Times New Roman" w:eastAsia="Times New Roman" w:hAnsi="Times New Roman"/>
          <w:sz w:val="20"/>
          <w:szCs w:val="20"/>
          <w:color w:val="auto"/>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Fort Saskatchewan fractionation facility has an inlet design capacity of 88,400 barrels per day and is able to produce up to approximately 44,400 barrels per day of propane, butane and condensate. The remaining throughput capacity is used to produce a propane and butane mix, which is transported via the Enbridge pipeline system to our Sarnia facility for further fractionation.</w:t>
      </w:r>
    </w:p>
    <w:p>
      <w:pPr>
        <w:spacing w:after="0" w:line="204" w:lineRule="exact"/>
        <w:rPr>
          <w:sz w:val="20"/>
          <w:szCs w:val="20"/>
          <w:color w:val="auto"/>
        </w:rPr>
      </w:pPr>
    </w:p>
    <w:p>
      <w:pPr>
        <w:ind w:right="240" w:firstLine="713"/>
        <w:spacing w:after="0" w:line="258" w:lineRule="auto"/>
        <w:rPr>
          <w:sz w:val="20"/>
          <w:szCs w:val="20"/>
          <w:color w:val="auto"/>
        </w:rPr>
      </w:pPr>
      <w:r>
        <w:rPr>
          <w:rFonts w:ascii="Times New Roman" w:cs="Times New Roman" w:eastAsia="Times New Roman" w:hAnsi="Times New Roman"/>
          <w:sz w:val="20"/>
          <w:szCs w:val="20"/>
          <w:color w:val="auto"/>
        </w:rPr>
        <w:t>Within the Fort Saskatchewan area, as of December 31, 2022, we also held an approximately 21% ownership in the Keyera Fort Saskatchewan facility, which included fractionation capacity of approximately 17,300 barrels per day, net to our interest, and 17 storage caverns. In December of 2022, we signed a purchase and sale agreement for the divestiture of our interest in this facility. The transaction closed in February 2023.</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Sarnia Area</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Our Sarnia Area assets in Southwestern Ontario consist of (i) our Sarnia facility, (ii) our Windsor storage terminal and</w:t>
      </w:r>
    </w:p>
    <w:p>
      <w:pPr>
        <w:spacing w:after="0" w:line="19" w:lineRule="exact"/>
        <w:rPr>
          <w:sz w:val="20"/>
          <w:szCs w:val="20"/>
          <w:color w:val="auto"/>
        </w:rPr>
      </w:pPr>
    </w:p>
    <w:p>
      <w:pPr>
        <w:ind w:right="20" w:firstLine="1"/>
        <w:spacing w:after="0" w:line="253" w:lineRule="auto"/>
        <w:tabs>
          <w:tab w:leader="none" w:pos="34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62% to 84%.</w:t>
      </w:r>
    </w:p>
    <w:p>
      <w:pPr>
        <w:sectPr>
          <w:pgSz w:w="11880" w:h="15480" w:orient="portrait"/>
          <w:cols w:equalWidth="0" w:num="1">
            <w:col w:w="10140"/>
          </w:cols>
          <w:pgMar w:left="860" w:top="89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140"/>
          </w:cols>
          <w:pgMar w:left="860" w:top="898" w:right="88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Impact of Commodity Price Volatility and Dynamic Market Conditions on Our Business Model</w:t>
      </w:r>
    </w:p>
    <w:p>
      <w:pPr>
        <w:spacing w:after="0" w:line="252" w:lineRule="exact"/>
        <w:rPr>
          <w:sz w:val="20"/>
          <w:szCs w:val="20"/>
          <w:color w:val="auto"/>
        </w:rPr>
      </w:pPr>
    </w:p>
    <w:p>
      <w:pPr>
        <w:ind w:right="240" w:firstLine="713"/>
        <w:spacing w:after="0" w:line="255" w:lineRule="auto"/>
        <w:rPr>
          <w:sz w:val="20"/>
          <w:szCs w:val="20"/>
          <w:color w:val="auto"/>
        </w:rPr>
      </w:pPr>
      <w:r>
        <w:rPr>
          <w:rFonts w:ascii="Times New Roman" w:cs="Times New Roman" w:eastAsia="Times New Roman" w:hAnsi="Times New Roman"/>
          <w:sz w:val="20"/>
          <w:szCs w:val="20"/>
          <w:color w:val="auto"/>
        </w:rPr>
        <w:t>Crude oil, NGL and natural gas commodity prices have historically been very volatile. For example, in 2022, the prompt month NYMEX light, sweet futures contract (commonly referred to as “WTI”) price ranged from a low of approximately $71 per barrel to a high of approximately $124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pacing w:after="0" w:line="204"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spacing w:after="0" w:line="208" w:lineRule="exact"/>
        <w:rPr>
          <w:sz w:val="20"/>
          <w:szCs w:val="20"/>
          <w:color w:val="auto"/>
        </w:rPr>
      </w:pPr>
    </w:p>
    <w:p>
      <w:pPr>
        <w:ind w:firstLine="713"/>
        <w:spacing w:after="0" w:line="278" w:lineRule="auto"/>
        <w:rPr>
          <w:sz w:val="20"/>
          <w:szCs w:val="20"/>
          <w:color w:val="auto"/>
        </w:rPr>
      </w:pPr>
      <w:r>
        <w:rPr>
          <w:rFonts w:ascii="Times New Roman" w:cs="Times New Roman" w:eastAsia="Times New Roman" w:hAnsi="Times New Roman"/>
          <w:sz w:val="20"/>
          <w:szCs w:val="20"/>
          <w:color w:val="auto"/>
        </w:rPr>
        <w:t>In addition, relative contribution levels will vary from quarter-to-quarter due to seasonality, particularly with respect to our NGL merchant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w:t>
      </w:r>
    </w:p>
    <w:p>
      <w:pPr>
        <w:spacing w:after="0" w:line="253" w:lineRule="exact"/>
        <w:rPr>
          <w:sz w:val="20"/>
          <w:szCs w:val="20"/>
          <w:color w:val="auto"/>
        </w:rPr>
      </w:pPr>
    </w:p>
    <w:p>
      <w:pPr>
        <w:ind w:firstLine="713"/>
        <w:spacing w:after="0" w:line="249" w:lineRule="auto"/>
        <w:rPr>
          <w:sz w:val="20"/>
          <w:szCs w:val="20"/>
          <w:color w:val="auto"/>
        </w:rPr>
      </w:pPr>
      <w:r>
        <w:rPr>
          <w:rFonts w:ascii="Times New Roman" w:cs="Times New Roman" w:eastAsia="Times New Roman" w:hAnsi="Times New Roman"/>
          <w:sz w:val="20"/>
          <w:szCs w:val="20"/>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221" w:lineRule="exact"/>
        <w:rPr>
          <w:sz w:val="20"/>
          <w:szCs w:val="20"/>
          <w:color w:val="auto"/>
        </w:rPr>
      </w:pPr>
    </w:p>
    <w:p>
      <w:pPr>
        <w:ind w:right="20" w:firstLine="713"/>
        <w:spacing w:after="0" w:line="267" w:lineRule="auto"/>
        <w:rPr>
          <w:sz w:val="20"/>
          <w:szCs w:val="20"/>
          <w:color w:val="auto"/>
        </w:rPr>
      </w:pPr>
      <w:r>
        <w:rPr>
          <w:rFonts w:ascii="Times New Roman" w:cs="Times New Roman" w:eastAsia="Times New Roman" w:hAnsi="Times New Roman"/>
          <w:sz w:val="19"/>
          <w:szCs w:val="19"/>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sectPr>
          <w:pgSz w:w="11880" w:h="15480" w:orient="portrait"/>
          <w:cols w:equalWidth="0" w:num="1">
            <w:col w:w="10140"/>
          </w:cols>
          <w:pgMar w:left="860" w:top="67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140"/>
          </w:cols>
          <w:pgMar w:left="860" w:top="676" w:right="8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Credit</w:t>
      </w:r>
    </w:p>
    <w:p>
      <w:pPr>
        <w:spacing w:after="0" w:line="252" w:lineRule="exact"/>
        <w:rPr>
          <w:sz w:val="20"/>
          <w:szCs w:val="20"/>
          <w:color w:val="auto"/>
        </w:rPr>
      </w:pPr>
    </w:p>
    <w:p>
      <w:pPr>
        <w:ind w:right="40" w:firstLine="713"/>
        <w:spacing w:after="0" w:line="253" w:lineRule="auto"/>
        <w:rPr>
          <w:sz w:val="20"/>
          <w:szCs w:val="20"/>
          <w:color w:val="auto"/>
        </w:rPr>
      </w:pPr>
      <w:r>
        <w:rPr>
          <w:rFonts w:ascii="Times New Roman" w:cs="Times New Roman" w:eastAsia="Times New Roman" w:hAnsi="Times New Roman"/>
          <w:sz w:val="20"/>
          <w:szCs w:val="20"/>
          <w:color w:val="auto"/>
        </w:rPr>
        <w:t>Our merchant activities in our Crude Oil and NGL segments require significant extensions of credit by our suppliers. In order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204" w:lineRule="exact"/>
        <w:rPr>
          <w:sz w:val="20"/>
          <w:szCs w:val="20"/>
          <w:color w:val="auto"/>
        </w:rPr>
      </w:pPr>
    </w:p>
    <w:p>
      <w:pPr>
        <w:ind w:firstLine="713"/>
        <w:spacing w:after="0" w:line="255" w:lineRule="auto"/>
        <w:rPr>
          <w:sz w:val="20"/>
          <w:szCs w:val="20"/>
          <w:color w:val="auto"/>
        </w:rPr>
      </w:pPr>
      <w:r>
        <w:rPr>
          <w:rFonts w:ascii="Times New Roman" w:cs="Times New Roman" w:eastAsia="Times New Roman" w:hAnsi="Times New Roman"/>
          <w:sz w:val="20"/>
          <w:szCs w:val="20"/>
          <w:color w:val="auto"/>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3 to our Consolidated Financial Statements for further discussion of our credit review process and risk management procedures.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252" w:lineRule="exact"/>
        <w:rPr>
          <w:sz w:val="20"/>
          <w:szCs w:val="20"/>
          <w:color w:val="auto"/>
        </w:rPr>
      </w:pPr>
    </w:p>
    <w:p>
      <w:pPr>
        <w:ind w:right="20" w:firstLine="713"/>
        <w:spacing w:after="0" w:line="267" w:lineRule="auto"/>
        <w:rPr>
          <w:sz w:val="20"/>
          <w:szCs w:val="20"/>
          <w:color w:val="auto"/>
        </w:rPr>
      </w:pPr>
      <w:r>
        <w:rPr>
          <w:rFonts w:ascii="Times New Roman" w:cs="Times New Roman" w:eastAsia="Times New Roman" w:hAnsi="Times New Roman"/>
          <w:sz w:val="19"/>
          <w:szCs w:val="19"/>
          <w:color w:val="auto"/>
        </w:rPr>
        <w:t>ExxonMobil Corporation and its subsidiaries accounted for 20%, 15% and 12% of our revenues for the years ended December 31, 2022, 2021 and 2020, respectively. Marathon Petroleum Corporation and its subsidiaries accounted for 12% and 13% of our revenues for the years ended December 31, 2021 and 2020, respectively. BP p.l.c. and its subsidiaries accounted for 10% of our revenues for the year ended December 31, 2021. No other customers accounted for 10% or more of our revenues during any of the three years ended December 31, 2022.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16 to our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2" w:lineRule="exact"/>
        <w:rPr>
          <w:sz w:val="20"/>
          <w:szCs w:val="20"/>
          <w:color w:val="auto"/>
        </w:rPr>
      </w:pPr>
    </w:p>
    <w:p>
      <w:pPr>
        <w:ind w:right="100" w:firstLine="713"/>
        <w:spacing w:after="0" w:line="250" w:lineRule="auto"/>
        <w:rPr>
          <w:sz w:val="20"/>
          <w:szCs w:val="20"/>
          <w:color w:val="auto"/>
        </w:rPr>
      </w:pPr>
      <w:r>
        <w:rPr>
          <w:rFonts w:ascii="Times New Roman" w:cs="Times New Roman" w:eastAsia="Times New Roman" w:hAnsi="Times New Roman"/>
          <w:sz w:val="20"/>
          <w:szCs w:val="20"/>
          <w:color w:val="auto"/>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COVID-19 impacts, we are currently experiencing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spacing w:after="0" w:line="212" w:lineRule="exact"/>
        <w:rPr>
          <w:sz w:val="20"/>
          <w:szCs w:val="20"/>
          <w:color w:val="auto"/>
        </w:rPr>
      </w:pPr>
    </w:p>
    <w:p>
      <w:pPr>
        <w:ind w:right="60" w:firstLine="713"/>
        <w:spacing w:after="0" w:line="258" w:lineRule="auto"/>
        <w:rPr>
          <w:sz w:val="20"/>
          <w:szCs w:val="20"/>
          <w:color w:val="auto"/>
        </w:rPr>
      </w:pPr>
      <w:r>
        <w:rPr>
          <w:rFonts w:ascii="Times New Roman" w:cs="Times New Roman" w:eastAsia="Times New Roman" w:hAnsi="Times New Roman"/>
          <w:sz w:val="20"/>
          <w:szCs w:val="20"/>
          <w:color w:val="auto"/>
        </w:rPr>
        <w:t>In addition,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99" w:lineRule="exact"/>
        <w:rPr>
          <w:sz w:val="20"/>
          <w:szCs w:val="20"/>
          <w:color w:val="auto"/>
        </w:rPr>
      </w:pPr>
    </w:p>
    <w:p>
      <w:pPr>
        <w:ind w:right="100" w:firstLine="713"/>
        <w:spacing w:after="0" w:line="253" w:lineRule="auto"/>
        <w:rPr>
          <w:sz w:val="20"/>
          <w:szCs w:val="20"/>
          <w:color w:val="auto"/>
        </w:rPr>
      </w:pPr>
      <w:r>
        <w:rPr>
          <w:rFonts w:ascii="Times New Roman" w:cs="Times New Roman" w:eastAsia="Times New Roman" w:hAnsi="Times New Roman"/>
          <w:sz w:val="20"/>
          <w:szCs w:val="20"/>
          <w:color w:val="auto"/>
        </w:rPr>
        <w:t>We also face competition with respect to our merchant activities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recently constructed pipelines supported by minimum volume commitments and/or acreage dedications could also amplify the level of competition for purchasing wellhead barrels, especially in the Permian Basin, and thus impact our margins.</w:t>
      </w:r>
    </w:p>
    <w:p>
      <w:pPr>
        <w:sectPr>
          <w:pgSz w:w="11880" w:h="15480" w:orient="portrait"/>
          <w:cols w:equalWidth="0" w:num="1">
            <w:col w:w="10140"/>
          </w:cols>
          <w:pgMar w:left="860" w:top="67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140"/>
          </w:cols>
          <w:pgMar w:left="860" w:top="676" w:right="88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Ongoing Activities Related to Strategic Transactions</w:t>
      </w:r>
    </w:p>
    <w:p>
      <w:pPr>
        <w:spacing w:after="0" w:line="252" w:lineRule="exact"/>
        <w:rPr>
          <w:sz w:val="20"/>
          <w:szCs w:val="20"/>
          <w:color w:val="auto"/>
        </w:rPr>
      </w:pPr>
    </w:p>
    <w:p>
      <w:pPr>
        <w:ind w:right="220" w:firstLine="713"/>
        <w:spacing w:after="0" w:line="254" w:lineRule="auto"/>
        <w:rPr>
          <w:sz w:val="20"/>
          <w:szCs w:val="20"/>
          <w:color w:val="auto"/>
        </w:rPr>
      </w:pPr>
      <w:r>
        <w:rPr>
          <w:rFonts w:ascii="Times New Roman" w:cs="Times New Roman" w:eastAsia="Times New Roman" w:hAnsi="Times New Roman"/>
          <w:sz w:val="20"/>
          <w:szCs w:val="20"/>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203" w:lineRule="exact"/>
        <w:rPr>
          <w:sz w:val="20"/>
          <w:szCs w:val="20"/>
          <w:color w:val="auto"/>
        </w:rPr>
      </w:pPr>
    </w:p>
    <w:p>
      <w:pPr>
        <w:ind w:right="20" w:firstLine="713"/>
        <w:spacing w:after="0" w:line="251" w:lineRule="auto"/>
        <w:rPr>
          <w:sz w:val="20"/>
          <w:szCs w:val="20"/>
          <w:color w:val="auto"/>
        </w:rPr>
      </w:pPr>
      <w:r>
        <w:rPr>
          <w:rFonts w:ascii="Times New Roman" w:cs="Times New Roman" w:eastAsia="Times New Roman" w:hAnsi="Times New Roman"/>
          <w:sz w:val="20"/>
          <w:szCs w:val="20"/>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Joint Venture and Joint Ownership Arrangements</w:t>
      </w:r>
    </w:p>
    <w:p>
      <w:pPr>
        <w:spacing w:after="0" w:line="253" w:lineRule="exact"/>
        <w:rPr>
          <w:sz w:val="20"/>
          <w:szCs w:val="20"/>
          <w:color w:val="auto"/>
        </w:rPr>
      </w:pPr>
    </w:p>
    <w:p>
      <w:pPr>
        <w:ind w:right="200" w:firstLine="713"/>
        <w:spacing w:after="0" w:line="258" w:lineRule="auto"/>
        <w:rPr>
          <w:sz w:val="20"/>
          <w:szCs w:val="20"/>
          <w:color w:val="auto"/>
        </w:rPr>
      </w:pPr>
      <w:r>
        <w:rPr>
          <w:rFonts w:ascii="Times New Roman" w:cs="Times New Roman" w:eastAsia="Times New Roman" w:hAnsi="Times New Roman"/>
          <w:sz w:val="20"/>
          <w:szCs w:val="20"/>
          <w:color w:val="auto"/>
        </w:rPr>
        <w:t>We are party to more than 25 joint venture (“JV”) and undivided joint interest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our significant JVs as of December 31, 2022:</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JV</w:t>
            </w:r>
          </w:p>
        </w:tc>
        <w:tc>
          <w:tcPr>
            <w:tcW w:w="0" w:type="dxa"/>
            <w:vAlign w:val="bottom"/>
          </w:tcPr>
          <w:p>
            <w:pPr>
              <w:spacing w:after="0"/>
              <w:rPr>
                <w:sz w:val="1"/>
                <w:szCs w:val="1"/>
                <w:color w:val="auto"/>
              </w:rPr>
            </w:pPr>
          </w:p>
        </w:tc>
      </w:tr>
      <w:tr>
        <w:trPr>
          <w:trHeight w:val="158"/>
        </w:trPr>
        <w:tc>
          <w:tcPr>
            <w:tcW w:w="5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80" w:type="dxa"/>
            <w:vAlign w:val="bottom"/>
          </w:tcPr>
          <w:p>
            <w:pPr>
              <w:spacing w:after="0"/>
              <w:rPr>
                <w:sz w:val="13"/>
                <w:szCs w:val="13"/>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Type of Operation</w:t>
            </w:r>
          </w:p>
        </w:tc>
        <w:tc>
          <w:tcPr>
            <w:tcW w:w="60" w:type="dxa"/>
            <w:vAlign w:val="bottom"/>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Ownership</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34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0" w:type="dxa"/>
            <w:vAlign w:val="bottom"/>
          </w:tcPr>
          <w:p>
            <w:pPr>
              <w:spacing w:after="0"/>
              <w:rPr>
                <w:sz w:val="1"/>
                <w:szCs w:val="1"/>
                <w:color w:val="auto"/>
              </w:rPr>
            </w:pPr>
          </w:p>
        </w:tc>
      </w:tr>
      <w:tr>
        <w:trPr>
          <w:trHeight w:val="287"/>
        </w:trPr>
        <w:tc>
          <w:tcPr>
            <w:tcW w:w="51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BridgeTex Pipeline Company, LLC</w:t>
            </w:r>
          </w:p>
        </w:tc>
        <w:tc>
          <w:tcPr>
            <w:tcW w:w="80" w:type="dxa"/>
            <w:vAlign w:val="bottom"/>
            <w:shd w:val="clear" w:color="auto" w:fill="E6E6E6"/>
          </w:tcPr>
          <w:p>
            <w:pPr>
              <w:spacing w:after="0"/>
              <w:rPr>
                <w:sz w:val="24"/>
                <w:szCs w:val="24"/>
                <w:color w:val="auto"/>
              </w:rPr>
            </w:pPr>
          </w:p>
        </w:tc>
        <w:tc>
          <w:tcPr>
            <w:tcW w:w="34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54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20%</w:t>
            </w:r>
          </w:p>
        </w:tc>
        <w:tc>
          <w:tcPr>
            <w:tcW w:w="0" w:type="dxa"/>
            <w:vAlign w:val="bottom"/>
          </w:tcPr>
          <w:p>
            <w:pPr>
              <w:spacing w:after="0"/>
              <w:rPr>
                <w:sz w:val="1"/>
                <w:szCs w:val="1"/>
                <w:color w:val="auto"/>
              </w:rPr>
            </w:pPr>
          </w:p>
        </w:tc>
      </w:tr>
      <w:tr>
        <w:trPr>
          <w:trHeight w:val="297"/>
        </w:trPr>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Cactus II Pipeline LLC </w:t>
            </w:r>
            <w:r>
              <w:rPr>
                <w:rFonts w:ascii="Times New Roman" w:cs="Times New Roman" w:eastAsia="Times New Roman" w:hAnsi="Times New Roman"/>
                <w:sz w:val="25"/>
                <w:szCs w:val="25"/>
                <w:color w:val="auto"/>
                <w:vertAlign w:val="superscript"/>
              </w:rPr>
              <w:t>(2)</w:t>
            </w:r>
          </w:p>
        </w:tc>
        <w:tc>
          <w:tcPr>
            <w:tcW w:w="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 xml:space="preserve">Crude Oil Pipeline </w:t>
            </w:r>
            <w:r>
              <w:rPr>
                <w:rFonts w:ascii="Times New Roman" w:cs="Times New Roman" w:eastAsia="Times New Roman" w:hAnsi="Times New Roman"/>
                <w:sz w:val="25"/>
                <w:szCs w:val="25"/>
                <w:color w:val="auto"/>
                <w:w w:val="95"/>
                <w:vertAlign w:val="superscript"/>
              </w:rPr>
              <w:t>(1)</w:t>
            </w:r>
          </w:p>
        </w:tc>
        <w:tc>
          <w:tcPr>
            <w:tcW w:w="15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8"/>
              </w:rPr>
              <w:t>70%</w:t>
            </w:r>
          </w:p>
        </w:tc>
        <w:tc>
          <w:tcPr>
            <w:tcW w:w="0" w:type="dxa"/>
            <w:vAlign w:val="bottom"/>
          </w:tcPr>
          <w:p>
            <w:pPr>
              <w:spacing w:after="0"/>
              <w:rPr>
                <w:sz w:val="1"/>
                <w:szCs w:val="1"/>
                <w:color w:val="auto"/>
              </w:rPr>
            </w:pPr>
          </w:p>
        </w:tc>
      </w:tr>
      <w:tr>
        <w:trPr>
          <w:trHeight w:val="297"/>
        </w:trPr>
        <w:tc>
          <w:tcPr>
            <w:tcW w:w="51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Capline Pipeline Company LLC</w:t>
            </w:r>
          </w:p>
        </w:tc>
        <w:tc>
          <w:tcPr>
            <w:tcW w:w="80" w:type="dxa"/>
            <w:vAlign w:val="bottom"/>
            <w:shd w:val="clear" w:color="auto" w:fill="E6E6E6"/>
          </w:tcPr>
          <w:p>
            <w:pPr>
              <w:spacing w:after="0"/>
              <w:rPr>
                <w:sz w:val="24"/>
                <w:szCs w:val="24"/>
                <w:color w:val="auto"/>
              </w:rPr>
            </w:pPr>
          </w:p>
        </w:tc>
        <w:tc>
          <w:tcPr>
            <w:tcW w:w="34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54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54%</w:t>
            </w:r>
          </w:p>
        </w:tc>
        <w:tc>
          <w:tcPr>
            <w:tcW w:w="0" w:type="dxa"/>
            <w:vAlign w:val="bottom"/>
          </w:tcPr>
          <w:p>
            <w:pPr>
              <w:spacing w:after="0"/>
              <w:rPr>
                <w:sz w:val="1"/>
                <w:szCs w:val="1"/>
                <w:color w:val="auto"/>
              </w:rPr>
            </w:pPr>
          </w:p>
        </w:tc>
      </w:tr>
      <w:tr>
        <w:trPr>
          <w:trHeight w:val="297"/>
        </w:trPr>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Diamond Pipeline LLC</w:t>
            </w:r>
          </w:p>
        </w:tc>
        <w:tc>
          <w:tcPr>
            <w:tcW w:w="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 xml:space="preserve">Crude Oil Pipeline </w:t>
            </w:r>
            <w:r>
              <w:rPr>
                <w:rFonts w:ascii="Times New Roman" w:cs="Times New Roman" w:eastAsia="Times New Roman" w:hAnsi="Times New Roman"/>
                <w:sz w:val="25"/>
                <w:szCs w:val="25"/>
                <w:color w:val="auto"/>
                <w:w w:val="95"/>
                <w:vertAlign w:val="superscript"/>
              </w:rPr>
              <w:t>(1)</w:t>
            </w:r>
          </w:p>
        </w:tc>
        <w:tc>
          <w:tcPr>
            <w:tcW w:w="15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297"/>
        </w:trPr>
        <w:tc>
          <w:tcPr>
            <w:tcW w:w="51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Eagle Ford Pipeline LLC</w:t>
            </w:r>
          </w:p>
        </w:tc>
        <w:tc>
          <w:tcPr>
            <w:tcW w:w="80" w:type="dxa"/>
            <w:vAlign w:val="bottom"/>
            <w:shd w:val="clear" w:color="auto" w:fill="E6E6E6"/>
          </w:tcPr>
          <w:p>
            <w:pPr>
              <w:spacing w:after="0"/>
              <w:rPr>
                <w:sz w:val="24"/>
                <w:szCs w:val="24"/>
                <w:color w:val="auto"/>
              </w:rPr>
            </w:pPr>
          </w:p>
        </w:tc>
        <w:tc>
          <w:tcPr>
            <w:tcW w:w="34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6"/>
              </w:rPr>
              <w:t xml:space="preserve">Crude Oil Pipeline </w:t>
            </w:r>
            <w:r>
              <w:rPr>
                <w:rFonts w:ascii="Times New Roman" w:cs="Times New Roman" w:eastAsia="Times New Roman" w:hAnsi="Times New Roman"/>
                <w:sz w:val="25"/>
                <w:szCs w:val="25"/>
                <w:color w:val="auto"/>
                <w:w w:val="96"/>
                <w:vertAlign w:val="superscript"/>
              </w:rPr>
              <w:t>(1)</w:t>
            </w:r>
          </w:p>
        </w:tc>
        <w:tc>
          <w:tcPr>
            <w:tcW w:w="154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297"/>
        </w:trPr>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Eagle Ford Terminals Corpus Christi LLC</w:t>
            </w:r>
          </w:p>
        </w:tc>
        <w:tc>
          <w:tcPr>
            <w:tcW w:w="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 xml:space="preserve">Crude Oil Terminal and Dock </w:t>
            </w:r>
            <w:r>
              <w:rPr>
                <w:rFonts w:ascii="Times New Roman" w:cs="Times New Roman" w:eastAsia="Times New Roman" w:hAnsi="Times New Roman"/>
                <w:sz w:val="25"/>
                <w:szCs w:val="25"/>
                <w:color w:val="auto"/>
                <w:w w:val="97"/>
                <w:vertAlign w:val="superscript"/>
              </w:rPr>
              <w:t>(1)</w:t>
            </w:r>
          </w:p>
        </w:tc>
        <w:tc>
          <w:tcPr>
            <w:tcW w:w="15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297"/>
        </w:trPr>
        <w:tc>
          <w:tcPr>
            <w:tcW w:w="51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Plains Oryx Permian Basin LLC </w:t>
            </w:r>
            <w:r>
              <w:rPr>
                <w:rFonts w:ascii="Times New Roman" w:cs="Times New Roman" w:eastAsia="Times New Roman" w:hAnsi="Times New Roman"/>
                <w:sz w:val="25"/>
                <w:szCs w:val="25"/>
                <w:color w:val="auto"/>
                <w:vertAlign w:val="superscript"/>
              </w:rPr>
              <w:t>(2) (3)</w:t>
            </w:r>
          </w:p>
        </w:tc>
        <w:tc>
          <w:tcPr>
            <w:tcW w:w="80" w:type="dxa"/>
            <w:vAlign w:val="bottom"/>
            <w:shd w:val="clear" w:color="auto" w:fill="E6E6E6"/>
          </w:tcPr>
          <w:p>
            <w:pPr>
              <w:spacing w:after="0"/>
              <w:rPr>
                <w:sz w:val="24"/>
                <w:szCs w:val="24"/>
                <w:color w:val="auto"/>
              </w:rPr>
            </w:pPr>
          </w:p>
        </w:tc>
        <w:tc>
          <w:tcPr>
            <w:tcW w:w="34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7"/>
              </w:rPr>
              <w:t xml:space="preserve">Crude Oil Pipelines and Related Assets </w:t>
            </w:r>
            <w:r>
              <w:rPr>
                <w:rFonts w:ascii="Times New Roman" w:cs="Times New Roman" w:eastAsia="Times New Roman" w:hAnsi="Times New Roman"/>
                <w:sz w:val="25"/>
                <w:szCs w:val="25"/>
                <w:color w:val="auto"/>
                <w:w w:val="97"/>
                <w:vertAlign w:val="superscript"/>
              </w:rPr>
              <w:t>(1)</w:t>
            </w:r>
          </w:p>
        </w:tc>
        <w:tc>
          <w:tcPr>
            <w:tcW w:w="154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65%</w:t>
            </w:r>
          </w:p>
        </w:tc>
        <w:tc>
          <w:tcPr>
            <w:tcW w:w="0" w:type="dxa"/>
            <w:vAlign w:val="bottom"/>
          </w:tcPr>
          <w:p>
            <w:pPr>
              <w:spacing w:after="0"/>
              <w:rPr>
                <w:sz w:val="1"/>
                <w:szCs w:val="1"/>
                <w:color w:val="auto"/>
              </w:rPr>
            </w:pPr>
          </w:p>
        </w:tc>
      </w:tr>
      <w:tr>
        <w:trPr>
          <w:trHeight w:val="297"/>
        </w:trPr>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Red River Pipeline Company LLC </w:t>
            </w:r>
            <w:r>
              <w:rPr>
                <w:rFonts w:ascii="Times New Roman" w:cs="Times New Roman" w:eastAsia="Times New Roman" w:hAnsi="Times New Roman"/>
                <w:sz w:val="25"/>
                <w:szCs w:val="25"/>
                <w:color w:val="auto"/>
                <w:vertAlign w:val="superscript"/>
              </w:rPr>
              <w:t>(2) (4)</w:t>
            </w:r>
          </w:p>
        </w:tc>
        <w:tc>
          <w:tcPr>
            <w:tcW w:w="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 xml:space="preserve">Crude Oil Pipeline </w:t>
            </w:r>
            <w:r>
              <w:rPr>
                <w:rFonts w:ascii="Times New Roman" w:cs="Times New Roman" w:eastAsia="Times New Roman" w:hAnsi="Times New Roman"/>
                <w:sz w:val="25"/>
                <w:szCs w:val="25"/>
                <w:color w:val="auto"/>
                <w:w w:val="96"/>
                <w:vertAlign w:val="superscript"/>
              </w:rPr>
              <w:t>(1)</w:t>
            </w:r>
          </w:p>
        </w:tc>
        <w:tc>
          <w:tcPr>
            <w:tcW w:w="15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8"/>
              </w:rPr>
              <w:t>67%</w:t>
            </w:r>
          </w:p>
        </w:tc>
        <w:tc>
          <w:tcPr>
            <w:tcW w:w="0" w:type="dxa"/>
            <w:vAlign w:val="bottom"/>
          </w:tcPr>
          <w:p>
            <w:pPr>
              <w:spacing w:after="0"/>
              <w:rPr>
                <w:sz w:val="1"/>
                <w:szCs w:val="1"/>
                <w:color w:val="auto"/>
              </w:rPr>
            </w:pPr>
          </w:p>
        </w:tc>
      </w:tr>
      <w:tr>
        <w:trPr>
          <w:trHeight w:val="297"/>
        </w:trPr>
        <w:tc>
          <w:tcPr>
            <w:tcW w:w="51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Saddlehorn Pipeline Company, LLC </w:t>
            </w:r>
            <w:r>
              <w:rPr>
                <w:rFonts w:ascii="Times New Roman" w:cs="Times New Roman" w:eastAsia="Times New Roman" w:hAnsi="Times New Roman"/>
                <w:sz w:val="25"/>
                <w:szCs w:val="25"/>
                <w:color w:val="auto"/>
                <w:vertAlign w:val="superscript"/>
              </w:rPr>
              <w:t>(4)</w:t>
            </w:r>
          </w:p>
        </w:tc>
        <w:tc>
          <w:tcPr>
            <w:tcW w:w="80" w:type="dxa"/>
            <w:vAlign w:val="bottom"/>
            <w:shd w:val="clear" w:color="auto" w:fill="E6E6E6"/>
          </w:tcPr>
          <w:p>
            <w:pPr>
              <w:spacing w:after="0"/>
              <w:rPr>
                <w:sz w:val="24"/>
                <w:szCs w:val="24"/>
                <w:color w:val="auto"/>
              </w:rPr>
            </w:pPr>
          </w:p>
        </w:tc>
        <w:tc>
          <w:tcPr>
            <w:tcW w:w="34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54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30%</w:t>
            </w:r>
          </w:p>
        </w:tc>
        <w:tc>
          <w:tcPr>
            <w:tcW w:w="0" w:type="dxa"/>
            <w:vAlign w:val="bottom"/>
          </w:tcPr>
          <w:p>
            <w:pPr>
              <w:spacing w:after="0"/>
              <w:rPr>
                <w:sz w:val="1"/>
                <w:szCs w:val="1"/>
                <w:color w:val="auto"/>
              </w:rPr>
            </w:pPr>
          </w:p>
        </w:tc>
      </w:tr>
      <w:tr>
        <w:trPr>
          <w:trHeight w:val="291"/>
        </w:trPr>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White Cliffs Pipeline, LLC</w:t>
            </w:r>
          </w:p>
        </w:tc>
        <w:tc>
          <w:tcPr>
            <w:tcW w:w="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5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8"/>
              </w:rPr>
              <w:t>36%</w:t>
            </w:r>
          </w:p>
        </w:tc>
        <w:tc>
          <w:tcPr>
            <w:tcW w:w="0" w:type="dxa"/>
            <w:vAlign w:val="bottom"/>
          </w:tcPr>
          <w:p>
            <w:pPr>
              <w:spacing w:after="0"/>
              <w:rPr>
                <w:sz w:val="1"/>
                <w:szCs w:val="1"/>
                <w:color w:val="auto"/>
              </w:rPr>
            </w:pPr>
          </w:p>
        </w:tc>
      </w:tr>
      <w:tr>
        <w:trPr>
          <w:trHeight w:val="303"/>
        </w:trPr>
        <w:tc>
          <w:tcPr>
            <w:tcW w:w="51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Wink to Webster Pipeline LLC </w:t>
            </w:r>
            <w:r>
              <w:rPr>
                <w:rFonts w:ascii="Times New Roman" w:cs="Times New Roman" w:eastAsia="Times New Roman" w:hAnsi="Times New Roman"/>
                <w:sz w:val="25"/>
                <w:szCs w:val="25"/>
                <w:color w:val="auto"/>
                <w:vertAlign w:val="superscript"/>
              </w:rPr>
              <w:t>(4)</w:t>
            </w:r>
          </w:p>
        </w:tc>
        <w:tc>
          <w:tcPr>
            <w:tcW w:w="80" w:type="dxa"/>
            <w:vAlign w:val="bottom"/>
            <w:shd w:val="clear" w:color="auto" w:fill="E6E6E6"/>
          </w:tcPr>
          <w:p>
            <w:pPr>
              <w:spacing w:after="0"/>
              <w:rPr>
                <w:sz w:val="24"/>
                <w:szCs w:val="24"/>
                <w:color w:val="auto"/>
              </w:rPr>
            </w:pPr>
          </w:p>
        </w:tc>
        <w:tc>
          <w:tcPr>
            <w:tcW w:w="34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54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16%</w:t>
            </w:r>
          </w:p>
        </w:tc>
        <w:tc>
          <w:tcPr>
            <w:tcW w:w="0" w:type="dxa"/>
            <w:vAlign w:val="bottom"/>
          </w:tcPr>
          <w:p>
            <w:pPr>
              <w:spacing w:after="0"/>
              <w:rPr>
                <w:sz w:val="1"/>
                <w:szCs w:val="1"/>
                <w:color w:val="auto"/>
              </w:rPr>
            </w:pPr>
          </w:p>
        </w:tc>
      </w:tr>
      <w:tr>
        <w:trPr>
          <w:trHeight w:val="163"/>
        </w:trPr>
        <w:tc>
          <w:tcPr>
            <w:tcW w:w="3500" w:type="dxa"/>
            <w:vAlign w:val="bottom"/>
            <w:tcBorders>
              <w:bottom w:val="single" w:sz="8" w:color="auto"/>
            </w:tcBorders>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-2215515</wp:posOffset>
            </wp:positionV>
            <wp:extent cx="6487795" cy="50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6487795" cy="50165"/>
                    </a:xfrm>
                    <a:prstGeom prst="rect">
                      <a:avLst/>
                    </a:prstGeom>
                    <a:noFill/>
                  </pic:spPr>
                </pic:pic>
              </a:graphicData>
            </a:graphic>
          </wp:anchor>
        </w:drawing>
      </w:r>
    </w:p>
    <w:p>
      <w:pPr>
        <w:sectPr>
          <w:pgSz w:w="11880" w:h="15480" w:orient="portrait"/>
          <w:cols w:equalWidth="0" w:num="1">
            <w:col w:w="10160"/>
          </w:cols>
          <w:pgMar w:left="860" w:top="676" w:right="860" w:bottom="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 are operated by Plains.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consolidate the entity based on control, with our partner’s interest accounted for as a noncontrolling interest.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Entity owns a 57% interest in OMOG JV LLC (“OMOG”), an unconsolidated entity that owns a crude oil pipeline.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Entity owns a UJI in the crude oil pipeline.</w:t>
      </w:r>
    </w:p>
    <w:p>
      <w:pPr>
        <w:spacing w:after="0" w:line="200" w:lineRule="exact"/>
        <w:rPr>
          <w:sz w:val="20"/>
          <w:szCs w:val="20"/>
          <w:color w:val="auto"/>
        </w:rPr>
      </w:pPr>
    </w:p>
    <w:p>
      <w:pPr>
        <w:sectPr>
          <w:pgSz w:w="11880" w:h="15480" w:orient="portrait"/>
          <w:cols w:equalWidth="0" w:num="2">
            <w:col w:w="160" w:space="560"/>
            <w:col w:w="9440"/>
          </w:cols>
          <w:pgMar w:left="860" w:top="676"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160"/>
          </w:cols>
          <w:pgMar w:left="860" w:top="676" w:right="860" w:bottom="0" w:gutter="0" w:footer="0" w:header="0"/>
          <w:type w:val="continuous"/>
        </w:sectPr>
      </w:pPr>
    </w:p>
    <w:bookmarkStart w:id="22" w:name="page23"/>
    <w:bookmarkEnd w:id="22"/>
    <w:p>
      <w:pPr>
        <w:ind w:right="52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 summarizes our significant UJIs as of December 31, 2022, excluding UJIs that are indirectly owned by us through JVs (e.g., Wink to Webster, Saddlehorn and Red River JVs):</w:t>
      </w:r>
    </w:p>
    <w:p>
      <w:pPr>
        <w:spacing w:after="0" w:line="1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4680" w:type="dxa"/>
            <w:vAlign w:val="bottom"/>
            <w:vMerge w:val="restart"/>
          </w:tcPr>
          <w:p>
            <w:pPr>
              <w:jc w:val="center"/>
              <w:ind w:left="2441"/>
              <w:spacing w:after="0"/>
              <w:rPr>
                <w:sz w:val="20"/>
                <w:szCs w:val="20"/>
                <w:color w:val="auto"/>
              </w:rPr>
            </w:pPr>
            <w:r>
              <w:rPr>
                <w:rFonts w:ascii="Times New Roman" w:cs="Times New Roman" w:eastAsia="Times New Roman" w:hAnsi="Times New Roman"/>
                <w:sz w:val="16"/>
                <w:szCs w:val="16"/>
                <w:b w:val="1"/>
                <w:bCs w:val="1"/>
                <w:color w:val="auto"/>
                <w:w w:val="99"/>
              </w:rPr>
              <w:t>Type of</w:t>
            </w:r>
          </w:p>
        </w:tc>
        <w:tc>
          <w:tcPr>
            <w:tcW w:w="1460" w:type="dxa"/>
            <w:vAlign w:val="bottom"/>
          </w:tcPr>
          <w:p>
            <w:pPr>
              <w:jc w:val="center"/>
              <w:ind w:left="641"/>
              <w:spacing w:after="0"/>
              <w:rPr>
                <w:sz w:val="20"/>
                <w:szCs w:val="20"/>
                <w:color w:val="auto"/>
              </w:rPr>
            </w:pPr>
            <w:r>
              <w:rPr>
                <w:rFonts w:ascii="Times New Roman" w:cs="Times New Roman" w:eastAsia="Times New Roman" w:hAnsi="Times New Roman"/>
                <w:sz w:val="16"/>
                <w:szCs w:val="16"/>
                <w:b w:val="1"/>
                <w:bCs w:val="1"/>
                <w:color w:val="auto"/>
              </w:rPr>
              <w:t>UJI</w:t>
            </w:r>
          </w:p>
        </w:tc>
        <w:tc>
          <w:tcPr>
            <w:tcW w:w="0" w:type="dxa"/>
            <w:vAlign w:val="bottom"/>
          </w:tcPr>
          <w:p>
            <w:pPr>
              <w:spacing w:after="0"/>
              <w:rPr>
                <w:sz w:val="1"/>
                <w:szCs w:val="1"/>
                <w:color w:val="auto"/>
              </w:rPr>
            </w:pPr>
          </w:p>
        </w:tc>
      </w:tr>
      <w:tr>
        <w:trPr>
          <w:trHeight w:val="158"/>
        </w:trPr>
        <w:tc>
          <w:tcPr>
            <w:tcW w:w="36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w:t>
            </w:r>
          </w:p>
        </w:tc>
        <w:tc>
          <w:tcPr>
            <w:tcW w:w="4680" w:type="dxa"/>
            <w:vAlign w:val="bottom"/>
            <w:vMerge w:val="continue"/>
          </w:tcPr>
          <w:p>
            <w:pPr>
              <w:spacing w:after="0"/>
              <w:rPr>
                <w:sz w:val="13"/>
                <w:szCs w:val="13"/>
                <w:color w:val="auto"/>
              </w:rPr>
            </w:pPr>
          </w:p>
        </w:tc>
        <w:tc>
          <w:tcPr>
            <w:tcW w:w="1460" w:type="dxa"/>
            <w:vAlign w:val="bottom"/>
          </w:tcPr>
          <w:p>
            <w:pPr>
              <w:jc w:val="center"/>
              <w:ind w:left="621"/>
              <w:spacing w:after="0" w:line="158" w:lineRule="exact"/>
              <w:rPr>
                <w:sz w:val="20"/>
                <w:szCs w:val="20"/>
                <w:color w:val="auto"/>
              </w:rPr>
            </w:pPr>
            <w:r>
              <w:rPr>
                <w:rFonts w:ascii="Times New Roman" w:cs="Times New Roman" w:eastAsia="Times New Roman" w:hAnsi="Times New Roman"/>
                <w:sz w:val="16"/>
                <w:szCs w:val="16"/>
                <w:b w:val="1"/>
                <w:bCs w:val="1"/>
                <w:color w:val="auto"/>
              </w:rPr>
              <w:t>Ownership</w:t>
            </w:r>
          </w:p>
        </w:tc>
        <w:tc>
          <w:tcPr>
            <w:tcW w:w="0" w:type="dxa"/>
            <w:vAlign w:val="bottom"/>
          </w:tcPr>
          <w:p>
            <w:pPr>
              <w:spacing w:after="0"/>
              <w:rPr>
                <w:sz w:val="1"/>
                <w:szCs w:val="1"/>
                <w:color w:val="auto"/>
              </w:rPr>
            </w:pPr>
          </w:p>
        </w:tc>
      </w:tr>
      <w:tr>
        <w:trPr>
          <w:trHeight w:val="211"/>
        </w:trPr>
        <w:tc>
          <w:tcPr>
            <w:tcW w:w="3600" w:type="dxa"/>
            <w:vAlign w:val="bottom"/>
            <w:vMerge w:val="continue"/>
          </w:tcPr>
          <w:p>
            <w:pPr>
              <w:spacing w:after="0"/>
              <w:rPr>
                <w:sz w:val="18"/>
                <w:szCs w:val="18"/>
                <w:color w:val="auto"/>
              </w:rPr>
            </w:pPr>
          </w:p>
        </w:tc>
        <w:tc>
          <w:tcPr>
            <w:tcW w:w="4680" w:type="dxa"/>
            <w:vAlign w:val="bottom"/>
          </w:tcPr>
          <w:p>
            <w:pPr>
              <w:jc w:val="center"/>
              <w:ind w:left="2461"/>
              <w:spacing w:after="0"/>
              <w:rPr>
                <w:sz w:val="20"/>
                <w:szCs w:val="20"/>
                <w:color w:val="auto"/>
              </w:rPr>
            </w:pPr>
            <w:r>
              <w:rPr>
                <w:rFonts w:ascii="Times New Roman" w:cs="Times New Roman" w:eastAsia="Times New Roman" w:hAnsi="Times New Roman"/>
                <w:sz w:val="16"/>
                <w:szCs w:val="16"/>
                <w:b w:val="1"/>
                <w:bCs w:val="1"/>
                <w:color w:val="auto"/>
                <w:w w:val="99"/>
              </w:rPr>
              <w:t>Operation</w:t>
            </w:r>
          </w:p>
        </w:tc>
        <w:tc>
          <w:tcPr>
            <w:tcW w:w="1460" w:type="dxa"/>
            <w:vAlign w:val="bottom"/>
          </w:tcPr>
          <w:p>
            <w:pPr>
              <w:jc w:val="center"/>
              <w:ind w:left="641"/>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6487795" cy="213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6487795" cy="213995"/>
                    </a:xfrm>
                    <a:prstGeom prst="rect">
                      <a:avLst/>
                    </a:prstGeom>
                    <a:noFill/>
                  </pic:spPr>
                </pic:pic>
              </a:graphicData>
            </a:graphic>
          </wp:anchor>
        </w:drawing>
      </w:r>
    </w:p>
    <w:p>
      <w:pPr>
        <w:sectPr>
          <w:pgSz w:w="11880" w:h="15480" w:orient="portrait"/>
          <w:cols w:equalWidth="0" w:num="1">
            <w:col w:w="10160"/>
          </w:cols>
          <w:pgMar w:left="860" w:top="683" w:right="860" w:bottom="0" w:gutter="0" w:footer="0" w:header="0"/>
        </w:sectPr>
      </w:pP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Basin Pipeline </w:t>
      </w:r>
      <w:r>
        <w:rPr>
          <w:rFonts w:ascii="Times New Roman" w:cs="Times New Roman" w:eastAsia="Times New Roman" w:hAnsi="Times New Roman"/>
          <w:sz w:val="25"/>
          <w:szCs w:val="25"/>
          <w:color w:val="auto"/>
          <w:vertAlign w:val="superscript"/>
        </w:rPr>
        <w:t>(1)</w:t>
      </w:r>
    </w:p>
    <w:p>
      <w:pPr>
        <w:ind w:left="60"/>
        <w:spacing w:after="0"/>
        <w:rPr>
          <w:sz w:val="20"/>
          <w:szCs w:val="20"/>
          <w:color w:val="auto"/>
        </w:rPr>
      </w:pPr>
      <w:r>
        <w:rPr>
          <w:rFonts w:ascii="Times New Roman" w:cs="Times New Roman" w:eastAsia="Times New Roman" w:hAnsi="Times New Roman"/>
          <w:sz w:val="19"/>
          <w:szCs w:val="19"/>
          <w:color w:val="auto"/>
        </w:rPr>
        <w:t xml:space="preserve">Fort Saskatchewan NGL Storage and Fractionation </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17145</wp:posOffset>
                </wp:positionV>
                <wp:extent cx="6450330" cy="18859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0330" cy="188595"/>
                        </a:xfrm>
                        <a:prstGeom prst="rect">
                          <a:avLst/>
                        </a:prstGeom>
                        <a:solidFill>
                          <a:srgbClr val="E6E6E6"/>
                        </a:solidFill>
                      </wps:spPr>
                      <wps:bodyPr/>
                    </wps:wsp>
                  </a:graphicData>
                </a:graphic>
              </wp:anchor>
            </w:drawing>
          </mc:Choice>
          <mc:Fallback>
            <w:pict>
              <v:rect id="Shape 26" o:spid="_x0000_s1051" style="position:absolute;margin-left:0.05pt;margin-top:1.35pt;width:507.9pt;height:14.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Kerrobert Storage and Pipeline Assets </w:t>
      </w:r>
      <w:r>
        <w:rPr>
          <w:rFonts w:ascii="Times New Roman" w:cs="Times New Roman" w:eastAsia="Times New Roman" w:hAnsi="Times New Roman"/>
          <w:sz w:val="25"/>
          <w:szCs w:val="25"/>
          <w:color w:val="auto"/>
          <w:vertAlign w:val="superscript"/>
        </w:rPr>
        <w:t>(1)</w:t>
      </w:r>
    </w:p>
    <w:p>
      <w:pPr>
        <w:ind w:left="60"/>
        <w:spacing w:after="0"/>
        <w:rPr>
          <w:sz w:val="20"/>
          <w:szCs w:val="20"/>
          <w:color w:val="auto"/>
        </w:rPr>
      </w:pPr>
      <w:r>
        <w:rPr>
          <w:rFonts w:ascii="Times New Roman" w:cs="Times New Roman" w:eastAsia="Times New Roman" w:hAnsi="Times New Roman"/>
          <w:sz w:val="20"/>
          <w:szCs w:val="20"/>
          <w:color w:val="auto"/>
        </w:rPr>
        <w:t xml:space="preserve">Sarnia NGL Storage and Fractionation </w:t>
      </w:r>
      <w:r>
        <w:rPr>
          <w:rFonts w:ascii="Times New Roman" w:cs="Times New Roman" w:eastAsia="Times New Roman" w:hAnsi="Times New Roman"/>
          <w:sz w:val="25"/>
          <w:szCs w:val="25"/>
          <w:color w:val="auto"/>
          <w:vertAlign w:val="superscript"/>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10160</wp:posOffset>
                </wp:positionV>
                <wp:extent cx="6450330" cy="18859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0330" cy="188595"/>
                        </a:xfrm>
                        <a:prstGeom prst="rect">
                          <a:avLst/>
                        </a:prstGeom>
                        <a:solidFill>
                          <a:srgbClr val="E6E6E6"/>
                        </a:solidFill>
                      </wps:spPr>
                      <wps:bodyPr/>
                    </wps:wsp>
                  </a:graphicData>
                </a:graphic>
              </wp:anchor>
            </w:drawing>
          </mc:Choice>
          <mc:Fallback>
            <w:pict>
              <v:rect id="Shape 27" o:spid="_x0000_s1052" style="position:absolute;margin-left:0.05pt;margin-top:0.8pt;width:507.9pt;height:14.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Sunrise II Pipeline </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107950</wp:posOffset>
                </wp:positionV>
                <wp:extent cx="222504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8.5pt" to="175.25pt,8.5pt" o:allowincell="f" strokecolor="#000000" strokeweight="0.99pt"/>
            </w:pict>
          </mc:Fallback>
        </mc:AlternateContent>
      </w:r>
    </w:p>
    <w:p>
      <w:pPr>
        <w:spacing w:after="0" w:line="267" w:lineRule="exact"/>
        <w:rPr>
          <w:sz w:val="20"/>
          <w:szCs w:val="20"/>
          <w:color w:val="auto"/>
        </w:rPr>
      </w:pPr>
    </w:p>
    <w:p>
      <w:pPr>
        <w:ind w:left="720" w:hanging="719"/>
        <w:spacing w:after="0"/>
        <w:tabs>
          <w:tab w:leader="none" w:pos="72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Asset is operated by Plains.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6"/>
        </w:trPr>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60" w:type="dxa"/>
            <w:vAlign w:val="bottom"/>
          </w:tcPr>
          <w:p>
            <w:pPr>
              <w:spacing w:after="0"/>
              <w:rPr>
                <w:sz w:val="24"/>
                <w:szCs w:val="24"/>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87%</w:t>
            </w:r>
          </w:p>
        </w:tc>
      </w:tr>
      <w:tr>
        <w:trPr>
          <w:trHeight w:val="297"/>
        </w:trPr>
        <w:tc>
          <w:tcPr>
            <w:tcW w:w="2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NGL Facility</w:t>
            </w: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21% to 48%</w:t>
            </w:r>
          </w:p>
        </w:tc>
      </w:tr>
      <w:tr>
        <w:trPr>
          <w:trHeight w:val="297"/>
        </w:trPr>
        <w:tc>
          <w:tcPr>
            <w:tcW w:w="2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NGL Pipeline and Facility</w:t>
            </w:r>
          </w:p>
        </w:tc>
        <w:tc>
          <w:tcPr>
            <w:tcW w:w="15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8"/>
              </w:rPr>
              <w:t>50%</w:t>
            </w:r>
          </w:p>
        </w:tc>
      </w:tr>
      <w:tr>
        <w:trPr>
          <w:trHeight w:val="297"/>
        </w:trPr>
        <w:tc>
          <w:tcPr>
            <w:tcW w:w="2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NGL Facility</w:t>
            </w: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62% to 84%</w:t>
            </w:r>
          </w:p>
        </w:tc>
      </w:tr>
      <w:tr>
        <w:trPr>
          <w:trHeight w:val="297"/>
        </w:trPr>
        <w:tc>
          <w:tcPr>
            <w:tcW w:w="2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5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8"/>
              </w:rPr>
              <w:t>80%</w:t>
            </w:r>
          </w:p>
        </w:tc>
      </w:tr>
    </w:tbl>
    <w:p>
      <w:pPr>
        <w:spacing w:after="0" w:line="657" w:lineRule="exact"/>
        <w:rPr>
          <w:sz w:val="20"/>
          <w:szCs w:val="20"/>
          <w:color w:val="auto"/>
        </w:rPr>
      </w:pPr>
    </w:p>
    <w:p>
      <w:pPr>
        <w:sectPr>
          <w:pgSz w:w="11880" w:h="15480" w:orient="portrait"/>
          <w:cols w:equalWidth="0" w:num="2">
            <w:col w:w="5200" w:space="720"/>
            <w:col w:w="4240"/>
          </w:cols>
          <w:pgMar w:left="860" w:top="683" w:right="860" w:bottom="0" w:gutter="0" w:footer="0" w:header="0"/>
          <w:type w:val="continuous"/>
        </w:sectPr>
      </w:pPr>
    </w:p>
    <w:p>
      <w:pPr>
        <w:ind w:left="720" w:hanging="719"/>
        <w:spacing w:after="0"/>
        <w:tabs>
          <w:tab w:leader="none" w:pos="720"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Certain of these assets are operated by Plains.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 and Divestitures</w:t>
      </w:r>
    </w:p>
    <w:p>
      <w:pPr>
        <w:spacing w:after="0" w:line="253"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Since our initial public offering in 1998, the acquisition of midstream assets and businesses has been an important component of our business strategy. While the pace of our acquisition activity has slowed down in recent years, we continue to selectively analyze and pursue the acquisition of assets and businesses that are strategic and complementary to our existing operations. We also routinely review our asset portfolio to evaluate potential sales of non-core assets and/or sales of partial interests in assets to strategic joint venture partners to optimize our asset portfolio and strengthen our balance sheet and leverage metrics. For example, from 2016 through December 31, 2022, we have completed several acquisitions for an aggregate of approximately $2.0 billion (which figure excludes the value of our Permian JV formed in October 2021), and we have completed asset sales and sales of partial interests in assets to strategic joint venture partners totaling more than approximately $4.6 billion. See Note 7 to our Consolidated Financial Statements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Projects</w:t>
      </w:r>
    </w:p>
    <w:p>
      <w:pPr>
        <w:spacing w:after="0" w:line="253" w:lineRule="exact"/>
        <w:rPr>
          <w:sz w:val="20"/>
          <w:szCs w:val="20"/>
          <w:color w:val="auto"/>
        </w:rPr>
      </w:pPr>
    </w:p>
    <w:p>
      <w:pPr>
        <w:jc w:val="both"/>
        <w:ind w:right="60" w:firstLine="713"/>
        <w:spacing w:after="0" w:line="258" w:lineRule="auto"/>
        <w:rPr>
          <w:sz w:val="20"/>
          <w:szCs w:val="20"/>
          <w:color w:val="auto"/>
        </w:rPr>
      </w:pPr>
      <w:r>
        <w:rPr>
          <w:rFonts w:ascii="Times New Roman" w:cs="Times New Roman" w:eastAsia="Times New Roman" w:hAnsi="Times New Roman"/>
          <w:sz w:val="20"/>
          <w:szCs w:val="20"/>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2023 capital plan consists of capital-efficient, highly contracted projects that help address industry needs.</w:t>
      </w:r>
    </w:p>
    <w:p>
      <w:pPr>
        <w:spacing w:after="0" w:line="199" w:lineRule="exact"/>
        <w:rPr>
          <w:sz w:val="20"/>
          <w:szCs w:val="20"/>
          <w:color w:val="auto"/>
        </w:rPr>
      </w:pPr>
    </w:p>
    <w:p>
      <w:pPr>
        <w:ind w:right="40" w:firstLine="713"/>
        <w:spacing w:after="0" w:line="254" w:lineRule="auto"/>
        <w:rPr>
          <w:sz w:val="20"/>
          <w:szCs w:val="20"/>
          <w:color w:val="auto"/>
        </w:rPr>
      </w:pPr>
      <w:r>
        <w:rPr>
          <w:rFonts w:ascii="Times New Roman" w:cs="Times New Roman" w:eastAsia="Times New Roman" w:hAnsi="Times New Roman"/>
          <w:sz w:val="20"/>
          <w:szCs w:val="20"/>
          <w:color w:val="auto"/>
        </w:rPr>
        <w:t>Total investment capital for the year ending December 31, 2023 is currently projected to be approximately $420 million ($325 million net to our interest), of which approximately half is expected to be associated with the Permian JV. Additionally, maintenance capital for 2023 is currently projected to be $205 million ($195 million net to our interest). Note that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52" w:lineRule="exact"/>
        <w:rPr>
          <w:sz w:val="20"/>
          <w:szCs w:val="20"/>
          <w:color w:val="auto"/>
        </w:rPr>
      </w:pPr>
    </w:p>
    <w:p>
      <w:pPr>
        <w:ind w:right="20" w:firstLine="713"/>
        <w:spacing w:after="0" w:line="250" w:lineRule="auto"/>
        <w:rPr>
          <w:sz w:val="20"/>
          <w:szCs w:val="20"/>
          <w:color w:val="auto"/>
        </w:rPr>
      </w:pPr>
      <w:r>
        <w:rPr>
          <w:rFonts w:ascii="Times New Roman" w:cs="Times New Roman" w:eastAsia="Times New Roman" w:hAnsi="Times New Roman"/>
          <w:sz w:val="20"/>
          <w:szCs w:val="20"/>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ectPr>
          <w:pgSz w:w="11880" w:h="15480" w:orient="portrait"/>
          <w:cols w:equalWidth="0" w:num="1">
            <w:col w:w="10160"/>
          </w:cols>
          <w:pgMar w:left="860" w:top="683" w:right="860" w:bottom="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160"/>
          </w:cols>
          <w:pgMar w:left="860" w:top="683" w:right="860" w:bottom="0" w:gutter="0" w:footer="0" w:header="0"/>
          <w:type w:val="continuous"/>
        </w:sectPr>
      </w:pPr>
    </w:p>
    <w:bookmarkStart w:id="23" w:name="page24"/>
    <w:bookmarkEnd w:id="23"/>
    <w:p>
      <w:pPr>
        <w:ind w:right="160" w:firstLine="713"/>
        <w:spacing w:after="0" w:line="263" w:lineRule="auto"/>
        <w:rPr>
          <w:sz w:val="20"/>
          <w:szCs w:val="20"/>
          <w:color w:val="auto"/>
        </w:rPr>
      </w:pPr>
      <w:r>
        <w:rPr>
          <w:rFonts w:ascii="Times New Roman" w:cs="Times New Roman" w:eastAsia="Times New Roman" w:hAnsi="Times New Roman"/>
          <w:sz w:val="20"/>
          <w:szCs w:val="20"/>
          <w:color w:val="auto"/>
        </w:rPr>
        <w:t>The following is a summary of certain, but not all, of the laws and regulations affecting our operations. Unless the context requires otherwise, references herein to our “facilities” includes all of the pipelines, terminals, storage and other assets owned by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Safety and Environmental Regulation</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52" w:lineRule="exact"/>
        <w:rPr>
          <w:sz w:val="20"/>
          <w:szCs w:val="20"/>
          <w:color w:val="auto"/>
        </w:rPr>
      </w:pPr>
    </w:p>
    <w:p>
      <w:pPr>
        <w:ind w:right="60" w:firstLine="713"/>
        <w:spacing w:after="0" w:line="249" w:lineRule="auto"/>
        <w:rPr>
          <w:sz w:val="20"/>
          <w:szCs w:val="20"/>
          <w:color w:val="auto"/>
        </w:rPr>
      </w:pPr>
      <w:r>
        <w:rPr>
          <w:rFonts w:ascii="Times New Roman" w:cs="Times New Roman" w:eastAsia="Times New Roman" w:hAnsi="Times New Roman"/>
          <w:sz w:val="20"/>
          <w:szCs w:val="20"/>
          <w:color w:val="auto"/>
        </w:rPr>
        <w:t>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Pipeline Safety/Integrity Management</w:t>
      </w:r>
    </w:p>
    <w:p>
      <w:pPr>
        <w:spacing w:after="0" w:line="252" w:lineRule="exact"/>
        <w:rPr>
          <w:sz w:val="20"/>
          <w:szCs w:val="20"/>
          <w:color w:val="auto"/>
        </w:rPr>
      </w:pPr>
    </w:p>
    <w:p>
      <w:pPr>
        <w:ind w:right="80" w:firstLine="713"/>
        <w:spacing w:after="0" w:line="251" w:lineRule="auto"/>
        <w:rPr>
          <w:sz w:val="20"/>
          <w:szCs w:val="20"/>
          <w:color w:val="auto"/>
        </w:rPr>
      </w:pPr>
      <w:r>
        <w:rPr>
          <w:rFonts w:ascii="Times New Roman" w:cs="Times New Roman" w:eastAsia="Times New Roman" w:hAnsi="Times New Roman"/>
          <w:sz w:val="20"/>
          <w:szCs w:val="20"/>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53" w:lineRule="exact"/>
        <w:rPr>
          <w:sz w:val="20"/>
          <w:szCs w:val="20"/>
          <w:color w:val="auto"/>
        </w:rPr>
      </w:pPr>
    </w:p>
    <w:p>
      <w:pPr>
        <w:ind w:firstLine="713"/>
        <w:spacing w:after="0" w:line="250" w:lineRule="auto"/>
        <w:rPr>
          <w:sz w:val="20"/>
          <w:szCs w:val="20"/>
          <w:color w:val="auto"/>
        </w:rPr>
      </w:pPr>
      <w:r>
        <w:rPr>
          <w:rFonts w:ascii="Times New Roman" w:cs="Times New Roman" w:eastAsia="Times New Roman" w:hAnsi="Times New Roman"/>
          <w:sz w:val="20"/>
          <w:szCs w:val="20"/>
          <w:color w:val="auto"/>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$20 million in 2022. Based on currently available information, our preliminary estimate for 2023 is that we will incur approximately $30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$14 million in 2022, and our preliminary estimate for 2023 is that we will incur approximately $10 million of such costs.</w:t>
      </w:r>
    </w:p>
    <w:p>
      <w:pPr>
        <w:spacing w:after="0" w:line="214" w:lineRule="exact"/>
        <w:rPr>
          <w:sz w:val="20"/>
          <w:szCs w:val="20"/>
          <w:color w:val="auto"/>
        </w:rPr>
      </w:pPr>
    </w:p>
    <w:p>
      <w:pPr>
        <w:ind w:right="160" w:firstLine="713"/>
        <w:spacing w:after="0" w:line="258" w:lineRule="auto"/>
        <w:rPr>
          <w:sz w:val="20"/>
          <w:szCs w:val="20"/>
          <w:color w:val="auto"/>
        </w:rPr>
      </w:pPr>
      <w:r>
        <w:rPr>
          <w:rFonts w:ascii="Times New Roman" w:cs="Times New Roman" w:eastAsia="Times New Roman" w:hAnsi="Times New Roman"/>
          <w:sz w:val="20"/>
          <w:szCs w:val="20"/>
          <w:color w:val="auto"/>
        </w:rPr>
        <w:t>Federal legislation has resulted in more stringent mandates for pipeline safety and has charged PHMSA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sectPr>
          <w:pgSz w:w="11880" w:h="15480" w:orient="portrait"/>
          <w:cols w:equalWidth="0" w:num="1">
            <w:col w:w="10160"/>
          </w:cols>
          <w:pgMar w:left="860" w:top="683" w:right="860" w:bottom="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160"/>
          </w:cols>
          <w:pgMar w:left="860" w:top="683" w:right="860" w:bottom="0" w:gutter="0" w:footer="0" w:header="0"/>
          <w:type w:val="continuous"/>
        </w:sectPr>
      </w:pPr>
    </w:p>
    <w:bookmarkStart w:id="24" w:name="page25"/>
    <w:bookmarkEnd w:id="24"/>
    <w:p>
      <w:pPr>
        <w:ind w:right="100" w:firstLine="713"/>
        <w:spacing w:after="0" w:line="283" w:lineRule="auto"/>
        <w:rPr>
          <w:sz w:val="20"/>
          <w:szCs w:val="20"/>
          <w:color w:val="auto"/>
        </w:rPr>
      </w:pPr>
      <w:r>
        <w:rPr>
          <w:rFonts w:ascii="Times New Roman" w:cs="Times New Roman" w:eastAsia="Times New Roman" w:hAnsi="Times New Roman"/>
          <w:sz w:val="19"/>
          <w:szCs w:val="19"/>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178" w:lineRule="exact"/>
        <w:rPr>
          <w:sz w:val="20"/>
          <w:szCs w:val="20"/>
          <w:color w:val="auto"/>
        </w:rPr>
      </w:pPr>
    </w:p>
    <w:p>
      <w:pPr>
        <w:ind w:right="100" w:firstLine="713"/>
        <w:spacing w:after="0" w:line="253" w:lineRule="auto"/>
        <w:rPr>
          <w:sz w:val="20"/>
          <w:szCs w:val="20"/>
          <w:color w:val="auto"/>
        </w:rPr>
      </w:pPr>
      <w:r>
        <w:rPr>
          <w:rFonts w:ascii="Times New Roman" w:cs="Times New Roman" w:eastAsia="Times New Roman" w:hAnsi="Times New Roman"/>
          <w:sz w:val="20"/>
          <w:szCs w:val="20"/>
          <w:color w:val="auto"/>
        </w:rPr>
        <w:t>The DOT has also generally adopted American Petroleum Institute Standard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$28 million in 2022. For 2023, we have budgeted approximately $35 million in connection with continued compliance activities with respect to API 653 and similar new EPA regulations for tanks not regulated by the DOT. Certain storage tanks may be taken out of service if we believe the cost of compliance will exceed the value of the storage tanks and replacement tankage may be constructed.</w:t>
      </w:r>
    </w:p>
    <w:p>
      <w:pPr>
        <w:spacing w:after="0" w:line="204" w:lineRule="exact"/>
        <w:rPr>
          <w:sz w:val="20"/>
          <w:szCs w:val="20"/>
          <w:color w:val="auto"/>
        </w:rPr>
      </w:pPr>
    </w:p>
    <w:p>
      <w:pPr>
        <w:ind w:right="60" w:firstLine="713"/>
        <w:spacing w:after="0" w:line="254" w:lineRule="auto"/>
        <w:rPr>
          <w:sz w:val="20"/>
          <w:szCs w:val="20"/>
          <w:color w:val="auto"/>
        </w:rPr>
      </w:pPr>
      <w:r>
        <w:rPr>
          <w:rFonts w:ascii="Times New Roman" w:cs="Times New Roman" w:eastAsia="Times New Roman" w:hAnsi="Times New Roman"/>
          <w:sz w:val="20"/>
          <w:szCs w:val="20"/>
          <w:color w:val="auto"/>
        </w:rPr>
        <w:t>Furthermore, our operations may also be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 Our pipeline operations in California must implement certain of these technologies, unless specifically exempted, by April 1, 2023.</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Canada</w:t>
      </w:r>
    </w:p>
    <w:p>
      <w:pPr>
        <w:spacing w:after="0" w:line="253" w:lineRule="exact"/>
        <w:rPr>
          <w:sz w:val="20"/>
          <w:szCs w:val="20"/>
          <w:color w:val="auto"/>
        </w:rPr>
      </w:pPr>
    </w:p>
    <w:p>
      <w:pPr>
        <w:ind w:right="40" w:firstLine="713"/>
        <w:spacing w:after="0" w:line="254" w:lineRule="auto"/>
        <w:rPr>
          <w:sz w:val="20"/>
          <w:szCs w:val="20"/>
          <w:color w:val="auto"/>
        </w:rPr>
      </w:pPr>
      <w:r>
        <w:rPr>
          <w:rFonts w:ascii="Times New Roman" w:cs="Times New Roman" w:eastAsia="Times New Roman" w:hAnsi="Times New Roman"/>
          <w:sz w:val="20"/>
          <w:szCs w:val="20"/>
          <w:color w:val="auto"/>
        </w:rPr>
        <w:t>In Canada, the CER and provincial regulators regulate the safety and integrity management of pipelines and facilities used for hydrocarbon transmission and storage. We have incurred and will continue to incur costs related to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$85 million in 2022. Our preliminary estimate for 2023 is approximately $80 million of costs on such projects.</w:t>
      </w:r>
    </w:p>
    <w:p>
      <w:pPr>
        <w:spacing w:after="0" w:line="203" w:lineRule="exact"/>
        <w:rPr>
          <w:sz w:val="20"/>
          <w:szCs w:val="20"/>
          <w:color w:val="auto"/>
        </w:rPr>
      </w:pPr>
    </w:p>
    <w:p>
      <w:pPr>
        <w:ind w:right="80" w:firstLine="713"/>
        <w:spacing w:after="0" w:line="263" w:lineRule="auto"/>
        <w:rPr>
          <w:sz w:val="20"/>
          <w:szCs w:val="20"/>
          <w:color w:val="auto"/>
        </w:rPr>
      </w:pPr>
      <w:r>
        <w:rPr>
          <w:rFonts w:ascii="Times New Roman" w:cs="Times New Roman" w:eastAsia="Times New Roman" w:hAnsi="Times New Roman"/>
          <w:sz w:val="20"/>
          <w:szCs w:val="20"/>
          <w:color w:val="auto"/>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requirements are implemented.</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Occupational Safety and Health</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53" w:lineRule="exact"/>
        <w:rPr>
          <w:sz w:val="20"/>
          <w:szCs w:val="20"/>
          <w:color w:val="auto"/>
        </w:rPr>
      </w:pPr>
    </w:p>
    <w:p>
      <w:pPr>
        <w:ind w:right="120" w:firstLine="713"/>
        <w:spacing w:after="0" w:line="252" w:lineRule="auto"/>
        <w:rPr>
          <w:sz w:val="20"/>
          <w:szCs w:val="20"/>
          <w:color w:val="auto"/>
        </w:rPr>
      </w:pPr>
      <w:r>
        <w:rPr>
          <w:rFonts w:ascii="Times New Roman" w:cs="Times New Roman" w:eastAsia="Times New Roman" w:hAnsi="Times New Roman"/>
          <w:sz w:val="20"/>
          <w:szCs w:val="20"/>
          <w:color w:val="auto"/>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requires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Canada</w:t>
      </w:r>
    </w:p>
    <w:p>
      <w:pPr>
        <w:spacing w:after="0" w:line="253" w:lineRule="exact"/>
        <w:rPr>
          <w:sz w:val="20"/>
          <w:szCs w:val="20"/>
          <w:color w:val="auto"/>
        </w:rPr>
      </w:pPr>
    </w:p>
    <w:p>
      <w:pPr>
        <w:ind w:firstLine="713"/>
        <w:spacing w:after="0" w:line="254" w:lineRule="auto"/>
        <w:rPr>
          <w:sz w:val="20"/>
          <w:szCs w:val="20"/>
          <w:color w:val="auto"/>
        </w:rPr>
      </w:pPr>
      <w:r>
        <w:rPr>
          <w:rFonts w:ascii="Times New Roman" w:cs="Times New Roman" w:eastAsia="Times New Roman" w:hAnsi="Times New Roman"/>
          <w:sz w:val="20"/>
          <w:szCs w:val="20"/>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sectPr>
          <w:pgSz w:w="11880" w:h="15480" w:orient="portrait"/>
          <w:cols w:equalWidth="0" w:num="1">
            <w:col w:w="10140"/>
          </w:cols>
          <w:pgMar w:left="860" w:top="92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140"/>
          </w:cols>
          <w:pgMar w:left="860" w:top="921" w:right="880" w:bottom="0" w:gutter="0" w:footer="0" w:header="0"/>
          <w:type w:val="continuous"/>
        </w:sectPr>
      </w:pPr>
    </w:p>
    <w:bookmarkStart w:id="25" w:name="page26"/>
    <w:bookmarkEnd w:id="25"/>
    <w:p>
      <w:pPr>
        <w:ind w:left="720"/>
        <w:spacing w:after="0"/>
        <w:rPr>
          <w:sz w:val="20"/>
          <w:szCs w:val="20"/>
          <w:color w:val="auto"/>
        </w:rPr>
      </w:pPr>
      <w:r>
        <w:rPr>
          <w:rFonts w:ascii="Times New Roman" w:cs="Times New Roman" w:eastAsia="Times New Roman" w:hAnsi="Times New Roman"/>
          <w:sz w:val="20"/>
          <w:szCs w:val="20"/>
          <w:b w:val="1"/>
          <w:bCs w:val="1"/>
          <w:color w:val="auto"/>
        </w:rPr>
        <w:t>Solid Waste</w:t>
      </w:r>
    </w:p>
    <w:p>
      <w:pPr>
        <w:spacing w:after="0" w:line="252" w:lineRule="exact"/>
        <w:rPr>
          <w:sz w:val="20"/>
          <w:szCs w:val="20"/>
          <w:color w:val="auto"/>
        </w:rPr>
      </w:pPr>
    </w:p>
    <w:p>
      <w:pPr>
        <w:ind w:right="120" w:firstLine="713"/>
        <w:spacing w:after="0" w:line="254" w:lineRule="auto"/>
        <w:rPr>
          <w:sz w:val="20"/>
          <w:szCs w:val="20"/>
          <w:color w:val="auto"/>
        </w:rPr>
      </w:pPr>
      <w:r>
        <w:rPr>
          <w:rFonts w:ascii="Times New Roman" w:cs="Times New Roman" w:eastAsia="Times New Roman" w:hAnsi="Times New Roman"/>
          <w:sz w:val="20"/>
          <w:szCs w:val="20"/>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Hazardous Substances</w:t>
      </w:r>
    </w:p>
    <w:p>
      <w:pPr>
        <w:spacing w:after="0" w:line="252"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spacing w:after="0" w:line="208" w:lineRule="exact"/>
        <w:rPr>
          <w:sz w:val="20"/>
          <w:szCs w:val="20"/>
          <w:color w:val="auto"/>
        </w:rPr>
      </w:pPr>
    </w:p>
    <w:p>
      <w:pPr>
        <w:ind w:right="40" w:firstLine="713"/>
        <w:spacing w:after="0" w:line="258" w:lineRule="auto"/>
        <w:rPr>
          <w:sz w:val="20"/>
          <w:szCs w:val="20"/>
          <w:color w:val="auto"/>
        </w:rPr>
      </w:pPr>
      <w:r>
        <w:rPr>
          <w:rFonts w:ascii="Times New Roman" w:cs="Times New Roman" w:eastAsia="Times New Roman" w:hAnsi="Times New Roman"/>
          <w:sz w:val="20"/>
          <w:szCs w:val="20"/>
          <w:color w:val="auto"/>
        </w:rPr>
        <w:t>We are subject to the Environmental Protection Agency’s (“EPA”)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Environmental Remediation</w:t>
      </w:r>
    </w:p>
    <w:p>
      <w:pPr>
        <w:spacing w:after="0" w:line="252" w:lineRule="exact"/>
        <w:rPr>
          <w:sz w:val="20"/>
          <w:szCs w:val="20"/>
          <w:color w:val="auto"/>
        </w:rPr>
      </w:pPr>
    </w:p>
    <w:p>
      <w:pPr>
        <w:ind w:firstLine="713"/>
        <w:spacing w:after="0" w:line="255" w:lineRule="auto"/>
        <w:rPr>
          <w:sz w:val="20"/>
          <w:szCs w:val="20"/>
          <w:color w:val="auto"/>
        </w:rPr>
      </w:pPr>
      <w:r>
        <w:rPr>
          <w:rFonts w:ascii="Times New Roman" w:cs="Times New Roman" w:eastAsia="Times New Roman" w:hAnsi="Times New Roman"/>
          <w:sz w:val="20"/>
          <w:szCs w:val="20"/>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Air Emissions</w:t>
      </w:r>
    </w:p>
    <w:p>
      <w:pPr>
        <w:spacing w:after="0" w:line="252" w:lineRule="exact"/>
        <w:rPr>
          <w:sz w:val="20"/>
          <w:szCs w:val="20"/>
          <w:color w:val="auto"/>
        </w:rPr>
      </w:pPr>
    </w:p>
    <w:p>
      <w:pPr>
        <w:jc w:val="both"/>
        <w:ind w:right="100" w:firstLine="713"/>
        <w:spacing w:after="0" w:line="263" w:lineRule="auto"/>
        <w:rPr>
          <w:sz w:val="20"/>
          <w:szCs w:val="20"/>
          <w:color w:val="auto"/>
        </w:rPr>
      </w:pPr>
      <w:r>
        <w:rPr>
          <w:rFonts w:ascii="Times New Roman" w:cs="Times New Roman" w:eastAsia="Times New Roman" w:hAnsi="Times New Roman"/>
          <w:sz w:val="20"/>
          <w:szCs w:val="20"/>
          <w:color w:val="auto"/>
        </w:rPr>
        <w:t>Our United States operations are subject to the United States Clean Air Act (“Clean Air Act” or “CAA”), comparable state laws and associated federal, state and local regulations. Our Canadian operations are also subject to federal and provincial air emission regulations, which are discussed in subsequent sections.</w:t>
      </w:r>
    </w:p>
    <w:p>
      <w:pPr>
        <w:spacing w:after="0" w:line="194" w:lineRule="exact"/>
        <w:rPr>
          <w:sz w:val="20"/>
          <w:szCs w:val="20"/>
          <w:color w:val="auto"/>
        </w:rPr>
      </w:pPr>
    </w:p>
    <w:p>
      <w:pPr>
        <w:ind w:right="20" w:firstLine="713"/>
        <w:spacing w:after="0" w:line="255" w:lineRule="auto"/>
        <w:rPr>
          <w:sz w:val="20"/>
          <w:szCs w:val="20"/>
          <w:color w:val="auto"/>
        </w:rPr>
      </w:pPr>
      <w:r>
        <w:rPr>
          <w:rFonts w:ascii="Times New Roman" w:cs="Times New Roman" w:eastAsia="Times New Roman" w:hAnsi="Times New Roman"/>
          <w:sz w:val="20"/>
          <w:szCs w:val="20"/>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Climate Change Initiatives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53" w:lineRule="exact"/>
        <w:rPr>
          <w:sz w:val="20"/>
          <w:szCs w:val="20"/>
          <w:color w:val="auto"/>
        </w:rPr>
      </w:pPr>
    </w:p>
    <w:p>
      <w:pPr>
        <w:ind w:right="200" w:firstLine="713"/>
        <w:spacing w:after="0" w:line="253" w:lineRule="auto"/>
        <w:rPr>
          <w:sz w:val="20"/>
          <w:szCs w:val="20"/>
          <w:color w:val="auto"/>
        </w:rPr>
      </w:pPr>
      <w:r>
        <w:rPr>
          <w:rFonts w:ascii="Times New Roman" w:cs="Times New Roman" w:eastAsia="Times New Roman" w:hAnsi="Times New Roman"/>
          <w:sz w:val="20"/>
          <w:szCs w:val="20"/>
          <w:color w:val="auto"/>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and regulations that directly limit GHG emissions from certain sources. These proposals and related legislation could increase operating costs within the oil and gas industry and accelerate the transition away from fossil fuels, which could in turn reduce demand for our products and services and adversely affect our business and results of operations.</w:t>
      </w:r>
    </w:p>
    <w:p>
      <w:pPr>
        <w:sectPr>
          <w:pgSz w:w="11880" w:h="15480" w:orient="portrait"/>
          <w:cols w:equalWidth="0" w:num="1">
            <w:col w:w="10160"/>
          </w:cols>
          <w:pgMar w:left="860" w:top="676" w:right="86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160"/>
          </w:cols>
          <w:pgMar w:left="860" w:top="676" w:right="860" w:bottom="0" w:gutter="0" w:footer="0" w:header="0"/>
          <w:type w:val="continuous"/>
        </w:sectPr>
      </w:pPr>
    </w:p>
    <w:bookmarkStart w:id="26" w:name="page27"/>
    <w:bookmarkEnd w:id="26"/>
    <w:p>
      <w:pPr>
        <w:ind w:firstLine="713"/>
        <w:spacing w:after="0" w:line="250" w:lineRule="auto"/>
        <w:rPr>
          <w:sz w:val="20"/>
          <w:szCs w:val="20"/>
          <w:color w:val="auto"/>
        </w:rPr>
      </w:pPr>
      <w:r>
        <w:rPr>
          <w:rFonts w:ascii="Times New Roman" w:cs="Times New Roman" w:eastAsia="Times New Roman" w:hAnsi="Times New Roman"/>
          <w:sz w:val="20"/>
          <w:szCs w:val="20"/>
          <w:color w:val="auto"/>
        </w:rPr>
        <w:t>In addition, following the U.S. Supreme Court finding that GHG emissions constitute a pollutant under the CAA, the EPA has adopted rules and regulations that, among other things, establish construction and operating permit reviews for GHG emissions from certain large stationary sources, require the monitoring and annual reporting of GHG emissions from certain petroleum and gas system sources, and impose new standards reducing methane emissions from oil and gas operations through limitations on venting and flaring and the implementation of enhanced emission leak detection and repair requirements. Two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In recent years, there has been considerable uncertainty surrounding regulation of methane emissions. For example, President Biden issued an executive order calling on the EPA to revisit federal regulations promulgated during the Trump Administration regarding methane and establish new or more stringent standards for existing or new sources in the oil and gas sector, including the transmission and storage segments, and he signed into law a revocation of certain parts of the Trump-era rules. Separately, the Bureau of Land Management (“BLM”) has also proposed rules to limit venting, flaring, and methane leaks for oil and gas operations on federal lands.</w:t>
      </w:r>
    </w:p>
    <w:p>
      <w:pPr>
        <w:spacing w:after="0" w:line="212" w:lineRule="exact"/>
        <w:rPr>
          <w:sz w:val="20"/>
          <w:szCs w:val="20"/>
          <w:color w:val="auto"/>
        </w:rPr>
      </w:pPr>
    </w:p>
    <w:p>
      <w:pPr>
        <w:ind w:right="380" w:firstLine="713"/>
        <w:spacing w:after="0" w:line="263" w:lineRule="auto"/>
        <w:rPr>
          <w:sz w:val="20"/>
          <w:szCs w:val="20"/>
          <w:color w:val="auto"/>
        </w:rPr>
      </w:pPr>
      <w:r>
        <w:rPr>
          <w:rFonts w:ascii="Times New Roman" w:cs="Times New Roman" w:eastAsia="Times New Roman" w:hAnsi="Times New Roman"/>
          <w:sz w:val="20"/>
          <w:szCs w:val="20"/>
          <w:color w:val="auto"/>
        </w:rPr>
        <w:t>At the state level, California has implemented a GHG cap-and-trade program. California finished fuels providers (refiners and importers), including Plains Marketing and Plains Midstream Canada, are required to purchase GHG emission credits for finished fuel sold in or imported into California.</w:t>
      </w:r>
    </w:p>
    <w:p>
      <w:pPr>
        <w:spacing w:after="0" w:line="194" w:lineRule="exact"/>
        <w:rPr>
          <w:sz w:val="20"/>
          <w:szCs w:val="20"/>
          <w:color w:val="auto"/>
        </w:rPr>
      </w:pPr>
    </w:p>
    <w:p>
      <w:pPr>
        <w:ind w:right="240" w:firstLine="713"/>
        <w:spacing w:after="0" w:line="255" w:lineRule="auto"/>
        <w:rPr>
          <w:sz w:val="20"/>
          <w:szCs w:val="20"/>
          <w:color w:val="auto"/>
        </w:rPr>
      </w:pPr>
      <w:r>
        <w:rPr>
          <w:rFonts w:ascii="Times New Roman" w:cs="Times New Roman" w:eastAsia="Times New Roman" w:hAnsi="Times New Roman"/>
          <w:sz w:val="20"/>
          <w:szCs w:val="20"/>
          <w:color w:val="auto"/>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Canada</w:t>
      </w:r>
    </w:p>
    <w:p>
      <w:pPr>
        <w:spacing w:after="0" w:line="253" w:lineRule="exact"/>
        <w:rPr>
          <w:sz w:val="20"/>
          <w:szCs w:val="20"/>
          <w:color w:val="auto"/>
        </w:rPr>
      </w:pPr>
    </w:p>
    <w:p>
      <w:pPr>
        <w:ind w:right="180" w:firstLine="713"/>
        <w:spacing w:after="0" w:line="254" w:lineRule="auto"/>
        <w:rPr>
          <w:sz w:val="20"/>
          <w:szCs w:val="20"/>
          <w:color w:val="auto"/>
        </w:rPr>
      </w:pPr>
      <w:r>
        <w:rPr>
          <w:rFonts w:ascii="Times New Roman" w:cs="Times New Roman" w:eastAsia="Times New Roman" w:hAnsi="Times New Roman"/>
          <w:sz w:val="20"/>
          <w:szCs w:val="20"/>
          <w:color w:val="auto"/>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with this reporting requirement is not considered to be material. Several Canadian Provinces, including some in which we operate, have implemented additional climate-related initiatives and regulations.</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Water</w:t>
      </w:r>
    </w:p>
    <w:p>
      <w:pPr>
        <w:spacing w:after="0" w:line="252" w:lineRule="exact"/>
        <w:rPr>
          <w:sz w:val="20"/>
          <w:szCs w:val="20"/>
          <w:color w:val="auto"/>
        </w:rPr>
      </w:pPr>
    </w:p>
    <w:p>
      <w:pPr>
        <w:ind w:right="360" w:firstLine="713"/>
        <w:spacing w:after="0" w:line="254" w:lineRule="auto"/>
        <w:rPr>
          <w:sz w:val="20"/>
          <w:szCs w:val="20"/>
          <w:color w:val="auto"/>
        </w:rPr>
      </w:pPr>
      <w:r>
        <w:rPr>
          <w:rFonts w:ascii="Times New Roman" w:cs="Times New Roman" w:eastAsia="Times New Roman" w:hAnsi="Times New Roman"/>
          <w:sz w:val="20"/>
          <w:szCs w:val="20"/>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203" w:lineRule="exact"/>
        <w:rPr>
          <w:sz w:val="20"/>
          <w:szCs w:val="20"/>
          <w:color w:val="auto"/>
        </w:rPr>
      </w:pPr>
    </w:p>
    <w:p>
      <w:pPr>
        <w:ind w:right="40" w:firstLine="713"/>
        <w:spacing w:after="0" w:line="255" w:lineRule="auto"/>
        <w:rPr>
          <w:sz w:val="20"/>
          <w:szCs w:val="20"/>
          <w:color w:val="auto"/>
        </w:rPr>
      </w:pPr>
      <w:r>
        <w:rPr>
          <w:rFonts w:ascii="Times New Roman" w:cs="Times New Roman" w:eastAsia="Times New Roman" w:hAnsi="Times New Roman"/>
          <w:sz w:val="20"/>
          <w:szCs w:val="20"/>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impacted areas.</w:t>
      </w:r>
    </w:p>
    <w:p>
      <w:pPr>
        <w:spacing w:after="0" w:line="204" w:lineRule="exact"/>
        <w:rPr>
          <w:sz w:val="20"/>
          <w:szCs w:val="20"/>
          <w:color w:val="auto"/>
        </w:rPr>
      </w:pPr>
    </w:p>
    <w:p>
      <w:pPr>
        <w:ind w:right="40" w:firstLine="713"/>
        <w:spacing w:after="0" w:line="251" w:lineRule="auto"/>
        <w:rPr>
          <w:sz w:val="20"/>
          <w:szCs w:val="20"/>
          <w:color w:val="auto"/>
        </w:rPr>
      </w:pPr>
      <w:r>
        <w:rPr>
          <w:rFonts w:ascii="Times New Roman" w:cs="Times New Roman" w:eastAsia="Times New Roman" w:hAnsi="Times New Roman"/>
          <w:sz w:val="20"/>
          <w:szCs w:val="20"/>
          <w:color w:val="auto"/>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In April 2020, the federal district court for the District of Montana vacated the Corps’ NWP 12 after determining that it failed to comply with consultation requirements under the Endangered Species Act, though the district court’s order was subsequently limited on appeal. In January 2021, the Corps published a reissuance of NWP 12, but this permit is being challenged in federal court on the same grounds that were litigated in the April 2020 case. More recently, the Corps announced it was beginning a formal review of NWP 12 in May 2022. While the full extent and impact of these recent developments is unclear at this time, any disruption in our ability to obtain coverage under NWP 12 or other general permits may result in increased costs and project delays if we are forced to seek individual permits from the Corps.</w:t>
      </w:r>
    </w:p>
    <w:p>
      <w:pPr>
        <w:sectPr>
          <w:pgSz w:w="11880" w:h="15480" w:orient="portrait"/>
          <w:cols w:equalWidth="0" w:num="1">
            <w:col w:w="10160"/>
          </w:cols>
          <w:pgMar w:left="860" w:top="683" w:right="860" w:bottom="0"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160"/>
          </w:cols>
          <w:pgMar w:left="860" w:top="683" w:right="860" w:bottom="0" w:gutter="0" w:footer="0" w:header="0"/>
          <w:type w:val="continuous"/>
        </w:sectPr>
      </w:pPr>
    </w:p>
    <w:bookmarkStart w:id="27" w:name="page28"/>
    <w:bookmarkEnd w:id="27"/>
    <w:p>
      <w:pPr>
        <w:ind w:right="40" w:firstLine="713"/>
        <w:spacing w:after="0" w:line="249" w:lineRule="auto"/>
        <w:rPr>
          <w:sz w:val="20"/>
          <w:szCs w:val="20"/>
          <w:color w:val="auto"/>
        </w:rPr>
      </w:pPr>
      <w:r>
        <w:rPr>
          <w:rFonts w:ascii="Times New Roman" w:cs="Times New Roman" w:eastAsia="Times New Roman" w:hAnsi="Times New Roman"/>
          <w:sz w:val="20"/>
          <w:szCs w:val="20"/>
          <w:color w:val="auto"/>
        </w:rPr>
        <w:t>Also, there continues to be uncertainty on the federal government’s applicable jurisdictional reach under the Clean Water Act over waters of the United States (“WOTUS”), including wetlands. The EPA and the Corps under the Obama, Trump and Biden Administrations have pursued multiple rulemakings since 2015 in an attempt to determine the scope of such reach, and in several instances, federal courts have vacated these rulemakings. Two federal district court decisions vacated the Trump Administration’s 2020 rule, which resulted in a return to protections that were in place prior to the 2015 rulemaking revisions under the Obama Administration. The EPA and the Corps recently published a final rule, which will take effect on March 20, 2023, defining WOTUS according to the broader pre-2015 standards with additional updates to incorporate existing Supreme Court decisions and agency guidance. However, the new rule has already been challenged, with the State of Texas and industry groups filing separate suits in federal court in Texas on January 18, 2023. Moreover, the EPA and the Corps have announced an intent to develop a subsequent rule further revising the definition of WOTUS. Additionally, the Supreme Court is also expected to rule in mid-2023 on the legal tests used to determine whether wetlands are WOTUS, which ruling could impact the regulatory definition and its implementation more broadly. Therefore, the ongoing boundaries and substance of the WOTUS definition and its impacts on the scope of the CWA remain uncertain at this time. In addition, in an April 2020 decision, the U.S. Supreme Court held that, in certain cases, discharges from a point source to groundwater could fall within the scope of the CWA and require a permit. The Court rejected the EPA’s and Corps’ assertion that groundwater should be totally excluded from the CWA.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Endangered Species</w:t>
      </w:r>
    </w:p>
    <w:p>
      <w:pPr>
        <w:spacing w:after="0" w:line="252" w:lineRule="exact"/>
        <w:rPr>
          <w:sz w:val="20"/>
          <w:szCs w:val="20"/>
          <w:color w:val="auto"/>
        </w:rPr>
      </w:pPr>
    </w:p>
    <w:p>
      <w:pPr>
        <w:ind w:firstLine="713"/>
        <w:spacing w:after="0" w:line="266" w:lineRule="auto"/>
        <w:rPr>
          <w:sz w:val="20"/>
          <w:szCs w:val="20"/>
          <w:color w:val="auto"/>
        </w:rPr>
      </w:pPr>
      <w:r>
        <w:rPr>
          <w:rFonts w:ascii="Times New Roman" w:cs="Times New Roman" w:eastAsia="Times New Roman" w:hAnsi="Times New Roman"/>
          <w:sz w:val="19"/>
          <w:szCs w:val="19"/>
          <w:color w:val="auto"/>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Regulations</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Transportation Regulation</w:t>
      </w:r>
    </w:p>
    <w:p>
      <w:pPr>
        <w:spacing w:after="0" w:line="252" w:lineRule="exact"/>
        <w:rPr>
          <w:sz w:val="20"/>
          <w:szCs w:val="20"/>
          <w:color w:val="auto"/>
        </w:rPr>
      </w:pPr>
    </w:p>
    <w:p>
      <w:pPr>
        <w:ind w:right="20" w:firstLine="713"/>
        <w:spacing w:after="0" w:line="263" w:lineRule="auto"/>
        <w:rPr>
          <w:sz w:val="20"/>
          <w:szCs w:val="20"/>
          <w:color w:val="auto"/>
        </w:rPr>
      </w:pPr>
      <w:r>
        <w:rPr>
          <w:rFonts w:ascii="Times New Roman" w:cs="Times New Roman" w:eastAsia="Times New Roman" w:hAnsi="Times New Roman"/>
          <w:sz w:val="20"/>
          <w:szCs w:val="20"/>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91" w:lineRule="exact"/>
        <w:rPr>
          <w:sz w:val="20"/>
          <w:szCs w:val="20"/>
          <w:color w:val="auto"/>
        </w:rPr>
      </w:pPr>
    </w:p>
    <w:p>
      <w:pPr>
        <w:ind w:right="60" w:firstLine="713"/>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Interstate Liquids Regulation in the United States. </w:t>
      </w:r>
      <w:r>
        <w:rPr>
          <w:rFonts w:ascii="Times New Roman" w:cs="Times New Roman" w:eastAsia="Times New Roman" w:hAnsi="Times New Roman"/>
          <w:sz w:val="19"/>
          <w:szCs w:val="19"/>
          <w:color w:val="auto"/>
        </w:rPr>
        <w:t>Our common carrier pipeline operations with interstate movements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liquids are subject to rate 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sectPr>
          <w:pgSz w:w="11880" w:h="15480" w:orient="portrait"/>
          <w:cols w:equalWidth="0" w:num="1">
            <w:col w:w="10160"/>
          </w:cols>
          <w:pgMar w:left="860" w:top="92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160"/>
          </w:cols>
          <w:pgMar w:left="860" w:top="921" w:right="860" w:bottom="0" w:gutter="0" w:footer="0" w:header="0"/>
          <w:type w:val="continuous"/>
        </w:sectPr>
      </w:pPr>
    </w:p>
    <w:bookmarkStart w:id="28" w:name="page29"/>
    <w:bookmarkEnd w:id="28"/>
    <w:p>
      <w:pPr>
        <w:ind w:firstLine="713"/>
        <w:spacing w:after="0" w:line="249" w:lineRule="auto"/>
        <w:rPr>
          <w:sz w:val="20"/>
          <w:szCs w:val="20"/>
          <w:color w:val="auto"/>
        </w:rPr>
      </w:pPr>
      <w:r>
        <w:rPr>
          <w:rFonts w:ascii="Times New Roman" w:cs="Times New Roman" w:eastAsia="Times New Roman" w:hAnsi="Times New Roman"/>
          <w:sz w:val="20"/>
          <w:szCs w:val="20"/>
          <w:color w:val="auto"/>
        </w:rPr>
        <w:t>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as unduly discriminatory or preferential. Many FERC-regulated liquids pipelines also use the FERC indexing methodology to change their rates. For those pipelines that use the FERC indexing methodology, FERC reviews the index formula every five years to determine whether a change in the methodology is required or, if not, to determine the appropriate index for the subsequent five-year period. On January 20, 2022, FERC issued an order on rehearing of its December 17, 2020 Order Establishing Index Level in which the Commission reduced the oil pricing index factor for oil pipelines to use for the current five-year period. As a result, the ceiling levels computed for July 1, 2021 to June 30, 2022, as well as the ceiling levels for July 1, 2022 to June 30, 2023, and the resulting rates currently in effect for certain of our liquids pipelines, were computed to account for the appropriate index factor. Some parties sought rehearing of the January 20, 2022 order with FERC, which was denied by FERC on May 6, 2022. Certain parties have appealed the January 20, 2022 and May 6, 2022 FERC orders, and the appeals remain pending before the DC Circuit. FERC has also retained cost-of-service ratemaking, market-based rates and settlement rates as alternatives to the indexing approach that may be used in certain specified circumstances.</w:t>
      </w:r>
    </w:p>
    <w:p>
      <w:pPr>
        <w:spacing w:after="0" w:line="221" w:lineRule="exact"/>
        <w:rPr>
          <w:sz w:val="20"/>
          <w:szCs w:val="20"/>
          <w:color w:val="auto"/>
        </w:rPr>
      </w:pPr>
    </w:p>
    <w:p>
      <w:pPr>
        <w:ind w:right="40" w:firstLine="713"/>
        <w:spacing w:after="0" w:line="253" w:lineRule="auto"/>
        <w:rPr>
          <w:sz w:val="20"/>
          <w:szCs w:val="20"/>
          <w:color w:val="auto"/>
        </w:rPr>
      </w:pPr>
      <w:r>
        <w:rPr>
          <w:rFonts w:ascii="Times New Roman" w:cs="Times New Roman" w:eastAsia="Times New Roman" w:hAnsi="Times New Roman"/>
          <w:sz w:val="20"/>
          <w:szCs w:val="20"/>
          <w:color w:val="auto"/>
        </w:rPr>
        <w:t>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Energy Policy Act of 2005 (“EPAct 2005”) authorized FERC to impose civil penalties for violations of the ICA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FERC regulations thereunder, up to a maximum amount that is adjusted annually for inflation, which for 2023 equals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$15,662 per day, per violation. Should we fail to comply with applicable statutes, rules, regulations and orders administered by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FERC, we could be subject to substantial penalties and fines.</w:t>
      </w:r>
    </w:p>
    <w:p>
      <w:pPr>
        <w:spacing w:after="0" w:line="242" w:lineRule="exact"/>
        <w:rPr>
          <w:sz w:val="20"/>
          <w:szCs w:val="20"/>
          <w:color w:val="auto"/>
        </w:rPr>
      </w:pPr>
    </w:p>
    <w:p>
      <w:pPr>
        <w:ind w:firstLine="713"/>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Intrastate Regulation in the United States. </w:t>
      </w:r>
      <w:r>
        <w:rPr>
          <w:rFonts w:ascii="Times New Roman" w:cs="Times New Roman" w:eastAsia="Times New Roman" w:hAnsi="Times New Roman"/>
          <w:sz w:val="20"/>
          <w:szCs w:val="20"/>
          <w:color w:val="auto"/>
        </w:rPr>
        <w:t>Our intrastate liquids pipeline transportation activities are subject to various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 laws and regulations, as well 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195" w:lineRule="exact"/>
        <w:rPr>
          <w:sz w:val="20"/>
          <w:szCs w:val="20"/>
          <w:color w:val="auto"/>
        </w:rPr>
      </w:pPr>
    </w:p>
    <w:p>
      <w:pPr>
        <w:ind w:right="40" w:firstLine="71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Canadian Regulation. </w:t>
      </w:r>
      <w:r>
        <w:rPr>
          <w:rFonts w:ascii="Times New Roman" w:cs="Times New Roman" w:eastAsia="Times New Roman" w:hAnsi="Times New Roman"/>
          <w:sz w:val="19"/>
          <w:szCs w:val="19"/>
          <w:color w:val="auto"/>
        </w:rPr>
        <w:t>Our Canadian pipeline assets are subject to regulation by the CER and by provincial regulators.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With respect to pipelines 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Trucking Regulation</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53" w:lineRule="exact"/>
        <w:rPr>
          <w:sz w:val="20"/>
          <w:szCs w:val="20"/>
          <w:color w:val="auto"/>
        </w:rPr>
      </w:pPr>
    </w:p>
    <w:p>
      <w:pPr>
        <w:ind w:right="120" w:firstLine="713"/>
        <w:spacing w:after="0" w:line="254" w:lineRule="auto"/>
        <w:rPr>
          <w:sz w:val="20"/>
          <w:szCs w:val="20"/>
          <w:color w:val="auto"/>
        </w:rPr>
      </w:pPr>
      <w:r>
        <w:rPr>
          <w:rFonts w:ascii="Times New Roman" w:cs="Times New Roman" w:eastAsia="Times New Roman" w:hAnsi="Times New Roman"/>
          <w:sz w:val="20"/>
          <w:szCs w:val="20"/>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ectPr>
          <w:pgSz w:w="11880" w:h="15480" w:orient="portrait"/>
          <w:cols w:equalWidth="0" w:num="1">
            <w:col w:w="10160"/>
          </w:cols>
          <w:pgMar w:left="860" w:top="68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160"/>
          </w:cols>
          <w:pgMar w:left="860" w:top="683" w:right="860" w:bottom="0" w:gutter="0" w:footer="0" w:header="0"/>
          <w:type w:val="continuous"/>
        </w:sectPr>
      </w:pPr>
    </w:p>
    <w:bookmarkStart w:id="29" w:name="page30"/>
    <w:bookmarkEnd w:id="29"/>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Canada</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trucking assets in Canada are subject to regulation by both federal and provincial transportation agencies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provinces in which they are operated. These regulatory agencies do not set freight rates, but do establish and administer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rules and regulations relating to other matters including equipment, facility inspection, reporting and safety. We are licensed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operate both intra- and inter-provincially under the direction of the National Safety Code (“NSC”) that is administered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Transport Canada. Our for-hire service is primarily the transportation of crude oil, condensates and NGL. We are required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the NSC to, among other things, monitor: (i) driver operations, (ii) log book maintenance, (iii) truck manifest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preparations, (iv) safety placard placement on the trucks and trailers, (v) operation and equipment safety and (vi) many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aspects of trucking operations. We are also subject to Occupational Health and Safety regulations with respect to our Canadian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trucking operations.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Railcar Regulation</w:t>
      </w:r>
    </w:p>
    <w:p>
      <w:pPr>
        <w:spacing w:after="0" w:line="252" w:lineRule="exact"/>
        <w:rPr>
          <w:sz w:val="20"/>
          <w:szCs w:val="20"/>
          <w:color w:val="auto"/>
        </w:rPr>
      </w:pPr>
    </w:p>
    <w:p>
      <w:pPr>
        <w:ind w:right="20" w:firstLine="713"/>
        <w:spacing w:after="0" w:line="272" w:lineRule="auto"/>
        <w:rPr>
          <w:sz w:val="20"/>
          <w:szCs w:val="20"/>
          <w:color w:val="auto"/>
        </w:rPr>
      </w:pPr>
      <w:r>
        <w:rPr>
          <w:rFonts w:ascii="Times New Roman" w:cs="Times New Roman" w:eastAsia="Times New Roman" w:hAnsi="Times New Roman"/>
          <w:sz w:val="19"/>
          <w:szCs w:val="19"/>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(“FRA”)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w:t>
      </w:r>
    </w:p>
    <w:p>
      <w:pPr>
        <w:spacing w:after="0" w:line="188"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late 2015, Congress passed the Fixing America’s Surface Transportation (“FAST”) Act which was subsequently signed by the President. This legislation clarified the parameters around the timeline and requirements for railcars hauling crude oil in the United States. We believe our railcar fleet is in compliance in all material respects with current standards for crude oil moved by rail.</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Indigenous Protections</w:t>
      </w:r>
    </w:p>
    <w:p>
      <w:pPr>
        <w:spacing w:after="0" w:line="252" w:lineRule="exact"/>
        <w:rPr>
          <w:sz w:val="20"/>
          <w:szCs w:val="20"/>
          <w:color w:val="auto"/>
        </w:rPr>
      </w:pPr>
    </w:p>
    <w:p>
      <w:pPr>
        <w:ind w:right="40" w:firstLine="713"/>
        <w:spacing w:after="0" w:line="275" w:lineRule="auto"/>
        <w:rPr>
          <w:sz w:val="20"/>
          <w:szCs w:val="20"/>
          <w:color w:val="auto"/>
        </w:rPr>
      </w:pPr>
      <w:r>
        <w:rPr>
          <w:rFonts w:ascii="Times New Roman" w:cs="Times New Roman" w:eastAsia="Times New Roman" w:hAnsi="Times New Roman"/>
          <w:sz w:val="19"/>
          <w:szCs w:val="19"/>
          <w:color w:val="auto"/>
        </w:rPr>
        <w:t>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Transportation Security Administration Security Directives</w:t>
      </w:r>
    </w:p>
    <w:p>
      <w:pPr>
        <w:spacing w:after="0" w:line="252" w:lineRule="exact"/>
        <w:rPr>
          <w:sz w:val="20"/>
          <w:szCs w:val="20"/>
          <w:color w:val="auto"/>
        </w:rPr>
      </w:pPr>
    </w:p>
    <w:p>
      <w:pPr>
        <w:ind w:right="100" w:firstLine="713"/>
        <w:spacing w:after="0" w:line="258" w:lineRule="auto"/>
        <w:rPr>
          <w:sz w:val="20"/>
          <w:szCs w:val="20"/>
          <w:color w:val="auto"/>
        </w:rPr>
      </w:pPr>
      <w:r>
        <w:rPr>
          <w:rFonts w:ascii="Times New Roman" w:cs="Times New Roman" w:eastAsia="Times New Roman" w:hAnsi="Times New Roman"/>
          <w:sz w:val="20"/>
          <w:szCs w:val="20"/>
          <w:color w:val="auto"/>
        </w:rPr>
        <w:t>In 2021, in response to the Colonial Pipeline cybersecurity incident, The United States Department of Homeland Security’s Transportation Security Administration (“TSA”) issued two comprehensive security directives that included various cyber security and reporting requirements for critical infrastructure pipeline owners and/or operators. Compliance with these security directives may have a significant impact on our operations and results of operations.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Cross Border Regulation</w:t>
      </w:r>
    </w:p>
    <w:p>
      <w:pPr>
        <w:spacing w:after="0" w:line="252" w:lineRule="exact"/>
        <w:rPr>
          <w:sz w:val="20"/>
          <w:szCs w:val="20"/>
          <w:color w:val="auto"/>
        </w:rPr>
      </w:pPr>
    </w:p>
    <w:p>
      <w:pPr>
        <w:ind w:firstLine="713"/>
        <w:spacing w:after="0" w:line="250" w:lineRule="auto"/>
        <w:rPr>
          <w:sz w:val="20"/>
          <w:szCs w:val="20"/>
          <w:color w:val="auto"/>
        </w:rPr>
      </w:pPr>
      <w:r>
        <w:rPr>
          <w:rFonts w:ascii="Times New Roman" w:cs="Times New Roman" w:eastAsia="Times New Roman" w:hAnsi="Times New Roman"/>
          <w:sz w:val="20"/>
          <w:szCs w:val="20"/>
          <w:color w:val="auto"/>
        </w:rPr>
        <w:t>As a result of our cross border activities, including transportation and importation of crude oil and NGL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United States-Mexico-Canada Agreement (“USMCA”)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CER.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ectPr>
          <w:pgSz w:w="11880" w:h="15480" w:orient="portrait"/>
          <w:cols w:equalWidth="0" w:num="1">
            <w:col w:w="10140"/>
          </w:cols>
          <w:pgMar w:left="860" w:top="675" w:right="88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140"/>
          </w:cols>
          <w:pgMar w:left="860" w:top="675" w:right="880" w:bottom="0" w:gutter="0" w:footer="0" w:header="0"/>
          <w:type w:val="continuous"/>
        </w:sectPr>
      </w:pPr>
    </w:p>
    <w:bookmarkStart w:id="30" w:name="page31"/>
    <w:bookmarkEnd w:id="30"/>
    <w:p>
      <w:pPr>
        <w:ind w:left="720"/>
        <w:spacing w:after="0"/>
        <w:rPr>
          <w:sz w:val="20"/>
          <w:szCs w:val="20"/>
          <w:color w:val="auto"/>
        </w:rPr>
      </w:pPr>
      <w:r>
        <w:rPr>
          <w:rFonts w:ascii="Times New Roman" w:cs="Times New Roman" w:eastAsia="Times New Roman" w:hAnsi="Times New Roman"/>
          <w:sz w:val="20"/>
          <w:szCs w:val="20"/>
          <w:b w:val="1"/>
          <w:bCs w:val="1"/>
          <w:color w:val="auto"/>
        </w:rPr>
        <w:t>Market Anti-Manipulation Regulation</w:t>
      </w:r>
    </w:p>
    <w:p>
      <w:pPr>
        <w:spacing w:after="0" w:line="252" w:lineRule="exact"/>
        <w:rPr>
          <w:sz w:val="20"/>
          <w:szCs w:val="20"/>
          <w:color w:val="auto"/>
        </w:rPr>
      </w:pPr>
    </w:p>
    <w:p>
      <w:pPr>
        <w:ind w:right="100" w:firstLine="713"/>
        <w:spacing w:after="0" w:line="251" w:lineRule="auto"/>
        <w:rPr>
          <w:sz w:val="20"/>
          <w:szCs w:val="20"/>
          <w:color w:val="auto"/>
        </w:rPr>
      </w:pPr>
      <w:r>
        <w:rPr>
          <w:rFonts w:ascii="Times New Roman" w:cs="Times New Roman" w:eastAsia="Times New Roman" w:hAnsi="Times New Roman"/>
          <w:sz w:val="20"/>
          <w:szCs w:val="20"/>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$1.4 million per violation per day, subject to the FTC’s annual inflation adjustment.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$1.23 million, subject to the CFTC’s annual inflation adjustment, or triple the monetary gain to the person for each violation.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Hazards and Insurance</w:t>
      </w:r>
    </w:p>
    <w:p>
      <w:pPr>
        <w:spacing w:after="0" w:line="252" w:lineRule="exact"/>
        <w:rPr>
          <w:sz w:val="20"/>
          <w:szCs w:val="20"/>
          <w:color w:val="auto"/>
        </w:rPr>
      </w:pPr>
    </w:p>
    <w:p>
      <w:pPr>
        <w:ind w:right="20" w:firstLine="713"/>
        <w:spacing w:after="0" w:line="251" w:lineRule="auto"/>
        <w:rPr>
          <w:sz w:val="20"/>
          <w:szCs w:val="20"/>
          <w:color w:val="auto"/>
        </w:rPr>
      </w:pPr>
      <w:r>
        <w:rPr>
          <w:rFonts w:ascii="Times New Roman" w:cs="Times New Roman" w:eastAsia="Times New Roman" w:hAnsi="Times New Roman"/>
          <w:sz w:val="20"/>
          <w:szCs w:val="20"/>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associated with operating pipelines, terminals and other facilities and equipment, including the potential loss of significant revenues and cash flows.</w:t>
      </w:r>
    </w:p>
    <w:p>
      <w:pPr>
        <w:spacing w:after="0" w:line="211" w:lineRule="exact"/>
        <w:rPr>
          <w:sz w:val="20"/>
          <w:szCs w:val="20"/>
          <w:color w:val="auto"/>
        </w:rPr>
      </w:pPr>
    </w:p>
    <w:p>
      <w:pPr>
        <w:ind w:right="20" w:firstLine="713"/>
        <w:spacing w:after="0" w:line="251" w:lineRule="auto"/>
        <w:rPr>
          <w:sz w:val="20"/>
          <w:szCs w:val="20"/>
          <w:color w:val="auto"/>
        </w:rPr>
      </w:pPr>
      <w:r>
        <w:rPr>
          <w:rFonts w:ascii="Times New Roman" w:cs="Times New Roman" w:eastAsia="Times New Roman" w:hAnsi="Times New Roman"/>
          <w:sz w:val="20"/>
          <w:szCs w:val="20"/>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Title to Properties and Rights-of-Way</w:t>
      </w:r>
    </w:p>
    <w:p>
      <w:pPr>
        <w:spacing w:after="0" w:line="252" w:lineRule="exact"/>
        <w:rPr>
          <w:sz w:val="20"/>
          <w:szCs w:val="20"/>
          <w:color w:val="auto"/>
        </w:rPr>
      </w:pPr>
    </w:p>
    <w:p>
      <w:pPr>
        <w:ind w:right="20" w:firstLine="713"/>
        <w:spacing w:after="0" w:line="252" w:lineRule="auto"/>
        <w:rPr>
          <w:sz w:val="20"/>
          <w:szCs w:val="20"/>
          <w:color w:val="auto"/>
        </w:rPr>
      </w:pPr>
      <w:r>
        <w:rPr>
          <w:rFonts w:ascii="Times New Roman" w:cs="Times New Roman" w:eastAsia="Times New Roman" w:hAnsi="Times New Roman"/>
          <w:sz w:val="20"/>
          <w:szCs w:val="20"/>
          <w:color w:val="auto"/>
        </w:rPr>
        <w:t>Our real property holdings generally consist of: (i) parcels of land that we own in fee, (ii) surface leases and underground storage leases and (iii) 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53" w:lineRule="exact"/>
        <w:rPr>
          <w:sz w:val="20"/>
          <w:szCs w:val="20"/>
          <w:color w:val="auto"/>
        </w:rPr>
      </w:pPr>
    </w:p>
    <w:p>
      <w:pPr>
        <w:ind w:firstLine="713"/>
        <w:spacing w:after="0" w:line="254" w:lineRule="auto"/>
        <w:rPr>
          <w:sz w:val="20"/>
          <w:szCs w:val="20"/>
          <w:color w:val="auto"/>
        </w:rPr>
      </w:pPr>
      <w:r>
        <w:rPr>
          <w:rFonts w:ascii="Times New Roman" w:cs="Times New Roman" w:eastAsia="Times New Roman" w:hAnsi="Times New Roman"/>
          <w:sz w:val="20"/>
          <w:szCs w:val="20"/>
          <w:color w:val="auto"/>
        </w:rPr>
        <w:t>Our primary human capital management objective is to attract, retain and develop a high quality workforce that will enable us to maintain and enhance a culture that is consistent with our Core Values. To support this objective, we seek to attract, reward and support employees through competitive pay, benefits and other programs; develop employees and encourage internal talent mobility to prepare employees for critical roles and leadership positions for the future; facilitate the development of a workplace culture that is diverse, engaging and inclusive; and promote efficiency and a high performance culture by investing in technology and systems and providing tools and resources that enable employees at work.</w:t>
      </w:r>
    </w:p>
    <w:p>
      <w:pPr>
        <w:sectPr>
          <w:pgSz w:w="11880" w:h="15480" w:orient="portrait"/>
          <w:cols w:equalWidth="0" w:num="1">
            <w:col w:w="10140"/>
          </w:cols>
          <w:pgMar w:left="860" w:top="67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140"/>
          </w:cols>
          <w:pgMar w:left="860" w:top="676" w:right="880" w:bottom="0" w:gutter="0" w:footer="0" w:header="0"/>
          <w:type w:val="continuous"/>
        </w:sectPr>
      </w:pPr>
    </w:p>
    <w:bookmarkStart w:id="31" w:name="page32"/>
    <w:bookmarkEnd w:id="31"/>
    <w:p>
      <w:pPr>
        <w:ind w:firstLine="713"/>
        <w:spacing w:after="0" w:line="252" w:lineRule="auto"/>
        <w:rPr>
          <w:sz w:val="20"/>
          <w:szCs w:val="20"/>
          <w:color w:val="auto"/>
        </w:rPr>
      </w:pPr>
      <w:r>
        <w:rPr>
          <w:rFonts w:ascii="Times New Roman" w:cs="Times New Roman" w:eastAsia="Times New Roman" w:hAnsi="Times New Roman"/>
          <w:sz w:val="20"/>
          <w:szCs w:val="20"/>
          <w:color w:val="auto"/>
        </w:rPr>
        <w:t>As a limited partnership, we do not directly have officers and employees. Our operations and activities are managed by Plains All American GP LLC (“GP LLC”), which employs our management and operational personnel (other than our Canadian personnel, who are employed by our subsidiary, PMCULC). As of December 31, 2022, GP LLC and PMCULC employed approximately 4,100 people in North America, of which approximately 2,900 were employed in the U.S. and approximately 1,200 were employed in Canada. Approximately 69% of our workforce (approximately 2,800 employees) are field employees, which includes approximately 800 employees in our trucking division. Our employees are located in 25 states in the U.S. and in four provinces in Canada. Approximately 185 employees are covered by six separate collective bargaining agreements, which are open for renegotiation in 2023, 2024 and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Safety</w:t>
      </w:r>
    </w:p>
    <w:p>
      <w:pPr>
        <w:spacing w:after="0" w:line="253" w:lineRule="exact"/>
        <w:rPr>
          <w:sz w:val="20"/>
          <w:szCs w:val="20"/>
          <w:color w:val="auto"/>
        </w:rPr>
      </w:pPr>
    </w:p>
    <w:p>
      <w:pPr>
        <w:ind w:right="100" w:firstLine="713"/>
        <w:spacing w:after="0" w:line="250" w:lineRule="auto"/>
        <w:rPr>
          <w:sz w:val="20"/>
          <w:szCs w:val="20"/>
          <w:color w:val="auto"/>
        </w:rPr>
      </w:pPr>
      <w:r>
        <w:rPr>
          <w:rFonts w:ascii="Times New Roman" w:cs="Times New Roman" w:eastAsia="Times New Roman" w:hAnsi="Times New Roman"/>
          <w:sz w:val="20"/>
          <w:szCs w:val="20"/>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“Hazard ID / Near Miss Program” communications,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safety component that is based on reductions in our recordable injury rate, and an environmental responsibility component that is tied to reductions in the number of federally reportable releases we experience. For 2022, our targets for these two areas were based on reductions from our 2020 results and we achieved or exceeded our targets, with reductions of approximately 18% and 35%, respectively, and since 2018, for each of these metrics, we have achieved cumulative reductions of more than 50%. In addition, in 2021 we established a new HSES Board Committee to provide additional oversight and perspectives with respect to HSES and ESG matters.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and Inclusion</w:t>
      </w:r>
    </w:p>
    <w:p>
      <w:pPr>
        <w:spacing w:after="0" w:line="253" w:lineRule="exact"/>
        <w:rPr>
          <w:sz w:val="20"/>
          <w:szCs w:val="20"/>
          <w:color w:val="auto"/>
        </w:rPr>
      </w:pPr>
    </w:p>
    <w:p>
      <w:pPr>
        <w:ind w:right="180" w:firstLine="713"/>
        <w:spacing w:after="0" w:line="255" w:lineRule="auto"/>
        <w:rPr>
          <w:sz w:val="20"/>
          <w:szCs w:val="20"/>
          <w:color w:val="auto"/>
        </w:rPr>
      </w:pPr>
      <w:r>
        <w:rPr>
          <w:rFonts w:ascii="Times New Roman" w:cs="Times New Roman" w:eastAsia="Times New Roman" w:hAnsi="Times New Roman"/>
          <w:sz w:val="20"/>
          <w:szCs w:val="20"/>
          <w:color w:val="auto"/>
        </w:rPr>
        <w:t>We are committed to providing a professional work environment where all employees are treated with respect and dignity and provided with equal opportunities. To that end, we strive to develop a culture of inclusion and diversity in our workforce and aspire to employ a workforce that reflects the diversity of the communities where we operate. As of December 31, 2022, approximately 21% of our overall workforce was female (46% exclusive of field employees), and under-represented groups comprised approximately 34% of our U.S. workforce (39% exclusive of field employees).</w:t>
      </w:r>
    </w:p>
    <w:p>
      <w:pPr>
        <w:spacing w:after="0" w:line="204" w:lineRule="exact"/>
        <w:rPr>
          <w:sz w:val="20"/>
          <w:szCs w:val="20"/>
          <w:color w:val="auto"/>
        </w:rPr>
      </w:pPr>
    </w:p>
    <w:p>
      <w:pPr>
        <w:ind w:right="260" w:firstLine="713"/>
        <w:spacing w:after="0" w:line="258" w:lineRule="auto"/>
        <w:rPr>
          <w:sz w:val="20"/>
          <w:szCs w:val="20"/>
          <w:color w:val="auto"/>
        </w:rPr>
      </w:pPr>
      <w:r>
        <w:rPr>
          <w:rFonts w:ascii="Times New Roman" w:cs="Times New Roman" w:eastAsia="Times New Roman" w:hAnsi="Times New Roman"/>
          <w:sz w:val="20"/>
          <w:szCs w:val="20"/>
          <w:color w:val="auto"/>
        </w:rPr>
        <w:t>We have focused our recruiting efforts on expanding the pool of potential new hire candidates in order to attract a more diverse employee workforce. We are recruiting at schools that traditionally have a more diverse student population and are also using recruiting tools that allow us to post open positions to expand our reach to a larger and more diverse potential employee candidate population.</w:t>
      </w:r>
    </w:p>
    <w:p>
      <w:pPr>
        <w:spacing w:after="0" w:line="199" w:lineRule="exact"/>
        <w:rPr>
          <w:sz w:val="20"/>
          <w:szCs w:val="20"/>
          <w:color w:val="auto"/>
        </w:rPr>
      </w:pPr>
    </w:p>
    <w:p>
      <w:pPr>
        <w:ind w:firstLine="713"/>
        <w:spacing w:after="0" w:line="255" w:lineRule="auto"/>
        <w:rPr>
          <w:sz w:val="20"/>
          <w:szCs w:val="20"/>
          <w:color w:val="auto"/>
        </w:rPr>
      </w:pPr>
      <w:r>
        <w:rPr>
          <w:rFonts w:ascii="Times New Roman" w:cs="Times New Roman" w:eastAsia="Times New Roman" w:hAnsi="Times New Roman"/>
          <w:sz w:val="20"/>
          <w:szCs w:val="20"/>
          <w:color w:val="auto"/>
        </w:rPr>
        <w:t>In addition, to further support diversity and inclusion efforts at Plains and across the broader industry, we created and sponsor an employee resource group called Cultivating Connections. This group is dedicated to encouraging diversity, inclusion and advancement of women in the industry through networking, mentoring, sharing experiences and ideas, training, and furthering the development of leadership skills. Through Cultivating Connections, an employee mentorship program was also established to encourage professional growth through the development of core competencies.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Training and Leadership Development</w:t>
      </w:r>
    </w:p>
    <w:p>
      <w:pPr>
        <w:spacing w:after="0" w:line="253" w:lineRule="exact"/>
        <w:rPr>
          <w:sz w:val="20"/>
          <w:szCs w:val="20"/>
          <w:color w:val="auto"/>
        </w:rPr>
      </w:pPr>
    </w:p>
    <w:p>
      <w:pPr>
        <w:ind w:right="80" w:firstLine="713"/>
        <w:spacing w:after="0" w:line="255" w:lineRule="auto"/>
        <w:rPr>
          <w:sz w:val="20"/>
          <w:szCs w:val="20"/>
          <w:color w:val="auto"/>
        </w:rPr>
      </w:pPr>
      <w:r>
        <w:rPr>
          <w:rFonts w:ascii="Times New Roman" w:cs="Times New Roman" w:eastAsia="Times New Roman" w:hAnsi="Times New Roman"/>
          <w:sz w:val="20"/>
          <w:szCs w:val="20"/>
          <w:color w:val="auto"/>
        </w:rPr>
        <w:t>We are committed to the continued development of our people. We provide a multitude of training programs covering subjects such as field operations, health and safety, regulatory compliance, technical training, management and leadership skills, and professional development. We also operate a number of internal programs at all levels of the workforce that are designed to identify and develop future leaders of the organization. The Board receives reports from senior management on a regular basis regarding the status of succession plans with respect to executive leadership of the company.</w:t>
      </w:r>
    </w:p>
    <w:p>
      <w:pPr>
        <w:sectPr>
          <w:pgSz w:w="11880" w:h="15480" w:orient="portrait"/>
          <w:cols w:equalWidth="0" w:num="1">
            <w:col w:w="10140"/>
          </w:cols>
          <w:pgMar w:left="860" w:top="68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140"/>
          </w:cols>
          <w:pgMar w:left="860" w:top="683" w:right="8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i w:val="1"/>
          <w:iCs w:val="1"/>
          <w:color w:val="auto"/>
        </w:rPr>
        <w:t>Benefits</w:t>
      </w:r>
    </w:p>
    <w:p>
      <w:pPr>
        <w:spacing w:after="0" w:line="253" w:lineRule="exact"/>
        <w:rPr>
          <w:sz w:val="20"/>
          <w:szCs w:val="20"/>
          <w:color w:val="auto"/>
        </w:rPr>
      </w:pPr>
    </w:p>
    <w:p>
      <w:pPr>
        <w:ind w:firstLine="713"/>
        <w:spacing w:after="0" w:line="254" w:lineRule="auto"/>
        <w:rPr>
          <w:sz w:val="20"/>
          <w:szCs w:val="20"/>
          <w:color w:val="auto"/>
        </w:rPr>
      </w:pPr>
      <w:r>
        <w:rPr>
          <w:rFonts w:ascii="Times New Roman" w:cs="Times New Roman" w:eastAsia="Times New Roman" w:hAnsi="Times New Roman"/>
          <w:sz w:val="20"/>
          <w:szCs w:val="20"/>
          <w:color w:val="auto"/>
        </w:rPr>
        <w:t>Our compensation and benefits programs are designed to attract, retain and motivate our employees and to reward them for their services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Tax Considerations</w:t>
      </w:r>
    </w:p>
    <w:p>
      <w:pPr>
        <w:spacing w:after="0" w:line="249" w:lineRule="exact"/>
        <w:rPr>
          <w:sz w:val="20"/>
          <w:szCs w:val="20"/>
          <w:color w:val="auto"/>
        </w:rPr>
      </w:pPr>
    </w:p>
    <w:p>
      <w:pPr>
        <w:ind w:firstLine="713"/>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The following is a brief summary of certain material tax considerations of owning and disposing of common units, however, the tax consequences of the ownership of common units are complex and depend in part on the owner’s individual tax circumstances.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 This summary does not address all aspects of U.S. federal income taxation or the tax considerations arising under the laws of any non-U.S., state, or local jurisdiction, or under U.S. federal estate and gift tax laws. It is the responsibility of each unitholder, either individually or through a tax advisor, to investigate the legal and tax consequences of the unitholder’s investment in us under applicable U.S. federal, state and local law. Further, it is the responsibility of each unitholder to file all U.S. federal, state and local tax returns that may be required of the unitholder. Also see Item 1A. “Risk Factors—Tax Risks to Unitholders” and “Risk Factors—Tax Risks to Common Unitholders</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Partnership Status; Cash Distributions</w:t>
      </w:r>
    </w:p>
    <w:p>
      <w:pPr>
        <w:spacing w:after="0" w:line="253" w:lineRule="exact"/>
        <w:rPr>
          <w:sz w:val="20"/>
          <w:szCs w:val="20"/>
          <w:color w:val="auto"/>
        </w:rPr>
      </w:pPr>
    </w:p>
    <w:p>
      <w:pPr>
        <w:ind w:right="40" w:firstLine="713"/>
        <w:spacing w:after="0" w:line="266" w:lineRule="auto"/>
        <w:rPr>
          <w:sz w:val="20"/>
          <w:szCs w:val="20"/>
          <w:color w:val="auto"/>
        </w:rPr>
      </w:pPr>
      <w:r>
        <w:rPr>
          <w:rFonts w:ascii="Times New Roman" w:cs="Times New Roman" w:eastAsia="Times New Roman" w:hAnsi="Times New Roman"/>
          <w:sz w:val="19"/>
          <w:szCs w:val="19"/>
          <w:color w:val="auto"/>
        </w:rPr>
        <w:t>We are treated for U.S. federal income tax purposes as a partnership based upon our meeting the “Qualifying Income Exception” imposed by Section 7704 of the Code, which we must meet each year. The owners of our common units are considered partners in the Partnership so long as they do not loan their common units to others to cover short sales or otherwise dispose of those units. Accordingly, subject to the Bipartisan Budget Act audit rules, we generally are not liable for U.S. federal income taxes, and a common unitholder is required to report on the unitholder’s U.S.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including with respect to intercompany interest payments and dividend payments. Unitholders may be eligible for foreign tax credits with respect to allocable Canadian withholding and income taxes paid.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Partnership Allocations</w:t>
      </w:r>
    </w:p>
    <w:p>
      <w:pPr>
        <w:spacing w:after="0" w:line="253" w:lineRule="exact"/>
        <w:rPr>
          <w:sz w:val="20"/>
          <w:szCs w:val="20"/>
          <w:color w:val="auto"/>
        </w:rPr>
      </w:pPr>
    </w:p>
    <w:p>
      <w:pPr>
        <w:ind w:firstLine="713"/>
        <w:spacing w:after="0" w:line="250" w:lineRule="auto"/>
        <w:rPr>
          <w:sz w:val="20"/>
          <w:szCs w:val="20"/>
          <w:color w:val="auto"/>
        </w:rPr>
      </w:pPr>
      <w:r>
        <w:rPr>
          <w:rFonts w:ascii="Times New Roman" w:cs="Times New Roman" w:eastAsia="Times New Roman" w:hAnsi="Times New Roman"/>
          <w:sz w:val="20"/>
          <w:szCs w:val="20"/>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A unitholder who disposes of common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w:t>
      </w:r>
    </w:p>
    <w:p>
      <w:pPr>
        <w:sectPr>
          <w:pgSz w:w="11880" w:h="15480" w:orient="portrait"/>
          <w:cols w:equalWidth="0" w:num="1">
            <w:col w:w="10160"/>
          </w:cols>
          <w:pgMar w:left="860" w:top="67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160"/>
          </w:cols>
          <w:pgMar w:left="860" w:top="675" w:right="86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Common Units</w:t>
      </w:r>
    </w:p>
    <w:p>
      <w:pPr>
        <w:spacing w:after="0" w:line="253" w:lineRule="exact"/>
        <w:rPr>
          <w:sz w:val="20"/>
          <w:szCs w:val="20"/>
          <w:color w:val="auto"/>
        </w:rPr>
      </w:pPr>
    </w:p>
    <w:p>
      <w:pPr>
        <w:ind w:right="80" w:firstLine="713"/>
        <w:spacing w:after="0" w:line="252" w:lineRule="auto"/>
        <w:rPr>
          <w:sz w:val="20"/>
          <w:szCs w:val="20"/>
          <w:color w:val="auto"/>
        </w:rPr>
      </w:pPr>
      <w:r>
        <w:rPr>
          <w:rFonts w:ascii="Times New Roman" w:cs="Times New Roman" w:eastAsia="Times New Roman" w:hAnsi="Times New Roman"/>
          <w:sz w:val="20"/>
          <w:szCs w:val="20"/>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the amount of all distributions made to the unitholder (including deemed distributions due to a decrease in the unitholder’s share of our nonrecourse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 on Deductibility of Partnership Losses</w:t>
      </w:r>
    </w:p>
    <w:p>
      <w:pPr>
        <w:spacing w:after="0" w:line="253" w:lineRule="exact"/>
        <w:rPr>
          <w:sz w:val="20"/>
          <w:szCs w:val="20"/>
          <w:color w:val="auto"/>
        </w:rPr>
      </w:pPr>
    </w:p>
    <w:p>
      <w:pPr>
        <w:ind w:right="60" w:firstLine="713"/>
        <w:spacing w:after="0" w:line="251" w:lineRule="auto"/>
        <w:rPr>
          <w:sz w:val="20"/>
          <w:szCs w:val="20"/>
          <w:color w:val="auto"/>
        </w:rPr>
      </w:pPr>
      <w:r>
        <w:rPr>
          <w:rFonts w:ascii="Times New Roman" w:cs="Times New Roman" w:eastAsia="Times New Roman" w:hAnsi="Times New Roman"/>
          <w:sz w:val="20"/>
          <w:szCs w:val="20"/>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205" w:lineRule="exact"/>
        <w:rPr>
          <w:sz w:val="20"/>
          <w:szCs w:val="20"/>
          <w:color w:val="auto"/>
        </w:rPr>
      </w:pPr>
    </w:p>
    <w:p>
      <w:pPr>
        <w:ind w:right="20" w:firstLine="713"/>
        <w:spacing w:after="0" w:line="266" w:lineRule="auto"/>
        <w:rPr>
          <w:sz w:val="20"/>
          <w:szCs w:val="20"/>
          <w:color w:val="auto"/>
        </w:rPr>
      </w:pPr>
      <w:r>
        <w:rPr>
          <w:rFonts w:ascii="Times New Roman" w:cs="Times New Roman" w:eastAsia="Times New Roman" w:hAnsi="Times New Roman"/>
          <w:sz w:val="19"/>
          <w:szCs w:val="19"/>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97" w:lineRule="exact"/>
        <w:rPr>
          <w:sz w:val="20"/>
          <w:szCs w:val="20"/>
          <w:color w:val="auto"/>
        </w:rPr>
      </w:pPr>
    </w:p>
    <w:p>
      <w:pPr>
        <w:ind w:firstLine="713"/>
        <w:spacing w:after="0" w:line="264" w:lineRule="auto"/>
        <w:rPr>
          <w:sz w:val="20"/>
          <w:szCs w:val="20"/>
          <w:color w:val="auto"/>
        </w:rPr>
      </w:pPr>
      <w:r>
        <w:rPr>
          <w:rFonts w:ascii="Times New Roman" w:cs="Times New Roman" w:eastAsia="Times New Roman" w:hAnsi="Times New Roman"/>
          <w:sz w:val="19"/>
          <w:szCs w:val="19"/>
          <w:color w:val="auto"/>
        </w:rPr>
        <w:t>For taxpayers other than corporations in taxable years beginning after December 31, 2020, and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in each case, increased by the applicable inflation adjustment.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ectPr>
          <w:pgSz w:w="11880" w:h="15480" w:orient="portrait"/>
          <w:cols w:equalWidth="0" w:num="1">
            <w:col w:w="10160"/>
          </w:cols>
          <w:pgMar w:left="860" w:top="67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160"/>
          </w:cols>
          <w:pgMar w:left="860" w:top="675" w:right="86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 on Interest Deductions</w:t>
      </w:r>
    </w:p>
    <w:p>
      <w:pPr>
        <w:spacing w:after="0" w:line="253" w:lineRule="exact"/>
        <w:rPr>
          <w:sz w:val="20"/>
          <w:szCs w:val="20"/>
          <w:color w:val="auto"/>
        </w:rPr>
      </w:pPr>
    </w:p>
    <w:p>
      <w:pPr>
        <w:ind w:right="40" w:firstLine="713"/>
        <w:spacing w:after="0" w:line="266" w:lineRule="auto"/>
        <w:rPr>
          <w:sz w:val="20"/>
          <w:szCs w:val="20"/>
          <w:color w:val="auto"/>
        </w:rPr>
      </w:pPr>
      <w:r>
        <w:rPr>
          <w:rFonts w:ascii="Times New Roman" w:cs="Times New Roman" w:eastAsia="Times New Roman" w:hAnsi="Times New Roman"/>
          <w:sz w:val="19"/>
          <w:szCs w:val="19"/>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97" w:lineRule="exact"/>
        <w:rPr>
          <w:sz w:val="20"/>
          <w:szCs w:val="20"/>
          <w:color w:val="auto"/>
        </w:rPr>
      </w:pPr>
    </w:p>
    <w:p>
      <w:pPr>
        <w:ind w:right="40" w:firstLine="713"/>
        <w:spacing w:after="0" w:line="252" w:lineRule="auto"/>
        <w:rPr>
          <w:sz w:val="20"/>
          <w:szCs w:val="20"/>
          <w:color w:val="auto"/>
        </w:rPr>
      </w:pPr>
      <w:r>
        <w:rPr>
          <w:rFonts w:ascii="Times New Roman" w:cs="Times New Roman" w:eastAsia="Times New Roman" w:hAnsi="Times New Roman"/>
          <w:sz w:val="20"/>
          <w:szCs w:val="20"/>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common units will generally be increased by the amount of any excess business interest upon a disposition of such common units.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Section 754 Election</w:t>
      </w:r>
    </w:p>
    <w:p>
      <w:pPr>
        <w:spacing w:after="0" w:line="253" w:lineRule="exact"/>
        <w:rPr>
          <w:sz w:val="20"/>
          <w:szCs w:val="20"/>
          <w:color w:val="auto"/>
        </w:rPr>
      </w:pPr>
    </w:p>
    <w:p>
      <w:pPr>
        <w:ind w:right="140" w:firstLine="713"/>
        <w:spacing w:after="0" w:line="263" w:lineRule="auto"/>
        <w:rPr>
          <w:sz w:val="20"/>
          <w:szCs w:val="20"/>
          <w:color w:val="auto"/>
        </w:rPr>
      </w:pPr>
      <w:r>
        <w:rPr>
          <w:rFonts w:ascii="Times New Roman" w:cs="Times New Roman" w:eastAsia="Times New Roman" w:hAnsi="Times New Roman"/>
          <w:sz w:val="20"/>
          <w:szCs w:val="20"/>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Disposition of Common Units</w:t>
      </w:r>
    </w:p>
    <w:p>
      <w:pPr>
        <w:spacing w:after="0" w:line="253"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A unitholder who sells common units will recognize gain or loss equal to the difference between the amount realized and the adjusted tax basis of those common units (taking into account any basis adjustments attributable to previously disallowed interest deductions).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State, Local and Other Tax Considerations</w:t>
      </w:r>
    </w:p>
    <w:p>
      <w:pPr>
        <w:spacing w:after="0" w:line="253"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color w:val="auto"/>
        </w:rPr>
        <w:t>In addition to U.S.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207" w:lineRule="exact"/>
        <w:rPr>
          <w:sz w:val="20"/>
          <w:szCs w:val="20"/>
          <w:color w:val="auto"/>
        </w:rPr>
      </w:pPr>
    </w:p>
    <w:p>
      <w:pPr>
        <w:ind w:firstLine="713"/>
        <w:spacing w:after="0" w:line="253" w:lineRule="auto"/>
        <w:rPr>
          <w:sz w:val="20"/>
          <w:szCs w:val="20"/>
          <w:color w:val="auto"/>
        </w:rPr>
      </w:pPr>
      <w:r>
        <w:rPr>
          <w:rFonts w:ascii="Times New Roman" w:cs="Times New Roman" w:eastAsia="Times New Roman" w:hAnsi="Times New Roman"/>
          <w:sz w:val="20"/>
          <w:szCs w:val="20"/>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ectPr>
          <w:pgSz w:w="11880" w:h="15480" w:orient="portrait"/>
          <w:cols w:equalWidth="0" w:num="1">
            <w:col w:w="10140"/>
          </w:cols>
          <w:pgMar w:left="860"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140"/>
          </w:cols>
          <w:pgMar w:left="860" w:top="675" w:right="8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Ownership of Common Units by Tax-Exempt Organizations and Certain Other Investors</w:t>
      </w:r>
    </w:p>
    <w:p>
      <w:pPr>
        <w:spacing w:after="0" w:line="253" w:lineRule="exact"/>
        <w:rPr>
          <w:sz w:val="20"/>
          <w:szCs w:val="20"/>
          <w:color w:val="auto"/>
        </w:rPr>
      </w:pPr>
    </w:p>
    <w:p>
      <w:pPr>
        <w:ind w:right="20" w:firstLine="713"/>
        <w:spacing w:after="0" w:line="253" w:lineRule="auto"/>
        <w:rPr>
          <w:sz w:val="20"/>
          <w:szCs w:val="20"/>
          <w:color w:val="auto"/>
        </w:rPr>
      </w:pPr>
      <w:r>
        <w:rPr>
          <w:rFonts w:ascii="Times New Roman" w:cs="Times New Roman" w:eastAsia="Times New Roman" w:hAnsi="Times New Roman"/>
          <w:sz w:val="20"/>
          <w:szCs w:val="20"/>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U.S. federal income tax returns and to pay tax on the unitholder’s share of our taxable income and on gain realized from the sale or disposition of common units to the extent the gain is effectively connected with a U.S. trade or business of the non-U.S. unitholder.</w:t>
      </w:r>
    </w:p>
    <w:p>
      <w:pPr>
        <w:spacing w:after="0" w:line="204" w:lineRule="exact"/>
        <w:rPr>
          <w:sz w:val="20"/>
          <w:szCs w:val="20"/>
          <w:color w:val="auto"/>
        </w:rPr>
      </w:pPr>
    </w:p>
    <w:p>
      <w:pPr>
        <w:ind w:firstLine="713"/>
        <w:spacing w:after="0" w:line="253" w:lineRule="auto"/>
        <w:rPr>
          <w:sz w:val="20"/>
          <w:szCs w:val="20"/>
          <w:color w:val="auto"/>
        </w:rPr>
      </w:pPr>
      <w:r>
        <w:rPr>
          <w:rFonts w:ascii="Times New Roman" w:cs="Times New Roman" w:eastAsia="Times New Roman" w:hAnsi="Times New Roman"/>
          <w:sz w:val="20"/>
          <w:szCs w:val="20"/>
          <w:color w:val="auto"/>
        </w:rPr>
        <w:t>Under rules applicable to publicly traded partnerships, distributions to non-U.S. persons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w:t>
      </w:r>
    </w:p>
    <w:p>
      <w:pPr>
        <w:spacing w:after="0" w:line="204" w:lineRule="exact"/>
        <w:rPr>
          <w:sz w:val="20"/>
          <w:szCs w:val="20"/>
          <w:color w:val="auto"/>
        </w:rPr>
      </w:pPr>
    </w:p>
    <w:p>
      <w:pPr>
        <w:ind w:right="20" w:firstLine="713"/>
        <w:spacing w:after="0" w:line="266" w:lineRule="auto"/>
        <w:rPr>
          <w:sz w:val="20"/>
          <w:szCs w:val="20"/>
          <w:color w:val="auto"/>
        </w:rPr>
      </w:pPr>
      <w:r>
        <w:rPr>
          <w:rFonts w:ascii="Times New Roman" w:cs="Times New Roman" w:eastAsia="Times New Roman" w:hAnsi="Times New Roman"/>
          <w:sz w:val="19"/>
          <w:szCs w:val="19"/>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common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common units.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Procedures</w:t>
      </w:r>
    </w:p>
    <w:p>
      <w:pPr>
        <w:spacing w:after="0" w:line="253"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Publicly-traded partnerships are treated as entities separate from their owners for purposes of U.S.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9"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color w:val="auto"/>
        </w:rPr>
        <w:t xml:space="preserve">We make available, free of charge on our Internet website at </w:t>
      </w:r>
      <w:r>
        <w:rPr>
          <w:rFonts w:ascii="Times New Roman" w:cs="Times New Roman" w:eastAsia="Times New Roman" w:hAnsi="Times New Roman"/>
          <w:sz w:val="20"/>
          <w:szCs w:val="20"/>
          <w:b w:val="1"/>
          <w:bCs w:val="1"/>
          <w:i w:val="1"/>
          <w:iCs w:val="1"/>
          <w:color w:val="auto"/>
        </w:rPr>
        <w:t>www.plains.com</w:t>
      </w:r>
      <w:r>
        <w:rPr>
          <w:rFonts w:ascii="Times New Roman" w:cs="Times New Roman" w:eastAsia="Times New Roman" w:hAnsi="Times New Roman"/>
          <w:sz w:val="20"/>
          <w:szCs w:val="20"/>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20"/>
          <w:szCs w:val="20"/>
          <w:b w:val="1"/>
          <w:bCs w:val="1"/>
          <w:i w:val="1"/>
          <w:iCs w:val="1"/>
          <w:color w:val="auto"/>
        </w:rPr>
        <w:t>http://www.sec.gov</w:t>
      </w:r>
      <w:r>
        <w:rPr>
          <w:rFonts w:ascii="Times New Roman" w:cs="Times New Roman" w:eastAsia="Times New Roman" w:hAnsi="Times New Roman"/>
          <w:sz w:val="20"/>
          <w:szCs w:val="20"/>
          <w:color w:val="auto"/>
        </w:rPr>
        <w:t>. Our website includes a significant amount of information about us, including financial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sectPr>
          <w:pgSz w:w="11880" w:h="15480" w:orient="portrait"/>
          <w:cols w:equalWidth="0" w:num="1">
            <w:col w:w="10140"/>
          </w:cols>
          <w:pgMar w:left="860"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140"/>
          </w:cols>
          <w:pgMar w:left="860" w:top="675" w:right="8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 xml:space="preserve">Item 1A. </w:t>
      </w:r>
      <w:r>
        <w:rPr>
          <w:rFonts w:ascii="Times New Roman" w:cs="Times New Roman" w:eastAsia="Times New Roman" w:hAnsi="Times New Roman"/>
          <w:sz w:val="20"/>
          <w:szCs w:val="20"/>
          <w:b w:val="1"/>
          <w:bCs w:val="1"/>
          <w:i w:val="1"/>
          <w:iCs w:val="1"/>
          <w:color w:val="auto"/>
        </w:rPr>
        <w:t>Risk Factors</w:t>
      </w:r>
    </w:p>
    <w:p>
      <w:pPr>
        <w:spacing w:after="0" w:line="234" w:lineRule="exact"/>
        <w:rPr>
          <w:sz w:val="20"/>
          <w:szCs w:val="20"/>
          <w:color w:val="auto"/>
        </w:rPr>
      </w:pPr>
    </w:p>
    <w:p>
      <w:pPr>
        <w:ind w:right="240" w:firstLine="713"/>
        <w:spacing w:after="0" w:line="258" w:lineRule="auto"/>
        <w:rPr>
          <w:sz w:val="20"/>
          <w:szCs w:val="20"/>
          <w:color w:val="auto"/>
        </w:rPr>
      </w:pPr>
      <w:r>
        <w:rPr>
          <w:rFonts w:ascii="Times New Roman" w:cs="Times New Roman" w:eastAsia="Times New Roman" w:hAnsi="Times New Roman"/>
          <w:sz w:val="20"/>
          <w:szCs w:val="20"/>
          <w:color w:val="auto"/>
        </w:rPr>
        <w:t>Unless the context requires otherwise, references herein to our “facilities” includes all of the pipelines, terminals, storage and other assets owned by us. References to the “PAGP Entities” include PAGP GP, PAGP, Plains All American GP LLC, AAP and PAA GP LLC. References to our “general partner,” as the context requires, include any or all of the PAGP Entities. References to the “Plains Entities” include us, our subsidiaries and the PAGP Entities.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52"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0"/>
          <w:szCs w:val="20"/>
          <w:color w:val="auto"/>
        </w:rPr>
        <w:t>Our business, results of operations, financial condition, cash flows and unit price can be adversely affected by many factors including but not limited to:</w:t>
      </w:r>
    </w:p>
    <w:p>
      <w:pPr>
        <w:spacing w:after="0" w:line="180" w:lineRule="exact"/>
        <w:rPr>
          <w:sz w:val="20"/>
          <w:szCs w:val="20"/>
          <w:color w:val="auto"/>
        </w:rPr>
      </w:pPr>
    </w:p>
    <w:p>
      <w:pPr>
        <w:ind w:left="720" w:right="60" w:hanging="362"/>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of crude oil, natural gas and NGL shipped, processed, purchased, stored, fractionated and/or gathered at or through the use of our facilities, which can be negatively impacted by a variety of factors outside of our control;</w:t>
      </w:r>
    </w:p>
    <w:p>
      <w:pPr>
        <w:spacing w:after="0" w:line="1" w:lineRule="exact"/>
        <w:rPr>
          <w:rFonts w:ascii="Times New Roman" w:cs="Times New Roman" w:eastAsia="Times New Roman" w:hAnsi="Times New Roman"/>
          <w:sz w:val="20"/>
          <w:szCs w:val="20"/>
          <w:color w:val="auto"/>
        </w:rPr>
      </w:pPr>
    </w:p>
    <w:p>
      <w:pPr>
        <w:ind w:left="720" w:right="200" w:hanging="362"/>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in our industry, including recontracting and other risks associated with the general capacity overbuild of midstream energy infrastructure in some of the areas where we operate;</w:t>
      </w:r>
    </w:p>
    <w:p>
      <w:pPr>
        <w:spacing w:after="0" w:line="1" w:lineRule="exact"/>
        <w:rPr>
          <w:rFonts w:ascii="Times New Roman" w:cs="Times New Roman" w:eastAsia="Times New Roman" w:hAnsi="Times New Roman"/>
          <w:sz w:val="20"/>
          <w:szCs w:val="20"/>
          <w:color w:val="auto"/>
        </w:rPr>
      </w:pPr>
    </w:p>
    <w:p>
      <w:pPr>
        <w:ind w:left="720" w:right="480" w:hanging="362"/>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supply and demand for the products we handle and the services we provide, which can be caused by a variety of factors outside of our control;</w:t>
      </w:r>
    </w:p>
    <w:p>
      <w:pPr>
        <w:spacing w:after="0" w:line="1" w:lineRule="exact"/>
        <w:rPr>
          <w:rFonts w:ascii="Times New Roman" w:cs="Times New Roman" w:eastAsia="Times New Roman" w:hAnsi="Times New Roman"/>
          <w:sz w:val="20"/>
          <w:szCs w:val="20"/>
          <w:color w:val="auto"/>
        </w:rPr>
      </w:pPr>
    </w:p>
    <w:p>
      <w:pPr>
        <w:ind w:left="720" w:hanging="362"/>
        <w:spacing w:after="0" w:line="25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disasters, catastrophes, terrorist attacks (including eco-terrorist attacks), process safety failures, equipment failures or other events, including pipeline or facility accidents and cyber or other attacks on our electronic and computer systems, could interrupt our operations, hinder our ability to fulfil our contractual obligations and/or result in severe personal injury, property damage and environmental damage;</w:t>
      </w:r>
    </w:p>
    <w:p>
      <w:pPr>
        <w:spacing w:after="0" w:line="20" w:lineRule="exact"/>
        <w:rPr>
          <w:rFonts w:ascii="Times New Roman" w:cs="Times New Roman" w:eastAsia="Times New Roman" w:hAnsi="Times New Roman"/>
          <w:sz w:val="20"/>
          <w:szCs w:val="20"/>
          <w:color w:val="auto"/>
        </w:rPr>
      </w:pPr>
    </w:p>
    <w:p>
      <w:pPr>
        <w:ind w:left="720" w:right="180" w:hanging="362"/>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attacks, data breaches and other disruptions affecting us, or our service providers, could materially and adversely affect our business, operations, reputation and financial results;</w:t>
      </w:r>
    </w:p>
    <w:p>
      <w:pPr>
        <w:spacing w:after="0" w:line="1"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pandemics, epidemics or other public health events;</w:t>
      </w:r>
    </w:p>
    <w:p>
      <w:pPr>
        <w:spacing w:after="0" w:line="67" w:lineRule="exact"/>
        <w:rPr>
          <w:rFonts w:ascii="Times New Roman" w:cs="Times New Roman" w:eastAsia="Times New Roman" w:hAnsi="Times New Roman"/>
          <w:sz w:val="20"/>
          <w:szCs w:val="20"/>
          <w:color w:val="auto"/>
        </w:rPr>
      </w:pPr>
    </w:p>
    <w:p>
      <w:pPr>
        <w:ind w:left="720" w:right="520" w:hanging="362"/>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societal and political pressures from various groups, including opposition to the development or operation of our pipelines and facilities;</w:t>
      </w:r>
    </w:p>
    <w:p>
      <w:pPr>
        <w:spacing w:after="0" w:line="1" w:lineRule="exact"/>
        <w:rPr>
          <w:rFonts w:ascii="Times New Roman" w:cs="Times New Roman" w:eastAsia="Times New Roman" w:hAnsi="Times New Roman"/>
          <w:sz w:val="20"/>
          <w:szCs w:val="20"/>
          <w:color w:val="auto"/>
        </w:rPr>
      </w:pPr>
    </w:p>
    <w:p>
      <w:pPr>
        <w:ind w:left="720" w:right="460" w:hanging="362"/>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concern by financial stakeholders with respect to our governance structure and the perceived social and environmental cost of our industry;</w:t>
      </w:r>
    </w:p>
    <w:p>
      <w:pPr>
        <w:spacing w:after="0" w:line="1" w:lineRule="exact"/>
        <w:rPr>
          <w:rFonts w:ascii="Times New Roman" w:cs="Times New Roman" w:eastAsia="Times New Roman" w:hAnsi="Times New Roman"/>
          <w:sz w:val="20"/>
          <w:szCs w:val="20"/>
          <w:color w:val="auto"/>
        </w:rPr>
      </w:pPr>
    </w:p>
    <w:p>
      <w:pPr>
        <w:ind w:left="720" w:right="160" w:hanging="362"/>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overall forward market for crude oil and NGL, and certain market structures, the absence of pricing volatility and other market factors;</w:t>
      </w:r>
    </w:p>
    <w:p>
      <w:pPr>
        <w:spacing w:after="0" w:line="1" w:lineRule="exact"/>
        <w:rPr>
          <w:rFonts w:ascii="Times New Roman" w:cs="Times New Roman" w:eastAsia="Times New Roman" w:hAnsi="Times New Roman"/>
          <w:sz w:val="20"/>
          <w:szCs w:val="20"/>
          <w:color w:val="auto"/>
        </w:rPr>
      </w:pPr>
    </w:p>
    <w:p>
      <w:pPr>
        <w:ind w:left="720" w:right="280" w:hanging="362"/>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fully implement or realize expected returns or other anticipated benefits associated with joint venture and joint ownership arrangements, acquisitions, divestitures and other projects;</w:t>
      </w:r>
    </w:p>
    <w:p>
      <w:pPr>
        <w:spacing w:after="0" w:line="1"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new businesses in connection with our strategy to participate in emerging energy opportunities;</w:t>
      </w:r>
    </w:p>
    <w:p>
      <w:pPr>
        <w:spacing w:after="0" w:line="67"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our investment grade credit rating or a significant reduction in our ability to receive open credit;</w:t>
      </w:r>
    </w:p>
    <w:p>
      <w:pPr>
        <w:spacing w:after="0" w:line="67"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risk of our customers and other counterparties we transact with in the ordinary course of business activities;</w:t>
      </w:r>
    </w:p>
    <w:p>
      <w:pPr>
        <w:spacing w:after="0" w:line="67"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tightened capital markets or other factors that increase our cost of capital or otherwise limit our access to capital;</w:t>
      </w:r>
    </w:p>
    <w:p>
      <w:pPr>
        <w:spacing w:after="0" w:line="67"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insufficiency of, or non-compliance with, our risk policies;</w:t>
      </w:r>
    </w:p>
    <w:p>
      <w:pPr>
        <w:spacing w:after="0" w:line="67" w:lineRule="exact"/>
        <w:rPr>
          <w:rFonts w:ascii="Times New Roman" w:cs="Times New Roman" w:eastAsia="Times New Roman" w:hAnsi="Times New Roman"/>
          <w:sz w:val="20"/>
          <w:szCs w:val="20"/>
          <w:color w:val="auto"/>
        </w:rPr>
      </w:pPr>
    </w:p>
    <w:p>
      <w:pPr>
        <w:ind w:left="720" w:right="220" w:hanging="362"/>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insurance coverage may not fully cover our losses and we may in the future encounter increased costs related to, and lack of availability of, insurance;</w:t>
      </w:r>
    </w:p>
    <w:p>
      <w:pPr>
        <w:spacing w:after="0" w:line="1"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or future debt levels, or inability to borrow additional funds or capitalize on business opportunities;</w:t>
      </w:r>
    </w:p>
    <w:p>
      <w:pPr>
        <w:spacing w:after="0" w:line="67"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currency exchange rates;</w:t>
      </w:r>
    </w:p>
    <w:p>
      <w:pPr>
        <w:spacing w:after="0" w:line="67"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recruiting and retaining our workforce;</w:t>
      </w:r>
    </w:p>
    <w:p>
      <w:pPr>
        <w:spacing w:after="0" w:line="67"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impairment of long-term assets;</w:t>
      </w:r>
    </w:p>
    <w:p>
      <w:pPr>
        <w:spacing w:after="0" w:line="67"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under-utilization of certain assets due to fixed costs incurred to obtain the right to use such assets;</w:t>
      </w:r>
    </w:p>
    <w:p>
      <w:pPr>
        <w:spacing w:after="0" w:line="67"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to repair and maintain our assets;</w:t>
      </w:r>
    </w:p>
    <w:p>
      <w:pPr>
        <w:spacing w:after="0" w:line="67" w:lineRule="exact"/>
        <w:rPr>
          <w:rFonts w:ascii="Times New Roman" w:cs="Times New Roman" w:eastAsia="Times New Roman" w:hAnsi="Times New Roman"/>
          <w:sz w:val="20"/>
          <w:szCs w:val="20"/>
          <w:color w:val="auto"/>
        </w:rPr>
      </w:pPr>
    </w:p>
    <w:p>
      <w:pPr>
        <w:ind w:left="720" w:right="60" w:hanging="362"/>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own all of the land on which our pipelines and facilities are located, which could result in disruptions to our operations; and</w:t>
      </w:r>
    </w:p>
    <w:p>
      <w:pPr>
        <w:spacing w:after="0" w:line="1" w:lineRule="exact"/>
        <w:rPr>
          <w:rFonts w:ascii="Times New Roman" w:cs="Times New Roman" w:eastAsia="Times New Roman" w:hAnsi="Times New Roman"/>
          <w:sz w:val="20"/>
          <w:szCs w:val="20"/>
          <w:color w:val="auto"/>
        </w:rPr>
      </w:pPr>
    </w:p>
    <w:p>
      <w:pPr>
        <w:ind w:left="720" w:right="380" w:hanging="362"/>
        <w:spacing w:after="0" w:line="27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materials or commodities in the quantity and the quality we need, and at commercially acceptable prices, whether due to supply disruptions, inflation, tariffs, quotas or other factors.</w:t>
      </w:r>
    </w:p>
    <w:p>
      <w:pPr>
        <w:sectPr>
          <w:pgSz w:w="11880" w:h="15480" w:orient="portrait"/>
          <w:cols w:equalWidth="0" w:num="1">
            <w:col w:w="10140"/>
          </w:cols>
          <w:pgMar w:left="860" w:top="675" w:right="88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140"/>
          </w:cols>
          <w:pgMar w:left="860" w:top="675" w:right="88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Risks Related to Laws and Regulations</w:t>
      </w:r>
    </w:p>
    <w:p>
      <w:pPr>
        <w:spacing w:after="0" w:line="25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0"/>
          <w:szCs w:val="20"/>
          <w:color w:val="auto"/>
        </w:rPr>
        <w:t>Our business may be adversely impacted by existing or new laws, executive orders and regulations relating to protection of the environment and wildlife, operational safety, pandemics, cross-border import/export and tax matters, financial and hedging activities, climate change and related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Inherent in an Investment in Us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partnership structure carries inherent risks, including but not limited to:</w:t>
      </w:r>
    </w:p>
    <w:p>
      <w:pPr>
        <w:spacing w:after="0" w:line="245" w:lineRule="exact"/>
        <w:rPr>
          <w:sz w:val="20"/>
          <w:szCs w:val="20"/>
          <w:color w:val="auto"/>
        </w:rPr>
      </w:pPr>
    </w:p>
    <w:p>
      <w:pPr>
        <w:ind w:left="720" w:hanging="362"/>
        <w:spacing w:after="0" w:line="278"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reimbursements due to our general partner may be substantial and will reduce our cash available for distribution to unitholders;</w:t>
      </w:r>
    </w:p>
    <w:p>
      <w:pPr>
        <w:spacing w:after="0" w:line="1" w:lineRule="exact"/>
        <w:rPr>
          <w:rFonts w:ascii="Times New Roman" w:cs="Times New Roman" w:eastAsia="Times New Roman" w:hAnsi="Times New Roman"/>
          <w:sz w:val="20"/>
          <w:szCs w:val="20"/>
          <w:color w:val="auto"/>
        </w:rPr>
      </w:pPr>
    </w:p>
    <w:p>
      <w:pPr>
        <w:ind w:left="720" w:right="600" w:hanging="362"/>
        <w:spacing w:after="0" w:line="278"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distributions are not guaranteed and may fluctuate with our performance and the establishment of financial reserves;</w:t>
      </w:r>
    </w:p>
    <w:p>
      <w:pPr>
        <w:spacing w:after="0" w:line="1" w:lineRule="exact"/>
        <w:rPr>
          <w:rFonts w:ascii="Times New Roman" w:cs="Times New Roman" w:eastAsia="Times New Roman" w:hAnsi="Times New Roman"/>
          <w:sz w:val="20"/>
          <w:szCs w:val="20"/>
          <w:color w:val="auto"/>
        </w:rPr>
      </w:pPr>
    </w:p>
    <w:p>
      <w:pPr>
        <w:ind w:left="720" w:right="80" w:hanging="362"/>
        <w:spacing w:after="0" w:line="278"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preferred units have rights, preferences and privileges that are not the same as, and are preferential to, the rights of holders of our common units;</w:t>
      </w:r>
    </w:p>
    <w:p>
      <w:pPr>
        <w:spacing w:after="0" w:line="1"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unitholders may not be able to remove our general partner even if they wish to do so;</w:t>
      </w:r>
    </w:p>
    <w:p>
      <w:pPr>
        <w:spacing w:after="0" w:line="67" w:lineRule="exact"/>
        <w:rPr>
          <w:rFonts w:ascii="Times New Roman" w:cs="Times New Roman" w:eastAsia="Times New Roman" w:hAnsi="Times New Roman"/>
          <w:sz w:val="20"/>
          <w:szCs w:val="20"/>
          <w:color w:val="auto"/>
        </w:rPr>
      </w:pPr>
    </w:p>
    <w:p>
      <w:pPr>
        <w:ind w:left="720" w:right="660" w:hanging="362"/>
        <w:spacing w:after="0" w:line="278"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issue additional common units without unitholder approval, which would dilute a unitholder’s existing ownership interests; and</w:t>
      </w:r>
    </w:p>
    <w:p>
      <w:pPr>
        <w:spacing w:after="0" w:line="1"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conflicts of interest could arise among our general partner and us or our unitholders.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an Investment in Our Debt Securities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Holders of our debt securities are subject to risks including but not limited to:</w:t>
      </w:r>
    </w:p>
    <w:p>
      <w:pPr>
        <w:spacing w:after="0" w:line="186" w:lineRule="exact"/>
        <w:rPr>
          <w:sz w:val="20"/>
          <w:szCs w:val="20"/>
          <w:color w:val="auto"/>
        </w:rPr>
      </w:pPr>
    </w:p>
    <w:p>
      <w:pPr>
        <w:ind w:left="720" w:right="60" w:hanging="362"/>
        <w:spacing w:after="0" w:line="247"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 and</w:t>
      </w:r>
    </w:p>
    <w:p>
      <w:pPr>
        <w:spacing w:after="0" w:line="3" w:lineRule="exact"/>
        <w:rPr>
          <w:rFonts w:ascii="Times New Roman" w:cs="Times New Roman" w:eastAsia="Times New Roman" w:hAnsi="Times New Roman"/>
          <w:sz w:val="20"/>
          <w:szCs w:val="20"/>
          <w:color w:val="auto"/>
        </w:rPr>
      </w:pPr>
    </w:p>
    <w:p>
      <w:pPr>
        <w:ind w:left="720" w:right="80" w:hanging="362"/>
        <w:spacing w:after="0" w:line="278"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have the same flexibility as other types of organizations to accumulate cash, which may limit cash available to service our debt securities or to repay them at maturity.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Risks to Common Unitholders and Series B Preferred Unitholders</w:t>
      </w:r>
    </w:p>
    <w:p>
      <w:pPr>
        <w:spacing w:after="0" w:line="19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Our Common Units and Series B Preferred Units are subject to tax risks, which may adversely impact the value of or market for our units and may reduce our cash available for distribution or debt service, including but not limited to:</w:t>
      </w:r>
    </w:p>
    <w:p>
      <w:pPr>
        <w:spacing w:after="0" w:line="121" w:lineRule="exact"/>
        <w:rPr>
          <w:sz w:val="20"/>
          <w:szCs w:val="20"/>
          <w:color w:val="auto"/>
        </w:rPr>
      </w:pPr>
    </w:p>
    <w:p>
      <w:pPr>
        <w:ind w:left="720" w:right="240" w:hanging="362"/>
        <w:spacing w:after="0" w:line="278"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status as a partnership for U.S. federal income tax purposes and not being subject to a material amount of entity-level taxation;</w:t>
      </w:r>
    </w:p>
    <w:p>
      <w:pPr>
        <w:spacing w:after="0" w:line="1" w:lineRule="exact"/>
        <w:rPr>
          <w:rFonts w:ascii="Times New Roman" w:cs="Times New Roman" w:eastAsia="Times New Roman" w:hAnsi="Times New Roman"/>
          <w:sz w:val="20"/>
          <w:szCs w:val="20"/>
          <w:color w:val="auto"/>
        </w:rPr>
      </w:pPr>
    </w:p>
    <w:p>
      <w:pPr>
        <w:ind w:left="720" w:right="300" w:hanging="362"/>
        <w:spacing w:after="0" w:line="278"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legislative, judicial or administrative changes or differing interpretations, possibly applied on a retroactive basis;</w:t>
      </w:r>
    </w:p>
    <w:p>
      <w:pPr>
        <w:spacing w:after="0" w:line="1" w:lineRule="exact"/>
        <w:rPr>
          <w:rFonts w:ascii="Times New Roman" w:cs="Times New Roman" w:eastAsia="Times New Roman" w:hAnsi="Times New Roman"/>
          <w:sz w:val="20"/>
          <w:szCs w:val="20"/>
          <w:color w:val="auto"/>
        </w:rPr>
      </w:pPr>
    </w:p>
    <w:p>
      <w:pPr>
        <w:ind w:left="720" w:right="220" w:hanging="362"/>
        <w:spacing w:after="0" w:line="278"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audit adjustments to our income tax returns for tax years beginning after December 31, 2017, by the IRS or state tax authorities;</w:t>
      </w:r>
    </w:p>
    <w:p>
      <w:pPr>
        <w:spacing w:after="0" w:line="1" w:lineRule="exact"/>
        <w:rPr>
          <w:rFonts w:ascii="Times New Roman" w:cs="Times New Roman" w:eastAsia="Times New Roman" w:hAnsi="Times New Roman"/>
          <w:sz w:val="20"/>
          <w:szCs w:val="20"/>
          <w:color w:val="auto"/>
        </w:rPr>
      </w:pPr>
    </w:p>
    <w:p>
      <w:pPr>
        <w:ind w:left="720" w:right="160" w:hanging="362"/>
        <w:spacing w:after="0" w:line="278"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or Canada Revenue Agency (“CRA”) contests to the federal income tax positions or inter-country allocations we take;</w:t>
      </w:r>
    </w:p>
    <w:p>
      <w:pPr>
        <w:spacing w:after="0" w:line="1" w:lineRule="exact"/>
        <w:rPr>
          <w:rFonts w:ascii="Times New Roman" w:cs="Times New Roman" w:eastAsia="Times New Roman" w:hAnsi="Times New Roman"/>
          <w:sz w:val="20"/>
          <w:szCs w:val="20"/>
          <w:color w:val="auto"/>
        </w:rPr>
      </w:pPr>
    </w:p>
    <w:p>
      <w:pPr>
        <w:ind w:left="720" w:right="740" w:hanging="362"/>
        <w:spacing w:after="0" w:line="278"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unitholders may be required to pay taxes on their share of our income even if they do not receive any cash distributions from us;</w:t>
      </w:r>
    </w:p>
    <w:p>
      <w:pPr>
        <w:spacing w:after="0" w:line="1"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tax-exempt entities and non-U.S. unitholders face unique tax issues from owning our units;</w:t>
      </w:r>
    </w:p>
    <w:p>
      <w:pPr>
        <w:spacing w:after="0" w:line="67"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taxable gain or loss on the disposition of our common units could be more or less than expected;</w:t>
      </w:r>
    </w:p>
    <w:p>
      <w:pPr>
        <w:spacing w:after="0" w:line="67" w:lineRule="exact"/>
        <w:rPr>
          <w:rFonts w:ascii="Times New Roman" w:cs="Times New Roman" w:eastAsia="Times New Roman" w:hAnsi="Times New Roman"/>
          <w:sz w:val="20"/>
          <w:szCs w:val="20"/>
          <w:color w:val="auto"/>
        </w:rPr>
      </w:pPr>
    </w:p>
    <w:p>
      <w:pPr>
        <w:ind w:left="720" w:hanging="362"/>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unitholders may be subject to limitation on their ability to deduct interest expense incurred by us;</w:t>
      </w:r>
    </w:p>
    <w:p>
      <w:pPr>
        <w:spacing w:after="0" w:line="67" w:lineRule="exact"/>
        <w:rPr>
          <w:rFonts w:ascii="Times New Roman" w:cs="Times New Roman" w:eastAsia="Times New Roman" w:hAnsi="Times New Roman"/>
          <w:sz w:val="20"/>
          <w:szCs w:val="20"/>
          <w:color w:val="auto"/>
        </w:rPr>
      </w:pPr>
    </w:p>
    <w:p>
      <w:pPr>
        <w:ind w:left="720" w:right="440" w:hanging="362"/>
        <w:spacing w:after="0" w:line="278"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unitholders will likely be subject to state, local and non-U.S. taxes and return filing requirements in states and jurisdictions where they do not live as a result of investing in our units; and</w:t>
      </w:r>
    </w:p>
    <w:p>
      <w:pPr>
        <w:spacing w:after="0" w:line="1" w:lineRule="exact"/>
        <w:rPr>
          <w:rFonts w:ascii="Times New Roman" w:cs="Times New Roman" w:eastAsia="Times New Roman" w:hAnsi="Times New Roman"/>
          <w:sz w:val="20"/>
          <w:szCs w:val="20"/>
          <w:color w:val="auto"/>
        </w:rPr>
      </w:pPr>
    </w:p>
    <w:p>
      <w:pPr>
        <w:ind w:left="720" w:right="40" w:hanging="362"/>
        <w:spacing w:after="0" w:line="283" w:lineRule="auto"/>
        <w:tabs>
          <w:tab w:leader="none" w:pos="7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tax 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ectPr>
          <w:pgSz w:w="11880" w:h="15480" w:orient="portrait"/>
          <w:cols w:equalWidth="0" w:num="1">
            <w:col w:w="10160"/>
          </w:cols>
          <w:pgMar w:left="860" w:top="676" w:right="86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160"/>
          </w:cols>
          <w:pgMar w:left="860" w:top="676" w:right="86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Our profitability depends on the volume of crude oil, natural gas and NGL shipped, processed, purchased, stored, fractionated and/or gathered at or through the use of our facilities, which can be negatively impacted by a variety of factors outside of our control.</w:t>
      </w:r>
    </w:p>
    <w:p>
      <w:pPr>
        <w:spacing w:after="0" w:line="197"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Drilling activity, crude oil production and benchmark crude oil prices can fluctuate significantly over time for a wide variety of reasons, including prevailing economic conditions, reduced demand by consumers for end products made with hydrocarbons, increased competition, adverse weather conditions, public health emergencies, and government laws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our pipelines and at our other facilities, which, depending on the level of production declines, could have a material adverse effect on our business.</w:t>
      </w:r>
    </w:p>
    <w:p>
      <w:pPr>
        <w:spacing w:after="0" w:line="208" w:lineRule="exact"/>
        <w:rPr>
          <w:sz w:val="20"/>
          <w:szCs w:val="20"/>
          <w:color w:val="auto"/>
        </w:rPr>
      </w:pPr>
    </w:p>
    <w:p>
      <w:pPr>
        <w:ind w:right="160" w:firstLine="713"/>
        <w:spacing w:after="0" w:line="263" w:lineRule="auto"/>
        <w:rPr>
          <w:sz w:val="20"/>
          <w:szCs w:val="20"/>
          <w:color w:val="auto"/>
        </w:rPr>
      </w:pPr>
      <w:r>
        <w:rPr>
          <w:rFonts w:ascii="Times New Roman" w:cs="Times New Roman" w:eastAsia="Times New Roman" w:hAnsi="Times New Roman"/>
          <w:sz w:val="20"/>
          <w:szCs w:val="20"/>
          <w:color w:val="auto"/>
        </w:rPr>
        <w:t>Also, except with respect to some of our recently constructed long haul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194" w:lineRule="exact"/>
        <w:rPr>
          <w:sz w:val="20"/>
          <w:szCs w:val="20"/>
          <w:color w:val="auto"/>
        </w:rPr>
      </w:pPr>
    </w:p>
    <w:p>
      <w:pPr>
        <w:ind w:right="80" w:firstLine="713"/>
        <w:spacing w:after="0" w:line="258" w:lineRule="auto"/>
        <w:rPr>
          <w:sz w:val="20"/>
          <w:szCs w:val="20"/>
          <w:color w:val="auto"/>
        </w:rPr>
      </w:pPr>
      <w:r>
        <w:rPr>
          <w:rFonts w:ascii="Times New Roman" w:cs="Times New Roman" w:eastAsia="Times New Roman" w:hAnsi="Times New Roman"/>
          <w:sz w:val="20"/>
          <w:szCs w:val="20"/>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our ability to secure additional supplies of crude oil.</w:t>
      </w:r>
    </w:p>
    <w:p>
      <w:pPr>
        <w:spacing w:after="0" w:line="19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Our profitability can be negatively affected by a variety of factors stemming from competition in our industry, including recontracting and other risks associated with the general capacity overbuild of midstream energy infrastructure in some of the areas where we operate.</w:t>
      </w:r>
    </w:p>
    <w:p>
      <w:pPr>
        <w:spacing w:after="0" w:line="197" w:lineRule="exact"/>
        <w:rPr>
          <w:sz w:val="20"/>
          <w:szCs w:val="20"/>
          <w:color w:val="auto"/>
        </w:rPr>
      </w:pPr>
    </w:p>
    <w:p>
      <w:pPr>
        <w:ind w:right="120" w:firstLine="713"/>
        <w:spacing w:after="0" w:line="251" w:lineRule="auto"/>
        <w:rPr>
          <w:sz w:val="20"/>
          <w:szCs w:val="20"/>
          <w:color w:val="auto"/>
        </w:rPr>
      </w:pPr>
      <w:r>
        <w:rPr>
          <w:rFonts w:ascii="Times New Roman" w:cs="Times New Roman" w:eastAsia="Times New Roman" w:hAnsi="Times New Roman"/>
          <w:sz w:val="20"/>
          <w:szCs w:val="20"/>
          <w:color w:val="auto"/>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investment capital projects, acquisitions and joint venture activities. Some of our competitors have capital resources many times greater than ours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us to attract new customers and expose us to increased contract renewal and customer retention risk with respect to our existing customers and make recontracting at favorable rates and volumes more challenging, including, for example, with respect to certain of our long-haul Permian pipelines.</w:t>
      </w:r>
    </w:p>
    <w:p>
      <w:pPr>
        <w:spacing w:after="0" w:line="208" w:lineRule="exact"/>
        <w:rPr>
          <w:sz w:val="20"/>
          <w:szCs w:val="20"/>
          <w:color w:val="auto"/>
        </w:rPr>
      </w:pPr>
    </w:p>
    <w:p>
      <w:pPr>
        <w:ind w:right="80" w:firstLine="713"/>
        <w:spacing w:after="0" w:line="265" w:lineRule="auto"/>
        <w:rPr>
          <w:sz w:val="20"/>
          <w:szCs w:val="20"/>
          <w:color w:val="auto"/>
        </w:rPr>
      </w:pPr>
      <w:r>
        <w:rPr>
          <w:rFonts w:ascii="Times New Roman" w:cs="Times New Roman" w:eastAsia="Times New Roman" w:hAnsi="Times New Roman"/>
          <w:sz w:val="19"/>
          <w:szCs w:val="19"/>
          <w:color w:val="auto"/>
        </w:rPr>
        <w:t>A significant driver of competition in some of the markets where we operate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 areas where we operate have become overbuilt, resulting in an excess of midstream energy infrastructure capacity. In addition, as an established participant in some markets, we also face competition from aggressive new entrants to the market who are willing to provide services at a lower rate of return in order to establish relationships and gain a foothold in the market. In addition, our crude oil and NGL merchant activities utilize many of our pipelines and facilities. Competition that impacts our merchant activities could result in a reduction in the use of our transportation and facilities assets. All of these competitive effects put downward pressure on our throughput and margins and, together with other adverse competitive effects, could have a significant adverse impact on our financial position, cash flows and ability to pay or increase distributions to our unitholders.</w:t>
      </w:r>
    </w:p>
    <w:p>
      <w:pPr>
        <w:spacing w:after="0" w:line="194" w:lineRule="exact"/>
        <w:rPr>
          <w:sz w:val="20"/>
          <w:szCs w:val="20"/>
          <w:color w:val="auto"/>
        </w:rPr>
      </w:pPr>
    </w:p>
    <w:p>
      <w:pPr>
        <w:ind w:right="60" w:firstLine="713"/>
        <w:spacing w:after="0" w:line="275" w:lineRule="auto"/>
        <w:rPr>
          <w:sz w:val="20"/>
          <w:szCs w:val="20"/>
          <w:color w:val="auto"/>
        </w:rPr>
      </w:pPr>
      <w:r>
        <w:rPr>
          <w:rFonts w:ascii="Times New Roman" w:cs="Times New Roman" w:eastAsia="Times New Roman" w:hAnsi="Times New Roman"/>
          <w:sz w:val="19"/>
          <w:szCs w:val="19"/>
          <w:color w:val="auto"/>
        </w:rPr>
        <w:t>With respect to our crude oil activities, our competitors include other crude oil pipelines, the major integrated oil companies, their marketing affiliates, refiners, private equity-backed entities, and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ectPr>
          <w:pgSz w:w="11880" w:h="15480" w:orient="portrait"/>
          <w:cols w:equalWidth="0" w:num="1">
            <w:col w:w="10140"/>
          </w:cols>
          <w:pgMar w:left="860" w:top="676" w:right="880" w:bottom="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140"/>
          </w:cols>
          <w:pgMar w:left="860" w:top="676" w:right="880" w:bottom="0" w:gutter="0" w:footer="0" w:header="0"/>
          <w:type w:val="continuous"/>
        </w:sectPr>
      </w:pPr>
    </w:p>
    <w:bookmarkStart w:id="39" w:name="page40"/>
    <w:bookmarkEnd w:id="39"/>
    <w:p>
      <w:pPr>
        <w:ind w:right="20" w:firstLine="713"/>
        <w:spacing w:after="0" w:line="258" w:lineRule="auto"/>
        <w:rPr>
          <w:sz w:val="20"/>
          <w:szCs w:val="20"/>
          <w:color w:val="auto"/>
        </w:rPr>
      </w:pPr>
      <w:r>
        <w:rPr>
          <w:rFonts w:ascii="Times New Roman" w:cs="Times New Roman" w:eastAsia="Times New Roman" w:hAnsi="Times New Roman"/>
          <w:sz w:val="20"/>
          <w:szCs w:val="20"/>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191"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Changes in supply and demand for the products we handle, which can be caused by a variety of factors outside of our control, can negatively affect our operating results.</w:t>
      </w:r>
    </w:p>
    <w:p>
      <w:pPr>
        <w:spacing w:after="0" w:line="179" w:lineRule="exact"/>
        <w:rPr>
          <w:sz w:val="20"/>
          <w:szCs w:val="20"/>
          <w:color w:val="auto"/>
        </w:rPr>
      </w:pPr>
    </w:p>
    <w:p>
      <w:pPr>
        <w:ind w:firstLine="713"/>
        <w:spacing w:after="0" w:line="250" w:lineRule="auto"/>
        <w:rPr>
          <w:sz w:val="20"/>
          <w:szCs w:val="20"/>
          <w:color w:val="auto"/>
        </w:rPr>
      </w:pPr>
      <w:r>
        <w:rPr>
          <w:rFonts w:ascii="Times New Roman" w:cs="Times New Roman" w:eastAsia="Times New Roman" w:hAnsi="Times New Roman"/>
          <w:sz w:val="20"/>
          <w:szCs w:val="20"/>
          <w:color w:val="auto"/>
        </w:rPr>
        <w:t>Supply and demand for crude oil and other hydrocarbon products we handle is dependent upon a variety of factors, including price, current and future economic conditions,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our transportation assets to satisfy their demand by deliveries through those assets. Decreases in demand for the products we handle, whether at a global level or in areas our assets serve, can negatively affect our operating results.</w:t>
      </w:r>
    </w:p>
    <w:p>
      <w:pPr>
        <w:spacing w:after="0" w:line="214" w:lineRule="exact"/>
        <w:rPr>
          <w:sz w:val="20"/>
          <w:szCs w:val="20"/>
          <w:color w:val="auto"/>
        </w:rPr>
      </w:pPr>
    </w:p>
    <w:p>
      <w:pPr>
        <w:ind w:right="80" w:firstLine="713"/>
        <w:spacing w:after="0" w:line="263" w:lineRule="auto"/>
        <w:rPr>
          <w:sz w:val="20"/>
          <w:szCs w:val="20"/>
          <w:color w:val="auto"/>
        </w:rPr>
      </w:pPr>
      <w:r>
        <w:rPr>
          <w:rFonts w:ascii="Times New Roman" w:cs="Times New Roman" w:eastAsia="Times New Roman" w:hAnsi="Times New Roman"/>
          <w:sz w:val="20"/>
          <w:szCs w:val="20"/>
          <w:color w:val="auto"/>
        </w:rPr>
        <w:t>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spacing w:after="0" w:line="194" w:lineRule="exact"/>
        <w:rPr>
          <w:sz w:val="20"/>
          <w:szCs w:val="20"/>
          <w:color w:val="auto"/>
        </w:rPr>
      </w:pPr>
    </w:p>
    <w:p>
      <w:pPr>
        <w:ind w:right="40" w:firstLine="713"/>
        <w:spacing w:after="0" w:line="255" w:lineRule="auto"/>
        <w:rPr>
          <w:sz w:val="20"/>
          <w:szCs w:val="20"/>
          <w:color w:val="auto"/>
        </w:rPr>
      </w:pPr>
      <w:r>
        <w:rPr>
          <w:rFonts w:ascii="Times New Roman" w:cs="Times New Roman" w:eastAsia="Times New Roman" w:hAnsi="Times New Roman"/>
          <w:sz w:val="20"/>
          <w:szCs w:val="20"/>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the availability of certain grades of crude oil at specific locations, and thus is largely unpredictable.</w:t>
      </w:r>
    </w:p>
    <w:p>
      <w:pPr>
        <w:spacing w:after="0" w:line="204" w:lineRule="exact"/>
        <w:rPr>
          <w:sz w:val="20"/>
          <w:szCs w:val="20"/>
          <w:color w:val="auto"/>
        </w:rPr>
      </w:pPr>
    </w:p>
    <w:p>
      <w:pPr>
        <w:ind w:right="40" w:firstLine="713"/>
        <w:spacing w:after="0" w:line="254" w:lineRule="auto"/>
        <w:rPr>
          <w:sz w:val="20"/>
          <w:szCs w:val="20"/>
          <w:color w:val="auto"/>
        </w:rPr>
      </w:pPr>
      <w:r>
        <w:rPr>
          <w:rFonts w:ascii="Times New Roman" w:cs="Times New Roman" w:eastAsia="Times New Roman" w:hAnsi="Times New Roman"/>
          <w:sz w:val="20"/>
          <w:szCs w:val="20"/>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or margins we earn. Also, increased supply of NGL products could reduce the value of NGL we handle and reduce the margins realized by us.</w:t>
      </w:r>
    </w:p>
    <w:p>
      <w:pPr>
        <w:spacing w:after="0" w:line="203" w:lineRule="exact"/>
        <w:rPr>
          <w:sz w:val="20"/>
          <w:szCs w:val="20"/>
          <w:color w:val="auto"/>
        </w:rPr>
      </w:pPr>
    </w:p>
    <w:p>
      <w:pPr>
        <w:ind w:right="120" w:firstLine="713"/>
        <w:spacing w:after="0" w:line="258" w:lineRule="auto"/>
        <w:rPr>
          <w:sz w:val="20"/>
          <w:szCs w:val="20"/>
          <w:color w:val="auto"/>
        </w:rPr>
      </w:pPr>
      <w:r>
        <w:rPr>
          <w:rFonts w:ascii="Times New Roman" w:cs="Times New Roman" w:eastAsia="Times New Roman" w:hAnsi="Times New Roman"/>
          <w:sz w:val="20"/>
          <w:szCs w:val="20"/>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1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Natural disasters, catastrophes, terrorist attacks (including eco-terrorist attacks), process safety failures, equipment failures or other events, including pipeline or facility accidents and cyber or other attacks on our electronic and computer systems, could interrupt our operations, hinder our ability to fulfil our contractual obligations and/or result in severe personal injury, property damage and environmental damage, which could have a material adverse effect on our financial position, results of operations and cash flows.</w:t>
      </w:r>
    </w:p>
    <w:p>
      <w:pPr>
        <w:spacing w:after="0" w:line="207" w:lineRule="exact"/>
        <w:rPr>
          <w:sz w:val="20"/>
          <w:szCs w:val="20"/>
          <w:color w:val="auto"/>
        </w:rPr>
      </w:pPr>
    </w:p>
    <w:p>
      <w:pPr>
        <w:ind w:right="40" w:firstLine="713"/>
        <w:spacing w:after="0" w:line="252" w:lineRule="auto"/>
        <w:rPr>
          <w:sz w:val="20"/>
          <w:szCs w:val="20"/>
          <w:color w:val="auto"/>
        </w:rPr>
      </w:pPr>
      <w:r>
        <w:rPr>
          <w:rFonts w:ascii="Times New Roman" w:cs="Times New Roman" w:eastAsia="Times New Roman" w:hAnsi="Times New Roman"/>
          <w:sz w:val="20"/>
          <w:szCs w:val="20"/>
          <w:color w:val="auto"/>
        </w:rPr>
        <w:t>Some of our operations involve risks of personal injury, property damage and environmental damage that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our physical facilities and hackers may attack our electronic and computer systems.</w:t>
      </w:r>
    </w:p>
    <w:p>
      <w:pPr>
        <w:sectPr>
          <w:pgSz w:w="11880" w:h="15480" w:orient="portrait"/>
          <w:cols w:equalWidth="0" w:num="1">
            <w:col w:w="10160"/>
          </w:cols>
          <w:pgMar w:left="860" w:top="68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160"/>
          </w:cols>
          <w:pgMar w:left="860" w:top="683" w:right="860" w:bottom="0" w:gutter="0" w:footer="0" w:header="0"/>
          <w:type w:val="continuous"/>
        </w:sectPr>
      </w:pPr>
    </w:p>
    <w:bookmarkStart w:id="40" w:name="page41"/>
    <w:bookmarkEnd w:id="40"/>
    <w:p>
      <w:pPr>
        <w:ind w:right="120" w:firstLine="713"/>
        <w:spacing w:after="0" w:line="250" w:lineRule="auto"/>
        <w:rPr>
          <w:sz w:val="20"/>
          <w:szCs w:val="20"/>
          <w:color w:val="auto"/>
        </w:rPr>
      </w:pPr>
      <w:r>
        <w:rPr>
          <w:rFonts w:ascii="Times New Roman" w:cs="Times New Roman" w:eastAsia="Times New Roman" w:hAnsi="Times New Roman"/>
          <w:sz w:val="20"/>
          <w:szCs w:val="20"/>
          <w:color w:val="auto"/>
        </w:rPr>
        <w:t>If one or more of our pipelines or other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In addition, our merchant activities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our operations, hinders our ability to fulfil our contractual obligations or which causes us to make significant expenditures not covered by insurance, could reduce our profitability, cash flows and cash available for paying distributions to our partners and, accordingly, adversely affect our financial condition and the market price of our securities.</w:t>
      </w:r>
    </w:p>
    <w:p>
      <w:pPr>
        <w:spacing w:after="0" w:line="214" w:lineRule="exact"/>
        <w:rPr>
          <w:sz w:val="20"/>
          <w:szCs w:val="20"/>
          <w:color w:val="auto"/>
        </w:rPr>
      </w:pPr>
    </w:p>
    <w:p>
      <w:pPr>
        <w:ind w:right="80" w:firstLine="713"/>
        <w:spacing w:after="0" w:line="255" w:lineRule="auto"/>
        <w:rPr>
          <w:sz w:val="20"/>
          <w:szCs w:val="20"/>
          <w:color w:val="auto"/>
        </w:rPr>
      </w:pPr>
      <w:r>
        <w:rPr>
          <w:rFonts w:ascii="Times New Roman" w:cs="Times New Roman" w:eastAsia="Times New Roman" w:hAnsi="Times New Roman"/>
          <w:sz w:val="20"/>
          <w:szCs w:val="20"/>
          <w:color w:val="auto"/>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 or other transactions.</w:t>
      </w:r>
    </w:p>
    <w:p>
      <w:pPr>
        <w:spacing w:after="0" w:line="196"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Cybersecurity attacks, data breaches and other disruptions affecting us, or our service providers, could materially and adversely affect our business, operations, reputation and financial results.</w:t>
      </w:r>
    </w:p>
    <w:p>
      <w:pPr>
        <w:spacing w:after="0" w:line="179" w:lineRule="exact"/>
        <w:rPr>
          <w:sz w:val="20"/>
          <w:szCs w:val="20"/>
          <w:color w:val="auto"/>
        </w:rPr>
      </w:pPr>
    </w:p>
    <w:p>
      <w:pPr>
        <w:ind w:firstLine="713"/>
        <w:spacing w:after="0" w:line="250" w:lineRule="auto"/>
        <w:rPr>
          <w:sz w:val="20"/>
          <w:szCs w:val="20"/>
          <w:color w:val="auto"/>
        </w:rPr>
      </w:pPr>
      <w:r>
        <w:rPr>
          <w:rFonts w:ascii="Times New Roman" w:cs="Times New Roman" w:eastAsia="Times New Roman" w:hAnsi="Times New Roman"/>
          <w:sz w:val="20"/>
          <w:szCs w:val="20"/>
          <w:color w:val="auto"/>
        </w:rPr>
        <w:t>We are reliant on the continuous and uninterrupted operation of our various technology systems. User access to our sites and information technology systems are critical elements of our operations, as is cloud security and protection against cyber security incidents. In the ordinary course of our business, we collect and store sensitive data in our data centers and on our networks, including intellectual property, proprietary business information, critical operating information and data, information regarding our customers, suppliers, royalty owners and business partners, and personally identifiable information of our employees. We also engage third parties, such as service providers and vendors, who provide a broad array of software, technologies, tools and other products, services and functions that enable us to conduct, monitor and/or protect our business, operations systems and data assets. The secure processing, maintenance and transmission of this information is critical to our operations and business strategy. Despite our security measures, the information technology and infrastructure we rely on may be vulnerable to attacks by third parties, such as hackers, or breached due to human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services, which could adversely affect our business.</w:t>
      </w:r>
    </w:p>
    <w:p>
      <w:pPr>
        <w:spacing w:after="0" w:line="210" w:lineRule="exact"/>
        <w:rPr>
          <w:sz w:val="20"/>
          <w:szCs w:val="20"/>
          <w:color w:val="auto"/>
        </w:rPr>
      </w:pPr>
    </w:p>
    <w:p>
      <w:pPr>
        <w:ind w:right="120" w:firstLine="713"/>
        <w:spacing w:after="0" w:line="272" w:lineRule="auto"/>
        <w:rPr>
          <w:sz w:val="20"/>
          <w:szCs w:val="20"/>
          <w:color w:val="auto"/>
        </w:rPr>
      </w:pPr>
      <w:r>
        <w:rPr>
          <w:rFonts w:ascii="Times New Roman" w:cs="Times New Roman" w:eastAsia="Times New Roman" w:hAnsi="Times New Roman"/>
          <w:sz w:val="19"/>
          <w:szCs w:val="19"/>
          <w:color w:val="auto"/>
        </w:rPr>
        <w:t>We and certain of our service providers have, from time to time, been subject to cyberattacks. The frequency and magnitude of cyberattacks is expected to increase and attackers are becoming more sophisticated. We may be unable to anticipate, detect or prevent future attacks, particularly as the methodologies used by attackers change frequently or are not recognized until launched, and we may be unable to investigate or remediate incidents because attackers are increasingly using techniques and tools designed to circumvent controls, to avoid detection, and to remove or obfuscate forensic evidence.</w:t>
      </w:r>
    </w:p>
    <w:p>
      <w:pPr>
        <w:spacing w:after="0" w:line="188" w:lineRule="exact"/>
        <w:rPr>
          <w:sz w:val="20"/>
          <w:szCs w:val="20"/>
          <w:color w:val="auto"/>
        </w:rPr>
      </w:pPr>
    </w:p>
    <w:p>
      <w:pPr>
        <w:ind w:right="100" w:firstLine="713"/>
        <w:spacing w:after="0" w:line="251" w:lineRule="auto"/>
        <w:rPr>
          <w:sz w:val="20"/>
          <w:szCs w:val="20"/>
          <w:color w:val="auto"/>
        </w:rPr>
      </w:pPr>
      <w:r>
        <w:rPr>
          <w:rFonts w:ascii="Times New Roman" w:cs="Times New Roman" w:eastAsia="Times New Roman" w:hAnsi="Times New Roman"/>
          <w:sz w:val="20"/>
          <w:szCs w:val="20"/>
          <w:color w:val="auto"/>
        </w:rPr>
        <w:t>The information technology infrastructure we use is critical to the efficient operation of our business and essential to our ability to perform day-to-day operations. Risks to our information technology systems include: unauthorized or inadvertent extraction of business sensitive, confidential or personal information; denial of access extortion; corruption of information; or disruption of business processes. Breaches of our information technology infrastructure or physical facilities, or other disruptions, could result in damage to our assets, safety incidents, damage to the environment, remediation costs, liability, regulatory enforcement, violation of privacy or securities laws and regulations, the loss of contracts or the inability to fulfil our contractual obligations, any of which could have a material adverse effect on our operations, financial position and results of operations. In addition, we may be required to invest significant additional resources to enhance our information security and controls or to comply with evolving cybersecurity laws or regulations.</w:t>
      </w:r>
    </w:p>
    <w:p>
      <w:pPr>
        <w:spacing w:after="0" w:line="211" w:lineRule="exact"/>
        <w:rPr>
          <w:sz w:val="20"/>
          <w:szCs w:val="20"/>
          <w:color w:val="auto"/>
        </w:rPr>
      </w:pPr>
    </w:p>
    <w:p>
      <w:pPr>
        <w:ind w:right="80" w:firstLine="713"/>
        <w:spacing w:after="0" w:line="258" w:lineRule="auto"/>
        <w:rPr>
          <w:sz w:val="20"/>
          <w:szCs w:val="20"/>
          <w:color w:val="auto"/>
        </w:rPr>
      </w:pPr>
      <w:r>
        <w:rPr>
          <w:rFonts w:ascii="Times New Roman" w:cs="Times New Roman" w:eastAsia="Times New Roman" w:hAnsi="Times New Roman"/>
          <w:sz w:val="20"/>
          <w:szCs w:val="20"/>
          <w:color w:val="auto"/>
        </w:rPr>
        <w:t>We self-insure and thus do not carry insurance specifically for cybersecurity events; however, certain of our insurance policies may allow for coverage of associated damages resulting from such events. If we were to incur a significant liability for which we were not fully insured, or if we incurred costs in excess of reserves established for uninsured or self-insured risks, it could have a material adverse effect on our financial position, results of operations and cash flows.</w:t>
      </w:r>
    </w:p>
    <w:p>
      <w:pPr>
        <w:sectPr>
          <w:pgSz w:w="11880" w:h="15480" w:orient="portrait"/>
          <w:cols w:equalWidth="0" w:num="1">
            <w:col w:w="10160"/>
          </w:cols>
          <w:pgMar w:left="860" w:top="68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160"/>
          </w:cols>
          <w:pgMar w:left="860" w:top="683" w:right="860" w:bottom="0" w:gutter="0" w:footer="0" w:header="0"/>
          <w:type w:val="continuous"/>
        </w:sectPr>
      </w:pPr>
    </w:p>
    <w:bookmarkStart w:id="41" w:name="page42"/>
    <w:bookmarkEnd w:id="41"/>
    <w:p>
      <w:pPr>
        <w:ind w:right="24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Our business, results of operations, financial condition, cash flows and unit price can be adversely affected by pandemics, epidemics or other public health events.</w:t>
      </w:r>
    </w:p>
    <w:p>
      <w:pPr>
        <w:spacing w:after="0" w:line="179"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color w:val="auto"/>
        </w:rPr>
        <w:t>Our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our assets. The effects of a public health event depend on a wide variety of factors that are outside of our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spacing w:after="0" w:line="19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We may face opposition from various groups to the development or operation of our pipelines and facilities and our business may be subject to societal and political pressures.</w:t>
      </w:r>
    </w:p>
    <w:p>
      <w:pPr>
        <w:spacing w:after="0" w:line="179" w:lineRule="exact"/>
        <w:rPr>
          <w:sz w:val="20"/>
          <w:szCs w:val="20"/>
          <w:color w:val="auto"/>
        </w:rPr>
      </w:pPr>
    </w:p>
    <w:p>
      <w:pPr>
        <w:ind w:right="80" w:firstLine="713"/>
        <w:spacing w:after="0" w:line="250" w:lineRule="auto"/>
        <w:rPr>
          <w:sz w:val="20"/>
          <w:szCs w:val="20"/>
          <w:color w:val="auto"/>
        </w:rPr>
      </w:pPr>
      <w:r>
        <w:rPr>
          <w:rFonts w:ascii="Times New Roman" w:cs="Times New Roman" w:eastAsia="Times New Roman" w:hAnsi="Times New Roman"/>
          <w:sz w:val="20"/>
          <w:szCs w:val="20"/>
          <w:color w:val="auto"/>
        </w:rPr>
        <w:t>We may face opposition to the development or operation of our pipelines and facilities from environmental groups, landowners, indigenous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214" w:lineRule="exact"/>
        <w:rPr>
          <w:sz w:val="20"/>
          <w:szCs w:val="20"/>
          <w:color w:val="auto"/>
        </w:rPr>
      </w:pPr>
    </w:p>
    <w:p>
      <w:pPr>
        <w:ind w:right="200" w:firstLine="713"/>
        <w:spacing w:after="0" w:line="253" w:lineRule="auto"/>
        <w:rPr>
          <w:sz w:val="20"/>
          <w:szCs w:val="20"/>
          <w:color w:val="auto"/>
        </w:rPr>
      </w:pPr>
      <w:r>
        <w:rPr>
          <w:rFonts w:ascii="Times New Roman" w:cs="Times New Roman" w:eastAsia="Times New Roman" w:hAnsi="Times New Roman"/>
          <w:sz w:val="20"/>
          <w:szCs w:val="20"/>
          <w:color w:val="auto"/>
        </w:rPr>
        <w:t>Our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we operate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our business.</w:t>
      </w:r>
    </w:p>
    <w:p>
      <w:pPr>
        <w:spacing w:after="0" w:line="204" w:lineRule="exact"/>
        <w:rPr>
          <w:sz w:val="20"/>
          <w:szCs w:val="20"/>
          <w:color w:val="auto"/>
        </w:rPr>
      </w:pPr>
    </w:p>
    <w:p>
      <w:pPr>
        <w:ind w:right="280" w:firstLine="713"/>
        <w:spacing w:after="0" w:line="254" w:lineRule="auto"/>
        <w:rPr>
          <w:sz w:val="20"/>
          <w:szCs w:val="20"/>
          <w:color w:val="auto"/>
        </w:rPr>
      </w:pPr>
      <w:r>
        <w:rPr>
          <w:rFonts w:ascii="Times New Roman" w:cs="Times New Roman" w:eastAsia="Times New Roman" w:hAnsi="Times New Roman"/>
          <w:sz w:val="20"/>
          <w:szCs w:val="20"/>
          <w:color w:val="auto"/>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our services and directly affect our ability to fund construction or other capital projects and our ongoing operations.</w:t>
      </w:r>
    </w:p>
    <w:p>
      <w:pPr>
        <w:spacing w:after="0" w:line="195"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increased concern by institutional investors with respect to the perceived social and environmental cost of our industry and our governance structure, which may adversely impact our ability to raise capital from such investors.</w:t>
      </w:r>
    </w:p>
    <w:p>
      <w:pPr>
        <w:spacing w:after="0" w:line="179" w:lineRule="exact"/>
        <w:rPr>
          <w:sz w:val="20"/>
          <w:szCs w:val="20"/>
          <w:color w:val="auto"/>
        </w:rPr>
      </w:pPr>
    </w:p>
    <w:p>
      <w:pPr>
        <w:ind w:right="460" w:firstLine="713"/>
        <w:spacing w:after="0" w:line="258" w:lineRule="auto"/>
        <w:rPr>
          <w:sz w:val="20"/>
          <w:szCs w:val="20"/>
          <w:color w:val="auto"/>
        </w:rPr>
      </w:pPr>
      <w:r>
        <w:rPr>
          <w:rFonts w:ascii="Times New Roman" w:cs="Times New Roman" w:eastAsia="Times New Roman" w:hAnsi="Times New Roman"/>
          <w:sz w:val="20"/>
          <w:szCs w:val="20"/>
          <w:color w:val="auto"/>
        </w:rPr>
        <w:t>In recent years, certain financial stakeholders, including institutional investors such as public pension funds, have placed increased importance on the implications and social cost of ESG matters. ESG factors are playing an increasingly important role in the investment decisions made by investors, and companies involved in certain industries or with certain governance structures, such as master limited partnerships, are receiving increased scrutiny.</w:t>
      </w:r>
    </w:p>
    <w:p>
      <w:pPr>
        <w:spacing w:after="0" w:line="199" w:lineRule="exact"/>
        <w:rPr>
          <w:sz w:val="20"/>
          <w:szCs w:val="20"/>
          <w:color w:val="auto"/>
        </w:rPr>
      </w:pPr>
    </w:p>
    <w:p>
      <w:pPr>
        <w:ind w:right="160" w:firstLine="713"/>
        <w:spacing w:after="0" w:line="247" w:lineRule="auto"/>
        <w:rPr>
          <w:sz w:val="20"/>
          <w:szCs w:val="20"/>
          <w:color w:val="auto"/>
        </w:rPr>
      </w:pPr>
      <w:r>
        <w:rPr>
          <w:rFonts w:ascii="Times New Roman" w:cs="Times New Roman" w:eastAsia="Times New Roman" w:hAnsi="Times New Roman"/>
          <w:sz w:val="20"/>
          <w:szCs w:val="20"/>
          <w:color w:val="auto"/>
        </w:rPr>
        <w:t>Investors’ increased focus and activism related to ESG and similar matters could constrain our ability to raise capital. Any material limitations on our ability to access capital as a result of such scrutiny could limit our ability to</w:t>
      </w:r>
    </w:p>
    <w:p>
      <w:pPr>
        <w:spacing w:after="0" w:line="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obtain future financing on favorable terms, or at all, or could result in increased financing costs in the future. Similarly, such activism could negatively impact our unit price, limiting our ability to raise capital through equity issuances or debt financing, or could negatively affect our ability to engage in, expand or pursue our business activities, and could also prevent us from engaging in certain transactions that might otherwise be considered beneficial to us.</w:t>
      </w:r>
    </w:p>
    <w:p>
      <w:pPr>
        <w:sectPr>
          <w:pgSz w:w="11880" w:h="15480" w:orient="portrait"/>
          <w:cols w:equalWidth="0" w:num="1">
            <w:col w:w="10160"/>
          </w:cols>
          <w:pgMar w:left="860" w:top="67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160"/>
          </w:cols>
          <w:pgMar w:left="860" w:top="675" w:right="860" w:bottom="0" w:gutter="0" w:footer="0" w:header="0"/>
          <w:type w:val="continuous"/>
        </w:sectPr>
      </w:pPr>
    </w:p>
    <w:bookmarkStart w:id="42" w:name="page43"/>
    <w:bookmarkEnd w:id="42"/>
    <w:p>
      <w:pPr>
        <w:ind w:firstLine="713"/>
        <w:spacing w:after="0" w:line="251" w:lineRule="auto"/>
        <w:rPr>
          <w:sz w:val="20"/>
          <w:szCs w:val="20"/>
          <w:color w:val="auto"/>
        </w:rPr>
      </w:pPr>
      <w:r>
        <w:rPr>
          <w:rFonts w:ascii="Times New Roman" w:cs="Times New Roman" w:eastAsia="Times New Roman" w:hAnsi="Times New Roman"/>
          <w:sz w:val="20"/>
          <w:szCs w:val="20"/>
          <w:color w:val="auto"/>
        </w:rPr>
        <w:t>Businesses across all industries are facing increasing attention from stakeholders related to their ESG practices. Businesses that do not adapt to or comply with investor or stakeholder expectations and standards, which are continuing to evolve, or businesses that are perceived to have not responded appropriately to the growing concern for ESG issues, regardless of whether there is a legal requirement to do so, may suffer from reputational damage and the business, financial condition, and/ or equity value of such business entity could be materially and adversely affected. Increasing attention to climate change, societal expectations on companies to address climate change, investor expectations regarding voluntary ESG related disclosures, increasing mandatory ESG disclosures, and consumer demand for alternative forms of energy may result in increased costs, reduced demand for our services or the products we handle, reduced profits, increased legislative and judicial scrutiny, investigations and litigation, reputational damage, and negative impacts on our access to capital markets. We could also be subject to additional governmental investigations, private litigation, or activist campaigns as unitholders may attempt to effect changes to our business or governance practices.</w:t>
      </w:r>
    </w:p>
    <w:p>
      <w:pPr>
        <w:spacing w:after="0" w:line="205" w:lineRule="exact"/>
        <w:rPr>
          <w:sz w:val="20"/>
          <w:szCs w:val="20"/>
          <w:color w:val="auto"/>
        </w:rPr>
      </w:pPr>
    </w:p>
    <w:p>
      <w:pPr>
        <w:ind w:right="140" w:firstLine="713"/>
        <w:spacing w:after="0" w:line="252" w:lineRule="auto"/>
        <w:rPr>
          <w:sz w:val="20"/>
          <w:szCs w:val="20"/>
          <w:color w:val="auto"/>
        </w:rPr>
      </w:pPr>
      <w:r>
        <w:rPr>
          <w:rFonts w:ascii="Times New Roman" w:cs="Times New Roman" w:eastAsia="Times New Roman" w:hAnsi="Times New Roman"/>
          <w:sz w:val="20"/>
          <w:szCs w:val="20"/>
          <w:color w:val="auto"/>
        </w:rPr>
        <w:t>In March 2022, the SEC issued a proposed rule that would mandate extensive disclosure of climate-related risks, including financial impacts, physical and transition risks, climate-related governance and strategy, and GHG emissions, for all U.S.-listed public companies. The SEC missed its self-imposed October 2022 deadline for issuing a final rule and most commentators now expect a final rule to be issued in 2023. Although the final form and substance of this rule and its requirements are not yet known and its ultimate impact on our business is uncertain, compliance with the proposed rule, if finalized, will result in additional legal, accounting and financial compliance costs. In addition, enhanced climate-related disclosure requirements could accelerate the trend of certain stakeholders and lenders restricting or seeking more stringent conditions with respect to their investments in certain carbon-intensive sectors.</w:t>
      </w:r>
    </w:p>
    <w:p>
      <w:pPr>
        <w:spacing w:after="0" w:line="198"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Our crude oil and NGL merchant activities are influenced by the overall forward market for crude oil and NGL, and certain market structures, the absence of pricing volatility and other market factors may adversely impact our results.</w:t>
      </w:r>
    </w:p>
    <w:p>
      <w:pPr>
        <w:spacing w:after="0" w:line="179"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The profitability of our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our merchant activities. During periods where midstream infrastructure is over-built and/or there is a lack of volatility in the pricing structure, our results may be negatively impacted. Depending on the overall duration of these transition periods, how we have allocated our assets to particular strategies and the tenor of our crude oil purchase and sale contracts and storage agreements, these periods may have either an adverse or beneficial effect on the profitability of our merchant activities. In the past, the results of such activities have varied significantly based on market conditions and these activities may continue to experience highly variable results as a result of future changes to the markets for crude oil and NGL.</w:t>
      </w:r>
    </w:p>
    <w:p>
      <w:pPr>
        <w:spacing w:after="0" w:line="200"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Joint ventures, joint ownership arrangements and other projects pose unique challenges and we may not be able to fully implement or realize synergies, expected returns or other anticipated benefits associated with such projects.</w:t>
      </w:r>
    </w:p>
    <w:p>
      <w:pPr>
        <w:spacing w:after="0" w:line="179" w:lineRule="exact"/>
        <w:rPr>
          <w:sz w:val="20"/>
          <w:szCs w:val="20"/>
          <w:color w:val="auto"/>
        </w:rPr>
      </w:pPr>
    </w:p>
    <w:p>
      <w:pPr>
        <w:ind w:firstLine="713"/>
        <w:spacing w:after="0" w:line="266" w:lineRule="auto"/>
        <w:rPr>
          <w:sz w:val="20"/>
          <w:szCs w:val="20"/>
          <w:color w:val="auto"/>
        </w:rPr>
      </w:pPr>
      <w:r>
        <w:rPr>
          <w:rFonts w:ascii="Times New Roman" w:cs="Times New Roman" w:eastAsia="Times New Roman" w:hAnsi="Times New Roman"/>
          <w:sz w:val="19"/>
          <w:szCs w:val="19"/>
          <w:color w:val="auto"/>
        </w:rPr>
        <w:t>We are involved in many strategic joint ventures and other joint ownership arrangements. We may not always be in complete alignment with our joint venture or joint owner counterparties; we may have differing strategic or commercial objectives and may be outvoted by our joint venture partners or we may disagree on governance matters with respect to the joint venture entity or the jointly owned assets. When we enter into joint ventures or joint ownership arrangements we may be subject to the risk that our counterparties do not fund their obligations. In some joint ventures and joint ownership arrangements we may not be responsible for construction or operation of such projects and will rely on our joint venture or joint owner counterparties for such services. Joint ventures and joint ownership arrangements may also require us to expend additional internal resources that could otherwise be directed to other projects. If we are unable to successfully execute and manage our existing and proposed joint venture and joint owner projects, it could adversely impact our financial and operating results.</w:t>
      </w:r>
    </w:p>
    <w:p>
      <w:pPr>
        <w:spacing w:after="0" w:line="197" w:lineRule="exact"/>
        <w:rPr>
          <w:sz w:val="20"/>
          <w:szCs w:val="20"/>
          <w:color w:val="auto"/>
        </w:rPr>
      </w:pPr>
    </w:p>
    <w:p>
      <w:pPr>
        <w:ind w:right="380" w:firstLine="713"/>
        <w:spacing w:after="0" w:line="258" w:lineRule="auto"/>
        <w:rPr>
          <w:sz w:val="20"/>
          <w:szCs w:val="20"/>
          <w:color w:val="auto"/>
        </w:rPr>
      </w:pPr>
      <w:r>
        <w:rPr>
          <w:rFonts w:ascii="Times New Roman" w:cs="Times New Roman" w:eastAsia="Times New Roman" w:hAnsi="Times New Roman"/>
          <w:sz w:val="20"/>
          <w:szCs w:val="20"/>
          <w:color w:val="auto"/>
        </w:rPr>
        <w:t>We are undertaking, or are participating with various counterparties in, a number of projects that involve the expansion, modification, divestiture or combination of existing assets or the construction of new midstream energy infrastructure assets. Many of these projects involve numerous regulatory, environmental, commercial, economic, weather-related, political and legal uncertainties that are beyond our control, including the following:</w:t>
      </w:r>
    </w:p>
    <w:p>
      <w:pPr>
        <w:spacing w:after="0" w:line="199" w:lineRule="exact"/>
        <w:rPr>
          <w:sz w:val="20"/>
          <w:szCs w:val="20"/>
          <w:color w:val="auto"/>
        </w:rPr>
      </w:pPr>
    </w:p>
    <w:p>
      <w:pPr>
        <w:jc w:val="both"/>
        <w:ind w:left="1080" w:right="360" w:hanging="366"/>
        <w:spacing w:after="0" w:line="263"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realize our forecasted commercial, operational or administrative synergies in connection with our joint ventures and joint ownership arrangements, including the Plains Oryx Permian Basin LLC joint venture;</w:t>
      </w:r>
    </w:p>
    <w:p>
      <w:pPr>
        <w:spacing w:after="0" w:line="75" w:lineRule="exact"/>
        <w:rPr>
          <w:rFonts w:ascii="Times New Roman" w:cs="Times New Roman" w:eastAsia="Times New Roman" w:hAnsi="Times New Roman"/>
          <w:sz w:val="20"/>
          <w:szCs w:val="20"/>
          <w:color w:val="auto"/>
        </w:rPr>
      </w:pPr>
    </w:p>
    <w:p>
      <w:pPr>
        <w:ind w:left="1080" w:right="120" w:hanging="366"/>
        <w:spacing w:after="0" w:line="278"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Joint ventures and other joint ownership arrangements may demand substantial internal resources and may divert resources and attention from other areas of our business;</w:t>
      </w:r>
    </w:p>
    <w:p>
      <w:pPr>
        <w:sectPr>
          <w:pgSz w:w="11880" w:h="15480" w:orient="portrait"/>
          <w:cols w:equalWidth="0" w:num="1">
            <w:col w:w="10140"/>
          </w:cols>
          <w:pgMar w:left="860" w:top="683" w:right="880" w:bottom="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140"/>
          </w:cols>
          <w:pgMar w:left="860" w:top="683" w:right="880" w:bottom="0" w:gutter="0" w:footer="0" w:header="0"/>
          <w:type w:val="continuous"/>
        </w:sectPr>
      </w:pPr>
    </w:p>
    <w:bookmarkStart w:id="43" w:name="page44"/>
    <w:bookmarkEnd w:id="43"/>
    <w:p>
      <w:pPr>
        <w:ind w:left="1080" w:right="260" w:hanging="366"/>
        <w:spacing w:after="0" w:line="278"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construct pipelines, facilities or other assets in anticipation of market demand that dissipates or market growth that never materializes;</w:t>
      </w:r>
    </w:p>
    <w:p>
      <w:pPr>
        <w:spacing w:after="0" w:line="61" w:lineRule="exact"/>
        <w:rPr>
          <w:rFonts w:ascii="Times New Roman" w:cs="Times New Roman" w:eastAsia="Times New Roman" w:hAnsi="Times New Roman"/>
          <w:sz w:val="20"/>
          <w:szCs w:val="20"/>
          <w:color w:val="auto"/>
        </w:rPr>
      </w:pPr>
    </w:p>
    <w:p>
      <w:pPr>
        <w:ind w:left="1080" w:right="180" w:hanging="366"/>
        <w:spacing w:after="0" w:line="258"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Despite the fact that we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80" w:lineRule="exact"/>
        <w:rPr>
          <w:rFonts w:ascii="Times New Roman" w:cs="Times New Roman" w:eastAsia="Times New Roman" w:hAnsi="Times New Roman"/>
          <w:sz w:val="20"/>
          <w:szCs w:val="20"/>
          <w:color w:val="auto"/>
        </w:rPr>
      </w:pPr>
    </w:p>
    <w:p>
      <w:pPr>
        <w:jc w:val="both"/>
        <w:ind w:left="1080" w:right="180" w:hanging="366"/>
        <w:spacing w:after="0" w:line="263"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75" w:lineRule="exact"/>
        <w:rPr>
          <w:rFonts w:ascii="Times New Roman" w:cs="Times New Roman" w:eastAsia="Times New Roman" w:hAnsi="Times New Roman"/>
          <w:sz w:val="20"/>
          <w:szCs w:val="20"/>
          <w:color w:val="auto"/>
        </w:rPr>
      </w:pPr>
    </w:p>
    <w:p>
      <w:pPr>
        <w:ind w:left="1080" w:right="180" w:hanging="366"/>
        <w:spacing w:after="0" w:line="278"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face opposition to our planned projects from environmental groups, landowners, local groups and other advocates, including lawsuits or other actions designed to disrupt or delay our planned projects;</w:t>
      </w:r>
    </w:p>
    <w:p>
      <w:pPr>
        <w:spacing w:after="0" w:line="61" w:lineRule="exact"/>
        <w:rPr>
          <w:rFonts w:ascii="Times New Roman" w:cs="Times New Roman" w:eastAsia="Times New Roman" w:hAnsi="Times New Roman"/>
          <w:sz w:val="20"/>
          <w:szCs w:val="20"/>
          <w:color w:val="auto"/>
        </w:rPr>
      </w:pPr>
    </w:p>
    <w:p>
      <w:pPr>
        <w:jc w:val="both"/>
        <w:ind w:left="1080" w:right="300" w:hanging="366"/>
        <w:spacing w:after="0" w:line="263"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75" w:lineRule="exact"/>
        <w:rPr>
          <w:rFonts w:ascii="Times New Roman" w:cs="Times New Roman" w:eastAsia="Times New Roman" w:hAnsi="Times New Roman"/>
          <w:sz w:val="20"/>
          <w:szCs w:val="20"/>
          <w:color w:val="auto"/>
        </w:rPr>
      </w:pPr>
    </w:p>
    <w:p>
      <w:pPr>
        <w:ind w:left="1080" w:right="200" w:hanging="366"/>
        <w:spacing w:after="0" w:line="255"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85" w:lineRule="exact"/>
        <w:rPr>
          <w:rFonts w:ascii="Times New Roman" w:cs="Times New Roman" w:eastAsia="Times New Roman" w:hAnsi="Times New Roman"/>
          <w:sz w:val="20"/>
          <w:szCs w:val="20"/>
          <w:color w:val="auto"/>
        </w:rPr>
      </w:pPr>
    </w:p>
    <w:p>
      <w:pPr>
        <w:ind w:left="1080" w:right="180" w:hanging="366"/>
        <w:spacing w:after="0" w:line="278"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completion or success of our projects may depend on the completion or success of third-party facilities over which we have no control.</w:t>
      </w:r>
    </w:p>
    <w:p>
      <w:pPr>
        <w:spacing w:after="0" w:line="180" w:lineRule="exact"/>
        <w:rPr>
          <w:sz w:val="20"/>
          <w:szCs w:val="20"/>
          <w:color w:val="auto"/>
        </w:rPr>
      </w:pPr>
    </w:p>
    <w:p>
      <w:pPr>
        <w:ind w:right="280" w:firstLine="713"/>
        <w:spacing w:after="0" w:line="263" w:lineRule="auto"/>
        <w:rPr>
          <w:sz w:val="20"/>
          <w:szCs w:val="20"/>
          <w:color w:val="auto"/>
        </w:rPr>
      </w:pPr>
      <w:r>
        <w:rPr>
          <w:rFonts w:ascii="Times New Roman" w:cs="Times New Roman" w:eastAsia="Times New Roman" w:hAnsi="Times New Roman"/>
          <w:sz w:val="20"/>
          <w:szCs w:val="20"/>
          <w:color w:val="auto"/>
        </w:rPr>
        <w:t>As a result of these uncertainties, the anticipated benefits associated with our joint ventures and joint ownership arrangements may not be achieved or could be delayed. In turn, this could negatively impact our cash flow and our ability to make or increase cash distributions to our partners.</w:t>
      </w:r>
    </w:p>
    <w:p>
      <w:pPr>
        <w:spacing w:after="0" w:line="18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We may enter into new businesses in connection with our strategy to participate in emerging energy opportunities. If we are unable to execute on this strategy or operate these new lines of business effectively, our future growth could be limited. These new lines of business may never develop or may present risks that we cannot effectively manage.</w:t>
      </w:r>
    </w:p>
    <w:p>
      <w:pPr>
        <w:spacing w:after="0" w:line="197" w:lineRule="exact"/>
        <w:rPr>
          <w:sz w:val="20"/>
          <w:szCs w:val="20"/>
          <w:color w:val="auto"/>
        </w:rPr>
      </w:pPr>
    </w:p>
    <w:p>
      <w:pPr>
        <w:ind w:right="20" w:firstLine="713"/>
        <w:spacing w:after="0" w:line="251" w:lineRule="auto"/>
        <w:rPr>
          <w:sz w:val="20"/>
          <w:szCs w:val="20"/>
          <w:color w:val="auto"/>
        </w:rPr>
      </w:pPr>
      <w:r>
        <w:rPr>
          <w:rFonts w:ascii="Times New Roman" w:cs="Times New Roman" w:eastAsia="Times New Roman" w:hAnsi="Times New Roman"/>
          <w:sz w:val="20"/>
          <w:szCs w:val="20"/>
          <w:color w:val="auto"/>
        </w:rPr>
        <w:t>As part of our strategy, we intend to evaluate the potential to repurpose certain under-utilized assets for an alternative use in emerging energy opportunities. This may involve entering into new lines of businesses, which present different challenges and risks. We may be unable to execute on our business plans, demand for these new services may not develop on a large or economic scale, or we may fail to operate these businesses effectively. In addition, we may not be able to compete with companies who also plan to enter into these new lines of business, and who may be larger than us and may have greater financial resources to devote to these businesses. These new businesses may also present novel issues in law, taxation, safety or environmental policy, and other areas that we may not be able to manage effectively. Management’s assessment of the risks in these new lines of business may be inexact and not identify or resolve all the problems that we would face. If we are not able to enter into these new lines of business effectively or at all, it could limit our future growth if such emerging energy businesses grow and become a more important part of the energy industry.</w:t>
      </w:r>
    </w:p>
    <w:p>
      <w:pPr>
        <w:spacing w:after="0" w:line="200"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Loss of our investment grade credit rating or the ability to receive open credit could negatively affect our borrowing costs, ability to purchase crude oil, NGL and natural gas supplies or to capitalize on market opportunities.</w:t>
      </w:r>
    </w:p>
    <w:p>
      <w:pPr>
        <w:spacing w:after="0" w:line="179"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Our business is dependent on our ability to maintain an attractive credit rating and continue to receive open credit from our suppliers and trade counterparties. Our senior unsecured debt is currently rated as “investment grade” by Standard &amp; Poor’s, Moody’s Investors Service and Fitch Ratings Inc. A downgrade by such agencies to a level below investment grade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Accordingly, loss of our investment grade credit ratings could adversely impact our cash flows, our ability to make distributions and the value of our outstanding equity and debt securities.</w:t>
      </w:r>
    </w:p>
    <w:p>
      <w:pPr>
        <w:sectPr>
          <w:pgSz w:w="11880" w:h="15480" w:orient="portrait"/>
          <w:cols w:equalWidth="0" w:num="1">
            <w:col w:w="10140"/>
          </w:cols>
          <w:pgMar w:left="860" w:top="68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140"/>
          </w:cols>
          <w:pgMar w:left="860" w:top="683" w:right="880" w:bottom="0" w:gutter="0" w:footer="0" w:header="0"/>
          <w:type w:val="continuous"/>
        </w:sectPr>
      </w:pPr>
    </w:p>
    <w:bookmarkStart w:id="44" w:name="page45"/>
    <w:bookmarkEnd w:id="44"/>
    <w:p>
      <w:pPr>
        <w:ind w:right="22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We are exposed to the credit risk of our customers and other counterparties we transact with in the ordinary course of our business activities.</w:t>
      </w:r>
    </w:p>
    <w:p>
      <w:pPr>
        <w:spacing w:after="0" w:line="179" w:lineRule="exact"/>
        <w:rPr>
          <w:sz w:val="20"/>
          <w:szCs w:val="20"/>
          <w:color w:val="auto"/>
        </w:rPr>
      </w:pPr>
    </w:p>
    <w:p>
      <w:pPr>
        <w:ind w:right="60" w:firstLine="713"/>
        <w:spacing w:after="0" w:line="254" w:lineRule="auto"/>
        <w:rPr>
          <w:sz w:val="20"/>
          <w:szCs w:val="20"/>
          <w:color w:val="auto"/>
        </w:rPr>
      </w:pPr>
      <w:r>
        <w:rPr>
          <w:rFonts w:ascii="Times New Roman" w:cs="Times New Roman" w:eastAsia="Times New Roman" w:hAnsi="Times New Roman"/>
          <w:sz w:val="20"/>
          <w:szCs w:val="20"/>
          <w:color w:val="auto"/>
        </w:rPr>
        <w:t>Risks of nonpayment and nonperformance by customers or other counterparties are a significant consideration in our business.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pacing w:after="0" w:line="203"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We have a number of minimum volume commitment contracts that support our pipelines.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our profitability and earnings.</w:t>
      </w:r>
    </w:p>
    <w:p>
      <w:pPr>
        <w:spacing w:after="0" w:line="211" w:lineRule="exact"/>
        <w:rPr>
          <w:sz w:val="20"/>
          <w:szCs w:val="20"/>
          <w:color w:val="auto"/>
        </w:rPr>
      </w:pPr>
    </w:p>
    <w:p>
      <w:pPr>
        <w:jc w:val="both"/>
        <w:ind w:right="20" w:firstLine="713"/>
        <w:spacing w:after="0" w:line="275" w:lineRule="auto"/>
        <w:rPr>
          <w:sz w:val="20"/>
          <w:szCs w:val="20"/>
          <w:color w:val="auto"/>
        </w:rPr>
      </w:pPr>
      <w:r>
        <w:rPr>
          <w:rFonts w:ascii="Times New Roman" w:cs="Times New Roman" w:eastAsia="Times New Roman" w:hAnsi="Times New Roman"/>
          <w:sz w:val="19"/>
          <w:szCs w:val="19"/>
          <w:color w:val="auto"/>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187" w:lineRule="exact"/>
        <w:rPr>
          <w:sz w:val="20"/>
          <w:szCs w:val="20"/>
          <w:color w:val="auto"/>
        </w:rPr>
      </w:pPr>
    </w:p>
    <w:p>
      <w:pPr>
        <w:ind w:right="260" w:firstLine="713"/>
        <w:spacing w:after="0" w:line="255" w:lineRule="auto"/>
        <w:rPr>
          <w:sz w:val="20"/>
          <w:szCs w:val="20"/>
          <w:color w:val="auto"/>
        </w:rPr>
      </w:pPr>
      <w:r>
        <w:rPr>
          <w:rFonts w:ascii="Times New Roman" w:cs="Times New Roman" w:eastAsia="Times New Roman" w:hAnsi="Times New Roman"/>
          <w:sz w:val="20"/>
          <w:szCs w:val="20"/>
          <w:color w:val="auto"/>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spacing w:after="0" w:line="204" w:lineRule="exact"/>
        <w:rPr>
          <w:sz w:val="20"/>
          <w:szCs w:val="20"/>
          <w:color w:val="auto"/>
        </w:rPr>
      </w:pPr>
    </w:p>
    <w:p>
      <w:pPr>
        <w:ind w:right="260" w:firstLine="713"/>
        <w:spacing w:after="0" w:line="258" w:lineRule="auto"/>
        <w:rPr>
          <w:sz w:val="20"/>
          <w:szCs w:val="20"/>
          <w:color w:val="auto"/>
        </w:rPr>
      </w:pPr>
      <w:r>
        <w:rPr>
          <w:rFonts w:ascii="Times New Roman" w:cs="Times New Roman" w:eastAsia="Times New Roman" w:hAnsi="Times New Roman"/>
          <w:sz w:val="20"/>
          <w:szCs w:val="20"/>
          <w:color w:val="auto"/>
        </w:rPr>
        <w:t>We have also undertaken numerous projects that require cooperation with and performance by joint venture co-owners. In addition, in connection with various acquisition, divestiture, joint venture and other transactions, we often receive indemnifications from various parties for certain risks or liabilities. Nonperformance by any of these parties could result in increased costs or other adverse consequences that could decrease our earnings and returns.</w:t>
      </w:r>
    </w:p>
    <w:p>
      <w:pPr>
        <w:spacing w:after="0" w:line="199" w:lineRule="exact"/>
        <w:rPr>
          <w:sz w:val="20"/>
          <w:szCs w:val="20"/>
          <w:color w:val="auto"/>
        </w:rPr>
      </w:pPr>
    </w:p>
    <w:p>
      <w:pPr>
        <w:ind w:right="60" w:firstLine="713"/>
        <w:spacing w:after="0" w:line="258" w:lineRule="auto"/>
        <w:rPr>
          <w:sz w:val="20"/>
          <w:szCs w:val="20"/>
          <w:color w:val="auto"/>
        </w:rPr>
      </w:pPr>
      <w:r>
        <w:rPr>
          <w:rFonts w:ascii="Times New Roman" w:cs="Times New Roman" w:eastAsia="Times New Roman" w:hAnsi="Times New Roman"/>
          <w:sz w:val="20"/>
          <w:szCs w:val="20"/>
          <w:color w:val="auto"/>
        </w:rPr>
        <w:t>We also rely to a significant degree on the banks that lend to us under our revolving credit facility for financial liquidity, and any failure of those banks to perform their obligations to us could significantly impair our liquidity. Furthermore, nonpayment by the counterparties to our interest rate and/or commodity derivatives could expose us to additional interest rate and/or commodity price risk.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 and divestitures involve risks that may adversely affect our business.</w:t>
      </w:r>
    </w:p>
    <w:p>
      <w:pPr>
        <w:spacing w:after="0" w:line="253" w:lineRule="exact"/>
        <w:rPr>
          <w:sz w:val="20"/>
          <w:szCs w:val="20"/>
          <w:color w:val="auto"/>
        </w:rPr>
      </w:pPr>
    </w:p>
    <w:p>
      <w:pPr>
        <w:ind w:right="40" w:firstLine="713"/>
        <w:spacing w:after="0" w:line="253" w:lineRule="auto"/>
        <w:rPr>
          <w:sz w:val="20"/>
          <w:szCs w:val="20"/>
          <w:color w:val="auto"/>
        </w:rPr>
      </w:pPr>
      <w:r>
        <w:rPr>
          <w:rFonts w:ascii="Times New Roman" w:cs="Times New Roman" w:eastAsia="Times New Roman" w:hAnsi="Times New Roman"/>
          <w:sz w:val="20"/>
          <w:szCs w:val="20"/>
          <w:color w:val="auto"/>
        </w:rPr>
        <w:t>Our ability to execute our financial strategy is in part dependent on our ability to complete strategic transactions, including acquisitions, divestitures or sales of interests to strategic partners. If we are unable to successfully complete, integrate or realize the anticipated benefits of future acquisitions or planned divestitures (due to reduced investment in the energy sector, governmental action, litigation, counterparty non-performance or other factors), it may be more difficult for us to implement our business strategies, achieve our desired leverage levels, increase returns to equity holders or otherwise accomplish our financial goals. In addition, in connection with our divestitures, we may agree to retain responsibility for certain liabilities that relate to our period of ownership, which could adversely impact our future financial performance.</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Acquisitions also involve potential risks, including:</w:t>
      </w:r>
    </w:p>
    <w:p>
      <w:pPr>
        <w:spacing w:after="0" w:line="245" w:lineRule="exact"/>
        <w:rPr>
          <w:sz w:val="20"/>
          <w:szCs w:val="20"/>
          <w:color w:val="auto"/>
        </w:rPr>
      </w:pPr>
    </w:p>
    <w:p>
      <w:pPr>
        <w:ind w:left="1080" w:right="840" w:hanging="366"/>
        <w:spacing w:after="0" w:line="278"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from the acquired businesses or assets that is below the forecasts we used in evaluating the acquisition;</w:t>
      </w:r>
    </w:p>
    <w:p>
      <w:pPr>
        <w:spacing w:after="0" w:line="61"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increase in our indebtedness and working capital requirements;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timely and effectively integrate the operations of recently acquired businesses or assets;</w:t>
      </w:r>
    </w:p>
    <w:p>
      <w:pPr>
        <w:sectPr>
          <w:pgSz w:w="11880" w:h="15480" w:orient="portrait"/>
          <w:cols w:equalWidth="0" w:num="1">
            <w:col w:w="10140"/>
          </w:cols>
          <w:pgMar w:left="860" w:top="675" w:right="88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140"/>
          </w:cols>
          <w:pgMar w:left="860" w:top="675" w:right="880" w:bottom="0" w:gutter="0" w:footer="0" w:header="0"/>
          <w:type w:val="continuous"/>
        </w:sectPr>
      </w:pPr>
    </w:p>
    <w:bookmarkStart w:id="45" w:name="page46"/>
    <w:bookmarkEnd w:id="45"/>
    <w:p>
      <w:pPr>
        <w:jc w:val="both"/>
        <w:ind w:left="1080" w:right="140" w:hanging="366"/>
        <w:spacing w:after="0" w:line="263"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substantial unforeseen environmental and other liabilities arising out of the acquired businesses or assets for which we are either not fully insured or indemnified, including liabilities arising from the operation of the acquired businesses or assets prior to our acquisition;</w:t>
      </w:r>
    </w:p>
    <w:p>
      <w:pPr>
        <w:spacing w:after="0" w:line="75"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operating in lines of business that are distinct and separate from our historical operations;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or key employee loss from the acquired businesses; and</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diversion of management’s attention from other business concerns.</w:t>
      </w:r>
    </w:p>
    <w:p>
      <w:pPr>
        <w:spacing w:after="0" w:line="245" w:lineRule="exact"/>
        <w:rPr>
          <w:sz w:val="20"/>
          <w:szCs w:val="20"/>
          <w:color w:val="auto"/>
        </w:rPr>
      </w:pPr>
    </w:p>
    <w:p>
      <w:pPr>
        <w:ind w:firstLine="713"/>
        <w:spacing w:after="0" w:line="278" w:lineRule="auto"/>
        <w:rPr>
          <w:sz w:val="20"/>
          <w:szCs w:val="20"/>
          <w:color w:val="auto"/>
        </w:rPr>
      </w:pPr>
      <w:r>
        <w:rPr>
          <w:rFonts w:ascii="Times New Roman" w:cs="Times New Roman" w:eastAsia="Times New Roman" w:hAnsi="Times New Roman"/>
          <w:sz w:val="20"/>
          <w:szCs w:val="20"/>
          <w:color w:val="auto"/>
        </w:rPr>
        <w:t>Any of these factors could adversely affect our ability to achieve anticipated levels of cash flows or other benefits from our acquisitions, pay distributions to our partners or meet our debt service requirements.</w:t>
      </w:r>
    </w:p>
    <w:p>
      <w:pPr>
        <w:spacing w:after="0" w:line="172"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Tightened capital markets or other factors that increase our cost of capital or otherwise limit our access to capital could impair our ability to achieve our strategic objectives.</w:t>
      </w:r>
    </w:p>
    <w:p>
      <w:pPr>
        <w:spacing w:after="0" w:line="179" w:lineRule="exact"/>
        <w:rPr>
          <w:sz w:val="20"/>
          <w:szCs w:val="20"/>
          <w:color w:val="auto"/>
        </w:rPr>
      </w:pPr>
    </w:p>
    <w:p>
      <w:pPr>
        <w:ind w:firstLine="713"/>
        <w:spacing w:after="0" w:line="254" w:lineRule="auto"/>
        <w:rPr>
          <w:sz w:val="20"/>
          <w:szCs w:val="20"/>
          <w:color w:val="auto"/>
        </w:rPr>
      </w:pPr>
      <w:r>
        <w:rPr>
          <w:rFonts w:ascii="Times New Roman" w:cs="Times New Roman" w:eastAsia="Times New Roman" w:hAnsi="Times New Roman"/>
          <w:sz w:val="20"/>
          <w:szCs w:val="20"/>
          <w:color w:val="auto"/>
        </w:rPr>
        <w:t>Any limitations on our access to capital or increase in the cost of that capital could significantly impair the implementation of our strategy. Our inability to maintain our targeted credit profile, including maintaining our credit ratings, could adversely affect our cost of capital as well as our ability to execute our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203" w:lineRule="exact"/>
        <w:rPr>
          <w:sz w:val="20"/>
          <w:szCs w:val="20"/>
          <w:color w:val="auto"/>
        </w:rPr>
      </w:pPr>
    </w:p>
    <w:p>
      <w:pPr>
        <w:ind w:firstLine="713"/>
        <w:spacing w:after="0" w:line="255" w:lineRule="auto"/>
        <w:rPr>
          <w:sz w:val="20"/>
          <w:szCs w:val="20"/>
          <w:color w:val="auto"/>
        </w:rPr>
      </w:pPr>
      <w:r>
        <w:rPr>
          <w:rFonts w:ascii="Times New Roman" w:cs="Times New Roman" w:eastAsia="Times New Roman" w:hAnsi="Times New Roman"/>
          <w:sz w:val="20"/>
          <w:szCs w:val="20"/>
          <w:color w:val="auto"/>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strategic projects and transactions, take advantage of business opportunities or respond to competitive pressures, any of which could have a material adverse effect on our cash flows and results of operations.</w:t>
      </w:r>
    </w:p>
    <w:p>
      <w:pPr>
        <w:spacing w:after="0" w:line="196"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Our risk policies cannot eliminate all risks and the insufficiency of, or non-compliance with our risk policies could result in significant financial losses.</w:t>
      </w:r>
    </w:p>
    <w:p>
      <w:pPr>
        <w:spacing w:after="0" w:line="179" w:lineRule="exact"/>
        <w:rPr>
          <w:sz w:val="20"/>
          <w:szCs w:val="20"/>
          <w:color w:val="auto"/>
        </w:rPr>
      </w:pPr>
    </w:p>
    <w:p>
      <w:pPr>
        <w:ind w:firstLine="713"/>
        <w:spacing w:after="0" w:line="250" w:lineRule="auto"/>
        <w:rPr>
          <w:sz w:val="20"/>
          <w:szCs w:val="20"/>
          <w:color w:val="auto"/>
        </w:rPr>
      </w:pPr>
      <w:r>
        <w:rPr>
          <w:rFonts w:ascii="Times New Roman" w:cs="Times New Roman" w:eastAsia="Times New Roman" w:hAnsi="Times New Roman"/>
          <w:sz w:val="20"/>
          <w:szCs w:val="20"/>
          <w:color w:val="auto"/>
        </w:rPr>
        <w:t>Generally, it is our policy to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or benchmark and sold against a different index or benchmark. We may also face disruptions to futures markets for crude oil, NGL and other petroleum products, which may impair our ability to execute our commercial or hedging strategies. Margin requirements due to spikes or crashes in commodity prices may require us to exit hedge strategies at inopportune times. We are also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refined products and NGL, up to predefined limits and authorizations. Although this activity is monitored independently by our risk management function, it exposes us to commodity price risks within these limits.</w:t>
      </w:r>
    </w:p>
    <w:p>
      <w:pPr>
        <w:spacing w:after="0" w:line="208" w:lineRule="exact"/>
        <w:rPr>
          <w:sz w:val="20"/>
          <w:szCs w:val="20"/>
          <w:color w:val="auto"/>
        </w:rPr>
      </w:pPr>
    </w:p>
    <w:p>
      <w:pPr>
        <w:ind w:right="200" w:firstLine="713"/>
        <w:spacing w:after="0" w:line="258" w:lineRule="auto"/>
        <w:rPr>
          <w:sz w:val="20"/>
          <w:szCs w:val="20"/>
          <w:color w:val="auto"/>
        </w:rPr>
      </w:pPr>
      <w:r>
        <w:rPr>
          <w:rFonts w:ascii="Times New Roman" w:cs="Times New Roman" w:eastAsia="Times New Roman" w:hAnsi="Times New Roman"/>
          <w:sz w:val="20"/>
          <w:szCs w:val="20"/>
          <w:color w:val="auto"/>
        </w:rPr>
        <w:t>In addition, our operations involve the risk of non-compliance with our risk policies. We have taken steps within our organization to implement processes and procedures designed to detect unauthorized trading; however, we can provide no assurance that these steps will detect and prevent all violations of our risk policies and procedures, particularly if deception, collusion or other intentional misconduct is involved.</w:t>
      </w:r>
    </w:p>
    <w:p>
      <w:pPr>
        <w:sectPr>
          <w:pgSz w:w="11880" w:h="15480" w:orient="portrait"/>
          <w:cols w:equalWidth="0" w:num="1">
            <w:col w:w="10140"/>
          </w:cols>
          <w:pgMar w:left="860" w:top="68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140"/>
          </w:cols>
          <w:pgMar w:left="860" w:top="683" w:right="880" w:bottom="0" w:gutter="0" w:footer="0" w:header="0"/>
          <w:type w:val="continuous"/>
        </w:sectPr>
      </w:pPr>
    </w:p>
    <w:bookmarkStart w:id="46" w:name="page47"/>
    <w:bookmarkEnd w:id="46"/>
    <w:p>
      <w:pPr>
        <w:ind w:right="18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Our insurance coverage may not fully cover our losses and we may in the future encounter increased costs related to, and lack of availability of, insurance.</w:t>
      </w:r>
    </w:p>
    <w:p>
      <w:pPr>
        <w:spacing w:after="0" w:line="179" w:lineRule="exact"/>
        <w:rPr>
          <w:sz w:val="20"/>
          <w:szCs w:val="20"/>
          <w:color w:val="auto"/>
        </w:rPr>
      </w:pPr>
    </w:p>
    <w:p>
      <w:pPr>
        <w:ind w:right="20" w:firstLine="713"/>
        <w:spacing w:after="0" w:line="261" w:lineRule="auto"/>
        <w:rPr>
          <w:sz w:val="20"/>
          <w:szCs w:val="20"/>
          <w:color w:val="auto"/>
        </w:rPr>
      </w:pPr>
      <w:r>
        <w:rPr>
          <w:rFonts w:ascii="Times New Roman" w:cs="Times New Roman" w:eastAsia="Times New Roman" w:hAnsi="Times New Roman"/>
          <w:sz w:val="19"/>
          <w:szCs w:val="19"/>
          <w:color w:val="auto"/>
        </w:rPr>
        <w:t>While we maintain insurance coverage at levels that we believe to be reasonable and prudent, we can provide no assurance that our current levels of insurance will be sufficient to cover any losses that we have incurred or may incur in the future, whether due to deductibles, coverage challenges or other limitations. In addition, over the last several years, as the scale and scope of our business activities has expanded, the breadth and depth of available insurance markets has contracted. As a result of these factors and other market conditions, as well as the fact that we have experienced several incidents in the past,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our financial position, results of operations and cash flows. For a discussion of our Line 901 Incident insurance receivable, please read Item</w:t>
      </w:r>
    </w:p>
    <w:p>
      <w:pPr>
        <w:ind w:right="240" w:firstLine="1"/>
        <w:spacing w:after="0" w:line="278" w:lineRule="auto"/>
        <w:tabs>
          <w:tab w:leader="none" w:pos="19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Operations—Critical Accounting Policies and Estimates— Line 901 Incident Insurance Receivable” and Note 19 to our Consolidated Financial Statements.</w:t>
      </w:r>
    </w:p>
    <w:p>
      <w:pPr>
        <w:spacing w:after="0" w:line="172"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The terms of our indebtedness may limit our ability to borrow additional funds or capitalize on business opportunities. In addition, our current or future debt levels, or inability to borrow additional funds or capitalize on business opportunities, may limit our future financial and operating flexibility.</w:t>
      </w:r>
    </w:p>
    <w:p>
      <w:pPr>
        <w:spacing w:after="0" w:line="197" w:lineRule="exact"/>
        <w:rPr>
          <w:sz w:val="20"/>
          <w:szCs w:val="20"/>
          <w:color w:val="auto"/>
        </w:rPr>
      </w:pPr>
    </w:p>
    <w:p>
      <w:pPr>
        <w:ind w:right="680" w:firstLine="713"/>
        <w:spacing w:after="0" w:line="261" w:lineRule="auto"/>
        <w:rPr>
          <w:sz w:val="20"/>
          <w:szCs w:val="20"/>
          <w:color w:val="auto"/>
        </w:rPr>
      </w:pPr>
      <w:r>
        <w:rPr>
          <w:rFonts w:ascii="Times New Roman" w:cs="Times New Roman" w:eastAsia="Times New Roman" w:hAnsi="Times New Roman"/>
          <w:sz w:val="19"/>
          <w:szCs w:val="19"/>
          <w:color w:val="auto"/>
        </w:rPr>
        <w:t>As of December 31, 2022, the face value of our consolidated debt outstanding was approximately $8.5 billion (excluding unamortized discounts and debt issuance costs of approximately $46 million), consisting of approximately</w:t>
      </w:r>
    </w:p>
    <w:p>
      <w:pPr>
        <w:spacing w:after="0" w:line="255" w:lineRule="auto"/>
        <w:rPr>
          <w:sz w:val="20"/>
          <w:szCs w:val="20"/>
          <w:color w:val="auto"/>
        </w:rPr>
      </w:pPr>
      <w:r>
        <w:rPr>
          <w:rFonts w:ascii="Times New Roman" w:cs="Times New Roman" w:eastAsia="Times New Roman" w:hAnsi="Times New Roman"/>
          <w:sz w:val="20"/>
          <w:szCs w:val="20"/>
          <w:color w:val="auto"/>
        </w:rPr>
        <w:t>$7.3 billion face value of long-term debt (including senior notes and finance lease obligations) and approximately $1.2 billion of short-term borrowings. As of December 31, 2022, we had approximately $3 billion of liquidity available, including cash and cash equivalents and available borrowing capacity under our senior unsecured revolving credit facility and our senior secured hedged inventory facility, subject to continued covenant compliance. Lower Adjusted EBITDA could increase our leverage ratios and effectively reduce our ability to incur additional indebtedness.</w:t>
      </w:r>
    </w:p>
    <w:p>
      <w:pPr>
        <w:spacing w:after="0" w:line="204" w:lineRule="exact"/>
        <w:rPr>
          <w:sz w:val="20"/>
          <w:szCs w:val="20"/>
          <w:color w:val="auto"/>
        </w:rPr>
      </w:pPr>
    </w:p>
    <w:p>
      <w:pPr>
        <w:ind w:right="180" w:firstLine="713"/>
        <w:spacing w:after="0" w:line="278" w:lineRule="auto"/>
        <w:rPr>
          <w:sz w:val="20"/>
          <w:szCs w:val="20"/>
          <w:color w:val="auto"/>
        </w:rPr>
      </w:pPr>
      <w:r>
        <w:rPr>
          <w:rFonts w:ascii="Times New Roman" w:cs="Times New Roman" w:eastAsia="Times New Roman" w:hAnsi="Times New Roman"/>
          <w:sz w:val="20"/>
          <w:szCs w:val="20"/>
          <w:color w:val="auto"/>
        </w:rPr>
        <w:t>The amount of our current or future indebtedness could have significant effects on our operations, including, among other things:</w:t>
      </w:r>
    </w:p>
    <w:p>
      <w:pPr>
        <w:spacing w:after="0" w:line="180" w:lineRule="exact"/>
        <w:rPr>
          <w:sz w:val="20"/>
          <w:szCs w:val="20"/>
          <w:color w:val="auto"/>
        </w:rPr>
      </w:pPr>
    </w:p>
    <w:p>
      <w:pPr>
        <w:ind w:left="1080" w:right="20" w:hanging="366"/>
        <w:spacing w:after="0" w:line="263"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75"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rating agencies may view our debt level negatively;</w:t>
      </w:r>
    </w:p>
    <w:p>
      <w:pPr>
        <w:spacing w:after="0" w:line="126" w:lineRule="exact"/>
        <w:rPr>
          <w:rFonts w:ascii="Times New Roman" w:cs="Times New Roman" w:eastAsia="Times New Roman" w:hAnsi="Times New Roman"/>
          <w:sz w:val="20"/>
          <w:szCs w:val="20"/>
          <w:color w:val="auto"/>
        </w:rPr>
      </w:pPr>
    </w:p>
    <w:p>
      <w:pPr>
        <w:ind w:left="1080" w:right="60" w:hanging="366"/>
        <w:spacing w:after="0" w:line="278"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covenants contained in our existing debt arrangements will require us to continue to meet financial tests that may adversely affect our flexibility to plan for and react to changes in our business;</w:t>
      </w:r>
    </w:p>
    <w:p>
      <w:pPr>
        <w:spacing w:after="0" w:line="61" w:lineRule="exact"/>
        <w:rPr>
          <w:rFonts w:ascii="Times New Roman" w:cs="Times New Roman" w:eastAsia="Times New Roman" w:hAnsi="Times New Roman"/>
          <w:sz w:val="20"/>
          <w:szCs w:val="20"/>
          <w:color w:val="auto"/>
        </w:rPr>
      </w:pPr>
    </w:p>
    <w:p>
      <w:pPr>
        <w:ind w:left="1080" w:right="540" w:hanging="366"/>
        <w:spacing w:after="0" w:line="278"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additional financing for working capital, capital expenditures, acquisitions and general partnership purposes may be limited;</w:t>
      </w:r>
    </w:p>
    <w:p>
      <w:pPr>
        <w:spacing w:after="0" w:line="61"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at a competitive disadvantage relative to similar companies that have less debt; and</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more vulnerable to adverse economic and industry conditions as a result of our significant debt level.</w:t>
      </w:r>
    </w:p>
    <w:p>
      <w:pPr>
        <w:spacing w:after="0" w:line="257"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facilities treat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ectPr>
          <w:pgSz w:w="11880" w:h="15480" w:orient="portrait"/>
          <w:cols w:equalWidth="0" w:num="1">
            <w:col w:w="10080"/>
          </w:cols>
          <w:pgMar w:left="860" w:top="6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080"/>
          </w:cols>
          <w:pgMar w:left="860" w:top="675" w:right="940" w:bottom="0" w:gutter="0" w:footer="0" w:header="0"/>
          <w:type w:val="continuous"/>
        </w:sectPr>
      </w:pPr>
    </w:p>
    <w:bookmarkStart w:id="47" w:name="page48"/>
    <w:bookmarkEnd w:id="47"/>
    <w:p>
      <w:pPr>
        <w:ind w:firstLine="713"/>
        <w:spacing w:after="0" w:line="250" w:lineRule="auto"/>
        <w:rPr>
          <w:sz w:val="20"/>
          <w:szCs w:val="20"/>
          <w:color w:val="auto"/>
        </w:rPr>
      </w:pPr>
      <w:r>
        <w:rPr>
          <w:rFonts w:ascii="Times New Roman" w:cs="Times New Roman" w:eastAsia="Times New Roman" w:hAnsi="Times New Roman"/>
          <w:sz w:val="20"/>
          <w:szCs w:val="20"/>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In addition,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more expensive and restrictive bank credit, as opposed to long-term public debt securities or equity securities, or the sale of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execute our capital allocation strategies and priorities.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Increases in interest rates could adversely affect our business and the trading price of our units.</w:t>
      </w:r>
    </w:p>
    <w:p>
      <w:pPr>
        <w:spacing w:after="0" w:line="253" w:lineRule="exact"/>
        <w:rPr>
          <w:sz w:val="20"/>
          <w:szCs w:val="20"/>
          <w:color w:val="auto"/>
        </w:rPr>
      </w:pPr>
    </w:p>
    <w:p>
      <w:pPr>
        <w:ind w:right="100" w:firstLine="713"/>
        <w:spacing w:after="0" w:line="251" w:lineRule="auto"/>
        <w:rPr>
          <w:sz w:val="20"/>
          <w:szCs w:val="20"/>
          <w:color w:val="auto"/>
        </w:rPr>
      </w:pPr>
      <w:r>
        <w:rPr>
          <w:rFonts w:ascii="Times New Roman" w:cs="Times New Roman" w:eastAsia="Times New Roman" w:hAnsi="Times New Roman"/>
          <w:sz w:val="20"/>
          <w:szCs w:val="20"/>
          <w:color w:val="auto"/>
        </w:rPr>
        <w:t>As of December 31, 2022, the face value of our consolidated debt was approximately $8.5 billion (excluding unamortized discounts and debt issuance costs of approximately $46 million), substantially all of which was at fixed interest rates. We are exposed to market risk due to the short-term nature of our commercial paper borrowings and the floating interest rates on our credit facilities. Our results of operations, cash flows and financial position could be adversely affected by significant increases in interest rates above current levels. Additionally, increases in interest rates could adversely affect our merchant activities by increasing interest costs associated with the storage of hedged crude oil and NGL inventory. In addition, distributions on our Series B preferred units accumulate for each distribution period at a percentage of the liquidation preference equal to the applicable three-month LIBOR (or, if discontinued, a substitute or successor rate determined by the calculation agent), plus a spread of 4.11%. Further, the trading price of our common units may be sensitive to changes in interest rates and any rise in interest rates could adversely impact such trading price.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currency exchange rates could adversely affect our operating results.</w:t>
      </w:r>
    </w:p>
    <w:p>
      <w:pPr>
        <w:spacing w:after="0" w:line="253"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20"/>
          <w:szCs w:val="20"/>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if the U.S. dollar appreciates against the Canadian dollar, the U.S. dollar value of our Canadian dollar denominated earnings is reduced for U.S. reporting purposes.</w:t>
      </w:r>
    </w:p>
    <w:p>
      <w:pPr>
        <w:spacing w:after="0" w:line="191"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Our business requires the retention and recruitment of a skilled workforce, and difficulties retaining and recruiting our workforce could result in a failure to implement our business plans.</w:t>
      </w:r>
    </w:p>
    <w:p>
      <w:pPr>
        <w:spacing w:after="0" w:line="179" w:lineRule="exact"/>
        <w:rPr>
          <w:sz w:val="20"/>
          <w:szCs w:val="20"/>
          <w:color w:val="auto"/>
        </w:rPr>
      </w:pPr>
    </w:p>
    <w:p>
      <w:pPr>
        <w:ind w:right="40" w:firstLine="713"/>
        <w:spacing w:after="0" w:line="253" w:lineRule="auto"/>
        <w:rPr>
          <w:sz w:val="20"/>
          <w:szCs w:val="20"/>
          <w:color w:val="auto"/>
        </w:rPr>
      </w:pPr>
      <w:r>
        <w:rPr>
          <w:rFonts w:ascii="Times New Roman" w:cs="Times New Roman" w:eastAsia="Times New Roman" w:hAnsi="Times New Roman"/>
          <w:sz w:val="20"/>
          <w:szCs w:val="20"/>
          <w:color w:val="auto"/>
        </w:rPr>
        <w:t>Our operations and management require the retention and recruitment of a skilled workforce, including engineers, technical personnel and other professionals. We and our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we are unable to (i) retain current employees; and/or (ii) recruit new employees of comparable knowledge and experience, our business could be negatively impacted. In addition, we could experience increased costs to retain current employees and recruit new employees.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impairment of long-term assets could reduce our earnings.</w:t>
      </w:r>
    </w:p>
    <w:p>
      <w:pPr>
        <w:spacing w:after="0" w:line="253" w:lineRule="exact"/>
        <w:rPr>
          <w:sz w:val="20"/>
          <w:szCs w:val="20"/>
          <w:color w:val="auto"/>
        </w:rPr>
      </w:pPr>
    </w:p>
    <w:p>
      <w:pPr>
        <w:ind w:right="60" w:firstLine="713"/>
        <w:spacing w:after="0" w:line="250" w:lineRule="auto"/>
        <w:rPr>
          <w:sz w:val="20"/>
          <w:szCs w:val="20"/>
          <w:color w:val="auto"/>
        </w:rPr>
      </w:pPr>
      <w:r>
        <w:rPr>
          <w:rFonts w:ascii="Times New Roman" w:cs="Times New Roman" w:eastAsia="Times New Roman" w:hAnsi="Times New Roman"/>
          <w:sz w:val="20"/>
          <w:szCs w:val="20"/>
          <w:color w:val="auto"/>
        </w:rPr>
        <w:t>At December 31, 2022, we had approximately $15.3 billion of net property and equipment, $961 million of linefill, $3.1 billion of investments accounted for under the equity method of accounting and approximately $2.1 billion of net intangible assets capitalized on our balance sheet. GAAP requires an assessment for impairment in certain circumstances, including when there is an indication that the carrying value of property and equipment may not be recoverable. If we were to determine that any of our property and equipment, linefill,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 During the year ended December 31, 2022, we recognized non-cash impairment charges of approximately $330 million related to the write-down of certain long-lived crude oil assets in California. See Note 6 to our Consolidated Financial Statements for additional information regarding these impairments.</w:t>
      </w:r>
    </w:p>
    <w:p>
      <w:pPr>
        <w:sectPr>
          <w:pgSz w:w="11880" w:h="15480" w:orient="portrait"/>
          <w:cols w:equalWidth="0" w:num="1">
            <w:col w:w="10160"/>
          </w:cols>
          <w:pgMar w:left="860" w:top="683" w:right="86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160"/>
          </w:cols>
          <w:pgMar w:left="860" w:top="683" w:right="86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the use or availability of third-party assets for certain of our operations.</w:t>
      </w:r>
    </w:p>
    <w:p>
      <w:pPr>
        <w:spacing w:after="0" w:line="243" w:lineRule="exact"/>
        <w:rPr>
          <w:sz w:val="20"/>
          <w:szCs w:val="20"/>
          <w:color w:val="auto"/>
        </w:rPr>
      </w:pPr>
    </w:p>
    <w:p>
      <w:pPr>
        <w:ind w:right="220" w:firstLine="713"/>
        <w:spacing w:after="0" w:line="263" w:lineRule="auto"/>
        <w:rPr>
          <w:sz w:val="20"/>
          <w:szCs w:val="20"/>
          <w:color w:val="auto"/>
        </w:rPr>
      </w:pPr>
      <w:r>
        <w:rPr>
          <w:rFonts w:ascii="Times New Roman" w:cs="Times New Roman" w:eastAsia="Times New Roman" w:hAnsi="Times New Roman"/>
          <w:sz w:val="20"/>
          <w:szCs w:val="20"/>
          <w:color w:val="auto"/>
        </w:rPr>
        <w:t>Certain of our business activities require the use or availability of third-party assets over which we may have little or no control. If at any time the availability of these assets is limited or denied, and if access to alternative assets cannot be arranged, it could have an adverse effect on our business, results of operations and cash flow.</w:t>
      </w:r>
    </w:p>
    <w:p>
      <w:pPr>
        <w:spacing w:after="0" w:line="17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Significant under-utilization of certain assets could significantly reduce our profitability due to fixed costs incurred to obtain the right to use such assets.</w:t>
      </w:r>
    </w:p>
    <w:p>
      <w:pPr>
        <w:spacing w:after="0" w:line="179" w:lineRule="exact"/>
        <w:rPr>
          <w:sz w:val="20"/>
          <w:szCs w:val="20"/>
          <w:color w:val="auto"/>
        </w:rPr>
      </w:pPr>
    </w:p>
    <w:p>
      <w:pPr>
        <w:ind w:right="20" w:firstLine="713"/>
        <w:spacing w:after="0" w:line="252" w:lineRule="auto"/>
        <w:rPr>
          <w:sz w:val="20"/>
          <w:szCs w:val="20"/>
          <w:color w:val="auto"/>
        </w:rPr>
      </w:pPr>
      <w:r>
        <w:rPr>
          <w:rFonts w:ascii="Times New Roman" w:cs="Times New Roman" w:eastAsia="Times New Roman" w:hAnsi="Times New Roman"/>
          <w:sz w:val="20"/>
          <w:szCs w:val="20"/>
          <w:color w:val="auto"/>
        </w:rPr>
        <w:t>From time to time in connection with our business, we may lease or otherwise secure the right to use certain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(such as maintenance, storage or other costs). Significant under-utilization of assets we lease or otherwise secure the right to use in connection with our business could have a significant negative impact on our profitability and cash flows.</w:t>
      </w:r>
    </w:p>
    <w:p>
      <w:pPr>
        <w:spacing w:after="0" w:line="198"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Many of our assets have been in service for many years and require significant expenditures to maintain them. As a result, our maintenance or repair costs may increase in the future.</w:t>
      </w:r>
    </w:p>
    <w:p>
      <w:pPr>
        <w:spacing w:after="0" w:line="179" w:lineRule="exact"/>
        <w:rPr>
          <w:sz w:val="20"/>
          <w:szCs w:val="20"/>
          <w:color w:val="auto"/>
        </w:rPr>
      </w:pPr>
    </w:p>
    <w:p>
      <w:pPr>
        <w:ind w:right="200" w:firstLine="713"/>
        <w:spacing w:after="0" w:line="258" w:lineRule="auto"/>
        <w:rPr>
          <w:sz w:val="20"/>
          <w:szCs w:val="20"/>
          <w:color w:val="auto"/>
        </w:rPr>
      </w:pPr>
      <w:r>
        <w:rPr>
          <w:rFonts w:ascii="Times New Roman" w:cs="Times New Roman" w:eastAsia="Times New Roman" w:hAnsi="Times New Roman"/>
          <w:sz w:val="20"/>
          <w:szCs w:val="20"/>
          <w:color w:val="auto"/>
        </w:rPr>
        <w:t>Our pipelines, terminals, storage and processing and fractionation assets are generally long-lived assets, and many of them have been in service for many years. The age and condition of our assets could result in increased maintenance or repair expenditures in the future. Any significant increase in these expenditures could adversely affect our results of operations, financial position or cash flows, as well as our ability to make cash distributions to our unitholders.</w:t>
      </w:r>
    </w:p>
    <w:p>
      <w:pPr>
        <w:spacing w:after="0" w:line="191"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We do not own all of the land on which our pipelines and facilities are located, which could result in disruptions to our operations.</w:t>
      </w:r>
    </w:p>
    <w:p>
      <w:pPr>
        <w:spacing w:after="0" w:line="179" w:lineRule="exact"/>
        <w:rPr>
          <w:sz w:val="20"/>
          <w:szCs w:val="20"/>
          <w:color w:val="auto"/>
        </w:rPr>
      </w:pPr>
    </w:p>
    <w:p>
      <w:pPr>
        <w:ind w:firstLine="713"/>
        <w:spacing w:after="0" w:line="264" w:lineRule="auto"/>
        <w:rPr>
          <w:sz w:val="20"/>
          <w:szCs w:val="20"/>
          <w:color w:val="auto"/>
        </w:rPr>
      </w:pPr>
      <w:r>
        <w:rPr>
          <w:rFonts w:ascii="Times New Roman" w:cs="Times New Roman" w:eastAsia="Times New Roman" w:hAnsi="Times New Roman"/>
          <w:sz w:val="19"/>
          <w:szCs w:val="19"/>
          <w:color w:val="auto"/>
        </w:rPr>
        <w:t>We do not own all of the land on which our pipelines and facilities have been constructed, and therefore are potentially subject to more onerous terms and/or increased costs to retain necessary land use if we do not have valid rights-of-way or if such rights-of-way lapse or terminate. In some instances, we obtain the rights to construct and operate our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our operations cross land that has historically been apportioned to various Native American/First Nations tribes, who may exercise significant jurisdiction and sovereignty over their lands. For more information, see our regulatory disclosure entitled “Indigenous Protections.” We cannot guarantee that we will always be able to renew existing rights-of-way or obtain new rights-of-way on favorable terms without experiencing significant delays and costs. Any loss of rights with respect to real property, through our inability to renew right-of-way contracts or otherwise, could have a material adverse effect on our business, results of operations, and financial position.</w:t>
      </w:r>
    </w:p>
    <w:p>
      <w:pPr>
        <w:spacing w:after="0" w:line="19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If we fail to obtain materials or commodities in the quantity and the quality we need, and at commercially acceptable prices, whether due to supply disruptions, inflation, tariffs, quotas or other factors, our results of operations, financial condition and cash flows could be materially and adversely affected.</w:t>
      </w:r>
    </w:p>
    <w:p>
      <w:pPr>
        <w:spacing w:after="0" w:line="197"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20"/>
          <w:szCs w:val="20"/>
          <w:color w:val="auto"/>
        </w:rPr>
        <w:t>Our business requires access to steel and other materials to construct and maintain new and existing pipelines and facilities. If we experience a shortage in the supply of these materials or are unable to source sufficient quantities of high quality materials at acceptable prices and in a timely manner, it could materially and adversely affect our ability to construct new infrastructure and maintain our existing assets.</w:t>
      </w:r>
    </w:p>
    <w:p>
      <w:pPr>
        <w:spacing w:after="0" w:line="199" w:lineRule="exact"/>
        <w:rPr>
          <w:sz w:val="20"/>
          <w:szCs w:val="20"/>
          <w:color w:val="auto"/>
        </w:rPr>
      </w:pPr>
    </w:p>
    <w:p>
      <w:pPr>
        <w:ind w:right="140" w:firstLine="713"/>
        <w:spacing w:after="0" w:line="263" w:lineRule="auto"/>
        <w:rPr>
          <w:sz w:val="20"/>
          <w:szCs w:val="20"/>
          <w:color w:val="auto"/>
        </w:rPr>
      </w:pPr>
      <w:r>
        <w:rPr>
          <w:rFonts w:ascii="Times New Roman" w:cs="Times New Roman" w:eastAsia="Times New Roman" w:hAnsi="Times New Roman"/>
          <w:sz w:val="20"/>
          <w:szCs w:val="20"/>
          <w:color w:val="auto"/>
        </w:rPr>
        <w:t>Our business also depends on having access to significant amounts of electricity and other commodities. If we are unable to obtain commodities sufficient to operate and maintain our assets, or only able to do so at commercially unreasonable prices, it could materially and adversely affect our business.</w:t>
      </w:r>
    </w:p>
    <w:p>
      <w:pPr>
        <w:sectPr>
          <w:pgSz w:w="11880" w:h="15480" w:orient="portrait"/>
          <w:cols w:equalWidth="0" w:num="1">
            <w:col w:w="10160"/>
          </w:cols>
          <w:pgMar w:left="860" w:top="67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160"/>
          </w:cols>
          <w:pgMar w:left="860" w:top="675" w:right="860" w:bottom="0" w:gutter="0" w:footer="0" w:header="0"/>
          <w:type w:val="continuous"/>
        </w:sectPr>
      </w:pPr>
    </w:p>
    <w:bookmarkStart w:id="49" w:name="page50"/>
    <w:bookmarkEnd w:id="49"/>
    <w:p>
      <w:pPr>
        <w:ind w:right="20" w:firstLine="713"/>
        <w:spacing w:after="0" w:line="258" w:lineRule="auto"/>
        <w:rPr>
          <w:sz w:val="20"/>
          <w:szCs w:val="20"/>
          <w:color w:val="auto"/>
        </w:rPr>
      </w:pPr>
      <w:r>
        <w:rPr>
          <w:rFonts w:ascii="Times New Roman" w:cs="Times New Roman" w:eastAsia="Times New Roman" w:hAnsi="Times New Roman"/>
          <w:sz w:val="20"/>
          <w:szCs w:val="20"/>
          <w:color w:val="auto"/>
        </w:rPr>
        <w:t>Supply chain disruptions and inflation of prices for commodities, materials, products and shipping may make it more challenging to obtain sufficient quantities of high quality materials at acceptable prices and in a timely manner. If we are unable to source such materials, it could materially and adversely affect our ability to construct new infrastructure and operate and maintain our existing assets.</w:t>
      </w:r>
    </w:p>
    <w:p>
      <w:pPr>
        <w:spacing w:after="0" w:line="199" w:lineRule="exact"/>
        <w:rPr>
          <w:sz w:val="20"/>
          <w:szCs w:val="20"/>
          <w:color w:val="auto"/>
        </w:rPr>
      </w:pPr>
    </w:p>
    <w:p>
      <w:pPr>
        <w:ind w:right="100" w:firstLine="713"/>
        <w:spacing w:after="0" w:line="255" w:lineRule="auto"/>
        <w:rPr>
          <w:sz w:val="20"/>
          <w:szCs w:val="20"/>
          <w:color w:val="auto"/>
        </w:rPr>
      </w:pPr>
      <w:r>
        <w:rPr>
          <w:rFonts w:ascii="Times New Roman" w:cs="Times New Roman" w:eastAsia="Times New Roman" w:hAnsi="Times New Roman"/>
          <w:sz w:val="20"/>
          <w:szCs w:val="20"/>
          <w:color w:val="auto"/>
        </w:rPr>
        <w:t>In addition, some of the materials used in our business are imported. Existing and future import duties and quotas could materially increase our costs of procuring imported or domestic steel and/or create shortages or difficulties in procuring sufficient quantities of steel meeting our required technical specifications. A material increase in our costs of construction and maintenance or any significant delays in our ability to complete our infrastructure projects could have a material adverse effect on our financial position, results of operations and cash flows.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Laws and Regulations</w:t>
      </w:r>
    </w:p>
    <w:p>
      <w:pPr>
        <w:spacing w:after="0" w:line="24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w:t>
      </w:r>
    </w:p>
    <w:p>
      <w:pPr>
        <w:spacing w:after="0" w:line="203" w:lineRule="exact"/>
        <w:rPr>
          <w:sz w:val="20"/>
          <w:szCs w:val="20"/>
          <w:color w:val="auto"/>
        </w:rPr>
      </w:pPr>
    </w:p>
    <w:p>
      <w:pPr>
        <w:ind w:firstLine="713"/>
        <w:spacing w:after="0" w:line="249" w:lineRule="auto"/>
        <w:rPr>
          <w:sz w:val="20"/>
          <w:szCs w:val="20"/>
          <w:color w:val="auto"/>
        </w:rPr>
      </w:pPr>
      <w:r>
        <w:rPr>
          <w:rFonts w:ascii="Times New Roman" w:cs="Times New Roman" w:eastAsia="Times New Roman" w:hAnsi="Times New Roman"/>
          <w:sz w:val="20"/>
          <w:szCs w:val="20"/>
          <w:color w:val="auto"/>
        </w:rPr>
        <w:t>Our operations involving the storage, treatment, processing, and transportation of liquid hydrocarbons, including crude oil, NGL and refined products, are subject to stringent federal, state, and local laws and regulations governing the discharge of materials into the environment. Our operations are also subject to laws and regulations relating to protection of the environment, natural resources, operational safety, climate change and related matters. Compliance with these laws and regulations may increase our overall cost of doing business, including our capital costs to construct, maintain and upgrade equipment and facilities. Also, new or additional laws and regulations, new interpretations of existing requirements or changes in our operations could trigger new permitting requirements applicable to our operations, which could result in increased costs or delays of, or denial of rights to conduct, our development programs. The failure to comply with any such laws and regulations could result in the assessment of administrative, civil, and criminal penalties, the imposition of investigatory or remedial obligations or the incurrence of capital expenditures. Any such failure could also result in the imposition of restrictions, delays or cancellations in the permitting or performance of projects, or the issuance of injunctions that may subject us to additional operational requirements and constraints, or claims of damages to property or persons.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Our business and operations may also become subject to new or additional laws or regulations. For example, President Biden has made the combat of climate change arising from GHG emissions a priority under his Administration and has issued, and may continue to issue, executive orders or other regulatory initiatives in pursuit of his regulatory agenda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us could have a material adverse effect on our operations, revenues, expenses and profitability.</w:t>
      </w:r>
    </w:p>
    <w:p>
      <w:pPr>
        <w:spacing w:after="0" w:line="214" w:lineRule="exact"/>
        <w:rPr>
          <w:sz w:val="20"/>
          <w:szCs w:val="20"/>
          <w:color w:val="auto"/>
        </w:rPr>
      </w:pPr>
    </w:p>
    <w:p>
      <w:pPr>
        <w:ind w:right="60" w:firstLine="713"/>
        <w:spacing w:after="0" w:line="250" w:lineRule="auto"/>
        <w:rPr>
          <w:sz w:val="20"/>
          <w:szCs w:val="20"/>
          <w:color w:val="auto"/>
        </w:rPr>
      </w:pPr>
      <w:r>
        <w:rPr>
          <w:rFonts w:ascii="Times New Roman" w:cs="Times New Roman" w:eastAsia="Times New Roman" w:hAnsi="Times New Roman"/>
          <w:sz w:val="20"/>
          <w:szCs w:val="20"/>
          <w:color w:val="auto"/>
        </w:rPr>
        <w:t>We have a history of making incremental additions to the miles of pipelines we own, both through acquisitions and investment capital projects. We have also increased our terminal and storage capacity and operate several facilities on or near navigable waters and domestic water supplies. Although we have implemented programs intended to maintain the integrity of our assets (discussed below), as we increase the capacity of our existing assets or acquire additional assets we are at risk for an increase in the number and/or volume of releases of liquid hydrocarbons into the environment. These releases expose us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sectPr>
          <w:pgSz w:w="11880" w:h="15480" w:orient="portrait"/>
          <w:cols w:equalWidth="0" w:num="1">
            <w:col w:w="10140"/>
          </w:cols>
          <w:pgMar w:left="860" w:top="68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140"/>
          </w:cols>
          <w:pgMar w:left="860" w:top="683" w:right="880" w:bottom="0" w:gutter="0" w:footer="0" w:header="0"/>
          <w:type w:val="continuous"/>
        </w:sectPr>
      </w:pPr>
    </w:p>
    <w:bookmarkStart w:id="50" w:name="page51"/>
    <w:bookmarkEnd w:id="50"/>
    <w:p>
      <w:pPr>
        <w:ind w:right="160" w:firstLine="713"/>
        <w:spacing w:after="0" w:line="253" w:lineRule="auto"/>
        <w:rPr>
          <w:sz w:val="20"/>
          <w:szCs w:val="20"/>
          <w:color w:val="auto"/>
        </w:rPr>
      </w:pPr>
      <w:r>
        <w:rPr>
          <w:rFonts w:ascii="Times New Roman" w:cs="Times New Roman" w:eastAsia="Times New Roman" w:hAnsi="Times New Roman"/>
          <w:sz w:val="20"/>
          <w:szCs w:val="20"/>
          <w:color w:val="auto"/>
        </w:rPr>
        <w:t>We currently devote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us to install new or modified safety controls, pursue new capital projects, or conduct maintenance programs on an accelerated basis, all of which could require us to incur increased operational costs that could be significant.</w:t>
      </w:r>
    </w:p>
    <w:p>
      <w:pPr>
        <w:spacing w:after="0" w:line="204" w:lineRule="exact"/>
        <w:rPr>
          <w:sz w:val="20"/>
          <w:szCs w:val="20"/>
          <w:color w:val="auto"/>
        </w:rPr>
      </w:pPr>
    </w:p>
    <w:p>
      <w:pPr>
        <w:ind w:right="40" w:firstLine="713"/>
        <w:spacing w:after="0" w:line="250" w:lineRule="auto"/>
        <w:rPr>
          <w:sz w:val="20"/>
          <w:szCs w:val="20"/>
          <w:color w:val="auto"/>
        </w:rPr>
      </w:pPr>
      <w:r>
        <w:rPr>
          <w:rFonts w:ascii="Times New Roman" w:cs="Times New Roman" w:eastAsia="Times New Roman" w:hAnsi="Times New Roman"/>
          <w:sz w:val="20"/>
          <w:szCs w:val="20"/>
          <w:color w:val="auto"/>
        </w:rPr>
        <w:t>Although we continue to focus on pipeline and facility integrity management as a primary operational emphasis, doing so requires substantial time and resources and cannot eliminate all risk of releases. We have an internal review process pursuant to which we examine various aspects of our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19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spacing w:after="0" w:line="198"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79" w:lineRule="exact"/>
        <w:rPr>
          <w:sz w:val="20"/>
          <w:szCs w:val="20"/>
          <w:color w:val="auto"/>
        </w:rPr>
      </w:pPr>
    </w:p>
    <w:p>
      <w:pPr>
        <w:jc w:val="both"/>
        <w:ind w:right="160" w:firstLine="713"/>
        <w:spacing w:after="0" w:line="255" w:lineRule="auto"/>
        <w:rPr>
          <w:sz w:val="20"/>
          <w:szCs w:val="20"/>
          <w:color w:val="auto"/>
        </w:rPr>
      </w:pPr>
      <w:r>
        <w:rPr>
          <w:rFonts w:ascii="Times New Roman" w:cs="Times New Roman" w:eastAsia="Times New Roman" w:hAnsi="Times New Roman"/>
          <w:sz w:val="20"/>
          <w:szCs w:val="20"/>
          <w:color w:val="auto"/>
        </w:rPr>
        <w:t>Our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We are also subject to the Pipeline Safety Regulations of the DOT. Our intrastate pipeline transportation activities are subject to various state laws and regulations as well as orders of state regulatory bodies.</w:t>
      </w:r>
    </w:p>
    <w:p>
      <w:pPr>
        <w:spacing w:after="0" w:line="204" w:lineRule="exact"/>
        <w:rPr>
          <w:sz w:val="20"/>
          <w:szCs w:val="20"/>
          <w:color w:val="auto"/>
        </w:rPr>
      </w:pPr>
    </w:p>
    <w:p>
      <w:pPr>
        <w:ind w:right="360" w:firstLine="713"/>
        <w:spacing w:after="0" w:line="255" w:lineRule="auto"/>
        <w:rPr>
          <w:sz w:val="20"/>
          <w:szCs w:val="20"/>
          <w:color w:val="auto"/>
        </w:rPr>
      </w:pPr>
      <w:r>
        <w:rPr>
          <w:rFonts w:ascii="Times New Roman" w:cs="Times New Roman" w:eastAsia="Times New Roman" w:hAnsi="Times New Roman"/>
          <w:sz w:val="20"/>
          <w:szCs w:val="20"/>
          <w:color w:val="auto"/>
        </w:rPr>
        <w:t>For our U.S. interstate common carrier liquids pipelines subject to FERC regulation under the ICA, shippers may protest our pipeline tariff filings or file complaints against our existing rates or complaints alleging that we are engaging in discriminatory behavior. The FERC can also investigate on its own initiative. Under certain circumstances, the FERC could limit our ability to set rates based on our costs, or could order us to reduce our rates and could require the payment of reparations to complaining shippers for up to two years prior to the complaint.</w:t>
      </w:r>
    </w:p>
    <w:p>
      <w:pPr>
        <w:spacing w:after="0" w:line="204"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color w:val="auto"/>
        </w:rPr>
        <w:t>In addition, we routinely monitor the public filings and proceedings of other parties with the FERC and other regulatory agencies in an effort to identify issues that could potentially impact our business. Under certain circumstances we may choose to intervene in such third-party proceedings in order to express our support for, or our opposition to, various issues raised by the parties to such proceedings. For example, if we believe that a petition filed with, or order issued by, the FERC is improper, overbroad or otherwise flawed, we may attempt to intervene in such proceedings for the purpose of protesting such petition or order and requesting appropriate action such as a clarification, rehearing or other remedy. Despite such efforts, we can provide no assurance that the FERC and other agencies that regulate our business will not issue future orders or declarations that increase our costs or otherwise adversely affect our operations.</w:t>
      </w:r>
    </w:p>
    <w:p>
      <w:pPr>
        <w:spacing w:after="0" w:line="207" w:lineRule="exact"/>
        <w:rPr>
          <w:sz w:val="20"/>
          <w:szCs w:val="20"/>
          <w:color w:val="auto"/>
        </w:rPr>
      </w:pPr>
    </w:p>
    <w:p>
      <w:pPr>
        <w:ind w:right="40" w:firstLine="713"/>
        <w:spacing w:after="0" w:line="251" w:lineRule="auto"/>
        <w:rPr>
          <w:sz w:val="20"/>
          <w:szCs w:val="20"/>
          <w:color w:val="auto"/>
        </w:rPr>
      </w:pPr>
      <w:r>
        <w:rPr>
          <w:rFonts w:ascii="Times New Roman" w:cs="Times New Roman" w:eastAsia="Times New Roman" w:hAnsi="Times New Roman"/>
          <w:sz w:val="20"/>
          <w:szCs w:val="20"/>
          <w:color w:val="auto"/>
        </w:rPr>
        <w:t>Our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ectPr>
          <w:pgSz w:w="11880" w:h="15480" w:orient="portrait"/>
          <w:cols w:equalWidth="0" w:num="1">
            <w:col w:w="10160"/>
          </w:cols>
          <w:pgMar w:left="860" w:top="683" w:right="860" w:bottom="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160"/>
          </w:cols>
          <w:pgMar w:left="860" w:top="683" w:right="86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auto"/>
        </w:rPr>
        <w:t>Some of our operations cross the U.S./Canada border and are subject to cross-border regulation.</w:t>
      </w:r>
    </w:p>
    <w:p>
      <w:pPr>
        <w:spacing w:after="0" w:line="253" w:lineRule="exact"/>
        <w:rPr>
          <w:sz w:val="20"/>
          <w:szCs w:val="20"/>
          <w:color w:val="auto"/>
        </w:rPr>
      </w:pPr>
    </w:p>
    <w:p>
      <w:pPr>
        <w:jc w:val="both"/>
        <w:ind w:right="60" w:firstLine="713"/>
        <w:spacing w:after="0" w:line="255" w:lineRule="auto"/>
        <w:rPr>
          <w:sz w:val="20"/>
          <w:szCs w:val="20"/>
          <w:color w:val="auto"/>
        </w:rPr>
      </w:pPr>
      <w:r>
        <w:rPr>
          <w:rFonts w:ascii="Times New Roman" w:cs="Times New Roman" w:eastAsia="Times New Roman" w:hAnsi="Times New Roman"/>
          <w:sz w:val="20"/>
          <w:szCs w:val="20"/>
          <w:color w:val="auto"/>
        </w:rPr>
        <w:t>Our cross border activities subject us to regulatory matters, including import and export licenses, tariffs, Canadian and U.S. customs and tax issues and toxic substance certifications. Such regulations include the Short Supply Controls of the EAA, the USMCA and the TSCA. Violations of these licensing, tariff and tax reporting requirements could result in the imposition of significant administrative, civil and criminal penalties. Furthermore, Presidential Permits that allow cross-border movements of crude oil may be revoked or terminated at any time.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purchases and sales of crude oil, natural gas and NGL, and hedging activities, expose us to potential regulatory risks.</w:t>
      </w:r>
    </w:p>
    <w:p>
      <w:pPr>
        <w:spacing w:after="0" w:line="253"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purchases and sales of crude oil, natural gas or NGL and any related hedging activities that we undertake, we are required to observe the market-related regulations enforced by these agencies, which hold substantial enforcement authority. Our purchases and sales may also be subject to certain reporting and other requirements. Additionally, to the extent that we enter into transportation contracts with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200"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The enactment and implementation of derivatives legislation could have an adverse impact on our ability to use derivative instruments to reduce the effect of commodity price, interest rate and other risks associated with our business and increase the amount of working capital required to conduct these hedging activities.</w:t>
      </w:r>
    </w:p>
    <w:p>
      <w:pPr>
        <w:spacing w:after="0" w:line="197" w:lineRule="exact"/>
        <w:rPr>
          <w:sz w:val="20"/>
          <w:szCs w:val="20"/>
          <w:color w:val="auto"/>
        </w:rPr>
      </w:pPr>
    </w:p>
    <w:p>
      <w:pPr>
        <w:jc w:val="both"/>
        <w:ind w:right="60" w:firstLine="713"/>
        <w:spacing w:after="0" w:line="261" w:lineRule="auto"/>
        <w:rPr>
          <w:sz w:val="20"/>
          <w:szCs w:val="20"/>
          <w:color w:val="auto"/>
        </w:rPr>
      </w:pPr>
      <w:r>
        <w:rPr>
          <w:rFonts w:ascii="Times New Roman" w:cs="Times New Roman" w:eastAsia="Times New Roman" w:hAnsi="Times New Roman"/>
          <w:sz w:val="19"/>
          <w:szCs w:val="19"/>
          <w:color w:val="auto"/>
        </w:rPr>
        <w:t>The Dodd-Frank Wall Street Reform and Consumer Protection Act (the “Dodd-Frank Act”), enacted on July 21, 2010, established federal oversight and regulation of derivative markets and entities, such as us, that participate in those markets. The Dodd-Frank Act requires the CFTC and the SEC to promulgate rules and regulations implementing the Dodd-Frank Act.</w:t>
      </w:r>
    </w:p>
    <w:p>
      <w:pPr>
        <w:ind w:right="140"/>
        <w:spacing w:after="0" w:line="278" w:lineRule="auto"/>
        <w:rPr>
          <w:sz w:val="20"/>
          <w:szCs w:val="20"/>
          <w:color w:val="auto"/>
        </w:rPr>
      </w:pPr>
      <w:r>
        <w:rPr>
          <w:rFonts w:ascii="Times New Roman" w:cs="Times New Roman" w:eastAsia="Times New Roman" w:hAnsi="Times New Roman"/>
          <w:sz w:val="20"/>
          <w:szCs w:val="20"/>
          <w:color w:val="auto"/>
        </w:rPr>
        <w:t>Although the CFTC has finalized certain regulations, others remain to be finalized or implemented and it is not possible at this time to predict when this will be accomplished.</w:t>
      </w:r>
    </w:p>
    <w:p>
      <w:pPr>
        <w:spacing w:after="0" w:line="180" w:lineRule="exact"/>
        <w:rPr>
          <w:sz w:val="20"/>
          <w:szCs w:val="20"/>
          <w:color w:val="auto"/>
        </w:rPr>
      </w:pPr>
    </w:p>
    <w:p>
      <w:pPr>
        <w:ind w:right="240" w:firstLine="713"/>
        <w:spacing w:after="0" w:line="266" w:lineRule="auto"/>
        <w:rPr>
          <w:sz w:val="20"/>
          <w:szCs w:val="20"/>
          <w:color w:val="auto"/>
        </w:rPr>
      </w:pPr>
      <w:r>
        <w:rPr>
          <w:rFonts w:ascii="Times New Roman" w:cs="Times New Roman" w:eastAsia="Times New Roman" w:hAnsi="Times New Roman"/>
          <w:sz w:val="19"/>
          <w:szCs w:val="19"/>
          <w:color w:val="auto"/>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92" w:lineRule="exact"/>
        <w:rPr>
          <w:sz w:val="20"/>
          <w:szCs w:val="20"/>
          <w:color w:val="auto"/>
        </w:rPr>
      </w:pPr>
    </w:p>
    <w:p>
      <w:pPr>
        <w:ind w:right="180" w:firstLine="713"/>
        <w:spacing w:after="0" w:line="253" w:lineRule="auto"/>
        <w:rPr>
          <w:sz w:val="20"/>
          <w:szCs w:val="20"/>
          <w:color w:val="auto"/>
        </w:rPr>
      </w:pPr>
      <w:r>
        <w:rPr>
          <w:rFonts w:ascii="Times New Roman" w:cs="Times New Roman" w:eastAsia="Times New Roman" w:hAnsi="Times New Roman"/>
          <w:sz w:val="20"/>
          <w:szCs w:val="20"/>
          <w:color w:val="auto"/>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or if we are otherwise required to post additional cash margin or collateral it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spacing w:after="0" w:line="204" w:lineRule="exact"/>
        <w:rPr>
          <w:sz w:val="20"/>
          <w:szCs w:val="20"/>
          <w:color w:val="auto"/>
        </w:rPr>
      </w:pPr>
    </w:p>
    <w:p>
      <w:pPr>
        <w:ind w:firstLine="713"/>
        <w:spacing w:after="0" w:line="268" w:lineRule="auto"/>
        <w:rPr>
          <w:sz w:val="20"/>
          <w:szCs w:val="20"/>
          <w:color w:val="auto"/>
        </w:rPr>
      </w:pPr>
      <w:r>
        <w:rPr>
          <w:rFonts w:ascii="Times New Roman" w:cs="Times New Roman" w:eastAsia="Times New Roman" w:hAnsi="Times New Roman"/>
          <w:sz w:val="19"/>
          <w:szCs w:val="19"/>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Dodd-Frank Act and related rules. The costs of such compliance may be passed on to customers such as ourselves, thus decreasing the benefits to us of hedging transactions or reducing our profitability. In addition, implementation of the Dodd-Frank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ectPr>
          <w:pgSz w:w="11880" w:h="15480" w:orient="portrait"/>
          <w:cols w:equalWidth="0" w:num="1">
            <w:col w:w="10160"/>
          </w:cols>
          <w:pgMar w:left="860" w:top="912" w:right="86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160"/>
          </w:cols>
          <w:pgMar w:left="860" w:top="912" w:right="860" w:bottom="0" w:gutter="0" w:footer="0" w:header="0"/>
          <w:type w:val="continuous"/>
        </w:sectPr>
      </w:pPr>
    </w:p>
    <w:bookmarkStart w:id="52" w:name="page53"/>
    <w:bookmarkEnd w:id="52"/>
    <w:p>
      <w:pPr>
        <w:jc w:val="both"/>
        <w:ind w:right="60" w:firstLine="713"/>
        <w:spacing w:after="0" w:line="283" w:lineRule="auto"/>
        <w:rPr>
          <w:sz w:val="20"/>
          <w:szCs w:val="20"/>
          <w:color w:val="auto"/>
        </w:rPr>
      </w:pPr>
      <w:r>
        <w:rPr>
          <w:rFonts w:ascii="Times New Roman" w:cs="Times New Roman" w:eastAsia="Times New Roman" w:hAnsi="Times New Roman"/>
          <w:sz w:val="19"/>
          <w:szCs w:val="19"/>
          <w:color w:val="auto"/>
        </w:rPr>
        <w:t>Finally, the Dodd-Frank Act was intended, in part, to reduce the volatility of oil and gas prices, which some legislators attributed to speculative trading in derivatives and commodity instruments related to oil and gas. Our financial results could be adversely affected if a consequence of the Dodd-Frank Act and implementing regulations is lower commodity prices.</w:t>
      </w:r>
    </w:p>
    <w:p>
      <w:pPr>
        <w:spacing w:after="0" w:line="178" w:lineRule="exact"/>
        <w:rPr>
          <w:sz w:val="20"/>
          <w:szCs w:val="20"/>
          <w:color w:val="auto"/>
        </w:rPr>
      </w:pPr>
    </w:p>
    <w:p>
      <w:pPr>
        <w:ind w:right="60" w:firstLine="713"/>
        <w:spacing w:after="0" w:line="268" w:lineRule="auto"/>
        <w:rPr>
          <w:sz w:val="20"/>
          <w:szCs w:val="20"/>
          <w:color w:val="auto"/>
        </w:rPr>
      </w:pPr>
      <w:r>
        <w:rPr>
          <w:rFonts w:ascii="Times New Roman" w:cs="Times New Roman" w:eastAsia="Times New Roman" w:hAnsi="Times New Roman"/>
          <w:sz w:val="19"/>
          <w:szCs w:val="19"/>
          <w:color w:val="auto"/>
        </w:rPr>
        <w:t>The full impact of the Dodd-Frank Act and related regulatory requirements upon our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we encounter, reduce our ability to monetize or restructure our existing derivative contracts. If we reduce our use of derivatives as a result of the Dodd-Frank Act and regulations implementing the Dodd-Frank Act, our results of operations may become more volatile and our cash flows may be less predictable. Any of these consequences could have a material adverse effect on us, our financial condition and our results of operations.</w:t>
      </w:r>
    </w:p>
    <w:p>
      <w:pPr>
        <w:spacing w:after="0" w:line="185"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79" w:lineRule="exact"/>
        <w:rPr>
          <w:sz w:val="20"/>
          <w:szCs w:val="20"/>
          <w:color w:val="auto"/>
        </w:rPr>
      </w:pPr>
    </w:p>
    <w:p>
      <w:pPr>
        <w:ind w:right="80" w:firstLine="713"/>
        <w:spacing w:after="0" w:line="250" w:lineRule="auto"/>
        <w:rPr>
          <w:sz w:val="20"/>
          <w:szCs w:val="20"/>
          <w:color w:val="auto"/>
        </w:rPr>
      </w:pPr>
      <w:r>
        <w:rPr>
          <w:rFonts w:ascii="Times New Roman" w:cs="Times New Roman" w:eastAsia="Times New Roman" w:hAnsi="Times New Roman"/>
          <w:sz w:val="20"/>
          <w:szCs w:val="20"/>
          <w:color w:val="auto"/>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We do not perform hydraulic fracturing, but much of the production that flows on our assets was produced with the benefit of hydraulic fracturing. There have been a variety of legislative and regulatory proposals to prohibit, restrict, or more closely regulate various forms of hydraulic fracturing; for example, the Governor of California issued an order in April 2021 directing the Department of Conservation’s Geologic Energy Management Division to initiate regulatory action to end the issuance of new permits for hydraulic fracturing by January 2024. Moreover, the Biden Administration has pursued policy initiatives that have resulted in temporary suspensions of new oil and gas leasing, more stringent emissions and operating regulations, and increased royalty rates for oil and gas operations on federal lands and waters.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our transportation, terminalling and storage services as well as our merchant activities.</w:t>
      </w:r>
    </w:p>
    <w:p>
      <w:pPr>
        <w:spacing w:after="0" w:line="20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9"/>
          <w:szCs w:val="19"/>
          <w:b w:val="1"/>
          <w:bCs w:val="1"/>
          <w:i w:val="1"/>
          <w:iCs w:val="1"/>
          <w:color w:val="auto"/>
        </w:rPr>
        <w:t>Our and our customers’ operations are subject to various risks arising out of the threat of climate change, energy conservation measures, or initiatives that stimulate demand for alternative forms of energy that could result in increased costs, limits on the areas in which oil and natural gas production may occur and reduced demand for our services.</w:t>
      </w:r>
    </w:p>
    <w:p>
      <w:pPr>
        <w:spacing w:after="0" w:line="177" w:lineRule="exact"/>
        <w:rPr>
          <w:sz w:val="20"/>
          <w:szCs w:val="20"/>
          <w:color w:val="auto"/>
        </w:rPr>
      </w:pPr>
    </w:p>
    <w:p>
      <w:pPr>
        <w:ind w:firstLine="713"/>
        <w:spacing w:after="0" w:line="249" w:lineRule="auto"/>
        <w:rPr>
          <w:sz w:val="20"/>
          <w:szCs w:val="20"/>
          <w:color w:val="auto"/>
        </w:rPr>
      </w:pPr>
      <w:r>
        <w:rPr>
          <w:rFonts w:ascii="Times New Roman" w:cs="Times New Roman" w:eastAsia="Times New Roman" w:hAnsi="Times New Roman"/>
          <w:sz w:val="20"/>
          <w:szCs w:val="20"/>
          <w:color w:val="auto"/>
        </w:rPr>
        <w:t>Our and our customers’ operations are subject to a number of risks arising out of the threat of climate change, energy conservation measures, or initiatives that stimulate demand for alternative forms of energy that could result in increased operating costs, limits on the areas in which oil and natural gas production may occur, and reduced demand for the crude oil and natural gas. Risks arising out of the threat of climate change, fuel conservation measures, governmental requirements for renewable energy resources, increasing consumer demand for alternative forms of energy, and technological advances in fuel economy and energy generation devices may create new competitive conditions that result in reduced demand for the crude oil and natural gas our customers produce and, in turn, the services we provide. The adoption and implementation of any international, federal, regional or state legislation, executive actions, regulations or other regulatory and policy initiatives that impose more stringent standards for GHG emissions from the oil and natural gas industry, restrict the areas in which this industry may produce crude oil and natural gas or generate GHG emissions, increase scrutiny of environmental permitting or delay such permitting reviews, or require enhanced disclosure of such GHG emission and other climate-related information, could result in increased compliance costs, which if passed on to the customer could also result in increased fossil fuel consumption costs, and thereby reduce demand for crude oil and natural gas, and thus our services. The potential impact of changing demand for crude oil and natural gas services and products may have a material adverse effect on our business, financial condition, results of operations and cash flows. Additionally, political, financial and litigation risks may result in us restricting, delaying or canceling development activities and new projects, incurring liability for infrastructure damages as a result of climatic changes, or impairing the ability to continue to operate in an economic manner.</w:t>
      </w:r>
    </w:p>
    <w:p>
      <w:pPr>
        <w:sectPr>
          <w:pgSz w:w="11880" w:h="15480" w:orient="portrait"/>
          <w:cols w:equalWidth="0" w:num="1">
            <w:col w:w="10160"/>
          </w:cols>
          <w:pgMar w:left="860" w:top="68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160"/>
          </w:cols>
          <w:pgMar w:left="860" w:top="683" w:right="860" w:bottom="0" w:gutter="0" w:footer="0" w:header="0"/>
          <w:type w:val="continuous"/>
        </w:sectPr>
      </w:pPr>
    </w:p>
    <w:bookmarkStart w:id="53" w:name="page54"/>
    <w:bookmarkEnd w:id="53"/>
    <w:p>
      <w:pPr>
        <w:ind w:firstLine="713"/>
        <w:spacing w:after="0" w:line="251" w:lineRule="auto"/>
        <w:rPr>
          <w:sz w:val="20"/>
          <w:szCs w:val="20"/>
          <w:color w:val="auto"/>
        </w:rPr>
      </w:pPr>
      <w:r>
        <w:rPr>
          <w:rFonts w:ascii="Times New Roman" w:cs="Times New Roman" w:eastAsia="Times New Roman" w:hAnsi="Times New Roman"/>
          <w:sz w:val="20"/>
          <w:szCs w:val="20"/>
          <w:color w:val="auto"/>
        </w:rPr>
        <w:t>Litigation risks are also increasing as a number of cities, local governments and other plaintiffs have filed lawsuits against various oil and natural gas companies in state or federal court, alleging, among other things, that such companies created public nuisances by producing fuels that contributed to climate change and its effects, such as rising sea levels, and therefore are responsible for roadway and infrastructure damages as a result, or alleging that the companies have been aware of the adverse effects of climate change for some time but defrauded their investors by failing to adequately disclose those impacts. Should Plains be targeted by any such litigation, we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our operations and financial condition.</w:t>
      </w:r>
    </w:p>
    <w:p>
      <w:pPr>
        <w:spacing w:after="0" w:line="211" w:lineRule="exact"/>
        <w:rPr>
          <w:sz w:val="20"/>
          <w:szCs w:val="20"/>
          <w:color w:val="auto"/>
        </w:rPr>
      </w:pPr>
    </w:p>
    <w:p>
      <w:pPr>
        <w:ind w:right="20" w:firstLine="713"/>
        <w:spacing w:after="0" w:line="251" w:lineRule="auto"/>
        <w:rPr>
          <w:sz w:val="20"/>
          <w:szCs w:val="20"/>
          <w:color w:val="auto"/>
        </w:rPr>
      </w:pPr>
      <w:r>
        <w:rPr>
          <w:rFonts w:ascii="Times New Roman" w:cs="Times New Roman" w:eastAsia="Times New Roman" w:hAnsi="Times New Roman"/>
          <w:sz w:val="20"/>
          <w:szCs w:val="20"/>
          <w:color w:val="auto"/>
        </w:rPr>
        <w:t>Climate changes that have significant physical effects, such as increased frequency and severity of storms, droughts, floods and other climatic events, as well as shifts in temperature and precipitation patterns have the potential to cause physical damage to our assets or disrupt our supply chains and thus could have an adverse effect on our operations. Additionally, changing meteorological conditions, particularly temperature, may result in changes to the amount, timing, or location of demand for energy or our customer’s production, which could reduce the need for our services. While our consideration of changing climatic conditions and inclusion of safety factors in our design is intended to reduce the uncertainties that climate change and other events may potentially introduce, our ability to mitigate the adverse impacts of these events depends in part on the effectiveness of our facilities, particularly those located in coastal or flood prone areas, and our disaster preparedness and response and business continuity planning, which may not have considered or be prepared for every eventuality.</w:t>
      </w:r>
    </w:p>
    <w:p>
      <w:pPr>
        <w:spacing w:after="0" w:line="211" w:lineRule="exact"/>
        <w:rPr>
          <w:sz w:val="20"/>
          <w:szCs w:val="20"/>
          <w:color w:val="auto"/>
        </w:rPr>
      </w:pPr>
    </w:p>
    <w:p>
      <w:pPr>
        <w:ind w:right="140" w:firstLine="713"/>
        <w:spacing w:after="0" w:line="258" w:lineRule="auto"/>
        <w:rPr>
          <w:sz w:val="20"/>
          <w:szCs w:val="20"/>
          <w:color w:val="auto"/>
        </w:rPr>
      </w:pPr>
      <w:r>
        <w:rPr>
          <w:rFonts w:ascii="Times New Roman" w:cs="Times New Roman" w:eastAsia="Times New Roman" w:hAnsi="Times New Roman"/>
          <w:sz w:val="20"/>
          <w:szCs w:val="20"/>
          <w:color w:val="auto"/>
        </w:rPr>
        <w:t>Although it is not possible at this time to predict how legislation or new regulations that may be adopted to address GHG emissions and climate change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9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pertaining to the protection of threatened and endangered species or to critical habitat, wetlands and natural resources could delay, restrict or prohibit our and our customers’ operations and cause us or our customers to incur substantial costs that may have a material adverse effect on our results of operations.</w:t>
      </w:r>
    </w:p>
    <w:p>
      <w:pPr>
        <w:spacing w:after="0" w:line="197" w:lineRule="exact"/>
        <w:rPr>
          <w:sz w:val="20"/>
          <w:szCs w:val="20"/>
          <w:color w:val="auto"/>
        </w:rPr>
      </w:pPr>
    </w:p>
    <w:p>
      <w:pPr>
        <w:ind w:right="60" w:firstLine="713"/>
        <w:spacing w:after="0" w:line="265" w:lineRule="auto"/>
        <w:rPr>
          <w:sz w:val="20"/>
          <w:szCs w:val="20"/>
          <w:color w:val="auto"/>
        </w:rPr>
      </w:pPr>
      <w:r>
        <w:rPr>
          <w:rFonts w:ascii="Times New Roman" w:cs="Times New Roman" w:eastAsia="Times New Roman" w:hAnsi="Times New Roman"/>
          <w:sz w:val="19"/>
          <w:szCs w:val="19"/>
          <w:color w:val="auto"/>
        </w:rPr>
        <w:t>In the United States, the Endangered Species Act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our operations are conducted in areas where protected species or their habitats are known to exist, and from time to time our development plans have been impacted in these areas. We may be obligated to develop and implement plans to avoid potential adverse effects to protected species and their habitats, and we may be delayed, restricted or prohibited from conducting operations in certain locations or during certain seasons, such as breeding and nesting seasons, when our operations could have an adverse effect on the species. Additionally, the designation of previously unprotected species or the re-designation of under-protected species as threatened or endangered in areas where we or our customers conduct operations could cause us to incur increased costs arising from species protection measures or could result in delays, restrictions or prohibitions on our customers’ development and production activities that could have a material adverse effect on our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Inherent in an Investment in Us</w:t>
      </w:r>
    </w:p>
    <w:p>
      <w:pPr>
        <w:spacing w:after="0" w:line="244"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Cost reimbursements due to our general partner may be substantial and will reduce our cash available for distribution to unitholders.</w:t>
      </w:r>
    </w:p>
    <w:p>
      <w:pPr>
        <w:spacing w:after="0" w:line="179" w:lineRule="exact"/>
        <w:rPr>
          <w:sz w:val="20"/>
          <w:szCs w:val="20"/>
          <w:color w:val="auto"/>
        </w:rPr>
      </w:pPr>
    </w:p>
    <w:p>
      <w:pPr>
        <w:ind w:right="160" w:firstLine="713"/>
        <w:spacing w:after="0" w:line="254" w:lineRule="auto"/>
        <w:rPr>
          <w:sz w:val="20"/>
          <w:szCs w:val="20"/>
          <w:color w:val="auto"/>
        </w:rPr>
      </w:pPr>
      <w:r>
        <w:rPr>
          <w:rFonts w:ascii="Times New Roman" w:cs="Times New Roman" w:eastAsia="Times New Roman" w:hAnsi="Times New Roman"/>
          <w:sz w:val="20"/>
          <w:szCs w:val="20"/>
          <w:color w:val="auto"/>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with services for which we will be charged reasonable fees as determined by the general partner.</w:t>
      </w:r>
    </w:p>
    <w:p>
      <w:pPr>
        <w:sectPr>
          <w:pgSz w:w="11880" w:h="15480" w:orient="portrait"/>
          <w:cols w:equalWidth="0" w:num="1">
            <w:col w:w="10160"/>
          </w:cols>
          <w:pgMar w:left="860" w:top="68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160"/>
          </w:cols>
          <w:pgMar w:left="860" w:top="683" w:right="86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i w:val="1"/>
          <w:iCs w:val="1"/>
          <w:color w:val="auto"/>
        </w:rPr>
        <w:t>Cash distributions are not guaranteed and may fluctuate with our performance and the establishment of financial reserves.</w:t>
      </w:r>
    </w:p>
    <w:p>
      <w:pPr>
        <w:spacing w:after="0" w:line="253" w:lineRule="exact"/>
        <w:rPr>
          <w:sz w:val="20"/>
          <w:szCs w:val="20"/>
          <w:color w:val="auto"/>
        </w:rPr>
      </w:pPr>
    </w:p>
    <w:p>
      <w:pPr>
        <w:ind w:right="20" w:firstLine="713"/>
        <w:spacing w:after="0" w:line="251" w:lineRule="auto"/>
        <w:rPr>
          <w:sz w:val="20"/>
          <w:szCs w:val="20"/>
          <w:color w:val="auto"/>
        </w:rPr>
      </w:pPr>
      <w:r>
        <w:rPr>
          <w:rFonts w:ascii="Times New Roman" w:cs="Times New Roman" w:eastAsia="Times New Roman" w:hAnsi="Times New Roman"/>
          <w:sz w:val="20"/>
          <w:szCs w:val="20"/>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levels of financial reserves and working capital borrowings, and not solely on profitability, which is affected by non-cash items.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Therefore, cash distributions might be made during periods when we record losses and might not be made during periods when we record profits.</w:t>
      </w:r>
    </w:p>
    <w:p>
      <w:pPr>
        <w:spacing w:after="0" w:line="203"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Our preferred units have rights, preferences and privileges that are not the same as, and are preferential to, the rights of holders of our common units.</w:t>
      </w:r>
    </w:p>
    <w:p>
      <w:pPr>
        <w:spacing w:after="0" w:line="179"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20"/>
          <w:szCs w:val="20"/>
          <w:color w:val="auto"/>
        </w:rPr>
        <w:t>Our Series A preferred units and Series B preferred units (together, our “preferred units”)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spacing w:after="0" w:line="199" w:lineRule="exact"/>
        <w:rPr>
          <w:sz w:val="20"/>
          <w:szCs w:val="20"/>
          <w:color w:val="auto"/>
        </w:rPr>
      </w:pPr>
    </w:p>
    <w:p>
      <w:pPr>
        <w:ind w:right="20" w:firstLine="713"/>
        <w:spacing w:after="0" w:line="267" w:lineRule="auto"/>
        <w:rPr>
          <w:sz w:val="20"/>
          <w:szCs w:val="20"/>
          <w:color w:val="auto"/>
        </w:rPr>
      </w:pPr>
      <w:r>
        <w:rPr>
          <w:rFonts w:ascii="Times New Roman" w:cs="Times New Roman" w:eastAsia="Times New Roman" w:hAnsi="Times New Roman"/>
          <w:sz w:val="19"/>
          <w:szCs w:val="19"/>
          <w:color w:val="auto"/>
        </w:rPr>
        <w:t>In addition, distributions on the preferred units accrue and are cumulative, at a fixed rate with respect to our Series A preferred units and at a floating rate with respect to our Series B preferred units. Our Series A preferred units are convertible into common units by the holders of such units or by us in certain circumstances. Our Series B preferred units are not convertible into common units, but are redeemable by us in certain circumstances. Our obligation to pay distributions on our preferred units, or on the common units issued following the conversion of our Series A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Unitholders may not be able to remove our general partner even if they wish to do so.</w:t>
      </w:r>
    </w:p>
    <w:p>
      <w:pPr>
        <w:spacing w:after="0" w:line="253" w:lineRule="exact"/>
        <w:rPr>
          <w:sz w:val="20"/>
          <w:szCs w:val="20"/>
          <w:color w:val="auto"/>
        </w:rPr>
      </w:pPr>
    </w:p>
    <w:p>
      <w:pPr>
        <w:ind w:right="20" w:firstLine="713"/>
        <w:spacing w:after="0" w:line="242" w:lineRule="auto"/>
        <w:rPr>
          <w:sz w:val="20"/>
          <w:szCs w:val="20"/>
          <w:color w:val="auto"/>
        </w:rPr>
      </w:pPr>
      <w:r>
        <w:rPr>
          <w:rFonts w:ascii="Times New Roman" w:cs="Times New Roman" w:eastAsia="Times New Roman" w:hAnsi="Times New Roman"/>
          <w:sz w:val="20"/>
          <w:szCs w:val="20"/>
          <w:color w:val="auto"/>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20"/>
          <w:szCs w:val="20"/>
          <w:color w:val="auto"/>
        </w:rPr>
        <w:t>% of our outstanding units (including units held by our general partner or its affiliates). Because AAP owns approximately 31% of our outstanding Common Unit Equivalents and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220" w:lineRule="exact"/>
        <w:rPr>
          <w:sz w:val="20"/>
          <w:szCs w:val="20"/>
          <w:color w:val="auto"/>
        </w:rPr>
      </w:pPr>
    </w:p>
    <w:p>
      <w:pPr>
        <w:ind w:right="140" w:firstLine="713"/>
        <w:spacing w:after="0" w:line="278" w:lineRule="auto"/>
        <w:rPr>
          <w:sz w:val="20"/>
          <w:szCs w:val="20"/>
          <w:color w:val="auto"/>
        </w:rPr>
      </w:pPr>
      <w:r>
        <w:rPr>
          <w:rFonts w:ascii="Times New Roman" w:cs="Times New Roman" w:eastAsia="Times New Roman" w:hAnsi="Times New Roman"/>
          <w:sz w:val="20"/>
          <w:szCs w:val="20"/>
          <w:color w:val="auto"/>
        </w:rPr>
        <w:t>In addition, the following provisions of our partnership agreement may discourage a person or group from attempting to remove our general partner or otherwise change our management:</w:t>
      </w:r>
    </w:p>
    <w:p>
      <w:pPr>
        <w:spacing w:after="0" w:line="180" w:lineRule="exact"/>
        <w:rPr>
          <w:sz w:val="20"/>
          <w:szCs w:val="20"/>
          <w:color w:val="auto"/>
        </w:rPr>
      </w:pPr>
    </w:p>
    <w:p>
      <w:pPr>
        <w:jc w:val="both"/>
        <w:ind w:left="1080" w:right="400" w:hanging="366"/>
        <w:spacing w:after="0" w:line="283" w:lineRule="auto"/>
        <w:tabs>
          <w:tab w:leader="none" w:pos="108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w:t>
      </w:r>
    </w:p>
    <w:p>
      <w:pPr>
        <w:spacing w:after="0" w:line="177" w:lineRule="exact"/>
        <w:rPr>
          <w:rFonts w:ascii="Times New Roman" w:cs="Times New Roman" w:eastAsia="Times New Roman" w:hAnsi="Times New Roman"/>
          <w:sz w:val="19"/>
          <w:szCs w:val="19"/>
          <w:color w:val="auto"/>
        </w:rPr>
      </w:pPr>
    </w:p>
    <w:p>
      <w:pPr>
        <w:ind w:left="1080" w:right="580" w:hanging="366"/>
        <w:spacing w:after="0" w:line="278"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PAGP GP Board is composed of three classes of directors, which limits our unitholders’ ability to make significant changes to the board in any given year; and</w:t>
      </w:r>
    </w:p>
    <w:p>
      <w:pPr>
        <w:spacing w:after="0" w:line="61" w:lineRule="exact"/>
        <w:rPr>
          <w:rFonts w:ascii="Times New Roman" w:cs="Times New Roman" w:eastAsia="Times New Roman" w:hAnsi="Times New Roman"/>
          <w:sz w:val="20"/>
          <w:szCs w:val="20"/>
          <w:color w:val="auto"/>
        </w:rPr>
      </w:pPr>
    </w:p>
    <w:p>
      <w:pPr>
        <w:ind w:left="1080" w:right="140" w:hanging="366"/>
        <w:spacing w:after="0" w:line="278"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80" w:lineRule="exact"/>
        <w:rPr>
          <w:sz w:val="20"/>
          <w:szCs w:val="20"/>
          <w:color w:val="auto"/>
        </w:rPr>
      </w:pPr>
    </w:p>
    <w:p>
      <w:pPr>
        <w:ind w:right="60" w:firstLine="713"/>
        <w:spacing w:after="0" w:line="278" w:lineRule="auto"/>
        <w:rPr>
          <w:sz w:val="20"/>
          <w:szCs w:val="20"/>
          <w:color w:val="auto"/>
        </w:rPr>
      </w:pPr>
      <w:r>
        <w:rPr>
          <w:rFonts w:ascii="Times New Roman" w:cs="Times New Roman" w:eastAsia="Times New Roman" w:hAnsi="Times New Roman"/>
          <w:sz w:val="20"/>
          <w:szCs w:val="20"/>
          <w:color w:val="auto"/>
        </w:rPr>
        <w:t>As a result of these provisions, the price at which our common units will trade may be lower because of the absence or reduction of a takeover premium in the trading price.</w:t>
      </w:r>
    </w:p>
    <w:p>
      <w:pPr>
        <w:sectPr>
          <w:pgSz w:w="11880" w:h="15480" w:orient="portrait"/>
          <w:cols w:equalWidth="0" w:num="1">
            <w:col w:w="10160"/>
          </w:cols>
          <w:pgMar w:left="860" w:top="67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160"/>
          </w:cols>
          <w:pgMar w:left="860" w:top="675" w:right="860" w:bottom="0" w:gutter="0" w:footer="0" w:header="0"/>
          <w:type w:val="continuous"/>
        </w:sectPr>
      </w:pPr>
    </w:p>
    <w:bookmarkStart w:id="55" w:name="page56"/>
    <w:bookmarkEnd w:id="55"/>
    <w:p>
      <w:pPr>
        <w:ind w:right="20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We may issue additional common units without unitholder approval, which would dilute a unitholder’s existing ownership interests.</w:t>
      </w:r>
    </w:p>
    <w:p>
      <w:pPr>
        <w:spacing w:after="0" w:line="179" w:lineRule="exact"/>
        <w:rPr>
          <w:sz w:val="20"/>
          <w:szCs w:val="20"/>
          <w:color w:val="auto"/>
        </w:rPr>
      </w:pPr>
    </w:p>
    <w:p>
      <w:pPr>
        <w:jc w:val="both"/>
        <w:ind w:right="20" w:firstLine="713"/>
        <w:spacing w:after="0" w:line="258" w:lineRule="auto"/>
        <w:rPr>
          <w:sz w:val="20"/>
          <w:szCs w:val="20"/>
          <w:color w:val="auto"/>
        </w:rPr>
      </w:pPr>
      <w:r>
        <w:rPr>
          <w:rFonts w:ascii="Times New Roman" w:cs="Times New Roman" w:eastAsia="Times New Roman" w:hAnsi="Times New Roman"/>
          <w:sz w:val="20"/>
          <w:szCs w:val="20"/>
          <w:color w:val="auto"/>
        </w:rPr>
        <w:t>Our general partner may cause us to issue an unlimited number of common units without unitholder approval (subject to applicable Nasdaq rules). We may also issue at any time an unlimited number of equity securities ranking junior or senior to the common units without unitholder approval (subject to applicable Nasdaq rules). The issuance of additional common units or other equity securities of equal or senior rank may have the following effects:</w:t>
      </w:r>
    </w:p>
    <w:p>
      <w:pPr>
        <w:spacing w:after="0" w:line="199" w:lineRule="exact"/>
        <w:rPr>
          <w:sz w:val="20"/>
          <w:szCs w:val="20"/>
          <w:color w:val="auto"/>
        </w:rPr>
      </w:pPr>
    </w:p>
    <w:p>
      <w:pPr>
        <w:ind w:left="1080" w:hanging="366"/>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existing unitholder’s proportionate ownership interest in the Partnership will decrease;</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cash available for distribution on each unit may decrease;</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ratio of taxable income to distributions may increase;</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voting strength of each previously outstanding unit may be diminished; and</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the common units may decline.</w:t>
      </w:r>
    </w:p>
    <w:p>
      <w:pPr>
        <w:spacing w:after="0" w:line="245" w:lineRule="exact"/>
        <w:rPr>
          <w:sz w:val="20"/>
          <w:szCs w:val="20"/>
          <w:color w:val="auto"/>
        </w:rPr>
      </w:pPr>
    </w:p>
    <w:p>
      <w:pPr>
        <w:ind w:right="60" w:firstLine="713"/>
        <w:spacing w:after="0" w:line="254" w:lineRule="auto"/>
        <w:rPr>
          <w:sz w:val="20"/>
          <w:szCs w:val="20"/>
          <w:color w:val="auto"/>
        </w:rPr>
      </w:pPr>
      <w:r>
        <w:rPr>
          <w:rFonts w:ascii="Times New Roman" w:cs="Times New Roman" w:eastAsia="Times New Roman" w:hAnsi="Times New Roman"/>
          <w:sz w:val="20"/>
          <w:szCs w:val="20"/>
          <w:color w:val="auto"/>
        </w:rPr>
        <w:t>In addition, our Series A preferred units are convertible into common units at any time by the holders of such units, or under certain circumstances, at our option.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general partner has a limited call right that may require unitholders to sell their units at an undesirable time or price.</w:t>
      </w:r>
    </w:p>
    <w:p>
      <w:pPr>
        <w:spacing w:after="0" w:line="253" w:lineRule="exact"/>
        <w:rPr>
          <w:sz w:val="20"/>
          <w:szCs w:val="20"/>
          <w:color w:val="auto"/>
        </w:rPr>
      </w:pPr>
    </w:p>
    <w:p>
      <w:pPr>
        <w:ind w:firstLine="713"/>
        <w:spacing w:after="0" w:line="272" w:lineRule="auto"/>
        <w:rPr>
          <w:sz w:val="20"/>
          <w:szCs w:val="20"/>
          <w:color w:val="auto"/>
        </w:rPr>
      </w:pPr>
      <w:r>
        <w:rPr>
          <w:rFonts w:ascii="Times New Roman" w:cs="Times New Roman" w:eastAsia="Times New Roman" w:hAnsi="Times New Roman"/>
          <w:sz w:val="19"/>
          <w:szCs w:val="19"/>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179"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79" w:lineRule="exact"/>
        <w:rPr>
          <w:sz w:val="20"/>
          <w:szCs w:val="20"/>
          <w:color w:val="auto"/>
        </w:rPr>
      </w:pPr>
    </w:p>
    <w:p>
      <w:pPr>
        <w:ind w:right="260" w:firstLine="713"/>
        <w:spacing w:after="0" w:line="263" w:lineRule="auto"/>
        <w:rPr>
          <w:sz w:val="20"/>
          <w:szCs w:val="20"/>
          <w:color w:val="auto"/>
        </w:rPr>
      </w:pPr>
      <w:r>
        <w:rPr>
          <w:rFonts w:ascii="Times New Roman" w:cs="Times New Roman" w:eastAsia="Times New Roman" w:hAnsi="Times New Roman"/>
          <w:sz w:val="20"/>
          <w:szCs w:val="20"/>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94" w:lineRule="exact"/>
        <w:rPr>
          <w:sz w:val="20"/>
          <w:szCs w:val="20"/>
          <w:color w:val="auto"/>
        </w:rPr>
      </w:pPr>
    </w:p>
    <w:p>
      <w:pPr>
        <w:ind w:right="400" w:firstLine="713"/>
        <w:spacing w:after="0" w:line="255" w:lineRule="auto"/>
        <w:rPr>
          <w:sz w:val="20"/>
          <w:szCs w:val="20"/>
          <w:color w:val="auto"/>
        </w:rPr>
      </w:pPr>
      <w:r>
        <w:rPr>
          <w:rFonts w:ascii="Times New Roman" w:cs="Times New Roman" w:eastAsia="Times New Roman" w:hAnsi="Times New Roman"/>
          <w:sz w:val="20"/>
          <w:szCs w:val="20"/>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204" w:lineRule="exact"/>
        <w:rPr>
          <w:sz w:val="20"/>
          <w:szCs w:val="20"/>
          <w:color w:val="auto"/>
        </w:rPr>
      </w:pPr>
    </w:p>
    <w:p>
      <w:pPr>
        <w:ind w:right="200" w:firstLine="713"/>
        <w:spacing w:after="0" w:line="254" w:lineRule="auto"/>
        <w:rPr>
          <w:sz w:val="20"/>
          <w:szCs w:val="20"/>
          <w:color w:val="auto"/>
        </w:rPr>
      </w:pPr>
      <w:r>
        <w:rPr>
          <w:rFonts w:ascii="Times New Roman" w:cs="Times New Roman" w:eastAsia="Times New Roman" w:hAnsi="Times New Roman"/>
          <w:sz w:val="20"/>
          <w:szCs w:val="20"/>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Conflicts of interest could arise among our general partner and us or the unitholders.</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These conflicts may include the following:</w:t>
      </w:r>
    </w:p>
    <w:p>
      <w:pPr>
        <w:spacing w:after="0" w:line="245" w:lineRule="exact"/>
        <w:rPr>
          <w:sz w:val="20"/>
          <w:szCs w:val="20"/>
          <w:color w:val="auto"/>
        </w:rPr>
      </w:pPr>
    </w:p>
    <w:p>
      <w:pPr>
        <w:ind w:left="1080" w:right="40" w:hanging="366"/>
        <w:spacing w:after="0" w:line="278"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our partnership agreement, we reimburse the general partner for the costs of managing and for operating the partnership;</w:t>
      </w:r>
    </w:p>
    <w:p>
      <w:pPr>
        <w:sectPr>
          <w:pgSz w:w="11880" w:h="15480" w:orient="portrait"/>
          <w:cols w:equalWidth="0" w:num="1">
            <w:col w:w="10160"/>
          </w:cols>
          <w:pgMar w:left="860" w:top="67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160"/>
          </w:cols>
          <w:pgMar w:left="860" w:top="675" w:right="860" w:bottom="0" w:gutter="0" w:footer="0" w:header="0"/>
          <w:type w:val="continuous"/>
        </w:sectPr>
      </w:pPr>
    </w:p>
    <w:bookmarkStart w:id="56" w:name="page57"/>
    <w:bookmarkEnd w:id="56"/>
    <w:p>
      <w:pPr>
        <w:ind w:left="1080" w:right="740" w:hanging="366"/>
        <w:spacing w:after="0" w:line="278"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cash expenditures, borrowings and reserves in any quarter may affect available cash to pay quarterly distributions to unitholders;</w:t>
      </w:r>
    </w:p>
    <w:p>
      <w:pPr>
        <w:spacing w:after="0" w:line="61" w:lineRule="exact"/>
        <w:rPr>
          <w:rFonts w:ascii="Times New Roman" w:cs="Times New Roman" w:eastAsia="Times New Roman" w:hAnsi="Times New Roman"/>
          <w:sz w:val="20"/>
          <w:szCs w:val="20"/>
          <w:color w:val="auto"/>
        </w:rPr>
      </w:pPr>
    </w:p>
    <w:p>
      <w:pPr>
        <w:ind w:left="1080" w:hanging="366"/>
        <w:spacing w:after="0" w:line="268" w:lineRule="auto"/>
        <w:tabs>
          <w:tab w:leader="none" w:pos="108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74" w:lineRule="exact"/>
        <w:rPr>
          <w:rFonts w:ascii="Times New Roman" w:cs="Times New Roman" w:eastAsia="Times New Roman" w:hAnsi="Times New Roman"/>
          <w:sz w:val="19"/>
          <w:szCs w:val="19"/>
          <w:color w:val="auto"/>
        </w:rPr>
      </w:pPr>
    </w:p>
    <w:p>
      <w:pPr>
        <w:ind w:left="1080" w:right="300" w:hanging="366"/>
        <w:spacing w:after="0" w:line="278"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partner would not breach our partnership agreement by exercising its call rights to purchase limited partnership interests or by assigning its call rights to one of its affiliates or to us.</w:t>
      </w:r>
    </w:p>
    <w:p>
      <w:pPr>
        <w:spacing w:after="0" w:line="17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97" w:lineRule="exact"/>
        <w:rPr>
          <w:sz w:val="20"/>
          <w:szCs w:val="20"/>
          <w:color w:val="auto"/>
        </w:rPr>
      </w:pPr>
    </w:p>
    <w:p>
      <w:pPr>
        <w:ind w:right="20" w:firstLine="713"/>
        <w:spacing w:after="0" w:line="254" w:lineRule="auto"/>
        <w:rPr>
          <w:sz w:val="20"/>
          <w:szCs w:val="20"/>
          <w:color w:val="auto"/>
        </w:rPr>
      </w:pPr>
      <w:r>
        <w:rPr>
          <w:rFonts w:ascii="Times New Roman" w:cs="Times New Roman" w:eastAsia="Times New Roman" w:hAnsi="Times New Roman"/>
          <w:sz w:val="20"/>
          <w:szCs w:val="20"/>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ultimate owners of our general partner to directly or indirectly transfer their ownership interest in our general partner to a third party. Any new owner of our general partner would, subject to obtaining any approvals or consents required under the applicable governing documents for the PAGP entities, be able to replace the board of directors and officers with its own choices and to control their decisions and actions.</w:t>
      </w:r>
    </w:p>
    <w:p>
      <w:pPr>
        <w:spacing w:after="0" w:line="203" w:lineRule="exact"/>
        <w:rPr>
          <w:sz w:val="20"/>
          <w:szCs w:val="20"/>
          <w:color w:val="auto"/>
        </w:rPr>
      </w:pPr>
    </w:p>
    <w:p>
      <w:pPr>
        <w:ind w:right="40" w:firstLine="713"/>
        <w:spacing w:after="0" w:line="255" w:lineRule="auto"/>
        <w:rPr>
          <w:sz w:val="20"/>
          <w:szCs w:val="20"/>
          <w:color w:val="auto"/>
        </w:rPr>
      </w:pPr>
      <w:r>
        <w:rPr>
          <w:rFonts w:ascii="Times New Roman" w:cs="Times New Roman" w:eastAsia="Times New Roman" w:hAnsi="Times New Roman"/>
          <w:sz w:val="20"/>
          <w:szCs w:val="20"/>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an Investment in Our Debt Securities</w:t>
      </w:r>
    </w:p>
    <w:p>
      <w:pPr>
        <w:spacing w:after="0" w:line="244" w:lineRule="exact"/>
        <w:rPr>
          <w:sz w:val="20"/>
          <w:szCs w:val="20"/>
          <w:color w:val="auto"/>
        </w:rPr>
      </w:pPr>
    </w:p>
    <w:p>
      <w:pPr>
        <w:jc w:val="both"/>
        <w:ind w:right="300"/>
        <w:spacing w:after="0" w:line="286" w:lineRule="auto"/>
        <w:rPr>
          <w:sz w:val="20"/>
          <w:szCs w:val="20"/>
          <w:color w:val="auto"/>
        </w:rPr>
      </w:pPr>
      <w:r>
        <w:rPr>
          <w:rFonts w:ascii="Times New Roman" w:cs="Times New Roman" w:eastAsia="Times New Roman" w:hAnsi="Times New Roman"/>
          <w:sz w:val="19"/>
          <w:szCs w:val="19"/>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177" w:lineRule="exact"/>
        <w:rPr>
          <w:sz w:val="20"/>
          <w:szCs w:val="20"/>
          <w:color w:val="auto"/>
        </w:rPr>
      </w:pPr>
    </w:p>
    <w:p>
      <w:pPr>
        <w:ind w:right="20" w:firstLine="713"/>
        <w:spacing w:after="0" w:line="254" w:lineRule="auto"/>
        <w:rPr>
          <w:sz w:val="20"/>
          <w:szCs w:val="20"/>
          <w:color w:val="auto"/>
        </w:rPr>
      </w:pPr>
      <w:r>
        <w:rPr>
          <w:rFonts w:ascii="Times New Roman" w:cs="Times New Roman" w:eastAsia="Times New Roman" w:hAnsi="Times New Roman"/>
          <w:sz w:val="20"/>
          <w:szCs w:val="20"/>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ectPr>
          <w:pgSz w:w="11880" w:h="15480" w:orient="portrait"/>
          <w:cols w:equalWidth="0" w:num="1">
            <w:col w:w="10140"/>
          </w:cols>
          <w:pgMar w:left="860" w:top="68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140"/>
          </w:cols>
          <w:pgMar w:left="860" w:top="683" w:right="880" w:bottom="0" w:gutter="0" w:footer="0" w:header="0"/>
          <w:type w:val="continuous"/>
        </w:sectPr>
      </w:pPr>
    </w:p>
    <w:bookmarkStart w:id="57" w:name="page58"/>
    <w:bookmarkEnd w:id="57"/>
    <w:p>
      <w:pPr>
        <w:ind w:right="28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Our leverage may limit our ability to borrow additional funds, comply with the terms of our indebtedness or capitalize on business opportunities.</w:t>
      </w:r>
    </w:p>
    <w:p>
      <w:pPr>
        <w:spacing w:after="0" w:line="179" w:lineRule="exact"/>
        <w:rPr>
          <w:sz w:val="20"/>
          <w:szCs w:val="20"/>
          <w:color w:val="auto"/>
        </w:rPr>
      </w:pPr>
    </w:p>
    <w:p>
      <w:pPr>
        <w:ind w:right="200" w:firstLine="713"/>
        <w:spacing w:after="0" w:line="254" w:lineRule="auto"/>
        <w:rPr>
          <w:sz w:val="20"/>
          <w:szCs w:val="20"/>
          <w:color w:val="auto"/>
        </w:rPr>
      </w:pPr>
      <w:r>
        <w:rPr>
          <w:rFonts w:ascii="Times New Roman" w:cs="Times New Roman" w:eastAsia="Times New Roman" w:hAnsi="Times New Roman"/>
          <w:sz w:val="20"/>
          <w:szCs w:val="20"/>
          <w:color w:val="auto"/>
        </w:rPr>
        <w:t>Our leverage is significant in relation to our partners’ capital. At December 31, 2022, the face value of our total outstanding long-term debt was approximately $7.3 billion, and the face value of our total outstanding short-term debt was approximately $1.2 billion.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203" w:lineRule="exact"/>
        <w:rPr>
          <w:sz w:val="20"/>
          <w:szCs w:val="20"/>
          <w:color w:val="auto"/>
        </w:rPr>
      </w:pPr>
    </w:p>
    <w:p>
      <w:pPr>
        <w:ind w:right="80" w:firstLine="713"/>
        <w:spacing w:after="0" w:line="251" w:lineRule="auto"/>
        <w:rPr>
          <w:sz w:val="20"/>
          <w:szCs w:val="20"/>
          <w:color w:val="auto"/>
        </w:rPr>
      </w:pPr>
      <w:r>
        <w:rPr>
          <w:rFonts w:ascii="Times New Roman" w:cs="Times New Roman" w:eastAsia="Times New Roman" w:hAnsi="Times New Roman"/>
          <w:sz w:val="20"/>
          <w:szCs w:val="20"/>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205" w:lineRule="exact"/>
        <w:rPr>
          <w:sz w:val="20"/>
          <w:szCs w:val="20"/>
          <w:color w:val="auto"/>
        </w:rPr>
      </w:pPr>
    </w:p>
    <w:p>
      <w:pPr>
        <w:ind w:right="60" w:firstLine="713"/>
        <w:spacing w:after="0" w:line="253" w:lineRule="auto"/>
        <w:rPr>
          <w:sz w:val="20"/>
          <w:szCs w:val="20"/>
          <w:color w:val="auto"/>
        </w:rPr>
      </w:pPr>
      <w:r>
        <w:rPr>
          <w:rFonts w:ascii="Times New Roman" w:cs="Times New Roman" w:eastAsia="Times New Roman" w:hAnsi="Times New Roman"/>
          <w:sz w:val="20"/>
          <w:szCs w:val="20"/>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ability to transfer our debt securities may be limited by the absence of an organized trading market.</w:t>
      </w:r>
    </w:p>
    <w:p>
      <w:pPr>
        <w:spacing w:after="0" w:line="253"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20"/>
          <w:szCs w:val="20"/>
          <w:color w:val="auto"/>
        </w:rPr>
        <w:t>Our debt securities are not listed for trading on any securities exchange or stock market and we do not currently intend to apply for any such listing.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191" w:lineRule="exact"/>
        <w:rPr>
          <w:sz w:val="20"/>
          <w:szCs w:val="20"/>
          <w:color w:val="auto"/>
        </w:rPr>
      </w:pPr>
    </w:p>
    <w:p>
      <w:pPr>
        <w:ind w:right="460"/>
        <w:spacing w:after="0" w:line="311" w:lineRule="auto"/>
        <w:rPr>
          <w:sz w:val="20"/>
          <w:szCs w:val="20"/>
          <w:color w:val="auto"/>
        </w:rPr>
      </w:pPr>
      <w:r>
        <w:rPr>
          <w:rFonts w:ascii="Times New Roman" w:cs="Times New Roman" w:eastAsia="Times New Roman" w:hAnsi="Times New Roman"/>
          <w:sz w:val="19"/>
          <w:szCs w:val="19"/>
          <w:b w:val="1"/>
          <w:bCs w:val="1"/>
          <w:i w:val="1"/>
          <w:iCs w:val="1"/>
          <w:color w:val="auto"/>
        </w:rPr>
        <w:t>We have a holding company structure in which our subsidiaries conduct our operations and own our operating assets, which may restrict our ability to receive funds from such subsidiaries and make payments on our debt securities.</w:t>
      </w:r>
    </w:p>
    <w:p>
      <w:pPr>
        <w:spacing w:after="0" w:line="155" w:lineRule="exact"/>
        <w:rPr>
          <w:sz w:val="20"/>
          <w:szCs w:val="20"/>
          <w:color w:val="auto"/>
        </w:rPr>
      </w:pPr>
    </w:p>
    <w:p>
      <w:pPr>
        <w:ind w:right="40" w:firstLine="713"/>
        <w:spacing w:after="0" w:line="251" w:lineRule="auto"/>
        <w:rPr>
          <w:sz w:val="20"/>
          <w:szCs w:val="20"/>
          <w:color w:val="auto"/>
        </w:rPr>
      </w:pPr>
      <w:r>
        <w:rPr>
          <w:rFonts w:ascii="Times New Roman" w:cs="Times New Roman" w:eastAsia="Times New Roman" w:hAnsi="Times New Roman"/>
          <w:sz w:val="20"/>
          <w:szCs w:val="20"/>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ectPr>
          <w:pgSz w:w="11880" w:h="15480" w:orient="portrait"/>
          <w:cols w:equalWidth="0" w:num="1">
            <w:col w:w="10100"/>
          </w:cols>
          <w:pgMar w:left="860" w:top="6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100"/>
          </w:cols>
          <w:pgMar w:left="860" w:top="675" w:right="920" w:bottom="0" w:gutter="0" w:footer="0" w:header="0"/>
          <w:type w:val="continuous"/>
        </w:sectPr>
      </w:pPr>
    </w:p>
    <w:bookmarkStart w:id="58" w:name="page59"/>
    <w:bookmarkEnd w:id="58"/>
    <w:p>
      <w:pPr>
        <w:ind w:right="32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79" w:lineRule="exact"/>
        <w:rPr>
          <w:sz w:val="20"/>
          <w:szCs w:val="20"/>
          <w:color w:val="auto"/>
        </w:rPr>
      </w:pPr>
    </w:p>
    <w:p>
      <w:pPr>
        <w:ind w:right="60" w:firstLine="713"/>
        <w:spacing w:after="0" w:line="253" w:lineRule="auto"/>
        <w:rPr>
          <w:sz w:val="20"/>
          <w:szCs w:val="20"/>
          <w:color w:val="auto"/>
        </w:rPr>
      </w:pPr>
      <w:r>
        <w:rPr>
          <w:rFonts w:ascii="Times New Roman" w:cs="Times New Roman" w:eastAsia="Times New Roman" w:hAnsi="Times New Roman"/>
          <w:sz w:val="20"/>
          <w:szCs w:val="20"/>
          <w:color w:val="auto"/>
        </w:rPr>
        <w:t>Unlike a corporation, our partnership agreement requires us to distribute, on a quarterly basis, 100% of our available cash to our unitholders of record.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204" w:lineRule="exact"/>
        <w:rPr>
          <w:sz w:val="20"/>
          <w:szCs w:val="20"/>
          <w:color w:val="auto"/>
        </w:rPr>
      </w:pPr>
    </w:p>
    <w:p>
      <w:pPr>
        <w:ind w:left="1080" w:right="480" w:hanging="366"/>
        <w:spacing w:after="0" w:line="278"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proper conduct of our business and the businesses of our operating partnerships (including reserves for future capital expenditures and for our anticipated future credit needs);</w:t>
      </w:r>
    </w:p>
    <w:p>
      <w:pPr>
        <w:spacing w:after="0" w:line="61" w:lineRule="exact"/>
        <w:rPr>
          <w:rFonts w:ascii="Times New Roman" w:cs="Times New Roman" w:eastAsia="Times New Roman" w:hAnsi="Times New Roman"/>
          <w:sz w:val="20"/>
          <w:szCs w:val="20"/>
          <w:color w:val="auto"/>
        </w:rPr>
      </w:pPr>
    </w:p>
    <w:p>
      <w:pPr>
        <w:ind w:left="1080" w:right="420" w:hanging="366"/>
        <w:spacing w:after="0" w:line="278"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applicable law or any loan agreement, security agreement, mortgage, debt instrument or other agreement or obligation;</w:t>
      </w:r>
    </w:p>
    <w:p>
      <w:pPr>
        <w:spacing w:after="0" w:line="61"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funds to make payments on the preferred units; or</w:t>
      </w:r>
    </w:p>
    <w:p>
      <w:pPr>
        <w:spacing w:after="0" w:line="126" w:lineRule="exact"/>
        <w:rPr>
          <w:rFonts w:ascii="Times New Roman" w:cs="Times New Roman" w:eastAsia="Times New Roman" w:hAnsi="Times New Roman"/>
          <w:sz w:val="20"/>
          <w:szCs w:val="20"/>
          <w:color w:val="auto"/>
        </w:rPr>
      </w:pPr>
    </w:p>
    <w:p>
      <w:pPr>
        <w:ind w:left="1080" w:right="640" w:hanging="366"/>
        <w:spacing w:after="0" w:line="278"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funds for distributions to our common unitholders for any one or more of the next four calendar quarters.</w:t>
      </w:r>
    </w:p>
    <w:p>
      <w:pPr>
        <w:spacing w:after="0" w:line="61" w:lineRule="exact"/>
        <w:rPr>
          <w:sz w:val="20"/>
          <w:szCs w:val="20"/>
          <w:color w:val="auto"/>
        </w:rPr>
      </w:pPr>
    </w:p>
    <w:p>
      <w:pPr>
        <w:jc w:val="both"/>
        <w:ind w:right="300" w:firstLine="713"/>
        <w:spacing w:after="0" w:line="263" w:lineRule="auto"/>
        <w:rPr>
          <w:sz w:val="20"/>
          <w:szCs w:val="20"/>
          <w:color w:val="auto"/>
        </w:rPr>
      </w:pPr>
      <w:r>
        <w:rPr>
          <w:rFonts w:ascii="Times New Roman" w:cs="Times New Roman" w:eastAsia="Times New Roman" w:hAnsi="Times New Roman"/>
          <w:sz w:val="20"/>
          <w:szCs w:val="20"/>
          <w:color w:val="auto"/>
        </w:rPr>
        <w:t>Although our payment obligations to our unitholders are subordinate to our payment obligations to debtholders, the value of our units may decrease in direct correlation with decreases in the amount we distribute per unit. Accordingly, if we experience a liquidity problem in the future, we may not be able to issue equity to recapitalize.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Risks to Unitholders</w:t>
      </w:r>
    </w:p>
    <w:p>
      <w:pPr>
        <w:spacing w:after="0" w:line="2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tax treatment depends on our status as a partnership for U.S. federal income tax purposes and not being subject to a material amount of entity-level taxation. If the IRS were to treat us as a corporation for U.S. federal income tax purposes, or we become subject to entity-level taxation for state or foreign tax purposes, our cash available for distributions to our unitholders would be substantially reduced.</w:t>
      </w:r>
    </w:p>
    <w:p>
      <w:pPr>
        <w:spacing w:after="0" w:line="203" w:lineRule="exact"/>
        <w:rPr>
          <w:sz w:val="20"/>
          <w:szCs w:val="20"/>
          <w:color w:val="auto"/>
        </w:rPr>
      </w:pPr>
    </w:p>
    <w:p>
      <w:pPr>
        <w:ind w:right="100" w:firstLine="713"/>
        <w:spacing w:after="0" w:line="252" w:lineRule="auto"/>
        <w:rPr>
          <w:sz w:val="20"/>
          <w:szCs w:val="20"/>
          <w:color w:val="auto"/>
        </w:rPr>
      </w:pPr>
      <w:r>
        <w:rPr>
          <w:rFonts w:ascii="Times New Roman" w:cs="Times New Roman" w:eastAsia="Times New Roman" w:hAnsi="Times New Roman"/>
          <w:sz w:val="20"/>
          <w:szCs w:val="20"/>
          <w:color w:val="auto"/>
        </w:rPr>
        <w:t>The anticipated after-tax economic benefit of an investment in our units depends largely on our being treated as a partnership for U.S. federal income tax purposes. A publicly traded partnership such as us may be treated as a corporation for U.S. federal income tax purposes unless it satisfies a “qualifying income” requirement, as defined in Section 7704 of the Internal Revenue Code of 1986, as amended. Based upon our current operations and current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207" w:lineRule="exact"/>
        <w:rPr>
          <w:sz w:val="20"/>
          <w:szCs w:val="20"/>
          <w:color w:val="auto"/>
        </w:rPr>
      </w:pPr>
    </w:p>
    <w:p>
      <w:pPr>
        <w:ind w:right="40" w:firstLine="713"/>
        <w:spacing w:after="0" w:line="254" w:lineRule="auto"/>
        <w:rPr>
          <w:sz w:val="20"/>
          <w:szCs w:val="20"/>
          <w:color w:val="auto"/>
        </w:rPr>
      </w:pPr>
      <w:r>
        <w:rPr>
          <w:rFonts w:ascii="Times New Roman" w:cs="Times New Roman" w:eastAsia="Times New Roman" w:hAnsi="Times New Roman"/>
          <w:sz w:val="20"/>
          <w:szCs w:val="20"/>
          <w:color w:val="auto"/>
        </w:rPr>
        <w:t>If we were treated as a corporation for U.S. federal income tax purposes, we would pay U.S. federal income tax on our taxable income at the corporate tax rate,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to our unitholders would be substantially reduced. Therefore, treatment of us as a corporation would result in a material reduction in cash flow and after-tax return to our unitholders, likely causing a substantial reduction in the value of our units.</w:t>
      </w:r>
    </w:p>
    <w:p>
      <w:pPr>
        <w:spacing w:after="0" w:line="203" w:lineRule="exact"/>
        <w:rPr>
          <w:sz w:val="20"/>
          <w:szCs w:val="20"/>
          <w:color w:val="auto"/>
        </w:rPr>
      </w:pPr>
    </w:p>
    <w:p>
      <w:pPr>
        <w:ind w:right="80" w:firstLine="713"/>
        <w:spacing w:after="0" w:line="258" w:lineRule="auto"/>
        <w:rPr>
          <w:sz w:val="20"/>
          <w:szCs w:val="20"/>
          <w:color w:val="auto"/>
        </w:rPr>
      </w:pPr>
      <w:r>
        <w:rPr>
          <w:rFonts w:ascii="Times New Roman" w:cs="Times New Roman" w:eastAsia="Times New Roman" w:hAnsi="Times New Roman"/>
          <w:sz w:val="20"/>
          <w:szCs w:val="20"/>
          <w:color w:val="auto"/>
        </w:rPr>
        <w:t>In addition, several states have been evaluating ways to subject partnerships to entity-level taxation through the imposition of state income, franchise and other forms of taxation. For example, we are subject to entity-level tax on the portion of our income apportioned to Texas. Imposition of any similar taxes or additional federal or foreign taxes on us will reduce the cash available for distribution to our unitholders.</w:t>
      </w:r>
    </w:p>
    <w:p>
      <w:pPr>
        <w:spacing w:after="0" w:line="191"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79" w:lineRule="exact"/>
        <w:rPr>
          <w:sz w:val="20"/>
          <w:szCs w:val="20"/>
          <w:color w:val="auto"/>
        </w:rPr>
      </w:pPr>
    </w:p>
    <w:p>
      <w:pPr>
        <w:ind w:right="300" w:firstLine="713"/>
        <w:spacing w:after="0" w:line="275" w:lineRule="auto"/>
        <w:rPr>
          <w:sz w:val="20"/>
          <w:szCs w:val="20"/>
          <w:color w:val="auto"/>
        </w:rPr>
      </w:pPr>
      <w:r>
        <w:rPr>
          <w:rFonts w:ascii="Times New Roman" w:cs="Times New Roman" w:eastAsia="Times New Roman" w:hAnsi="Times New Roman"/>
          <w:sz w:val="19"/>
          <w:szCs w:val="19"/>
          <w:color w:val="auto"/>
        </w:rPr>
        <w:t>The present U.S. federal income tax treatment of publicly traded partnerships, including us, or an investment in our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our ability to qualify for partnership tax treatment.</w:t>
      </w:r>
    </w:p>
    <w:p>
      <w:pPr>
        <w:sectPr>
          <w:pgSz w:w="11880" w:h="15480" w:orient="portrait"/>
          <w:cols w:equalWidth="0" w:num="1">
            <w:col w:w="10140"/>
          </w:cols>
          <w:pgMar w:left="860" w:top="675" w:right="880"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140"/>
          </w:cols>
          <w:pgMar w:left="860" w:top="675" w:right="880" w:bottom="0" w:gutter="0" w:footer="0" w:header="0"/>
          <w:type w:val="continuous"/>
        </w:sectPr>
      </w:pPr>
    </w:p>
    <w:bookmarkStart w:id="59" w:name="page60"/>
    <w:bookmarkEnd w:id="59"/>
    <w:p>
      <w:pPr>
        <w:ind w:right="180" w:firstLine="713"/>
        <w:spacing w:after="0" w:line="258" w:lineRule="auto"/>
        <w:rPr>
          <w:sz w:val="20"/>
          <w:szCs w:val="20"/>
          <w:color w:val="auto"/>
        </w:rPr>
      </w:pPr>
      <w:r>
        <w:rPr>
          <w:rFonts w:ascii="Times New Roman" w:cs="Times New Roman" w:eastAsia="Times New Roman" w:hAnsi="Times New Roman"/>
          <w:sz w:val="20"/>
          <w:szCs w:val="20"/>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199" w:lineRule="exact"/>
        <w:rPr>
          <w:sz w:val="20"/>
          <w:szCs w:val="20"/>
          <w:color w:val="auto"/>
        </w:rPr>
      </w:pPr>
    </w:p>
    <w:p>
      <w:pPr>
        <w:ind w:right="40" w:firstLine="802"/>
        <w:spacing w:after="0" w:line="254" w:lineRule="auto"/>
        <w:rPr>
          <w:sz w:val="20"/>
          <w:szCs w:val="20"/>
          <w:color w:val="auto"/>
        </w:rPr>
      </w:pPr>
      <w:r>
        <w:rPr>
          <w:rFonts w:ascii="Times New Roman" w:cs="Times New Roman" w:eastAsia="Times New Roman" w:hAnsi="Times New Roman"/>
          <w:sz w:val="20"/>
          <w:szCs w:val="20"/>
          <w:color w:val="auto"/>
        </w:rPr>
        <w:t>Any modification to the U.S. federal income tax laws and interpretations thereof may or may not be retroactively applied and could make it more difficult or impossible for us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an investment in our units. You are urged to consult with your own tax advisor with respect to the status of regulatory or administrative developments and proposals and their potential effect on your investment in our units.</w:t>
      </w:r>
    </w:p>
    <w:p>
      <w:pPr>
        <w:spacing w:after="0" w:line="195"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Non-U.S. unitholders will be subject to U.S. taxes and withholding with respect to their income and gain from owning our units.</w:t>
      </w:r>
    </w:p>
    <w:p>
      <w:pPr>
        <w:spacing w:after="0" w:line="179" w:lineRule="exact"/>
        <w:rPr>
          <w:sz w:val="20"/>
          <w:szCs w:val="20"/>
          <w:color w:val="auto"/>
        </w:rPr>
      </w:pPr>
    </w:p>
    <w:p>
      <w:pPr>
        <w:ind w:right="20" w:firstLine="713"/>
        <w:spacing w:after="0" w:line="250" w:lineRule="auto"/>
        <w:rPr>
          <w:sz w:val="20"/>
          <w:szCs w:val="20"/>
          <w:color w:val="auto"/>
        </w:rPr>
      </w:pPr>
      <w:r>
        <w:rPr>
          <w:rFonts w:ascii="Times New Roman" w:cs="Times New Roman" w:eastAsia="Times New Roman" w:hAnsi="Times New Roman"/>
          <w:sz w:val="20"/>
          <w:szCs w:val="20"/>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 to the extent the gain is effectively connected with a U.S. trade or business of the Non-U.S. unitholder. In addition to the withholding tax imposed on distributions of effectively connected income, distributions to a non-U.S. unitholder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spacing w:after="0" w:line="212" w:lineRule="exact"/>
        <w:rPr>
          <w:sz w:val="20"/>
          <w:szCs w:val="20"/>
          <w:color w:val="auto"/>
        </w:rPr>
      </w:pPr>
    </w:p>
    <w:p>
      <w:pPr>
        <w:ind w:right="80" w:firstLine="713"/>
        <w:spacing w:after="0" w:line="251" w:lineRule="auto"/>
        <w:rPr>
          <w:sz w:val="20"/>
          <w:szCs w:val="20"/>
          <w:color w:val="auto"/>
        </w:rPr>
      </w:pPr>
      <w:r>
        <w:rPr>
          <w:rFonts w:ascii="Times New Roman" w:cs="Times New Roman" w:eastAsia="Times New Roman" w:hAnsi="Times New Roman"/>
          <w:sz w:val="20"/>
          <w:szCs w:val="20"/>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units.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Risks to Common Unitholders</w:t>
      </w:r>
    </w:p>
    <w:p>
      <w:pPr>
        <w:spacing w:after="0" w:line="24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w:t>
      </w:r>
    </w:p>
    <w:p>
      <w:pPr>
        <w:spacing w:after="0" w:line="203" w:lineRule="exact"/>
        <w:rPr>
          <w:sz w:val="20"/>
          <w:szCs w:val="20"/>
          <w:color w:val="auto"/>
        </w:rPr>
      </w:pPr>
    </w:p>
    <w:p>
      <w:pPr>
        <w:ind w:firstLine="713"/>
        <w:spacing w:after="0" w:line="265" w:lineRule="auto"/>
        <w:rPr>
          <w:sz w:val="20"/>
          <w:szCs w:val="20"/>
          <w:color w:val="auto"/>
        </w:rPr>
      </w:pPr>
      <w:r>
        <w:rPr>
          <w:rFonts w:ascii="Times New Roman" w:cs="Times New Roman" w:eastAsia="Times New Roman" w:hAnsi="Times New Roman"/>
          <w:sz w:val="19"/>
          <w:szCs w:val="19"/>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These rules are not applicable for tax years beginning on or prior to December 31, 2017.</w:t>
      </w:r>
    </w:p>
    <w:p>
      <w:pPr>
        <w:sectPr>
          <w:pgSz w:w="11880" w:h="15480" w:orient="portrait"/>
          <w:cols w:equalWidth="0" w:num="1">
            <w:col w:w="10160"/>
          </w:cols>
          <w:pgMar w:left="860" w:top="921" w:right="860" w:bottom="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160"/>
          </w:cols>
          <w:pgMar w:left="860" w:top="921" w:right="860" w:bottom="0" w:gutter="0" w:footer="0" w:header="0"/>
          <w:type w:val="continuous"/>
        </w:sectPr>
      </w:pPr>
    </w:p>
    <w:bookmarkStart w:id="60" w:name="page61"/>
    <w:bookmarkEnd w:id="60"/>
    <w:p>
      <w:pPr>
        <w:ind w:right="2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If the IRS or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197"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color w:val="auto"/>
        </w:rPr>
        <w:t>The IRS has made no determination as to our status as a partnership for U.S.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 See Note 15 for additional information regarding CRA challenge of intercompany transactions.</w:t>
      </w:r>
    </w:p>
    <w:p>
      <w:pPr>
        <w:spacing w:after="0" w:line="19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Our unitholders may be required to pay taxes on their share of our income even if they do not receive any cash distributions from us.</w:t>
      </w:r>
    </w:p>
    <w:p>
      <w:pPr>
        <w:spacing w:after="0" w:line="179" w:lineRule="exact"/>
        <w:rPr>
          <w:sz w:val="20"/>
          <w:szCs w:val="20"/>
          <w:color w:val="auto"/>
        </w:rPr>
      </w:pPr>
    </w:p>
    <w:p>
      <w:pPr>
        <w:ind w:right="80" w:firstLine="713"/>
        <w:spacing w:after="0" w:line="255" w:lineRule="auto"/>
        <w:rPr>
          <w:sz w:val="20"/>
          <w:szCs w:val="20"/>
          <w:color w:val="auto"/>
        </w:rPr>
      </w:pPr>
      <w:r>
        <w:rPr>
          <w:rFonts w:ascii="Times New Roman" w:cs="Times New Roman" w:eastAsia="Times New Roman" w:hAnsi="Times New Roman"/>
          <w:sz w:val="20"/>
          <w:szCs w:val="20"/>
          <w:color w:val="auto"/>
        </w:rPr>
        <w:t>Because our unitholders will be treated as partners to whom we will allocate taxable income that could be different in amount than the cash we distribute, they will be required to pay any U.S.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Taxable gain or loss on the disposition of our common units could be more or less than expected.</w:t>
      </w:r>
    </w:p>
    <w:p>
      <w:pPr>
        <w:spacing w:after="0" w:line="253" w:lineRule="exact"/>
        <w:rPr>
          <w:sz w:val="20"/>
          <w:szCs w:val="20"/>
          <w:color w:val="auto"/>
        </w:rPr>
      </w:pPr>
    </w:p>
    <w:p>
      <w:pPr>
        <w:ind w:firstLine="713"/>
        <w:spacing w:after="0" w:line="253" w:lineRule="auto"/>
        <w:rPr>
          <w:sz w:val="20"/>
          <w:szCs w:val="20"/>
          <w:color w:val="auto"/>
        </w:rPr>
      </w:pPr>
      <w:r>
        <w:rPr>
          <w:rFonts w:ascii="Times New Roman" w:cs="Times New Roman" w:eastAsia="Times New Roman" w:hAnsi="Times New Roman"/>
          <w:sz w:val="20"/>
          <w:szCs w:val="20"/>
          <w:color w:val="auto"/>
        </w:rPr>
        <w:t>If a unitholder sells common units, the unitholder will recognize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204" w:lineRule="exact"/>
        <w:rPr>
          <w:sz w:val="20"/>
          <w:szCs w:val="20"/>
          <w:color w:val="auto"/>
        </w:rPr>
      </w:pPr>
    </w:p>
    <w:p>
      <w:pPr>
        <w:ind w:right="40" w:firstLine="713"/>
        <w:spacing w:after="0" w:line="253" w:lineRule="auto"/>
        <w:rPr>
          <w:sz w:val="20"/>
          <w:szCs w:val="20"/>
          <w:color w:val="auto"/>
        </w:rPr>
      </w:pPr>
      <w:r>
        <w:rPr>
          <w:rFonts w:ascii="Times New Roman" w:cs="Times New Roman" w:eastAsia="Times New Roman" w:hAnsi="Times New Roman"/>
          <w:sz w:val="20"/>
          <w:szCs w:val="20"/>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Unitholders may be subject to limitation on their ability to deduct interest expense incurred by us.</w:t>
      </w:r>
    </w:p>
    <w:p>
      <w:pPr>
        <w:spacing w:after="0" w:line="253" w:lineRule="exact"/>
        <w:rPr>
          <w:sz w:val="20"/>
          <w:szCs w:val="20"/>
          <w:color w:val="auto"/>
        </w:rPr>
      </w:pPr>
    </w:p>
    <w:p>
      <w:pPr>
        <w:ind w:right="40" w:firstLine="713"/>
        <w:spacing w:after="0" w:line="255" w:lineRule="auto"/>
        <w:rPr>
          <w:sz w:val="20"/>
          <w:szCs w:val="20"/>
          <w:color w:val="auto"/>
        </w:rPr>
      </w:pPr>
      <w:r>
        <w:rPr>
          <w:rFonts w:ascii="Times New Roman" w:cs="Times New Roman" w:eastAsia="Times New Roman" w:hAnsi="Times New Roman"/>
          <w:sz w:val="20"/>
          <w:szCs w:val="20"/>
          <w:color w:val="auto"/>
        </w:rPr>
        <w:t>In general, we are entitled to a deduction for interest paid or accrued on indebtedness properly allocable to our trade or business during our taxable year. However, for taxable years beginning after December 31, 2017,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w:t>
      </w:r>
    </w:p>
    <w:p>
      <w:pPr>
        <w:spacing w:after="0" w:line="204" w:lineRule="exact"/>
        <w:rPr>
          <w:sz w:val="20"/>
          <w:szCs w:val="20"/>
          <w:color w:val="auto"/>
        </w:rPr>
      </w:pPr>
    </w:p>
    <w:p>
      <w:pPr>
        <w:ind w:right="180" w:firstLine="713"/>
        <w:spacing w:after="0" w:line="263" w:lineRule="auto"/>
        <w:rPr>
          <w:sz w:val="20"/>
          <w:szCs w:val="20"/>
          <w:color w:val="auto"/>
        </w:rPr>
      </w:pPr>
      <w:r>
        <w:rPr>
          <w:rFonts w:ascii="Times New Roman" w:cs="Times New Roman" w:eastAsia="Times New Roman" w:hAnsi="Times New Roman"/>
          <w:sz w:val="20"/>
          <w:szCs w:val="20"/>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ectPr>
          <w:pgSz w:w="11880" w:h="15480" w:orient="portrait"/>
          <w:cols w:equalWidth="0" w:num="1">
            <w:col w:w="10140"/>
          </w:cols>
          <w:pgMar w:left="860" w:top="91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140"/>
          </w:cols>
          <w:pgMar w:left="860" w:top="912" w:right="880" w:bottom="0" w:gutter="0" w:footer="0" w:header="0"/>
          <w:type w:val="continuous"/>
        </w:sectPr>
      </w:pPr>
    </w:p>
    <w:bookmarkStart w:id="61" w:name="page62"/>
    <w:bookmarkEnd w:id="61"/>
    <w:p>
      <w:pPr>
        <w:ind w:right="22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Tax-exempt entities face unique tax issues from owning our common units that may result in adverse tax consequences to them.</w:t>
      </w:r>
    </w:p>
    <w:p>
      <w:pPr>
        <w:spacing w:after="0" w:line="179" w:lineRule="exact"/>
        <w:rPr>
          <w:sz w:val="20"/>
          <w:szCs w:val="20"/>
          <w:color w:val="auto"/>
        </w:rPr>
      </w:pPr>
    </w:p>
    <w:p>
      <w:pPr>
        <w:ind w:right="80" w:firstLine="713"/>
        <w:spacing w:after="0" w:line="258" w:lineRule="auto"/>
        <w:rPr>
          <w:sz w:val="20"/>
          <w:szCs w:val="20"/>
          <w:color w:val="auto"/>
        </w:rPr>
      </w:pPr>
      <w:r>
        <w:rPr>
          <w:rFonts w:ascii="Times New Roman" w:cs="Times New Roman" w:eastAsia="Times New Roman" w:hAnsi="Times New Roman"/>
          <w:sz w:val="20"/>
          <w:szCs w:val="20"/>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Tax-exempt entities should consult a tax advisor before investing in our common units.</w:t>
      </w:r>
    </w:p>
    <w:p>
      <w:pPr>
        <w:spacing w:after="0" w:line="191"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179" w:lineRule="exact"/>
        <w:rPr>
          <w:sz w:val="20"/>
          <w:szCs w:val="20"/>
          <w:color w:val="auto"/>
        </w:rPr>
      </w:pPr>
    </w:p>
    <w:p>
      <w:pPr>
        <w:ind w:firstLine="713"/>
        <w:spacing w:after="0" w:line="255" w:lineRule="auto"/>
        <w:rPr>
          <w:sz w:val="20"/>
          <w:szCs w:val="20"/>
          <w:color w:val="auto"/>
        </w:rPr>
      </w:pPr>
      <w:r>
        <w:rPr>
          <w:rFonts w:ascii="Times New Roman" w:cs="Times New Roman" w:eastAsia="Times New Roman" w:hAnsi="Times New Roman"/>
          <w:sz w:val="20"/>
          <w:szCs w:val="20"/>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196" w:lineRule="exact"/>
        <w:rPr>
          <w:sz w:val="20"/>
          <w:szCs w:val="20"/>
          <w:color w:val="auto"/>
        </w:rPr>
      </w:pPr>
    </w:p>
    <w:p>
      <w:pPr>
        <w:ind w:right="78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79" w:lineRule="exact"/>
        <w:rPr>
          <w:sz w:val="20"/>
          <w:szCs w:val="20"/>
          <w:color w:val="auto"/>
        </w:rPr>
      </w:pPr>
    </w:p>
    <w:p>
      <w:pPr>
        <w:ind w:right="120" w:firstLine="713"/>
        <w:spacing w:after="0" w:line="251" w:lineRule="auto"/>
        <w:rPr>
          <w:sz w:val="20"/>
          <w:szCs w:val="20"/>
          <w:color w:val="auto"/>
        </w:rPr>
      </w:pPr>
      <w:r>
        <w:rPr>
          <w:rFonts w:ascii="Times New Roman" w:cs="Times New Roman" w:eastAsia="Times New Roman" w:hAnsi="Times New Roman"/>
          <w:sz w:val="20"/>
          <w:szCs w:val="20"/>
          <w:color w:val="auto"/>
        </w:rPr>
        <w:t>In addition to U.S. federal income taxes, our unitholders will likely be subject to other taxes, including foreign,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multiple states that currently impose a personal income tax on individuals and an income tax on corporations and other entities. It is our unitholders’ responsibility to file all U.S. federal, state, local and non-U.S. tax returns, as applicable. Unitholders should consult with their own tax advisors regarding the filing of such tax returns, the payment of such taxes, and the deductibility of any taxes paid.</w:t>
      </w:r>
    </w:p>
    <w:p>
      <w:pPr>
        <w:spacing w:after="0" w:line="20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197" w:lineRule="exact"/>
        <w:rPr>
          <w:sz w:val="20"/>
          <w:szCs w:val="20"/>
          <w:color w:val="auto"/>
        </w:rPr>
      </w:pPr>
    </w:p>
    <w:p>
      <w:pPr>
        <w:ind w:right="200" w:firstLine="802"/>
        <w:spacing w:after="0" w:line="255" w:lineRule="auto"/>
        <w:rPr>
          <w:sz w:val="20"/>
          <w:szCs w:val="20"/>
          <w:color w:val="auto"/>
        </w:rPr>
      </w:pPr>
      <w:r>
        <w:rPr>
          <w:rFonts w:ascii="Times New Roman" w:cs="Times New Roman" w:eastAsia="Times New Roman" w:hAnsi="Times New Roman"/>
          <w:sz w:val="20"/>
          <w:szCs w:val="20"/>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204" w:lineRule="exact"/>
        <w:rPr>
          <w:sz w:val="20"/>
          <w:szCs w:val="20"/>
          <w:color w:val="auto"/>
        </w:rPr>
      </w:pPr>
    </w:p>
    <w:p>
      <w:pPr>
        <w:ind w:right="40" w:firstLine="713"/>
        <w:spacing w:after="0" w:line="258" w:lineRule="auto"/>
        <w:rPr>
          <w:sz w:val="20"/>
          <w:szCs w:val="20"/>
          <w:color w:val="auto"/>
        </w:rPr>
      </w:pPr>
      <w:r>
        <w:rPr>
          <w:rFonts w:ascii="Times New Roman" w:cs="Times New Roman" w:eastAsia="Times New Roman" w:hAnsi="Times New Roman"/>
          <w:sz w:val="20"/>
          <w:szCs w:val="20"/>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 unitholder whose common units are the subject of a securities loan (e.g., a loan to a “short seller” to cover a short sale of common units) may be considered to have disposed of those common units. If so, such unitholder would no longer be treated for tax purposes as a partner with respect to those common units during the period of the loan and may recognize gain or loss from the disposition.</w:t>
      </w:r>
    </w:p>
    <w:p>
      <w:pPr>
        <w:spacing w:after="0" w:line="203" w:lineRule="exact"/>
        <w:rPr>
          <w:sz w:val="20"/>
          <w:szCs w:val="20"/>
          <w:color w:val="auto"/>
        </w:rPr>
      </w:pPr>
    </w:p>
    <w:p>
      <w:pPr>
        <w:ind w:right="60" w:firstLine="713"/>
        <w:spacing w:after="0" w:line="251" w:lineRule="auto"/>
        <w:rPr>
          <w:sz w:val="20"/>
          <w:szCs w:val="20"/>
          <w:color w:val="auto"/>
        </w:rPr>
      </w:pPr>
      <w:r>
        <w:rPr>
          <w:rFonts w:ascii="Times New Roman" w:cs="Times New Roman" w:eastAsia="Times New Roman" w:hAnsi="Times New Roman"/>
          <w:sz w:val="20"/>
          <w:szCs w:val="20"/>
          <w:color w:val="auto"/>
        </w:rPr>
        <w:t>Because there are no specific rules governing the U.S. federal income tax consequences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to the short seller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common units.</w:t>
      </w:r>
    </w:p>
    <w:p>
      <w:pPr>
        <w:sectPr>
          <w:pgSz w:w="11880" w:h="15480" w:orient="portrait"/>
          <w:cols w:equalWidth="0" w:num="1">
            <w:col w:w="10140"/>
          </w:cols>
          <w:pgMar w:left="860" w:top="675" w:right="880"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140"/>
          </w:cols>
          <w:pgMar w:left="860" w:top="675" w:right="880" w:bottom="0" w:gutter="0" w:footer="0" w:header="0"/>
          <w:type w:val="continuous"/>
        </w:sectPr>
      </w:pPr>
    </w:p>
    <w:bookmarkStart w:id="62" w:name="page63"/>
    <w:bookmarkEnd w:id="62"/>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203" w:lineRule="exact"/>
        <w:rPr>
          <w:sz w:val="20"/>
          <w:szCs w:val="20"/>
          <w:color w:val="auto"/>
        </w:rPr>
      </w:pPr>
    </w:p>
    <w:p>
      <w:pPr>
        <w:ind w:right="100" w:firstLine="713"/>
        <w:spacing w:after="0" w:line="252" w:lineRule="auto"/>
        <w:rPr>
          <w:sz w:val="20"/>
          <w:szCs w:val="20"/>
          <w:color w:val="auto"/>
        </w:rPr>
      </w:pPr>
      <w:r>
        <w:rPr>
          <w:rFonts w:ascii="Times New Roman" w:cs="Times New Roman" w:eastAsia="Times New Roman" w:hAnsi="Times New Roman"/>
          <w:sz w:val="20"/>
          <w:szCs w:val="20"/>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(i) depreciation and amortization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198"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Taxable income from our non-U.S. businesses is not eligible for the 20% deduction for qualified publicly traded partnership income.</w:t>
      </w:r>
    </w:p>
    <w:p>
      <w:pPr>
        <w:spacing w:after="0" w:line="179" w:lineRule="exact"/>
        <w:rPr>
          <w:sz w:val="20"/>
          <w:szCs w:val="20"/>
          <w:color w:val="auto"/>
        </w:rPr>
      </w:pPr>
    </w:p>
    <w:p>
      <w:pPr>
        <w:ind w:firstLine="713"/>
        <w:spacing w:after="0" w:line="269" w:lineRule="auto"/>
        <w:rPr>
          <w:sz w:val="20"/>
          <w:szCs w:val="20"/>
          <w:color w:val="auto"/>
        </w:rPr>
      </w:pPr>
      <w:r>
        <w:rPr>
          <w:rFonts w:ascii="Times New Roman" w:cs="Times New Roman" w:eastAsia="Times New Roman" w:hAnsi="Times New Roman"/>
          <w:sz w:val="19"/>
          <w:szCs w:val="19"/>
          <w:color w:val="auto"/>
        </w:rPr>
        <w:t>For taxable years beginning after December 31, 2017 and ending on or before December 31, 2025, an individual unitholder is generally allowed a deduction equal to 20% of our “qualified publicly traded partnership income” that is allocated to such unitholder. For purposes of the deduction, the term qualified publicly traded partnership income includes the net amount of such unitholder’s allocable share of our income that is effectively connected to our U.S. trade or business activities. Because our non-U.S. business operations earn income that is not effectively connected with a U.S. trade or business, unitholders may not apply the 20% deduction for qualified publicly traded partnership income to that portion of our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Risks to Series B Preferred Unitholders</w:t>
      </w:r>
    </w:p>
    <w:p>
      <w:pPr>
        <w:spacing w:after="0" w:line="244"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pacing w:after="0" w:line="197" w:lineRule="exact"/>
        <w:rPr>
          <w:sz w:val="20"/>
          <w:szCs w:val="20"/>
          <w:color w:val="auto"/>
        </w:rPr>
      </w:pPr>
    </w:p>
    <w:p>
      <w:pPr>
        <w:ind w:firstLine="713"/>
        <w:spacing w:after="0" w:line="264" w:lineRule="auto"/>
        <w:rPr>
          <w:sz w:val="20"/>
          <w:szCs w:val="20"/>
          <w:color w:val="auto"/>
        </w:rPr>
      </w:pPr>
      <w:r>
        <w:rPr>
          <w:rFonts w:ascii="Times New Roman" w:cs="Times New Roman" w:eastAsia="Times New Roman" w:hAnsi="Times New Roman"/>
          <w:sz w:val="19"/>
          <w:szCs w:val="19"/>
          <w:color w:val="auto"/>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 holder of our Series B Preferred Units could recognize taxable income from the accrual of such income even in the absence of a contemporaneous cash distribution. We anticipate accruing and making quarterly guaranteed payment distributions on February 15th, May 15th, August 15th and November 15th of each year.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The Partnership will not allocate any share of our nonrecourse liabilities to the holders of Series B Preferred Units. If the Series B Preferred Units were treated as indebtedness for tax purposes, rather than as guaranteed payments for the use of capital, distributions likely would be treated as payments of interest by us to the holders of Series B Preferred Units.</w:t>
      </w:r>
    </w:p>
    <w:p>
      <w:pPr>
        <w:spacing w:after="0" w:line="194" w:lineRule="exact"/>
        <w:rPr>
          <w:sz w:val="20"/>
          <w:szCs w:val="20"/>
          <w:color w:val="auto"/>
        </w:rPr>
      </w:pPr>
    </w:p>
    <w:p>
      <w:pPr>
        <w:ind w:right="260" w:firstLine="713"/>
        <w:spacing w:after="0" w:line="255" w:lineRule="auto"/>
        <w:rPr>
          <w:sz w:val="20"/>
          <w:szCs w:val="20"/>
          <w:color w:val="auto"/>
        </w:rPr>
      </w:pPr>
      <w:r>
        <w:rPr>
          <w:rFonts w:ascii="Times New Roman" w:cs="Times New Roman" w:eastAsia="Times New Roman" w:hAnsi="Times New Roman"/>
          <w:sz w:val="20"/>
          <w:szCs w:val="20"/>
          <w:color w:val="auto"/>
        </w:rPr>
        <w:t>Although we expect that a substantial portion of the income we earn will be eligible for the 20% deduction for qualified publicly traded partnership income, Treasury Regulations provide that income attributable to a guaranteed payment for the use of capital is not eligible for the 20% deduction for qualified business income. As a result, income attributable to a guaranteed payment for use of capital recognized by holders of our Series B Preferred Units is not eligible for the 20% deduction for qualified business income.</w:t>
      </w:r>
    </w:p>
    <w:p>
      <w:pPr>
        <w:sectPr>
          <w:pgSz w:w="11880" w:h="15480" w:orient="portrait"/>
          <w:cols w:equalWidth="0" w:num="1">
            <w:col w:w="10140"/>
          </w:cols>
          <w:pgMar w:left="860" w:top="91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140"/>
          </w:cols>
          <w:pgMar w:left="860" w:top="912" w:right="880" w:bottom="0" w:gutter="0" w:footer="0" w:header="0"/>
          <w:type w:val="continuous"/>
        </w:sectPr>
      </w:pPr>
    </w:p>
    <w:bookmarkStart w:id="63" w:name="page64"/>
    <w:bookmarkEnd w:id="63"/>
    <w:p>
      <w:pPr>
        <w:ind w:right="60" w:firstLine="713"/>
        <w:spacing w:after="0" w:line="251" w:lineRule="auto"/>
        <w:rPr>
          <w:sz w:val="20"/>
          <w:szCs w:val="20"/>
          <w:color w:val="auto"/>
        </w:rPr>
      </w:pPr>
      <w:r>
        <w:rPr>
          <w:rFonts w:ascii="Times New Roman" w:cs="Times New Roman" w:eastAsia="Times New Roman" w:hAnsi="Times New Roman"/>
          <w:sz w:val="20"/>
          <w:szCs w:val="20"/>
          <w:color w:val="auto"/>
        </w:rPr>
        <w:t>A holder of Series B Preferred Units will be required to recognize gain or loss on a sale of Series B Units equal to the difference between the amount realized by such holder and such holder’s tax basis in the Series B Preferred Units.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generally not be allocated a share of our items of depreciation, depletion or amortization, it is not anticipated that such holders would be required to recharacterize any portion of their gain as ordinary income as a result of the recapture rules.</w:t>
      </w:r>
    </w:p>
    <w:p>
      <w:pPr>
        <w:spacing w:after="0" w:line="208"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color w:val="auto"/>
        </w:rPr>
        <w:t>Investment in the Series B Preferred Units by tax-exempt investors, such as employee benefit plans and individual retirement accounts, and non-U.S. persons raises issues unique to them. The treatment of guaranteed payments for the use of capital to tax-exempt investors is not certain and such payments may be treated as unrelated business taxable income for U.S. federal income tax purposes. Although the issue is not free from doubt, we will treat a substantial portion of our distributions to non-U.S. holders of the Series B Preferred Units as “effectively connected income” (which will subject holders to U.S. net income taxation and possibly the branch profits tax) that is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w:t>
      </w:r>
    </w:p>
    <w:p>
      <w:pPr>
        <w:spacing w:after="0" w:line="207" w:lineRule="exact"/>
        <w:rPr>
          <w:sz w:val="20"/>
          <w:szCs w:val="20"/>
          <w:color w:val="auto"/>
        </w:rPr>
      </w:pPr>
    </w:p>
    <w:p>
      <w:pPr>
        <w:ind w:right="480" w:firstLine="713"/>
        <w:spacing w:after="0" w:line="278" w:lineRule="auto"/>
        <w:rPr>
          <w:sz w:val="20"/>
          <w:szCs w:val="20"/>
          <w:color w:val="auto"/>
        </w:rPr>
      </w:pPr>
      <w:r>
        <w:rPr>
          <w:rFonts w:ascii="Times New Roman" w:cs="Times New Roman" w:eastAsia="Times New Roman" w:hAnsi="Times New Roman"/>
          <w:sz w:val="20"/>
          <w:szCs w:val="20"/>
          <w:color w:val="auto"/>
        </w:rPr>
        <w:t>All holders of our Series B Preferred Units are urged to consult a tax advisor with respect to the consequences of owning our Series B Preferred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1B. </w:t>
      </w:r>
      <w:r>
        <w:rPr>
          <w:rFonts w:ascii="Times New Roman" w:cs="Times New Roman" w:eastAsia="Times New Roman" w:hAnsi="Times New Roman"/>
          <w:sz w:val="20"/>
          <w:szCs w:val="20"/>
          <w:b w:val="1"/>
          <w:bCs w:val="1"/>
          <w:i w:val="1"/>
          <w:iCs w:val="1"/>
          <w:color w:val="auto"/>
        </w:rPr>
        <w:t>Unresolved Staff Comments</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i w:val="1"/>
          <w:iCs w:val="1"/>
          <w:color w:val="auto"/>
        </w:rPr>
        <w:t>Legal Proceedings</w:t>
      </w:r>
    </w:p>
    <w:p>
      <w:pPr>
        <w:spacing w:after="0" w:line="253" w:lineRule="exact"/>
        <w:rPr>
          <w:sz w:val="20"/>
          <w:szCs w:val="20"/>
          <w:color w:val="auto"/>
        </w:rPr>
      </w:pPr>
    </w:p>
    <w:p>
      <w:pPr>
        <w:ind w:right="740" w:firstLine="713"/>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is included in Note 19 to our Consolidated Financial Statements, and is incorporated herein by reference thereto.</w:t>
      </w:r>
    </w:p>
    <w:p>
      <w:pPr>
        <w:spacing w:after="0" w:line="172" w:lineRule="exact"/>
        <w:rPr>
          <w:sz w:val="20"/>
          <w:szCs w:val="20"/>
          <w:color w:val="auto"/>
        </w:rPr>
      </w:pPr>
    </w:p>
    <w:p>
      <w:pPr>
        <w:jc w:val="center"/>
        <w:ind w:right="7500"/>
        <w:spacing w:after="0"/>
        <w:rPr>
          <w:sz w:val="20"/>
          <w:szCs w:val="20"/>
          <w:color w:val="auto"/>
        </w:rPr>
      </w:pPr>
      <w:r>
        <w:rPr>
          <w:rFonts w:ascii="Times New Roman" w:cs="Times New Roman" w:eastAsia="Times New Roman" w:hAnsi="Times New Roman"/>
          <w:sz w:val="19"/>
          <w:szCs w:val="19"/>
          <w:b w:val="1"/>
          <w:bCs w:val="1"/>
          <w:color w:val="auto"/>
        </w:rPr>
        <w:t xml:space="preserve">Item 4. </w:t>
      </w:r>
      <w:r>
        <w:rPr>
          <w:rFonts w:ascii="Times New Roman" w:cs="Times New Roman" w:eastAsia="Times New Roman" w:hAnsi="Times New Roman"/>
          <w:sz w:val="19"/>
          <w:szCs w:val="19"/>
          <w:b w:val="1"/>
          <w:bCs w:val="1"/>
          <w:i w:val="1"/>
          <w:iCs w:val="1"/>
          <w:color w:val="auto"/>
        </w:rPr>
        <w:t>Mine Safety Disclosures</w:t>
      </w:r>
    </w:p>
    <w:p>
      <w:pPr>
        <w:spacing w:after="0" w:line="265"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120"/>
          </w:cols>
          <w:pgMar w:left="860" w:top="68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120"/>
          </w:cols>
          <w:pgMar w:left="860" w:top="683" w:right="900" w:bottom="0" w:gutter="0" w:footer="0" w:header="0"/>
          <w:type w:val="continuous"/>
        </w:sectPr>
      </w:pPr>
    </w:p>
    <w:bookmarkStart w:id="64" w:name="page65"/>
    <w:bookmarkEnd w:id="64"/>
    <w:p>
      <w:pPr>
        <w:ind w:left="470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i w:val="1"/>
          <w:iCs w:val="1"/>
          <w:color w:val="auto"/>
        </w:rPr>
        <w:t>Market for Registrant’s Common Units, Related Unitholder Matters and Issuer Purchases of Equity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Holders and Distributions</w:t>
      </w:r>
    </w:p>
    <w:p>
      <w:pPr>
        <w:spacing w:after="0" w:line="252" w:lineRule="exact"/>
        <w:rPr>
          <w:sz w:val="20"/>
          <w:szCs w:val="20"/>
          <w:color w:val="auto"/>
        </w:rPr>
      </w:pPr>
    </w:p>
    <w:p>
      <w:pPr>
        <w:ind w:firstLine="713"/>
        <w:spacing w:after="0" w:line="263" w:lineRule="auto"/>
        <w:rPr>
          <w:sz w:val="20"/>
          <w:szCs w:val="20"/>
          <w:color w:val="auto"/>
        </w:rPr>
      </w:pPr>
      <w:r>
        <w:rPr>
          <w:rFonts w:ascii="Times New Roman" w:cs="Times New Roman" w:eastAsia="Times New Roman" w:hAnsi="Times New Roman"/>
          <w:sz w:val="20"/>
          <w:szCs w:val="20"/>
          <w:color w:val="auto"/>
        </w:rPr>
        <w:t>Our common units are listed and traded on The Nasdaq Global Select Market under the symbol “PAA.” As of February 14, 2023, there were 698,390,006 common units outstanding and approximately 103,000 record holders and beneficial owners (held in street name).</w:t>
      </w:r>
    </w:p>
    <w:p>
      <w:pPr>
        <w:spacing w:after="0" w:line="194" w:lineRule="exact"/>
        <w:rPr>
          <w:sz w:val="20"/>
          <w:szCs w:val="20"/>
          <w:color w:val="auto"/>
        </w:rPr>
      </w:pPr>
    </w:p>
    <w:p>
      <w:pPr>
        <w:ind w:right="300" w:firstLine="713"/>
        <w:spacing w:after="0" w:line="263" w:lineRule="auto"/>
        <w:rPr>
          <w:sz w:val="20"/>
          <w:szCs w:val="20"/>
          <w:color w:val="auto"/>
        </w:rPr>
      </w:pPr>
      <w:r>
        <w:rPr>
          <w:rFonts w:ascii="Times New Roman" w:cs="Times New Roman" w:eastAsia="Times New Roman" w:hAnsi="Times New Roman"/>
          <w:sz w:val="20"/>
          <w:szCs w:val="20"/>
          <w:color w:val="auto"/>
        </w:rPr>
        <w:t>The following table presents cash distributions per common unit pertaining to the quarter presented, which were declared and paid in the following calendar quarter (see the “Cash Distribution Policy” section below for a discussion of our policy regarding distribution payments):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90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8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w w:val="99"/>
              </w:rPr>
              <w:t>Second Quarter</w:t>
            </w:r>
          </w:p>
        </w:tc>
        <w:tc>
          <w:tcPr>
            <w:tcW w:w="6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8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w w:val="99"/>
              </w:rPr>
              <w:t>Fourth Quarter</w:t>
            </w:r>
          </w:p>
        </w:tc>
      </w:tr>
      <w:tr>
        <w:trPr>
          <w:trHeight w:val="287"/>
        </w:trPr>
        <w:tc>
          <w:tcPr>
            <w:tcW w:w="3900" w:type="dxa"/>
            <w:vAlign w:val="bottom"/>
            <w:shd w:val="clear" w:color="auto" w:fill="E6E6E6"/>
          </w:tcPr>
          <w:p>
            <w:pPr>
              <w:jc w:val="right"/>
              <w:ind w:right="3361"/>
              <w:spacing w:after="0"/>
              <w:rPr>
                <w:sz w:val="20"/>
                <w:szCs w:val="20"/>
                <w:color w:val="auto"/>
              </w:rPr>
            </w:pPr>
            <w:r>
              <w:rPr>
                <w:rFonts w:ascii="Times New Roman" w:cs="Times New Roman" w:eastAsia="Times New Roman" w:hAnsi="Times New Roman"/>
                <w:sz w:val="20"/>
                <w:szCs w:val="20"/>
                <w:b w:val="1"/>
                <w:bCs w:val="1"/>
                <w:color w:val="auto"/>
              </w:rPr>
              <w:t>2022</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0.2175</w:t>
            </w:r>
          </w:p>
        </w:tc>
        <w:tc>
          <w:tcPr>
            <w:tcW w:w="2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0.2175</w:t>
            </w:r>
          </w:p>
        </w:tc>
        <w:tc>
          <w:tcPr>
            <w:tcW w:w="28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0.2175</w:t>
            </w:r>
          </w:p>
        </w:tc>
        <w:tc>
          <w:tcPr>
            <w:tcW w:w="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0.2675</w:t>
            </w:r>
          </w:p>
        </w:tc>
      </w:tr>
      <w:tr>
        <w:trPr>
          <w:trHeight w:val="285"/>
        </w:trPr>
        <w:tc>
          <w:tcPr>
            <w:tcW w:w="3900" w:type="dxa"/>
            <w:vAlign w:val="bottom"/>
          </w:tcPr>
          <w:p>
            <w:pPr>
              <w:jc w:val="right"/>
              <w:ind w:right="3361"/>
              <w:spacing w:after="0"/>
              <w:rPr>
                <w:sz w:val="20"/>
                <w:szCs w:val="20"/>
                <w:color w:val="auto"/>
              </w:rPr>
            </w:pPr>
            <w:r>
              <w:rPr>
                <w:rFonts w:ascii="Times New Roman" w:cs="Times New Roman" w:eastAsia="Times New Roman" w:hAnsi="Times New Roman"/>
                <w:sz w:val="20"/>
                <w:szCs w:val="20"/>
                <w:b w:val="1"/>
                <w:bCs w:val="1"/>
                <w:color w:val="auto"/>
              </w:rPr>
              <w:t>2021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2477770</wp:posOffset>
            </wp:positionH>
            <wp:positionV relativeFrom="paragraph">
              <wp:posOffset>-393700</wp:posOffset>
            </wp:positionV>
            <wp:extent cx="3989070" cy="5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extLst>
                    </a:blip>
                    <a:srcRect/>
                    <a:stretch>
                      <a:fillRect/>
                    </a:stretch>
                  </pic:blipFill>
                  <pic:spPr bwMode="auto">
                    <a:xfrm>
                      <a:off x="0" y="0"/>
                      <a:ext cx="3989070" cy="50165"/>
                    </a:xfrm>
                    <a:prstGeom prst="rect">
                      <a:avLst/>
                    </a:prstGeom>
                    <a:noFill/>
                  </pic:spPr>
                </pic:pic>
              </a:graphicData>
            </a:graphic>
          </wp:anchor>
        </w:drawing>
      </w:r>
    </w:p>
    <w:p>
      <w:pPr>
        <w:spacing w:after="0" w:line="267" w:lineRule="exact"/>
        <w:rPr>
          <w:sz w:val="20"/>
          <w:szCs w:val="20"/>
          <w:color w:val="auto"/>
        </w:rPr>
      </w:pPr>
    </w:p>
    <w:p>
      <w:pPr>
        <w:ind w:right="640" w:firstLine="713"/>
        <w:spacing w:after="0" w:line="278" w:lineRule="auto"/>
        <w:rPr>
          <w:sz w:val="20"/>
          <w:szCs w:val="20"/>
          <w:color w:val="auto"/>
        </w:rPr>
      </w:pPr>
      <w:r>
        <w:rPr>
          <w:rFonts w:ascii="Times New Roman" w:cs="Times New Roman" w:eastAsia="Times New Roman" w:hAnsi="Times New Roman"/>
          <w:sz w:val="20"/>
          <w:szCs w:val="20"/>
          <w:color w:val="auto"/>
        </w:rPr>
        <w:t>Our common units are also used as a form of compensation to our employees. See Note 18 to our Consolidated Financial Statements for additional information regarding our equity-indexed compensation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graph compares the total unitholder return performance of our common units with the performance of:</w:t>
      </w:r>
    </w:p>
    <w:p>
      <w:pPr>
        <w:spacing w:after="0" w:line="8" w:lineRule="exact"/>
        <w:rPr>
          <w:sz w:val="20"/>
          <w:szCs w:val="20"/>
          <w:color w:val="auto"/>
        </w:rPr>
      </w:pPr>
    </w:p>
    <w:p>
      <w:pPr>
        <w:ind w:right="100" w:firstLine="1"/>
        <w:spacing w:after="0" w:line="258" w:lineRule="auto"/>
        <w:tabs>
          <w:tab w:leader="none" w:pos="23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common units and each comparison index beginning on December 31, 2017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6456045" cy="323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extLst>
                    </a:blip>
                    <a:srcRect/>
                    <a:stretch>
                      <a:fillRect/>
                    </a:stretch>
                  </pic:blipFill>
                  <pic:spPr bwMode="auto">
                    <a:xfrm>
                      <a:off x="0" y="0"/>
                      <a:ext cx="6456045" cy="3231515"/>
                    </a:xfrm>
                    <a:prstGeom prst="rect">
                      <a:avLst/>
                    </a:prstGeom>
                    <a:noFill/>
                  </pic:spPr>
                </pic:pic>
              </a:graphicData>
            </a:graphic>
          </wp:anchor>
        </w:drawing>
      </w:r>
    </w:p>
    <w:p>
      <w:pPr>
        <w:spacing w:after="0" w:line="2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$200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$50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$0</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22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12/31/2017</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12/31/2018</w:t>
            </w:r>
          </w:p>
        </w:tc>
        <w:tc>
          <w:tcPr>
            <w:tcW w:w="580" w:type="dxa"/>
            <w:vAlign w:val="bottom"/>
          </w:tcPr>
          <w:p>
            <w:pPr>
              <w:spacing w:after="0"/>
              <w:rPr>
                <w:sz w:val="22"/>
                <w:szCs w:val="22"/>
                <w:color w:val="auto"/>
              </w:rPr>
            </w:pPr>
          </w:p>
        </w:tc>
        <w:tc>
          <w:tcPr>
            <w:tcW w:w="1200" w:type="dxa"/>
            <w:vAlign w:val="bottom"/>
            <w:gridSpan w:val="5"/>
          </w:tcPr>
          <w:p>
            <w:pPr>
              <w:jc w:val="right"/>
              <w:ind w:right="181"/>
              <w:spacing w:after="0"/>
              <w:rPr>
                <w:sz w:val="20"/>
                <w:szCs w:val="20"/>
                <w:color w:val="auto"/>
              </w:rPr>
            </w:pPr>
            <w:r>
              <w:rPr>
                <w:rFonts w:ascii="Times New Roman" w:cs="Times New Roman" w:eastAsia="Times New Roman" w:hAnsi="Times New Roman"/>
                <w:sz w:val="20"/>
                <w:szCs w:val="20"/>
                <w:color w:val="auto"/>
                <w:w w:val="98"/>
              </w:rPr>
              <w:t>12/31/2019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12/31/2020</w:t>
            </w:r>
          </w:p>
        </w:tc>
        <w:tc>
          <w:tcPr>
            <w:tcW w:w="180" w:type="dxa"/>
            <w:vAlign w:val="bottom"/>
          </w:tcPr>
          <w:p>
            <w:pPr>
              <w:spacing w:after="0"/>
              <w:rPr>
                <w:sz w:val="22"/>
                <w:szCs w:val="22"/>
                <w:color w:val="auto"/>
              </w:rPr>
            </w:pPr>
          </w:p>
        </w:tc>
        <w:tc>
          <w:tcPr>
            <w:tcW w:w="1440" w:type="dxa"/>
            <w:vAlign w:val="bottom"/>
            <w:gridSpan w:val="5"/>
          </w:tcPr>
          <w:p>
            <w:pPr>
              <w:jc w:val="right"/>
              <w:ind w:right="21"/>
              <w:spacing w:after="0"/>
              <w:rPr>
                <w:sz w:val="20"/>
                <w:szCs w:val="20"/>
                <w:color w:val="auto"/>
              </w:rPr>
            </w:pPr>
            <w:r>
              <w:rPr>
                <w:rFonts w:ascii="Times New Roman" w:cs="Times New Roman" w:eastAsia="Times New Roman" w:hAnsi="Times New Roman"/>
                <w:sz w:val="20"/>
                <w:szCs w:val="20"/>
                <w:color w:val="auto"/>
              </w:rPr>
              <w:t>12/31/2021</w:t>
            </w:r>
          </w:p>
        </w:tc>
        <w:tc>
          <w:tcPr>
            <w:tcW w:w="1920" w:type="dxa"/>
            <w:vAlign w:val="bottom"/>
            <w:gridSpan w:val="4"/>
          </w:tcPr>
          <w:p>
            <w:pPr>
              <w:jc w:val="right"/>
              <w:ind w:right="386"/>
              <w:spacing w:after="0"/>
              <w:rPr>
                <w:sz w:val="20"/>
                <w:szCs w:val="20"/>
                <w:color w:val="auto"/>
              </w:rPr>
            </w:pPr>
            <w:r>
              <w:rPr>
                <w:rFonts w:ascii="Times New Roman" w:cs="Times New Roman" w:eastAsia="Times New Roman" w:hAnsi="Times New Roman"/>
                <w:sz w:val="20"/>
                <w:szCs w:val="20"/>
                <w:color w:val="auto"/>
              </w:rPr>
              <w:t>12/31/2022</w:t>
            </w: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spacing w:after="0"/>
              <w:rPr>
                <w:sz w:val="14"/>
                <w:szCs w:val="14"/>
                <w:color w:val="auto"/>
              </w:rPr>
            </w:pPr>
          </w:p>
        </w:tc>
        <w:tc>
          <w:tcPr>
            <w:tcW w:w="1120" w:type="dxa"/>
            <w:vAlign w:val="bottom"/>
            <w:tcBorders>
              <w:bottom w:val="single" w:sz="8" w:color="auto"/>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4"/>
              </w:rPr>
              <w:t>PAA</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gridSpan w:val="5"/>
            <w:vMerge w:val="restart"/>
          </w:tcPr>
          <w:p>
            <w:pPr>
              <w:jc w:val="right"/>
              <w:ind w:right="940"/>
              <w:spacing w:after="0"/>
              <w:rPr>
                <w:sz w:val="20"/>
                <w:szCs w:val="20"/>
                <w:color w:val="auto"/>
              </w:rPr>
            </w:pPr>
            <w:r>
              <w:rPr>
                <w:rFonts w:ascii="Times New Roman" w:cs="Times New Roman" w:eastAsia="Times New Roman" w:hAnsi="Times New Roman"/>
                <w:sz w:val="20"/>
                <w:szCs w:val="20"/>
                <w:color w:val="auto"/>
              </w:rPr>
              <w:t>S&amp;P 500</w:t>
            </w:r>
          </w:p>
        </w:tc>
        <w:tc>
          <w:tcPr>
            <w:tcW w:w="76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AMNA</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2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80" w:type="dxa"/>
            <w:vAlign w:val="bottom"/>
            <w:tcBorders>
              <w:bottom w:val="single" w:sz="8" w:color="auto"/>
            </w:tcBorders>
            <w:vMerge w:val="restart"/>
            <w:shd w:val="clear" w:color="auto" w:fill="000000"/>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760" w:type="dxa"/>
            <w:vAlign w:val="bottom"/>
            <w:tcBorders>
              <w:right w:val="single" w:sz="8" w:color="auto"/>
            </w:tcBorders>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2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80" w:type="dxa"/>
            <w:vAlign w:val="bottom"/>
            <w:vMerge w:val="continue"/>
            <w:shd w:val="clear" w:color="auto" w:fill="000000"/>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760" w:type="dxa"/>
            <w:vAlign w:val="bottom"/>
            <w:tcBorders>
              <w:right w:val="single" w:sz="8" w:color="auto"/>
            </w:tcBorders>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2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7"/>
        </w:trPr>
        <w:tc>
          <w:tcPr>
            <w:tcW w:w="2280" w:type="dxa"/>
            <w:vAlign w:val="bottom"/>
            <w:tcBorders>
              <w:bottom w:val="single" w:sz="8" w:color="E6E6E6"/>
            </w:tcBorders>
          </w:tcPr>
          <w:p>
            <w:pPr>
              <w:spacing w:after="0"/>
              <w:rPr>
                <w:sz w:val="24"/>
                <w:szCs w:val="24"/>
                <w:color w:val="auto"/>
              </w:rPr>
            </w:pPr>
          </w:p>
        </w:tc>
        <w:tc>
          <w:tcPr>
            <w:tcW w:w="54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8"/>
              </w:rPr>
              <w:t>12/31/2017</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8"/>
              </w:rPr>
              <w:t>12/31/2018</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w w:val="98"/>
              </w:rPr>
              <w:t>12/31/2019</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12/31/2020</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12/31/2021</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12/31/2022</w:t>
            </w:r>
          </w:p>
        </w:tc>
        <w:tc>
          <w:tcPr>
            <w:tcW w:w="0" w:type="dxa"/>
            <w:vAlign w:val="bottom"/>
          </w:tcPr>
          <w:p>
            <w:pPr>
              <w:spacing w:after="0"/>
              <w:rPr>
                <w:sz w:val="1"/>
                <w:szCs w:val="1"/>
                <w:color w:val="auto"/>
              </w:rPr>
            </w:pPr>
          </w:p>
        </w:tc>
      </w:tr>
      <w:tr>
        <w:trPr>
          <w:trHeight w:val="287"/>
        </w:trPr>
        <w:tc>
          <w:tcPr>
            <w:tcW w:w="22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PAA</w:t>
            </w:r>
          </w:p>
        </w:tc>
        <w:tc>
          <w:tcPr>
            <w:tcW w:w="880" w:type="dxa"/>
            <w:vAlign w:val="bottom"/>
            <w:gridSpan w:val="4"/>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E6E6E6"/>
          </w:tcPr>
          <w:p>
            <w:pPr>
              <w:jc w:val="center"/>
              <w:ind w:left="146"/>
              <w:spacing w:after="0"/>
              <w:rPr>
                <w:sz w:val="20"/>
                <w:szCs w:val="20"/>
                <w:color w:val="auto"/>
              </w:rPr>
            </w:pPr>
            <w:r>
              <w:rPr>
                <w:rFonts w:ascii="Times New Roman" w:cs="Times New Roman" w:eastAsia="Times New Roman" w:hAnsi="Times New Roman"/>
                <w:sz w:val="20"/>
                <w:szCs w:val="20"/>
                <w:color w:val="auto"/>
                <w:w w:val="98"/>
              </w:rPr>
              <w:t>100.00</w:t>
            </w:r>
          </w:p>
        </w:tc>
        <w:tc>
          <w:tcPr>
            <w:tcW w:w="2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102.34</w:t>
            </w:r>
          </w:p>
        </w:tc>
        <w:tc>
          <w:tcPr>
            <w:tcW w:w="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100.01</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49.18</w:t>
            </w:r>
          </w:p>
        </w:tc>
        <w:tc>
          <w:tcPr>
            <w:tcW w:w="2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60.09</w:t>
            </w:r>
          </w:p>
        </w:tc>
        <w:tc>
          <w:tcPr>
            <w:tcW w:w="2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81.52</w:t>
            </w:r>
          </w:p>
        </w:tc>
        <w:tc>
          <w:tcPr>
            <w:tcW w:w="0" w:type="dxa"/>
            <w:vAlign w:val="bottom"/>
          </w:tcPr>
          <w:p>
            <w:pPr>
              <w:spacing w:after="0"/>
              <w:rPr>
                <w:sz w:val="1"/>
                <w:szCs w:val="1"/>
                <w:color w:val="auto"/>
              </w:rPr>
            </w:pPr>
          </w:p>
        </w:tc>
      </w:tr>
      <w:tr>
        <w:trPr>
          <w:trHeight w:val="291"/>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S&amp;P 500</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20"/>
                <w:szCs w:val="20"/>
                <w:color w:val="auto"/>
                <w:w w:val="98"/>
              </w:rPr>
              <w:t>100.00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95.62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125.72</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148.85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191.58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156.89</w:t>
            </w:r>
          </w:p>
        </w:tc>
        <w:tc>
          <w:tcPr>
            <w:tcW w:w="0" w:type="dxa"/>
            <w:vAlign w:val="bottom"/>
          </w:tcPr>
          <w:p>
            <w:pPr>
              <w:spacing w:after="0"/>
              <w:rPr>
                <w:sz w:val="1"/>
                <w:szCs w:val="1"/>
                <w:color w:val="auto"/>
              </w:rPr>
            </w:pPr>
          </w:p>
        </w:tc>
      </w:tr>
      <w:tr>
        <w:trPr>
          <w:trHeight w:val="303"/>
        </w:trPr>
        <w:tc>
          <w:tcPr>
            <w:tcW w:w="22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AMNA</w:t>
            </w:r>
          </w:p>
        </w:tc>
        <w:tc>
          <w:tcPr>
            <w:tcW w:w="880" w:type="dxa"/>
            <w:vAlign w:val="bottom"/>
            <w:gridSpan w:val="4"/>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E6E6E6"/>
          </w:tcPr>
          <w:p>
            <w:pPr>
              <w:jc w:val="center"/>
              <w:ind w:left="146"/>
              <w:spacing w:after="0"/>
              <w:rPr>
                <w:sz w:val="20"/>
                <w:szCs w:val="20"/>
                <w:color w:val="auto"/>
              </w:rPr>
            </w:pPr>
            <w:r>
              <w:rPr>
                <w:rFonts w:ascii="Times New Roman" w:cs="Times New Roman" w:eastAsia="Times New Roman" w:hAnsi="Times New Roman"/>
                <w:sz w:val="20"/>
                <w:szCs w:val="20"/>
                <w:color w:val="auto"/>
                <w:w w:val="98"/>
              </w:rPr>
              <w:t>100.00</w:t>
            </w:r>
          </w:p>
        </w:tc>
        <w:tc>
          <w:tcPr>
            <w:tcW w:w="2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86.71</w:t>
            </w:r>
          </w:p>
        </w:tc>
        <w:tc>
          <w:tcPr>
            <w:tcW w:w="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107.56</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82.43</w:t>
            </w:r>
          </w:p>
        </w:tc>
        <w:tc>
          <w:tcPr>
            <w:tcW w:w="2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114.10</w:t>
            </w:r>
          </w:p>
        </w:tc>
        <w:tc>
          <w:tcPr>
            <w:tcW w:w="2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138.67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-590550</wp:posOffset>
            </wp:positionV>
            <wp:extent cx="4579620" cy="5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extLst>
                    </a:blip>
                    <a:srcRect/>
                    <a:stretch>
                      <a:fillRect/>
                    </a:stretch>
                  </pic:blipFill>
                  <pic:spPr bwMode="auto">
                    <a:xfrm>
                      <a:off x="0" y="0"/>
                      <a:ext cx="4579620" cy="50165"/>
                    </a:xfrm>
                    <a:prstGeom prst="rect">
                      <a:avLst/>
                    </a:prstGeom>
                    <a:noFill/>
                  </pic:spPr>
                </pic:pic>
              </a:graphicData>
            </a:graphic>
          </wp:anchor>
        </w:drawing>
      </w:r>
    </w:p>
    <w:p>
      <w:pPr>
        <w:sectPr>
          <w:pgSz w:w="11880" w:h="15480" w:orient="portrait"/>
          <w:cols w:equalWidth="0" w:num="1">
            <w:col w:w="10140"/>
          </w:cols>
          <w:pgMar w:left="860" w:top="676" w:right="88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140"/>
          </w:cols>
          <w:pgMar w:left="860" w:top="676" w:right="880" w:bottom="0" w:gutter="0" w:footer="0" w:header="0"/>
          <w:type w:val="continuous"/>
        </w:sectPr>
      </w:pPr>
    </w:p>
    <w:bookmarkStart w:id="65" w:name="page66"/>
    <w:bookmarkEnd w:id="65"/>
    <w:p>
      <w:pPr>
        <w:ind w:right="20" w:firstLine="713"/>
        <w:spacing w:after="0" w:line="272" w:lineRule="auto"/>
        <w:rPr>
          <w:sz w:val="20"/>
          <w:szCs w:val="20"/>
          <w:color w:val="auto"/>
        </w:rPr>
      </w:pPr>
      <w:r>
        <w:rPr>
          <w:rFonts w:ascii="Times New Roman" w:cs="Times New Roman" w:eastAsia="Times New Roman" w:hAnsi="Times New Roman"/>
          <w:sz w:val="19"/>
          <w:szCs w:val="19"/>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Distribution Policy</w:t>
      </w:r>
    </w:p>
    <w:p>
      <w:pPr>
        <w:spacing w:after="0" w:line="252" w:lineRule="exact"/>
        <w:rPr>
          <w:sz w:val="20"/>
          <w:szCs w:val="20"/>
          <w:color w:val="auto"/>
        </w:rPr>
      </w:pPr>
    </w:p>
    <w:p>
      <w:pPr>
        <w:ind w:right="20" w:firstLine="713"/>
        <w:spacing w:after="0" w:line="258" w:lineRule="auto"/>
        <w:rPr>
          <w:sz w:val="20"/>
          <w:szCs w:val="20"/>
          <w:color w:val="auto"/>
        </w:rPr>
      </w:pPr>
      <w:r>
        <w:rPr>
          <w:rFonts w:ascii="Times New Roman" w:cs="Times New Roman" w:eastAsia="Times New Roman" w:hAnsi="Times New Roman"/>
          <w:sz w:val="20"/>
          <w:szCs w:val="20"/>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for any quarter ending prior to liquidation, all of our cash and cash equivalents on hand at the end of each quarter less reserves established in the reasonable discretion of our general partner to:</w:t>
      </w:r>
    </w:p>
    <w:p>
      <w:pPr>
        <w:spacing w:after="0" w:line="199" w:lineRule="exact"/>
        <w:rPr>
          <w:sz w:val="20"/>
          <w:szCs w:val="20"/>
          <w:color w:val="auto"/>
        </w:rPr>
      </w:pPr>
    </w:p>
    <w:p>
      <w:pPr>
        <w:ind w:left="1080" w:right="160" w:hanging="366"/>
        <w:spacing w:after="0" w:line="278"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for the proper conduct of our business and the business of our operating partnerships (including reserves for future capital expenditures and for our anticipated future credit needs);</w:t>
      </w:r>
    </w:p>
    <w:p>
      <w:pPr>
        <w:spacing w:after="0" w:line="61" w:lineRule="exact"/>
        <w:rPr>
          <w:rFonts w:ascii="Times New Roman" w:cs="Times New Roman" w:eastAsia="Times New Roman" w:hAnsi="Times New Roman"/>
          <w:sz w:val="20"/>
          <w:szCs w:val="20"/>
          <w:color w:val="auto"/>
        </w:rPr>
      </w:pPr>
    </w:p>
    <w:p>
      <w:pPr>
        <w:ind w:left="1080" w:right="620" w:hanging="366"/>
        <w:spacing w:after="0" w:line="278"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applicable law or any loan agreement, security agreement, mortgage, debt instrument or other agreement or obligation; or</w:t>
      </w:r>
    </w:p>
    <w:p>
      <w:pPr>
        <w:spacing w:after="0" w:line="61" w:lineRule="exact"/>
        <w:rPr>
          <w:rFonts w:ascii="Times New Roman" w:cs="Times New Roman" w:eastAsia="Times New Roman" w:hAnsi="Times New Roman"/>
          <w:sz w:val="20"/>
          <w:szCs w:val="20"/>
          <w:color w:val="auto"/>
        </w:rPr>
      </w:pPr>
    </w:p>
    <w:p>
      <w:pPr>
        <w:ind w:left="1080" w:right="360" w:hanging="366"/>
        <w:spacing w:after="0" w:line="278"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funds for future distributions to our Series A and Series B preferred unitholders or distributions to our common unitholders for any one or more of the next four calendar quarters.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available cash also includes cash on hand resulting from borrowings made after the end of the quarter.</w:t>
      </w:r>
    </w:p>
    <w:p>
      <w:pPr>
        <w:spacing w:after="0" w:line="245"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20"/>
          <w:szCs w:val="20"/>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 Credit Agreements, Commercial Paper Program and Indentures.”</w:t>
      </w:r>
    </w:p>
    <w:p>
      <w:pPr>
        <w:spacing w:after="0" w:line="199" w:lineRule="exact"/>
        <w:rPr>
          <w:sz w:val="20"/>
          <w:szCs w:val="20"/>
          <w:color w:val="auto"/>
        </w:rPr>
      </w:pPr>
    </w:p>
    <w:p>
      <w:pPr>
        <w:ind w:firstLine="713"/>
        <w:spacing w:after="0" w:line="278" w:lineRule="auto"/>
        <w:rPr>
          <w:sz w:val="20"/>
          <w:szCs w:val="20"/>
          <w:color w:val="auto"/>
        </w:rPr>
      </w:pPr>
      <w:r>
        <w:rPr>
          <w:rFonts w:ascii="Times New Roman" w:cs="Times New Roman" w:eastAsia="Times New Roman" w:hAnsi="Times New Roman"/>
          <w:sz w:val="20"/>
          <w:szCs w:val="20"/>
          <w:color w:val="auto"/>
        </w:rPr>
        <w:t>Under the terms of our partnership agreement, our Series A preferred units and our Series B preferred units rank senior to all classes or series of equity securities in us with respect to distribution rights.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52" w:lineRule="exact"/>
        <w:rPr>
          <w:sz w:val="20"/>
          <w:szCs w:val="20"/>
          <w:color w:val="auto"/>
        </w:rPr>
      </w:pPr>
    </w:p>
    <w:p>
      <w:pPr>
        <w:ind w:right="120" w:firstLine="713"/>
        <w:spacing w:after="0" w:line="263" w:lineRule="auto"/>
        <w:rPr>
          <w:sz w:val="20"/>
          <w:szCs w:val="20"/>
          <w:color w:val="auto"/>
        </w:rPr>
      </w:pPr>
      <w:r>
        <w:rPr>
          <w:rFonts w:ascii="Times New Roman" w:cs="Times New Roman" w:eastAsia="Times New Roman" w:hAnsi="Times New Roman"/>
          <w:sz w:val="20"/>
          <w:szCs w:val="20"/>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discussion and analysis includes the following:</w:t>
      </w:r>
    </w:p>
    <w:p>
      <w:pPr>
        <w:spacing w:after="0" w:line="245" w:lineRule="exact"/>
        <w:rPr>
          <w:sz w:val="20"/>
          <w:szCs w:val="20"/>
          <w:color w:val="auto"/>
        </w:rPr>
      </w:pPr>
    </w:p>
    <w:p>
      <w:pPr>
        <w:ind w:left="1080" w:hanging="366"/>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Summary</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Operations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and Capital Resources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Critical Accounting Policies and Estimates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Recent Accounting Pronouncements</w:t>
      </w:r>
    </w:p>
    <w:p>
      <w:pPr>
        <w:sectPr>
          <w:pgSz w:w="11880" w:h="15480" w:orient="portrait"/>
          <w:cols w:equalWidth="0" w:num="1">
            <w:col w:w="10140"/>
          </w:cols>
          <w:pgMar w:left="860" w:top="683" w:right="88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140"/>
          </w:cols>
          <w:pgMar w:left="860" w:top="683" w:right="880" w:bottom="0" w:gutter="0" w:footer="0" w:header="0"/>
          <w:type w:val="continuous"/>
        </w:sectPr>
      </w:pPr>
    </w:p>
    <w:bookmarkStart w:id="66" w:name="page67"/>
    <w:bookmarkEnd w:id="66"/>
    <w:p>
      <w:pPr>
        <w:ind w:firstLine="713"/>
        <w:spacing w:after="0" w:line="263" w:lineRule="auto"/>
        <w:rPr>
          <w:sz w:val="20"/>
          <w:szCs w:val="20"/>
          <w:color w:val="auto"/>
        </w:rPr>
      </w:pPr>
      <w:r>
        <w:rPr>
          <w:rFonts w:ascii="Times New Roman" w:cs="Times New Roman" w:eastAsia="Times New Roman" w:hAnsi="Times New Roman"/>
          <w:sz w:val="20"/>
          <w:szCs w:val="20"/>
          <w:color w:val="auto"/>
        </w:rPr>
        <w:t>A comparative discussion of our 2021 to 2020 operating results and performance measures can be found in Item 7. “Management’s Discussion and Analysis of Financial Condition and Results of Operations—Results of Operations” included in our Annual Report on Form 10-K for the year ended December 31, 2021 filed with the SEC on March 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Overview</w:t>
      </w:r>
    </w:p>
    <w:p>
      <w:pPr>
        <w:spacing w:after="0" w:line="253" w:lineRule="exact"/>
        <w:rPr>
          <w:sz w:val="20"/>
          <w:szCs w:val="20"/>
          <w:color w:val="auto"/>
        </w:rPr>
      </w:pPr>
    </w:p>
    <w:p>
      <w:pPr>
        <w:ind w:right="100" w:firstLine="713"/>
        <w:spacing w:after="0" w:line="254" w:lineRule="auto"/>
        <w:rPr>
          <w:sz w:val="20"/>
          <w:szCs w:val="20"/>
          <w:color w:val="auto"/>
        </w:rPr>
      </w:pPr>
      <w:r>
        <w:rPr>
          <w:rFonts w:ascii="Times New Roman" w:cs="Times New Roman" w:eastAsia="Times New Roman" w:hAnsi="Times New Roman"/>
          <w:sz w:val="20"/>
          <w:szCs w:val="20"/>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Overview and Outlook</w:t>
      </w:r>
    </w:p>
    <w:p>
      <w:pPr>
        <w:spacing w:after="0" w:line="253" w:lineRule="exact"/>
        <w:rPr>
          <w:sz w:val="20"/>
          <w:szCs w:val="20"/>
          <w:color w:val="auto"/>
        </w:rPr>
      </w:pPr>
    </w:p>
    <w:p>
      <w:pPr>
        <w:ind w:right="220" w:firstLine="713"/>
        <w:spacing w:after="0" w:line="255" w:lineRule="auto"/>
        <w:rPr>
          <w:sz w:val="20"/>
          <w:szCs w:val="20"/>
          <w:color w:val="auto"/>
        </w:rPr>
      </w:pPr>
      <w:r>
        <w:rPr>
          <w:rFonts w:ascii="Times New Roman" w:cs="Times New Roman" w:eastAsia="Times New Roman" w:hAnsi="Times New Roman"/>
          <w:sz w:val="20"/>
          <w:szCs w:val="20"/>
          <w:color w:val="auto"/>
        </w:rPr>
        <w:t>Crude oil and other petroleum liquids are supplied to the global market by producers around the world, with the majority coming from the Organization of Petroleum Exporting Countries (“OPEC”), the Russian Federation and North American producers, among others. The chart below depicts the relationship between global supply of crude oil and other petroleum liquids and demand since the beginning of 2018 and the U.S. Energy Information Administration’s (“EIA”) Short-Term Energy Outlook as of January 2023:</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xml:space="preserve">World Liquid Fuels Production and Consumption Balance </w:t>
      </w:r>
      <w:r>
        <w:rPr>
          <w:rFonts w:ascii="Times New Roman" w:cs="Times New Roman" w:eastAsia="Times New Roman" w:hAnsi="Times New Roman"/>
          <w:sz w:val="25"/>
          <w:szCs w:val="25"/>
          <w:b w:val="1"/>
          <w:bCs w:val="1"/>
          <w:color w:val="auto"/>
          <w:vertAlign w:val="superscript"/>
        </w:rPr>
        <w:t>(1)</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6449695" cy="3460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extLst>
                    </a:blip>
                    <a:srcRect/>
                    <a:stretch>
                      <a:fillRect/>
                    </a:stretch>
                  </pic:blipFill>
                  <pic:spPr bwMode="auto">
                    <a:xfrm>
                      <a:off x="0" y="0"/>
                      <a:ext cx="6449695" cy="346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719"/>
        <w:spacing w:after="0"/>
        <w:tabs>
          <w:tab w:leader="none" w:pos="720" w:val="left"/>
        </w:tabs>
        <w:numPr>
          <w:ilvl w:val="0"/>
          <w:numId w:val="4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Barrels produced and consumed per quarter.</w:t>
      </w:r>
    </w:p>
    <w:p>
      <w:pPr>
        <w:spacing w:after="0" w:line="206" w:lineRule="exact"/>
        <w:rPr>
          <w:sz w:val="20"/>
          <w:szCs w:val="20"/>
          <w:color w:val="auto"/>
        </w:rPr>
      </w:pPr>
    </w:p>
    <w:p>
      <w:pPr>
        <w:ind w:right="340" w:firstLine="713"/>
        <w:spacing w:after="0" w:line="253" w:lineRule="auto"/>
        <w:rPr>
          <w:sz w:val="20"/>
          <w:szCs w:val="20"/>
          <w:color w:val="auto"/>
        </w:rPr>
      </w:pPr>
      <w:r>
        <w:rPr>
          <w:rFonts w:ascii="Times New Roman" w:cs="Times New Roman" w:eastAsia="Times New Roman" w:hAnsi="Times New Roman"/>
          <w:sz w:val="20"/>
          <w:szCs w:val="20"/>
          <w:color w:val="auto"/>
        </w:rPr>
        <w:t>Global crude oil demand at the end of 2022 was near pre-COVID levels, with the EIA and other third parties forecasting demand to exceed 2019 levels by the second half of 2023 and continue to grow for the foreseeable future. We believe this demand growth combined with the multi-year backdrop of reduced upstream investment and a continuation of OPEC discipline and Western sanctions on Russian petroleum could further exacerbate many of the supply concerns that emerged in 2022. This includes tight global markets and continued commodity price volatility. As a result, we expect North American energy supply to play a critical long-term role in meeting global demand and the Permian Basin to drive the vast majority of U.S. production growth in the coming years.</w:t>
      </w:r>
    </w:p>
    <w:p>
      <w:pPr>
        <w:sectPr>
          <w:pgSz w:w="11880" w:h="15480" w:orient="portrait"/>
          <w:cols w:equalWidth="0" w:num="1">
            <w:col w:w="10140"/>
          </w:cols>
          <w:pgMar w:left="860" w:top="683" w:right="88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140"/>
          </w:cols>
          <w:pgMar w:left="860" w:top="683" w:right="880" w:bottom="0" w:gutter="0" w:footer="0" w:header="0"/>
          <w:type w:val="continuous"/>
        </w:sectPr>
      </w:pPr>
    </w:p>
    <w:bookmarkStart w:id="67" w:name="page68"/>
    <w:bookmarkEnd w:id="67"/>
    <w:p>
      <w:pPr>
        <w:ind w:right="80" w:firstLine="713"/>
        <w:spacing w:after="0" w:line="255" w:lineRule="auto"/>
        <w:rPr>
          <w:sz w:val="20"/>
          <w:szCs w:val="20"/>
          <w:color w:val="auto"/>
        </w:rPr>
      </w:pPr>
      <w:r>
        <w:rPr>
          <w:rFonts w:ascii="Times New Roman" w:cs="Times New Roman" w:eastAsia="Times New Roman" w:hAnsi="Times New Roman"/>
          <w:sz w:val="20"/>
          <w:szCs w:val="20"/>
          <w:color w:val="auto"/>
        </w:rPr>
        <w:t>It is against this macro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 of Operating Results</w:t>
      </w:r>
    </w:p>
    <w:p>
      <w:pPr>
        <w:spacing w:after="0" w:line="253"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During 2022, we continued to build momentum and reinforce our long-term positioning by taking actions to further optimize our asset base and streamline our operations. We recognized net income attributable to PAA of $1.037 billion for the year ended December 31, 2022 compared to net income attributable to PAA of $593 million for the year ended December 31, 2021. Results from our operations increased for 2022 over the comparable 2021 period driven primarily by more favorable margins in our NGL segment, as well as increased earnings from our crude oil pipelines due to higher tariff volumes and higher loss allowance revenue attributable to higher volumes and commodity prices. However, these items were partially offset by the impact of the monetization of contango hedges that benefited the 2021 period, the sale of our natural gas storage facilities in the third quarter of 2021 and higher field operating costs in the 2022 period primarily from (i) an increase in estimated costs associated with the Line 901 incident and (ii) gains related to hedged power costs resulting from the extreme winter weather event that occurred in February 2021 (“Winter Storm Uri”) recognized in the first quarter of 2021.</w:t>
      </w:r>
    </w:p>
    <w:p>
      <w:pPr>
        <w:spacing w:after="0" w:line="208" w:lineRule="exact"/>
        <w:rPr>
          <w:sz w:val="20"/>
          <w:szCs w:val="20"/>
          <w:color w:val="auto"/>
        </w:rPr>
      </w:pPr>
    </w:p>
    <w:p>
      <w:pPr>
        <w:ind w:right="20" w:firstLine="713"/>
        <w:spacing w:after="0" w:line="269" w:lineRule="auto"/>
        <w:rPr>
          <w:sz w:val="20"/>
          <w:szCs w:val="20"/>
          <w:color w:val="auto"/>
        </w:rPr>
      </w:pPr>
      <w:r>
        <w:rPr>
          <w:rFonts w:ascii="Times New Roman" w:cs="Times New Roman" w:eastAsia="Times New Roman" w:hAnsi="Times New Roman"/>
          <w:sz w:val="19"/>
          <w:szCs w:val="19"/>
          <w:color w:val="auto"/>
        </w:rPr>
        <w:t>Additionally, results for 2022 included a net loss on asset sales and asset impairments of $269 million, primarily related to the impairment of certain of our California crude oil assets, compared to a net loss on asset sales and asset impairments of $592 million included in results for 2021, a majority of which was related to the write-down of our natural gas storage facilities, which were classified as held for sale in the second quarter and sold in the third quarter. The 2022 period also includes net gains of approximately $346 million, primarily associated with the remeasurement of our previously held 65% interest in Cactus II to fair value in connection with our acquisition of an additional 5% interest in Cactus II in November 2022.</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the “—Results of Operations” section below for further discussion.</w:t>
      </w:r>
    </w:p>
    <w:p>
      <w:pPr>
        <w:sectPr>
          <w:pgSz w:w="11880" w:h="15480" w:orient="portrait"/>
          <w:cols w:equalWidth="0" w:num="1">
            <w:col w:w="10120"/>
          </w:cols>
          <w:pgMar w:left="860" w:top="68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120"/>
          </w:cols>
          <w:pgMar w:left="860" w:top="683" w:right="90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Results</w:t>
      </w:r>
    </w:p>
    <w:p>
      <w:pPr>
        <w:spacing w:after="0" w:line="253" w:lineRule="exact"/>
        <w:rPr>
          <w:sz w:val="20"/>
          <w:szCs w:val="20"/>
          <w:color w:val="auto"/>
        </w:rPr>
      </w:pPr>
    </w:p>
    <w:p>
      <w:pPr>
        <w:ind w:right="22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 sets forth an overview of our consolidated financial results calculated in accordance with GAAP (in millions, except per unit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Pr>
          <w:p>
            <w:pPr>
              <w:spacing w:after="0"/>
              <w:rPr>
                <w:sz w:val="18"/>
                <w:szCs w:val="18"/>
                <w:color w:val="auto"/>
              </w:rPr>
            </w:pPr>
          </w:p>
        </w:tc>
      </w:tr>
      <w:tr>
        <w:trPr>
          <w:trHeight w:val="232"/>
        </w:trPr>
        <w:tc>
          <w:tcPr>
            <w:tcW w:w="5520" w:type="dxa"/>
            <w:vAlign w:val="bottom"/>
            <w:tcBorders>
              <w:bottom w:val="single" w:sz="8" w:color="E6E6E6"/>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E6E6E6"/>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E6E6E6"/>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E6E6E6"/>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7"/>
        </w:trPr>
        <w:tc>
          <w:tcPr>
            <w:tcW w:w="55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Product sales revenues</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55,948</w:t>
            </w:r>
          </w:p>
        </w:tc>
        <w:tc>
          <w:tcPr>
            <w:tcW w:w="3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40,883</w:t>
            </w:r>
          </w:p>
        </w:tc>
        <w:tc>
          <w:tcPr>
            <w:tcW w:w="100" w:type="dxa"/>
            <w:vAlign w:val="bottom"/>
            <w:tcBorders>
              <w:right w:val="single" w:sz="8" w:color="auto"/>
            </w:tcBorders>
            <w:shd w:val="clear" w:color="auto" w:fill="E6E6E6"/>
          </w:tcPr>
          <w:p>
            <w:pPr>
              <w:spacing w:after="0"/>
              <w:rPr>
                <w:sz w:val="24"/>
                <w:szCs w:val="24"/>
                <w:color w:val="auto"/>
              </w:rPr>
            </w:pPr>
          </w:p>
        </w:tc>
        <w:tc>
          <w:tcPr>
            <w:tcW w:w="3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15,065</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37 %</w:t>
            </w:r>
          </w:p>
        </w:tc>
      </w:tr>
      <w:tr>
        <w:trPr>
          <w:trHeight w:val="294"/>
        </w:trPr>
        <w:tc>
          <w:tcPr>
            <w:tcW w:w="5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Services revenues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1,195</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17 %</w:t>
            </w:r>
          </w:p>
        </w:tc>
      </w:tr>
      <w:tr>
        <w:trPr>
          <w:trHeight w:val="300"/>
        </w:trPr>
        <w:tc>
          <w:tcPr>
            <w:tcW w:w="55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Purchases and related costs</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(53,176)</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(38,504)</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(14,672)</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91"/>
        </w:trPr>
        <w:tc>
          <w:tcPr>
            <w:tcW w:w="5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Field operating costs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03"/>
        </w:trPr>
        <w:tc>
          <w:tcPr>
            <w:tcW w:w="55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91"/>
        </w:trPr>
        <w:tc>
          <w:tcPr>
            <w:tcW w:w="5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03"/>
        </w:trPr>
        <w:tc>
          <w:tcPr>
            <w:tcW w:w="55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Gains/(losses) on asset sales and asset impairments, net</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55 %</w:t>
            </w:r>
          </w:p>
        </w:tc>
      </w:tr>
      <w:tr>
        <w:trPr>
          <w:trHeight w:val="291"/>
        </w:trPr>
        <w:tc>
          <w:tcPr>
            <w:tcW w:w="5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Equity earnings in unconsolidated entities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47 %</w:t>
            </w:r>
          </w:p>
        </w:tc>
      </w:tr>
      <w:tr>
        <w:trPr>
          <w:trHeight w:val="303"/>
        </w:trPr>
        <w:tc>
          <w:tcPr>
            <w:tcW w:w="55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Gains/(losses) on investments in unconsolidated entities, net</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5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 expense, net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5 %</w:t>
            </w:r>
          </w:p>
        </w:tc>
      </w:tr>
      <w:tr>
        <w:trPr>
          <w:trHeight w:val="300"/>
        </w:trPr>
        <w:tc>
          <w:tcPr>
            <w:tcW w:w="55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 income/(expense), net</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7"/>
        </w:trPr>
        <w:tc>
          <w:tcPr>
            <w:tcW w:w="55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Income tax expense</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00" w:type="dxa"/>
            <w:vAlign w:val="bottom"/>
            <w:tcBorders>
              <w:bottom w:val="single" w:sz="8" w:color="E6E6E6"/>
              <w:right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287"/>
        </w:trPr>
        <w:tc>
          <w:tcPr>
            <w:tcW w:w="55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90 %</w:t>
            </w:r>
          </w:p>
        </w:tc>
      </w:tr>
      <w:tr>
        <w:trPr>
          <w:trHeight w:val="287"/>
        </w:trPr>
        <w:tc>
          <w:tcPr>
            <w:tcW w:w="552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Net income attributable to noncontrolling interests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00" w:type="dxa"/>
            <w:vAlign w:val="bottom"/>
            <w:tcBorders>
              <w:bottom w:val="single" w:sz="8" w:color="E6E6E6"/>
              <w:right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w:t>
            </w:r>
          </w:p>
        </w:tc>
      </w:tr>
      <w:tr>
        <w:trPr>
          <w:trHeight w:val="297"/>
        </w:trPr>
        <w:tc>
          <w:tcPr>
            <w:tcW w:w="55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Net income attributable to PAA</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3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100" w:type="dxa"/>
            <w:vAlign w:val="bottom"/>
            <w:tcBorders>
              <w:right w:val="single" w:sz="8" w:color="auto"/>
            </w:tcBorders>
            <w:shd w:val="clear" w:color="auto" w:fill="E6E6E6"/>
          </w:tcPr>
          <w:p>
            <w:pPr>
              <w:spacing w:after="0"/>
              <w:rPr>
                <w:sz w:val="24"/>
                <w:szCs w:val="24"/>
                <w:color w:val="auto"/>
              </w:rPr>
            </w:pPr>
          </w:p>
        </w:tc>
        <w:tc>
          <w:tcPr>
            <w:tcW w:w="3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75 %</w:t>
            </w:r>
          </w:p>
        </w:tc>
      </w:tr>
      <w:tr>
        <w:trPr>
          <w:trHeight w:val="267"/>
        </w:trPr>
        <w:tc>
          <w:tcPr>
            <w:tcW w:w="5520" w:type="dxa"/>
            <w:vAlign w:val="bottom"/>
            <w:tcBorders>
              <w:top w:val="single" w:sz="8" w:color="E6E6E6"/>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80" w:type="dxa"/>
            <w:vAlign w:val="bottom"/>
            <w:tcBorders>
              <w:top w:val="single" w:sz="8" w:color="E6E6E6"/>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E6E6E6"/>
              <w:right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80" w:type="dxa"/>
            <w:vAlign w:val="bottom"/>
            <w:tcBorders>
              <w:top w:val="single" w:sz="8" w:color="E6E6E6"/>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r>
      <w:tr>
        <w:trPr>
          <w:trHeight w:val="297"/>
        </w:trPr>
        <w:tc>
          <w:tcPr>
            <w:tcW w:w="55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Basic and diluted net income per common unit</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3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0.55</w:t>
            </w:r>
          </w:p>
        </w:tc>
        <w:tc>
          <w:tcPr>
            <w:tcW w:w="100" w:type="dxa"/>
            <w:vAlign w:val="bottom"/>
            <w:tcBorders>
              <w:right w:val="single" w:sz="8" w:color="auto"/>
            </w:tcBorders>
            <w:shd w:val="clear" w:color="auto" w:fill="E6E6E6"/>
          </w:tcPr>
          <w:p>
            <w:pPr>
              <w:spacing w:after="0"/>
              <w:rPr>
                <w:sz w:val="24"/>
                <w:szCs w:val="24"/>
                <w:color w:val="auto"/>
              </w:rPr>
            </w:pPr>
          </w:p>
        </w:tc>
        <w:tc>
          <w:tcPr>
            <w:tcW w:w="3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5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Basic and diluted weighted average common units outstanding</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-200660</wp:posOffset>
            </wp:positionV>
            <wp:extent cx="25400" cy="213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extLst>
                    </a:blip>
                    <a:srcRect/>
                    <a:stretch>
                      <a:fillRect/>
                    </a:stretch>
                  </pic:blipFill>
                  <pic:spPr bwMode="auto">
                    <a:xfrm>
                      <a:off x="0" y="0"/>
                      <a:ext cx="25400" cy="21399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-3419475</wp:posOffset>
            </wp:positionV>
            <wp:extent cx="2992120" cy="50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extLst>
                    </a:blip>
                    <a:srcRect/>
                    <a:stretch>
                      <a:fillRect/>
                    </a:stretch>
                  </pic:blipFill>
                  <pic:spPr bwMode="auto">
                    <a:xfrm>
                      <a:off x="0" y="0"/>
                      <a:ext cx="2992120" cy="5016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-1156335</wp:posOffset>
            </wp:positionV>
            <wp:extent cx="2992120" cy="50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extLst>
                    </a:blip>
                    <a:srcRect/>
                    <a:stretch>
                      <a:fillRect/>
                    </a:stretch>
                  </pic:blipFill>
                  <pic:spPr bwMode="auto">
                    <a:xfrm>
                      <a:off x="0" y="0"/>
                      <a:ext cx="2992120" cy="5016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-779145</wp:posOffset>
            </wp:positionV>
            <wp:extent cx="2992120" cy="5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a:extLst>
                        <a:ext uri="{28A0092B-C50C-407E-A947-70E740481C1C}"/>
                      </a:extLst>
                    </a:blip>
                    <a:srcRect/>
                    <a:stretch>
                      <a:fillRect/>
                    </a:stretch>
                  </pic:blipFill>
                  <pic:spPr bwMode="auto">
                    <a:xfrm>
                      <a:off x="0" y="0"/>
                      <a:ext cx="2992120" cy="5016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-602615</wp:posOffset>
            </wp:positionV>
            <wp:extent cx="2992120" cy="755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extLst>
                    </a:blip>
                    <a:srcRect/>
                    <a:stretch>
                      <a:fillRect/>
                    </a:stretch>
                  </pic:blipFill>
                  <pic:spPr bwMode="auto">
                    <a:xfrm>
                      <a:off x="0" y="0"/>
                      <a:ext cx="2992120" cy="755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109855</wp:posOffset>
                </wp:positionV>
                <wp:extent cx="222504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8.65pt" to="175.25pt,8.65pt" o:allowincell="f" strokecolor="#000000" strokeweight="0.99pt"/>
            </w:pict>
          </mc:Fallback>
        </mc:AlternateContent>
      </w:r>
    </w:p>
    <w:p>
      <w:pPr>
        <w:spacing w:after="0" w:line="190" w:lineRule="exact"/>
        <w:rPr>
          <w:sz w:val="20"/>
          <w:szCs w:val="20"/>
          <w:color w:val="auto"/>
        </w:rPr>
      </w:pPr>
    </w:p>
    <w:p>
      <w:pPr>
        <w:ind w:left="720" w:hanging="719"/>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that variance as a percentage is not meaningful.</w:t>
      </w:r>
    </w:p>
    <w:p>
      <w:pPr>
        <w:spacing w:after="0" w:line="238"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Revenues and Purchases</w:t>
      </w:r>
    </w:p>
    <w:p>
      <w:pPr>
        <w:spacing w:after="0" w:line="252" w:lineRule="exact"/>
        <w:rPr>
          <w:sz w:val="20"/>
          <w:szCs w:val="20"/>
          <w:color w:val="auto"/>
        </w:rPr>
      </w:pPr>
    </w:p>
    <w:p>
      <w:pPr>
        <w:ind w:right="20" w:firstLine="713"/>
        <w:spacing w:after="0" w:line="253" w:lineRule="auto"/>
        <w:rPr>
          <w:sz w:val="20"/>
          <w:szCs w:val="20"/>
          <w:color w:val="auto"/>
        </w:rPr>
      </w:pPr>
      <w:r>
        <w:rPr>
          <w:rFonts w:ascii="Times New Roman" w:cs="Times New Roman" w:eastAsia="Times New Roman" w:hAnsi="Times New Roman"/>
          <w:sz w:val="20"/>
          <w:szCs w:val="20"/>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04" w:lineRule="exact"/>
        <w:rPr>
          <w:sz w:val="20"/>
          <w:szCs w:val="20"/>
          <w:color w:val="auto"/>
        </w:rPr>
      </w:pPr>
    </w:p>
    <w:p>
      <w:pPr>
        <w:ind w:right="180" w:firstLine="713"/>
        <w:spacing w:after="0" w:line="278" w:lineRule="auto"/>
        <w:rPr>
          <w:sz w:val="20"/>
          <w:szCs w:val="20"/>
          <w:color w:val="auto"/>
        </w:rPr>
      </w:pPr>
      <w:r>
        <w:rPr>
          <w:rFonts w:ascii="Times New Roman" w:cs="Times New Roman" w:eastAsia="Times New Roman" w:hAnsi="Times New Roman"/>
          <w:sz w:val="20"/>
          <w:szCs w:val="20"/>
          <w:color w:val="auto"/>
        </w:rPr>
        <w:t>A majority of our sales and purchases are indexed to West Texas Intermediate (“WTI”). The following table presents the range of the NYMEX WTI benchmark price of crude oil over the last two years (in dollars per barrel):</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NYMEX WTI</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2"/>
        </w:trPr>
        <w:tc>
          <w:tcPr>
            <w:tcW w:w="6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Crude Oil Price</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32"/>
        </w:trPr>
        <w:tc>
          <w:tcPr>
            <w:tcW w:w="6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During the Year Ended December 31,</w:t>
            </w:r>
          </w:p>
        </w:tc>
        <w:tc>
          <w:tcPr>
            <w:tcW w:w="80" w:type="dxa"/>
            <w:vAlign w:val="bottom"/>
            <w:tcBorders>
              <w:bottom w:val="single" w:sz="8" w:color="E6E6E6"/>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Low</w:t>
            </w: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High</w:t>
            </w:r>
          </w:p>
        </w:tc>
        <w:tc>
          <w:tcPr>
            <w:tcW w:w="6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87"/>
        </w:trPr>
        <w:tc>
          <w:tcPr>
            <w:tcW w:w="67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2022</w:t>
            </w:r>
          </w:p>
        </w:tc>
        <w:tc>
          <w:tcPr>
            <w:tcW w:w="80" w:type="dxa"/>
            <w:vAlign w:val="bottom"/>
            <w:shd w:val="clear" w:color="auto" w:fill="E6E6E6"/>
          </w:tcPr>
          <w:p>
            <w:pPr>
              <w:spacing w:after="0"/>
              <w:rPr>
                <w:sz w:val="24"/>
                <w:szCs w:val="24"/>
                <w:color w:val="auto"/>
              </w:rPr>
            </w:pPr>
          </w:p>
        </w:tc>
        <w:tc>
          <w:tcPr>
            <w:tcW w:w="740" w:type="dxa"/>
            <w:vAlign w:val="bottom"/>
            <w:shd w:val="clear" w:color="auto" w:fill="E6E6E6"/>
          </w:tcPr>
          <w:p>
            <w:pPr>
              <w:jc w:val="right"/>
              <w:ind w:right="508"/>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340" w:type="dxa"/>
            <w:vAlign w:val="bottom"/>
            <w:gridSpan w:val="2"/>
            <w:shd w:val="clear" w:color="auto" w:fill="E6E6E6"/>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6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85"/>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2021</w:t>
            </w:r>
          </w:p>
        </w:tc>
        <w:tc>
          <w:tcPr>
            <w:tcW w:w="80" w:type="dxa"/>
            <w:vAlign w:val="bottom"/>
          </w:tcPr>
          <w:p>
            <w:pPr>
              <w:spacing w:after="0"/>
              <w:rPr>
                <w:sz w:val="24"/>
                <w:szCs w:val="24"/>
                <w:color w:val="auto"/>
              </w:rPr>
            </w:pPr>
          </w:p>
        </w:tc>
        <w:tc>
          <w:tcPr>
            <w:tcW w:w="740" w:type="dxa"/>
            <w:vAlign w:val="bottom"/>
          </w:tcPr>
          <w:p>
            <w:pPr>
              <w:jc w:val="right"/>
              <w:ind w:right="508"/>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-393700</wp:posOffset>
            </wp:positionV>
            <wp:extent cx="6500495" cy="50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extLst>
                    </a:blip>
                    <a:srcRect/>
                    <a:stretch>
                      <a:fillRect/>
                    </a:stretch>
                  </pic:blipFill>
                  <pic:spPr bwMode="auto">
                    <a:xfrm>
                      <a:off x="0" y="0"/>
                      <a:ext cx="6500495" cy="50165"/>
                    </a:xfrm>
                    <a:prstGeom prst="rect">
                      <a:avLst/>
                    </a:prstGeom>
                    <a:noFill/>
                  </pic:spPr>
                </pic:pic>
              </a:graphicData>
            </a:graphic>
          </wp:anchor>
        </w:drawing>
      </w:r>
    </w:p>
    <w:p>
      <w:pPr>
        <w:spacing w:after="0" w:line="267" w:lineRule="exact"/>
        <w:rPr>
          <w:sz w:val="20"/>
          <w:szCs w:val="20"/>
          <w:color w:val="auto"/>
        </w:rPr>
      </w:pPr>
    </w:p>
    <w:p>
      <w:pPr>
        <w:ind w:right="360" w:firstLine="713"/>
        <w:spacing w:after="0" w:line="278" w:lineRule="auto"/>
        <w:rPr>
          <w:sz w:val="20"/>
          <w:szCs w:val="20"/>
          <w:color w:val="auto"/>
        </w:rPr>
      </w:pPr>
      <w:r>
        <w:rPr>
          <w:rFonts w:ascii="Times New Roman" w:cs="Times New Roman" w:eastAsia="Times New Roman" w:hAnsi="Times New Roman"/>
          <w:sz w:val="20"/>
          <w:szCs w:val="20"/>
          <w:color w:val="auto"/>
        </w:rPr>
        <w:t>Product sales revenues and purchases increased for the year ended December 31, 2022 compared to the year ended December 31, 2021 primarily due to higher prices in 2022.</w:t>
      </w:r>
    </w:p>
    <w:p>
      <w:pPr>
        <w:sectPr>
          <w:pgSz w:w="11880" w:h="15480" w:orient="portrait"/>
          <w:cols w:equalWidth="0" w:num="1">
            <w:col w:w="10160"/>
          </w:cols>
          <w:pgMar w:left="860" w:top="67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160"/>
          </w:cols>
          <w:pgMar w:left="860" w:top="676" w:right="860" w:bottom="0" w:gutter="0" w:footer="0" w:header="0"/>
          <w:type w:val="continuous"/>
        </w:sectPr>
      </w:pPr>
    </w:p>
    <w:bookmarkStart w:id="69" w:name="page70"/>
    <w:bookmarkEnd w:id="69"/>
    <w:p>
      <w:pPr>
        <w:ind w:right="280" w:firstLine="713"/>
        <w:spacing w:after="0" w:line="258" w:lineRule="auto"/>
        <w:rPr>
          <w:sz w:val="20"/>
          <w:szCs w:val="20"/>
          <w:color w:val="auto"/>
        </w:rPr>
      </w:pPr>
      <w:r>
        <w:rPr>
          <w:rFonts w:ascii="Times New Roman" w:cs="Times New Roman" w:eastAsia="Times New Roman" w:hAnsi="Times New Roman"/>
          <w:sz w:val="20"/>
          <w:szCs w:val="20"/>
          <w:color w:val="auto"/>
        </w:rPr>
        <w:t>Revenues from services increased for the year ended December 31, 2022 compared to the year ended December 31, 2021 primarily due to higher prices and volumes in 2022 (a portion of which was related to contributions from recently completed acquisitions and joint venture transactions), partially offset by the impact of the sale of our natural gas storage facilities in the third quarter of 2021.</w:t>
      </w:r>
    </w:p>
    <w:p>
      <w:pPr>
        <w:spacing w:after="0" w:line="199" w:lineRule="exact"/>
        <w:rPr>
          <w:sz w:val="20"/>
          <w:szCs w:val="20"/>
          <w:color w:val="auto"/>
        </w:rPr>
      </w:pPr>
    </w:p>
    <w:p>
      <w:pPr>
        <w:ind w:firstLine="713"/>
        <w:spacing w:after="0" w:line="278" w:lineRule="auto"/>
        <w:rPr>
          <w:sz w:val="20"/>
          <w:szCs w:val="20"/>
          <w:color w:val="auto"/>
        </w:rPr>
      </w:pPr>
      <w:r>
        <w:rPr>
          <w:rFonts w:ascii="Times New Roman" w:cs="Times New Roman" w:eastAsia="Times New Roman" w:hAnsi="Times New Roman"/>
          <w:sz w:val="20"/>
          <w:szCs w:val="20"/>
          <w:color w:val="auto"/>
        </w:rPr>
        <w:t>See further discussion of net revenues (revenues less purchases and related costs) in the “—Analysis of Operating Segments” section below.</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Field Operating Costs</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discussion of field operating costs in the “—Analysis of Operating Segments” section below.</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General and Administrative Expenses</w:t>
      </w:r>
    </w:p>
    <w:p>
      <w:pPr>
        <w:spacing w:after="0" w:line="252" w:lineRule="exact"/>
        <w:rPr>
          <w:sz w:val="20"/>
          <w:szCs w:val="20"/>
          <w:color w:val="auto"/>
        </w:rPr>
      </w:pPr>
    </w:p>
    <w:p>
      <w:pPr>
        <w:ind w:firstLine="713"/>
        <w:spacing w:after="0" w:line="254" w:lineRule="auto"/>
        <w:rPr>
          <w:sz w:val="20"/>
          <w:szCs w:val="20"/>
          <w:color w:val="auto"/>
        </w:rPr>
      </w:pPr>
      <w:r>
        <w:rPr>
          <w:rFonts w:ascii="Times New Roman" w:cs="Times New Roman" w:eastAsia="Times New Roman" w:hAnsi="Times New Roman"/>
          <w:sz w:val="20"/>
          <w:szCs w:val="20"/>
          <w:color w:val="auto"/>
        </w:rPr>
        <w:t>The increase in general and administrative expenses for the year ended December 31, 2022 compared to the year ended December 31, 2021 was primarily due to (i) employee-related costs, including an increase in equity-indexed compensation expense due to changes in plan assumptions and a higher common unit price (a portion of which is excluded in the calculation of Adjusted EBITDA and Segment Adjusted EBITDA), (ii) higher information systems costs due to ongoing systems integration work and (iii) higher office rent due to an operating cost abatement in the prior year, partially offset by (iv) costs associated with the formation of the Permian JV in the prior year.</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Depreciation and Amortization</w:t>
      </w:r>
    </w:p>
    <w:p>
      <w:pPr>
        <w:spacing w:after="0" w:line="252" w:lineRule="exact"/>
        <w:rPr>
          <w:sz w:val="20"/>
          <w:szCs w:val="20"/>
          <w:color w:val="auto"/>
        </w:rPr>
      </w:pPr>
    </w:p>
    <w:p>
      <w:pPr>
        <w:ind w:right="160" w:firstLine="713"/>
        <w:spacing w:after="0" w:line="275" w:lineRule="auto"/>
        <w:rPr>
          <w:sz w:val="20"/>
          <w:szCs w:val="20"/>
          <w:color w:val="auto"/>
        </w:rPr>
      </w:pPr>
      <w:r>
        <w:rPr>
          <w:rFonts w:ascii="Times New Roman" w:cs="Times New Roman" w:eastAsia="Times New Roman" w:hAnsi="Times New Roman"/>
          <w:sz w:val="19"/>
          <w:szCs w:val="19"/>
          <w:color w:val="auto"/>
        </w:rPr>
        <w:t>Depreciation and amortization expense increased for the year ended December 31, 2022 compared to the year ended December 31, 2021 largely driven by depreciation and amortization expense on assets (i) contributed by Oryx Midstream Holdings LLC (“Oryx Midstream”) upon formation of the Permian JV and (ii) consolidated in connection with our acquisition of an additional interest in Cactus II. See Note 7 to our Consolidated Financial Statements for additional information.</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Gains/(Losses) on Asset Sales and Asset Impairments, Net</w:t>
      </w:r>
    </w:p>
    <w:p>
      <w:pPr>
        <w:spacing w:after="0" w:line="252" w:lineRule="exact"/>
        <w:rPr>
          <w:sz w:val="20"/>
          <w:szCs w:val="20"/>
          <w:color w:val="auto"/>
        </w:rPr>
      </w:pPr>
    </w:p>
    <w:p>
      <w:pPr>
        <w:ind w:right="140" w:firstLine="713"/>
        <w:spacing w:after="0" w:line="255" w:lineRule="auto"/>
        <w:rPr>
          <w:sz w:val="20"/>
          <w:szCs w:val="20"/>
          <w:color w:val="auto"/>
        </w:rPr>
      </w:pPr>
      <w:r>
        <w:rPr>
          <w:rFonts w:ascii="Times New Roman" w:cs="Times New Roman" w:eastAsia="Times New Roman" w:hAnsi="Times New Roman"/>
          <w:sz w:val="20"/>
          <w:szCs w:val="20"/>
          <w:color w:val="auto"/>
        </w:rPr>
        <w:t>The net losses on asset sales and asset impairments for 2022 primarily included (i) a $330 million non-cash impairment charge recognized in the fourth quarter of 2022 related to certain crude oil assets in California and (ii) gains recognized from the sale of land and related assets in Long Beach, California, as well as Line 901 and the Sisquoc to Pentland portion of Line 903, a portion of which relates to the transfer of an asset retirement obligation to the purchaser. See Note 6 and Note 7 to our Consolidated Financial Statements for additional information.</w:t>
      </w:r>
    </w:p>
    <w:p>
      <w:pPr>
        <w:spacing w:after="0" w:line="204" w:lineRule="exact"/>
        <w:rPr>
          <w:sz w:val="20"/>
          <w:szCs w:val="20"/>
          <w:color w:val="auto"/>
        </w:rPr>
      </w:pPr>
    </w:p>
    <w:p>
      <w:pPr>
        <w:ind w:right="40" w:firstLine="713"/>
        <w:spacing w:after="0" w:line="253" w:lineRule="auto"/>
        <w:rPr>
          <w:sz w:val="20"/>
          <w:szCs w:val="20"/>
          <w:color w:val="auto"/>
        </w:rPr>
      </w:pPr>
      <w:r>
        <w:rPr>
          <w:rFonts w:ascii="Times New Roman" w:cs="Times New Roman" w:eastAsia="Times New Roman" w:hAnsi="Times New Roman"/>
          <w:sz w:val="20"/>
          <w:szCs w:val="20"/>
          <w:color w:val="auto"/>
        </w:rPr>
        <w:t>The net losses on asset sales and asset impairments for 2021 primarily included (i) an approximate $220 million non-cash impairment charge recognized in the third quarter related to the write-down of certain crude oil storage terminal assets as a result of decreased demand for our services due to changing market conditions, (ii) an approximate $475 million non-cash impairment charge related to the write-down of our Pine Prairie and Southern Pines natural gas storage facilities upon classification as held for sale (these assets were sold in August 2021), and (iii) a gain of $106 million related to the asset exchange agreement (the “Asset Exchange”) involving the sale of one of our crude oil pipelines in Canada in exchange for additional interests in certain of the Empress natural gas processing plants.</w:t>
      </w:r>
    </w:p>
    <w:p>
      <w:pPr>
        <w:spacing w:after="0" w:line="204" w:lineRule="exact"/>
        <w:rPr>
          <w:sz w:val="20"/>
          <w:szCs w:val="20"/>
          <w:color w:val="auto"/>
        </w:rPr>
      </w:pPr>
    </w:p>
    <w:p>
      <w:pPr>
        <w:ind w:right="120" w:firstLine="713"/>
        <w:spacing w:after="0" w:line="278" w:lineRule="auto"/>
        <w:rPr>
          <w:sz w:val="20"/>
          <w:szCs w:val="20"/>
          <w:color w:val="auto"/>
        </w:rPr>
      </w:pPr>
      <w:r>
        <w:rPr>
          <w:rFonts w:ascii="Times New Roman" w:cs="Times New Roman" w:eastAsia="Times New Roman" w:hAnsi="Times New Roman"/>
          <w:sz w:val="20"/>
          <w:szCs w:val="20"/>
          <w:color w:val="auto"/>
        </w:rPr>
        <w:t>See Note 6 and Note 7 to our Consolidated Financial Statements for additional information regarding these asset sales and asset impairments.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Equity Earnings in Unconsolidated Entities</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See discussion of equity earnings in unconsolidated entities in the “—Analysis of Operating Segments” section below.</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Gains/(Losses) on Investments in Unconsolidated Entities, Net</w:t>
      </w:r>
    </w:p>
    <w:p>
      <w:pPr>
        <w:spacing w:after="0" w:line="252" w:lineRule="exact"/>
        <w:rPr>
          <w:sz w:val="20"/>
          <w:szCs w:val="20"/>
          <w:color w:val="auto"/>
        </w:rPr>
      </w:pPr>
    </w:p>
    <w:p>
      <w:pPr>
        <w:ind w:right="140" w:firstLine="713"/>
        <w:spacing w:after="0" w:line="261" w:lineRule="auto"/>
        <w:rPr>
          <w:sz w:val="20"/>
          <w:szCs w:val="20"/>
          <w:color w:val="auto"/>
        </w:rPr>
      </w:pPr>
      <w:r>
        <w:rPr>
          <w:rFonts w:ascii="Times New Roman" w:cs="Times New Roman" w:eastAsia="Times New Roman" w:hAnsi="Times New Roman"/>
          <w:sz w:val="19"/>
          <w:szCs w:val="19"/>
          <w:color w:val="auto"/>
        </w:rPr>
        <w:t>During the fourth quarter of 2022, we recognized (i) a gain of $370 million associated with the remeasurement of our previously held 65% interest in Cactus II to fair value in connection with our acquisition of an additional 5% interest in Cactus</w:t>
      </w:r>
    </w:p>
    <w:p>
      <w:pPr>
        <w:ind w:right="300" w:firstLine="1"/>
        <w:spacing w:after="0" w:line="263" w:lineRule="auto"/>
        <w:tabs>
          <w:tab w:leader="none" w:pos="18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November 2022 and (ii) a loss of $25 million associated with the difference between the fair value and historical book value of assets contributed by the Permian JV in exchange for an additional interest in OMOG. See Note 7 and Note 9 to our Consolidated Financial Statements for additional information regarding these transactions.</w:t>
      </w:r>
    </w:p>
    <w:p>
      <w:pPr>
        <w:sectPr>
          <w:pgSz w:w="11880" w:h="15480" w:orient="portrait"/>
          <w:cols w:equalWidth="0" w:num="1">
            <w:col w:w="10160"/>
          </w:cols>
          <w:pgMar w:left="860" w:top="683" w:right="86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160"/>
          </w:cols>
          <w:pgMar w:left="860" w:top="683" w:right="860" w:bottom="0" w:gutter="0" w:footer="0" w:header="0"/>
          <w:type w:val="continuous"/>
        </w:sectPr>
      </w:pPr>
    </w:p>
    <w:bookmarkStart w:id="70" w:name="page71"/>
    <w:bookmarkEnd w:id="70"/>
    <w:p>
      <w:pPr>
        <w:ind w:left="720"/>
        <w:spacing w:after="0"/>
        <w:rPr>
          <w:sz w:val="20"/>
          <w:szCs w:val="20"/>
          <w:color w:val="auto"/>
        </w:rPr>
      </w:pPr>
      <w:r>
        <w:rPr>
          <w:rFonts w:ascii="Times New Roman" w:cs="Times New Roman" w:eastAsia="Times New Roman" w:hAnsi="Times New Roman"/>
          <w:sz w:val="20"/>
          <w:szCs w:val="20"/>
          <w:b w:val="1"/>
          <w:bCs w:val="1"/>
          <w:color w:val="auto"/>
        </w:rPr>
        <w:t>Interest Expense, Net</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Interest expense is primarily impacted by:</w:t>
      </w:r>
    </w:p>
    <w:p>
      <w:pPr>
        <w:spacing w:after="0" w:line="245" w:lineRule="exact"/>
        <w:rPr>
          <w:sz w:val="20"/>
          <w:szCs w:val="20"/>
          <w:color w:val="auto"/>
        </w:rPr>
      </w:pPr>
    </w:p>
    <w:p>
      <w:pPr>
        <w:ind w:left="1080" w:hanging="366"/>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weighted average debt balances;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and maturity of fixed rate debt and interest rates associated therewith;</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interest rates and our interest rate hedging activities; and</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capitalized on capital projects.</w:t>
      </w:r>
    </w:p>
    <w:p>
      <w:pPr>
        <w:spacing w:after="0" w:line="245" w:lineRule="exact"/>
        <w:rPr>
          <w:sz w:val="20"/>
          <w:szCs w:val="20"/>
          <w:color w:val="auto"/>
        </w:rPr>
      </w:pPr>
    </w:p>
    <w:p>
      <w:pPr>
        <w:ind w:right="84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components impacting the interest expense variance (in millions, except percentages):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20" w:type="dxa"/>
            <w:vAlign w:val="bottom"/>
          </w:tcPr>
          <w:p>
            <w:pPr>
              <w:spacing w:after="0"/>
              <w:rPr>
                <w:sz w:val="18"/>
                <w:szCs w:val="18"/>
                <w:color w:val="auto"/>
              </w:rPr>
            </w:pPr>
          </w:p>
        </w:tc>
        <w:tc>
          <w:tcPr>
            <w:tcW w:w="3480" w:type="dxa"/>
            <w:vAlign w:val="bottom"/>
            <w:tcBorders>
              <w:bottom w:val="single" w:sz="8" w:color="E6E6E6"/>
            </w:tcBorders>
          </w:tcPr>
          <w:p>
            <w:pPr>
              <w:spacing w:after="0"/>
              <w:rPr>
                <w:sz w:val="18"/>
                <w:szCs w:val="18"/>
                <w:color w:val="auto"/>
              </w:rPr>
            </w:pPr>
          </w:p>
        </w:tc>
        <w:tc>
          <w:tcPr>
            <w:tcW w:w="2840" w:type="dxa"/>
            <w:vAlign w:val="bottom"/>
            <w:tcBorders>
              <w:bottom w:val="single" w:sz="8" w:color="E6E6E6"/>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LIBOR/SOFR</w:t>
            </w:r>
          </w:p>
        </w:tc>
        <w:tc>
          <w:tcPr>
            <w:tcW w:w="80" w:type="dxa"/>
            <w:vAlign w:val="bottom"/>
            <w:tcBorders>
              <w:bottom w:val="single" w:sz="8" w:color="E6E6E6"/>
            </w:tcBorders>
          </w:tcPr>
          <w:p>
            <w:pPr>
              <w:spacing w:after="0"/>
              <w:rPr>
                <w:sz w:val="18"/>
                <w:szCs w:val="18"/>
                <w:color w:val="auto"/>
              </w:rPr>
            </w:pPr>
          </w:p>
        </w:tc>
        <w:tc>
          <w:tcPr>
            <w:tcW w:w="1380" w:type="dxa"/>
            <w:vAlign w:val="bottom"/>
            <w:tcBorders>
              <w:bottom w:val="single" w:sz="8" w:color="auto"/>
            </w:tcBorders>
          </w:tcPr>
          <w:p>
            <w:pPr>
              <w:jc w:val="right"/>
              <w:ind w:right="101"/>
              <w:spacing w:after="0" w:line="212" w:lineRule="exact"/>
              <w:rPr>
                <w:sz w:val="20"/>
                <w:szCs w:val="20"/>
                <w:color w:val="auto"/>
              </w:rPr>
            </w:pPr>
            <w:r>
              <w:rPr>
                <w:rFonts w:ascii="Times New Roman" w:cs="Times New Roman" w:eastAsia="Times New Roman" w:hAnsi="Times New Roman"/>
                <w:sz w:val="16"/>
                <w:szCs w:val="16"/>
                <w:b w:val="1"/>
                <w:bCs w:val="1"/>
                <w:color w:val="auto"/>
              </w:rPr>
              <w:t xml:space="preserve">Interest Rate </w:t>
            </w:r>
            <w:r>
              <w:rPr>
                <w:rFonts w:ascii="Times New Roman" w:cs="Times New Roman" w:eastAsia="Times New Roman" w:hAnsi="Times New Roman"/>
                <w:sz w:val="20"/>
                <w:szCs w:val="20"/>
                <w:b w:val="1"/>
                <w:bCs w:val="1"/>
                <w:color w:val="auto"/>
                <w:vertAlign w:val="superscript"/>
              </w:rPr>
              <w:t>(1)</w:t>
            </w:r>
          </w:p>
        </w:tc>
      </w:tr>
      <w:tr>
        <w:trPr>
          <w:trHeight w:val="297"/>
        </w:trPr>
        <w:tc>
          <w:tcPr>
            <w:tcW w:w="20" w:type="dxa"/>
            <w:vAlign w:val="bottom"/>
          </w:tcPr>
          <w:p>
            <w:pPr>
              <w:spacing w:after="0"/>
              <w:rPr>
                <w:sz w:val="24"/>
                <w:szCs w:val="24"/>
                <w:color w:val="auto"/>
              </w:rPr>
            </w:pPr>
          </w:p>
        </w:tc>
        <w:tc>
          <w:tcPr>
            <w:tcW w:w="6320" w:type="dxa"/>
            <w:vAlign w:val="bottom"/>
            <w:tcBorders>
              <w:bottom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Interest expense for the year ended December 31, 2021</w:t>
            </w:r>
          </w:p>
        </w:tc>
        <w:tc>
          <w:tcPr>
            <w:tcW w:w="480" w:type="dxa"/>
            <w:vAlign w:val="bottom"/>
            <w:tcBorders>
              <w:bottom w:val="single" w:sz="8" w:color="auto"/>
            </w:tcBorders>
            <w:shd w:val="clear" w:color="auto" w:fill="E6E6E6"/>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1160" w:type="dxa"/>
            <w:vAlign w:val="bottom"/>
            <w:tcBorders>
              <w:bottom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1460" w:type="dxa"/>
            <w:vAlign w:val="bottom"/>
            <w:tcBorders>
              <w:bottom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4.2 %</w:t>
            </w:r>
          </w:p>
        </w:tc>
      </w:tr>
      <w:tr>
        <w:trPr>
          <w:trHeight w:val="263"/>
        </w:trPr>
        <w:tc>
          <w:tcPr>
            <w:tcW w:w="20" w:type="dxa"/>
            <w:vAlign w:val="bottom"/>
          </w:tcPr>
          <w:p>
            <w:pPr>
              <w:spacing w:after="0"/>
              <w:rPr>
                <w:sz w:val="22"/>
                <w:szCs w:val="22"/>
                <w:color w:val="auto"/>
              </w:rPr>
            </w:pPr>
          </w:p>
        </w:tc>
        <w:tc>
          <w:tcPr>
            <w:tcW w:w="6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Impact of retirement of senior notes</w:t>
            </w:r>
          </w:p>
        </w:tc>
        <w:tc>
          <w:tcPr>
            <w:tcW w:w="4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301"/>
        </w:trPr>
        <w:tc>
          <w:tcPr>
            <w:tcW w:w="20" w:type="dxa"/>
            <w:vAlign w:val="bottom"/>
          </w:tcPr>
          <w:p>
            <w:pPr>
              <w:spacing w:after="0"/>
              <w:rPr>
                <w:sz w:val="24"/>
                <w:szCs w:val="24"/>
                <w:color w:val="auto"/>
              </w:rPr>
            </w:pPr>
          </w:p>
        </w:tc>
        <w:tc>
          <w:tcPr>
            <w:tcW w:w="632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Impact of lower capitalized interest</w:t>
            </w:r>
          </w:p>
        </w:tc>
        <w:tc>
          <w:tcPr>
            <w:tcW w:w="48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380" w:type="dxa"/>
            <w:vAlign w:val="bottom"/>
            <w:shd w:val="clear" w:color="auto" w:fill="E6E6E6"/>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6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Impact of interest rate swap</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6320" w:type="dxa"/>
            <w:vAlign w:val="bottom"/>
            <w:tcBorders>
              <w:bottom w:val="single" w:sz="8" w:color="E6E6E6"/>
            </w:tcBorders>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48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Interest expense for the year ended December 31, 2022</w:t>
            </w:r>
          </w:p>
        </w:tc>
        <w:tc>
          <w:tcPr>
            <w:tcW w:w="4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4.3 %</w:t>
            </w:r>
          </w:p>
        </w:tc>
      </w:tr>
      <w:tr>
        <w:trPr>
          <w:trHeight w:val="134"/>
        </w:trPr>
        <w:tc>
          <w:tcPr>
            <w:tcW w:w="20" w:type="dxa"/>
            <w:vAlign w:val="bottom"/>
            <w:tcBorders>
              <w:bottom w:val="single" w:sz="8" w:color="auto"/>
            </w:tcBorders>
          </w:tcPr>
          <w:p>
            <w:pPr>
              <w:spacing w:after="0"/>
              <w:rPr>
                <w:sz w:val="11"/>
                <w:szCs w:val="11"/>
                <w:color w:val="auto"/>
              </w:rPr>
            </w:pPr>
          </w:p>
        </w:tc>
        <w:tc>
          <w:tcPr>
            <w:tcW w:w="3480" w:type="dxa"/>
            <w:vAlign w:val="bottom"/>
            <w:tcBorders>
              <w:bottom w:val="single" w:sz="8" w:color="auto"/>
            </w:tcBorders>
          </w:tcPr>
          <w:p>
            <w:pPr>
              <w:spacing w:after="0"/>
              <w:rPr>
                <w:sz w:val="11"/>
                <w:szCs w:val="11"/>
                <w:color w:val="auto"/>
              </w:rPr>
            </w:pPr>
          </w:p>
        </w:tc>
        <w:tc>
          <w:tcPr>
            <w:tcW w:w="2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-1272540</wp:posOffset>
            </wp:positionV>
            <wp:extent cx="2451735" cy="50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extLst>
                    </a:blip>
                    <a:srcRect/>
                    <a:stretch>
                      <a:fillRect/>
                    </a:stretch>
                  </pic:blipFill>
                  <pic:spPr bwMode="auto">
                    <a:xfrm>
                      <a:off x="0" y="0"/>
                      <a:ext cx="2451735" cy="5016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-1096645</wp:posOffset>
            </wp:positionV>
            <wp:extent cx="804545" cy="755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extLst>
                    </a:blip>
                    <a:srcRect/>
                    <a:stretch>
                      <a:fillRect/>
                    </a:stretch>
                  </pic:blipFill>
                  <pic:spPr bwMode="auto">
                    <a:xfrm>
                      <a:off x="0" y="0"/>
                      <a:ext cx="804545" cy="7556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-329565</wp:posOffset>
            </wp:positionV>
            <wp:extent cx="804545" cy="5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0">
                      <a:extLst>
                        <a:ext uri="{28A0092B-C50C-407E-A947-70E740481C1C}"/>
                      </a:extLst>
                    </a:blip>
                    <a:srcRect/>
                    <a:stretch>
                      <a:fillRect/>
                    </a:stretch>
                  </pic:blipFill>
                  <pic:spPr bwMode="auto">
                    <a:xfrm>
                      <a:off x="0" y="0"/>
                      <a:ext cx="804545" cy="5016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-153670</wp:posOffset>
            </wp:positionV>
            <wp:extent cx="804545" cy="755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a:extLst>
                        <a:ext uri="{28A0092B-C50C-407E-A947-70E740481C1C}"/>
                      </a:extLst>
                    </a:blip>
                    <a:srcRect/>
                    <a:stretch>
                      <a:fillRect/>
                    </a:stretch>
                  </pic:blipFill>
                  <pic:spPr bwMode="auto">
                    <a:xfrm>
                      <a:off x="0" y="0"/>
                      <a:ext cx="804545" cy="75565"/>
                    </a:xfrm>
                    <a:prstGeom prst="rect">
                      <a:avLst/>
                    </a:prstGeom>
                    <a:noFill/>
                  </pic:spPr>
                </pic:pic>
              </a:graphicData>
            </a:graphic>
          </wp:anchor>
        </w:drawing>
      </w:r>
    </w:p>
    <w:p>
      <w:pPr>
        <w:spacing w:after="0" w:line="86" w:lineRule="exact"/>
        <w:rPr>
          <w:sz w:val="20"/>
          <w:szCs w:val="20"/>
          <w:color w:val="auto"/>
        </w:rPr>
      </w:pPr>
    </w:p>
    <w:p>
      <w:pPr>
        <w:ind w:left="720" w:hanging="719"/>
        <w:spacing w:after="0"/>
        <w:tabs>
          <w:tab w:leader="none" w:pos="720" w:val="left"/>
        </w:tabs>
        <w:numPr>
          <w:ilvl w:val="0"/>
          <w:numId w:val="4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Excludes commitment and other fees.</w:t>
      </w:r>
    </w:p>
    <w:p>
      <w:pPr>
        <w:spacing w:after="0" w:line="216" w:lineRule="exact"/>
        <w:rPr>
          <w:sz w:val="20"/>
          <w:szCs w:val="20"/>
          <w:color w:val="auto"/>
        </w:rPr>
      </w:pPr>
    </w:p>
    <w:p>
      <w:pPr>
        <w:ind w:right="620" w:firstLine="713"/>
        <w:spacing w:after="0" w:line="278" w:lineRule="auto"/>
        <w:rPr>
          <w:sz w:val="20"/>
          <w:szCs w:val="20"/>
          <w:color w:val="auto"/>
        </w:rPr>
      </w:pPr>
      <w:r>
        <w:rPr>
          <w:rFonts w:ascii="Times New Roman" w:cs="Times New Roman" w:eastAsia="Times New Roman" w:hAnsi="Times New Roman"/>
          <w:sz w:val="20"/>
          <w:szCs w:val="20"/>
          <w:color w:val="auto"/>
        </w:rPr>
        <w:t>See Note 11 to our Consolidated Financial Statements for additional information regarding our debt and related activities during the periods presented.</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Other Income/(Expense), Net</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components impacting Other income/(expense), net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32"/>
        </w:trPr>
        <w:tc>
          <w:tcPr>
            <w:tcW w:w="3500" w:type="dxa"/>
            <w:vAlign w:val="bottom"/>
            <w:tcBorders>
              <w:bottom w:val="single" w:sz="8" w:color="E6E6E6"/>
            </w:tcBorders>
          </w:tcPr>
          <w:p>
            <w:pPr>
              <w:spacing w:after="0"/>
              <w:rPr>
                <w:sz w:val="20"/>
                <w:szCs w:val="20"/>
                <w:color w:val="auto"/>
              </w:rPr>
            </w:pPr>
          </w:p>
        </w:tc>
        <w:tc>
          <w:tcPr>
            <w:tcW w:w="438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6E6E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7880" w:type="dxa"/>
            <w:vAlign w:val="bottom"/>
            <w:gridSpan w:val="2"/>
            <w:shd w:val="clear" w:color="auto" w:fill="E6E6E6"/>
          </w:tcPr>
          <w:p>
            <w:pPr>
              <w:ind w:left="60"/>
              <w:spacing w:after="0" w:line="210" w:lineRule="exact"/>
              <w:rPr>
                <w:sz w:val="20"/>
                <w:szCs w:val="20"/>
                <w:color w:val="auto"/>
              </w:rPr>
            </w:pPr>
            <w:r>
              <w:rPr>
                <w:rFonts w:ascii="Times New Roman" w:cs="Times New Roman" w:eastAsia="Times New Roman" w:hAnsi="Times New Roman"/>
                <w:sz w:val="20"/>
                <w:szCs w:val="20"/>
                <w:color w:val="auto"/>
              </w:rPr>
              <w:t>Gain/(loss) on mark-to-market adjustment of Preferred Distribution Rate Reset Option</w:t>
            </w:r>
          </w:p>
        </w:tc>
        <w:tc>
          <w:tcPr>
            <w:tcW w:w="2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360" w:type="dxa"/>
            <w:vAlign w:val="bottom"/>
            <w:gridSpan w:val="2"/>
            <w:vMerge w:val="restart"/>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70"/>
        </w:trPr>
        <w:tc>
          <w:tcPr>
            <w:tcW w:w="7880" w:type="dxa"/>
            <w:vAlign w:val="bottom"/>
            <w:gridSpan w:val="2"/>
            <w:shd w:val="clear" w:color="auto" w:fill="E6E6E6"/>
          </w:tcPr>
          <w:p>
            <w:pPr>
              <w:ind w:left="240"/>
              <w:spacing w:after="0" w:line="270" w:lineRule="exact"/>
              <w:rPr>
                <w:sz w:val="20"/>
                <w:szCs w:val="20"/>
                <w:color w:val="auto"/>
              </w:rPr>
            </w:pPr>
            <w:r>
              <w:rPr>
                <w:rFonts w:ascii="Times New Roman" w:cs="Times New Roman" w:eastAsia="Times New Roman" w:hAnsi="Times New Roman"/>
                <w:sz w:val="20"/>
                <w:szCs w:val="20"/>
                <w:color w:val="auto"/>
              </w:rPr>
              <w:t xml:space="preserve">embedded derivative </w:t>
            </w:r>
            <w:r>
              <w:rPr>
                <w:rFonts w:ascii="Times New Roman" w:cs="Times New Roman" w:eastAsia="Times New Roman" w:hAnsi="Times New Roman"/>
                <w:sz w:val="25"/>
                <w:szCs w:val="25"/>
                <w:color w:val="auto"/>
                <w:vertAlign w:val="superscript"/>
              </w:rPr>
              <w:t>(1)</w:t>
            </w:r>
          </w:p>
        </w:tc>
        <w:tc>
          <w:tcPr>
            <w:tcW w:w="200" w:type="dxa"/>
            <w:vAlign w:val="bottom"/>
            <w:vMerge w:val="continue"/>
            <w:shd w:val="clear" w:color="auto" w:fill="E6E6E6"/>
          </w:tcPr>
          <w:p>
            <w:pPr>
              <w:spacing w:after="0"/>
              <w:rPr>
                <w:sz w:val="23"/>
                <w:szCs w:val="23"/>
                <w:color w:val="auto"/>
              </w:rPr>
            </w:pPr>
          </w:p>
        </w:tc>
        <w:tc>
          <w:tcPr>
            <w:tcW w:w="900" w:type="dxa"/>
            <w:vAlign w:val="bottom"/>
            <w:vMerge w:val="continue"/>
            <w:shd w:val="clear" w:color="auto" w:fill="E6E6E6"/>
          </w:tcPr>
          <w:p>
            <w:pPr>
              <w:spacing w:after="0"/>
              <w:rPr>
                <w:sz w:val="23"/>
                <w:szCs w:val="23"/>
                <w:color w:val="auto"/>
              </w:rPr>
            </w:pPr>
          </w:p>
        </w:tc>
        <w:tc>
          <w:tcPr>
            <w:tcW w:w="360" w:type="dxa"/>
            <w:vAlign w:val="bottom"/>
            <w:gridSpan w:val="2"/>
            <w:vMerge w:val="continue"/>
            <w:shd w:val="clear" w:color="auto" w:fill="E6E6E6"/>
          </w:tcPr>
          <w:p>
            <w:pPr>
              <w:spacing w:after="0"/>
              <w:rPr>
                <w:sz w:val="23"/>
                <w:szCs w:val="23"/>
                <w:color w:val="auto"/>
              </w:rPr>
            </w:pPr>
          </w:p>
        </w:tc>
        <w:tc>
          <w:tcPr>
            <w:tcW w:w="82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8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Net gain/(loss) on foreign currency revaluation </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87"/>
        </w:trPr>
        <w:tc>
          <w:tcPr>
            <w:tcW w:w="7880" w:type="dxa"/>
            <w:vAlign w:val="bottom"/>
            <w:tcBorders>
              <w:bottom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0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4982845</wp:posOffset>
            </wp:positionH>
            <wp:positionV relativeFrom="paragraph">
              <wp:posOffset>-1017905</wp:posOffset>
            </wp:positionV>
            <wp:extent cx="1492885" cy="5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2">
                      <a:extLst>
                        <a:ext uri="{28A0092B-C50C-407E-A947-70E740481C1C}"/>
                      </a:extLst>
                    </a:blip>
                    <a:srcRect/>
                    <a:stretch>
                      <a:fillRect/>
                    </a:stretch>
                  </pic:blipFill>
                  <pic:spPr bwMode="auto">
                    <a:xfrm>
                      <a:off x="0" y="0"/>
                      <a:ext cx="1492885" cy="5016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-329565</wp:posOffset>
            </wp:positionV>
            <wp:extent cx="1492885" cy="50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3">
                      <a:extLst>
                        <a:ext uri="{28A0092B-C50C-407E-A947-70E740481C1C}"/>
                      </a:extLst>
                    </a:blip>
                    <a:srcRect/>
                    <a:stretch>
                      <a:fillRect/>
                    </a:stretch>
                  </pic:blipFill>
                  <pic:spPr bwMode="auto">
                    <a:xfrm>
                      <a:off x="0" y="0"/>
                      <a:ext cx="1492885" cy="50165"/>
                    </a:xfrm>
                    <a:prstGeom prst="rect">
                      <a:avLst/>
                    </a:prstGeom>
                    <a:noFill/>
                  </pic:spPr>
                </pic:pic>
              </a:graphicData>
            </a:graphic>
          </wp:anchor>
        </w:drawing>
      </w:r>
    </w:p>
    <w:p>
      <w:pPr>
        <w:sectPr>
          <w:pgSz w:w="11880" w:h="15480" w:orient="portrait"/>
          <w:cols w:equalWidth="0" w:num="1">
            <w:col w:w="10160"/>
          </w:cols>
          <w:pgMar w:left="860" w:top="676" w:right="860" w:bottom="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13 to our Consolidated Financial Statements for additional information.</w:t>
      </w:r>
    </w:p>
    <w:p>
      <w:pPr>
        <w:spacing w:after="0" w:line="126" w:lineRule="exact"/>
        <w:rPr>
          <w:sz w:val="20"/>
          <w:szCs w:val="20"/>
          <w:color w:val="auto"/>
        </w:rPr>
      </w:pPr>
    </w:p>
    <w:p>
      <w:pPr>
        <w:jc w:val="both"/>
        <w:ind w:right="400"/>
        <w:spacing w:after="0" w:line="263" w:lineRule="auto"/>
        <w:rPr>
          <w:sz w:val="20"/>
          <w:szCs w:val="20"/>
          <w:color w:val="auto"/>
        </w:rPr>
      </w:pPr>
      <w:r>
        <w:rPr>
          <w:rFonts w:ascii="Times New Roman" w:cs="Times New Roman" w:eastAsia="Times New Roman" w:hAnsi="Times New Roman"/>
          <w:sz w:val="20"/>
          <w:szCs w:val="20"/>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(Expense)/Benefit</w:t>
      </w:r>
    </w:p>
    <w:p>
      <w:pPr>
        <w:spacing w:after="0" w:line="200" w:lineRule="exact"/>
        <w:rPr>
          <w:sz w:val="20"/>
          <w:szCs w:val="20"/>
          <w:color w:val="auto"/>
        </w:rPr>
      </w:pPr>
    </w:p>
    <w:p>
      <w:pPr>
        <w:sectPr>
          <w:pgSz w:w="11880" w:h="15480" w:orient="portrait"/>
          <w:cols w:equalWidth="0" w:num="2">
            <w:col w:w="160" w:space="560"/>
            <w:col w:w="9440"/>
          </w:cols>
          <w:pgMar w:left="860" w:top="676" w:right="860" w:bottom="0" w:gutter="0" w:footer="0" w:header="0"/>
          <w:type w:val="continuous"/>
        </w:sectPr>
      </w:pPr>
    </w:p>
    <w:p>
      <w:pPr>
        <w:spacing w:after="0" w:line="52" w:lineRule="exact"/>
        <w:rPr>
          <w:sz w:val="20"/>
          <w:szCs w:val="20"/>
          <w:color w:val="auto"/>
        </w:rPr>
      </w:pPr>
    </w:p>
    <w:p>
      <w:pPr>
        <w:ind w:right="20" w:firstLine="713"/>
        <w:spacing w:after="0" w:line="263" w:lineRule="auto"/>
        <w:rPr>
          <w:sz w:val="20"/>
          <w:szCs w:val="20"/>
          <w:color w:val="auto"/>
        </w:rPr>
      </w:pPr>
      <w:r>
        <w:rPr>
          <w:rFonts w:ascii="Times New Roman" w:cs="Times New Roman" w:eastAsia="Times New Roman" w:hAnsi="Times New Roman"/>
          <w:sz w:val="20"/>
          <w:szCs w:val="20"/>
          <w:color w:val="auto"/>
        </w:rPr>
        <w:t>The net unfavorable income tax variance for the year ended December 31, 2022 compared to the year ended December 31, 2021 was primarily a result of higher year-over-year income as impacted by fluctuations of the derivative mark-to-market valuations in our Canadian operations.</w:t>
      </w:r>
    </w:p>
    <w:p>
      <w:pPr>
        <w:sectPr>
          <w:pgSz w:w="11880" w:h="15480" w:orient="portrait"/>
          <w:cols w:equalWidth="0" w:num="1">
            <w:col w:w="10160"/>
          </w:cols>
          <w:pgMar w:left="860" w:top="676"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160"/>
          </w:cols>
          <w:pgMar w:left="860" w:top="676" w:right="860" w:bottom="0" w:gutter="0" w:footer="0" w:header="0"/>
          <w:type w:val="continuous"/>
        </w:sectPr>
      </w:pPr>
    </w:p>
    <w:bookmarkStart w:id="71" w:name="page72"/>
    <w:bookmarkEnd w:id="71"/>
    <w:p>
      <w:pPr>
        <w:ind w:left="72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52" w:lineRule="exact"/>
        <w:rPr>
          <w:sz w:val="20"/>
          <w:szCs w:val="20"/>
          <w:color w:val="auto"/>
        </w:rPr>
      </w:pPr>
    </w:p>
    <w:p>
      <w:pPr>
        <w:ind w:right="40" w:firstLine="713"/>
        <w:spacing w:after="0" w:line="263" w:lineRule="auto"/>
        <w:rPr>
          <w:sz w:val="20"/>
          <w:szCs w:val="20"/>
          <w:color w:val="auto"/>
        </w:rPr>
      </w:pPr>
      <w:r>
        <w:rPr>
          <w:rFonts w:ascii="Times New Roman" w:cs="Times New Roman" w:eastAsia="Times New Roman" w:hAnsi="Times New Roman"/>
          <w:sz w:val="20"/>
          <w:szCs w:val="20"/>
          <w:color w:val="auto"/>
        </w:rPr>
        <w:t>The increase in amounts attributable to noncontrolling interests for the year ended December 31, 2022 compared to the year ended December 31, 2021 was due to (i) the formation of the Permian JV in October 2021 and (ii) the consolidation of Cactus II in November 2022. See Note 7 to our Consolidated Financial Statements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Measures</w:t>
      </w:r>
    </w:p>
    <w:p>
      <w:pPr>
        <w:spacing w:after="0" w:line="253" w:lineRule="exact"/>
        <w:rPr>
          <w:sz w:val="20"/>
          <w:szCs w:val="20"/>
          <w:color w:val="auto"/>
        </w:rPr>
      </w:pPr>
    </w:p>
    <w:p>
      <w:pPr>
        <w:ind w:right="160" w:firstLine="713"/>
        <w:spacing w:after="0" w:line="272" w:lineRule="auto"/>
        <w:rPr>
          <w:sz w:val="20"/>
          <w:szCs w:val="20"/>
          <w:color w:val="auto"/>
        </w:rPr>
      </w:pPr>
      <w:r>
        <w:rPr>
          <w:rFonts w:ascii="Times New Roman" w:cs="Times New Roman" w:eastAsia="Times New Roman" w:hAnsi="Times New Roman"/>
          <w:sz w:val="19"/>
          <w:szCs w:val="19"/>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88" w:lineRule="exact"/>
        <w:rPr>
          <w:sz w:val="20"/>
          <w:szCs w:val="20"/>
          <w:color w:val="auto"/>
        </w:rPr>
      </w:pPr>
    </w:p>
    <w:p>
      <w:pPr>
        <w:ind w:right="160" w:firstLine="713"/>
        <w:spacing w:after="0" w:line="275" w:lineRule="auto"/>
        <w:rPr>
          <w:sz w:val="20"/>
          <w:szCs w:val="20"/>
          <w:color w:val="auto"/>
        </w:rPr>
      </w:pPr>
      <w:r>
        <w:rPr>
          <w:rFonts w:ascii="Times New Roman" w:cs="Times New Roman" w:eastAsia="Times New Roman" w:hAnsi="Times New Roman"/>
          <w:sz w:val="19"/>
          <w:szCs w:val="19"/>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goodwill impairment losses and gains or losses on and impairments of investments in unconsolidated entities, adjusted for certain selected items impacting comparability.</w:t>
      </w:r>
    </w:p>
    <w:p>
      <w:pPr>
        <w:spacing w:after="0" w:line="246" w:lineRule="exact"/>
        <w:rPr>
          <w:sz w:val="20"/>
          <w:szCs w:val="20"/>
          <w:color w:val="auto"/>
        </w:rPr>
      </w:pPr>
    </w:p>
    <w:p>
      <w:pPr>
        <w:ind w:right="120" w:firstLine="713"/>
        <w:spacing w:after="0" w:line="269" w:lineRule="auto"/>
        <w:rPr>
          <w:sz w:val="20"/>
          <w:szCs w:val="20"/>
          <w:color w:val="auto"/>
        </w:rPr>
      </w:pPr>
      <w:r>
        <w:rPr>
          <w:rFonts w:ascii="Times New Roman" w:cs="Times New Roman" w:eastAsia="Times New Roman" w:hAnsi="Times New Roman"/>
          <w:sz w:val="19"/>
          <w:szCs w:val="19"/>
          <w:color w:val="auto"/>
        </w:rPr>
        <w:t>Our definition and calculation of certain non-GAAP financial measures may not be comparable to similarly-titled measures of other companies. Adjusted EBITDA, Adjusted EBITDA attributable to PAA and Implied DCF are reconciled to Net Income/(Loss), and Free Cash Flow and Free Cash Flow after Distributions are reconciled to Net Cash Provided by Operating Activities, the most directly comparable measures as reported in accordance with GAAP, and should be viewed in addition to, and not in lieu of, our Consolidated Financial Statements and accompanying notes. See “—Liquidity and Capital Resources—Liquidity Measures” for additional information regarding Free Cash Flow and Free Cash Flow after Distributions.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Performance Measures</w:t>
      </w:r>
    </w:p>
    <w:p>
      <w:pPr>
        <w:spacing w:after="0" w:line="252" w:lineRule="exact"/>
        <w:rPr>
          <w:sz w:val="20"/>
          <w:szCs w:val="20"/>
          <w:color w:val="auto"/>
        </w:rPr>
      </w:pPr>
    </w:p>
    <w:p>
      <w:pPr>
        <w:ind w:firstLine="713"/>
        <w:spacing w:after="0" w:line="249" w:lineRule="auto"/>
        <w:rPr>
          <w:sz w:val="20"/>
          <w:szCs w:val="20"/>
          <w:color w:val="auto"/>
        </w:rPr>
      </w:pPr>
      <w:r>
        <w:rPr>
          <w:rFonts w:ascii="Times New Roman" w:cs="Times New Roman" w:eastAsia="Times New Roman" w:hAnsi="Times New Roman"/>
          <w:sz w:val="20"/>
          <w:szCs w:val="20"/>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 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18" w:lineRule="exact"/>
        <w:rPr>
          <w:sz w:val="20"/>
          <w:szCs w:val="20"/>
          <w:color w:val="auto"/>
        </w:rPr>
      </w:pPr>
    </w:p>
    <w:p>
      <w:pPr>
        <w:ind w:right="20" w:firstLine="713"/>
        <w:spacing w:after="0" w:line="255" w:lineRule="auto"/>
        <w:rPr>
          <w:sz w:val="20"/>
          <w:szCs w:val="20"/>
          <w:color w:val="auto"/>
        </w:rPr>
      </w:pPr>
      <w:r>
        <w:rPr>
          <w:rFonts w:ascii="Times New Roman" w:cs="Times New Roman" w:eastAsia="Times New Roman" w:hAnsi="Times New Roman"/>
          <w:sz w:val="20"/>
          <w:szCs w:val="20"/>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4" w:lineRule="exact"/>
        <w:rPr>
          <w:sz w:val="20"/>
          <w:szCs w:val="20"/>
          <w:color w:val="auto"/>
        </w:rPr>
      </w:pPr>
    </w:p>
    <w:p>
      <w:pPr>
        <w:ind w:right="6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tables set forth the reconciliation of the non-GAAP financial performance measures Adjusted EBITDA, Adjusted EBITDA attributable to PAA and Implied DCF from Net Income (in millions):</w:t>
      </w:r>
    </w:p>
    <w:p>
      <w:pPr>
        <w:sectPr>
          <w:pgSz w:w="11880" w:h="15480" w:orient="portrait"/>
          <w:cols w:equalWidth="0" w:num="1">
            <w:col w:w="10160"/>
          </w:cols>
          <w:pgMar w:left="860" w:top="676" w:right="8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160"/>
          </w:cols>
          <w:pgMar w:left="860" w:top="676" w:right="860" w:bottom="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00" w:type="dxa"/>
            <w:vAlign w:val="bottom"/>
            <w:tcBorders>
              <w:bottom w:val="single" w:sz="8" w:color="E6E6E6"/>
            </w:tcBorders>
          </w:tcPr>
          <w:p>
            <w:pPr>
              <w:spacing w:after="0"/>
              <w:rPr>
                <w:sz w:val="20"/>
                <w:szCs w:val="20"/>
                <w:color w:val="auto"/>
              </w:rPr>
            </w:pPr>
          </w:p>
        </w:tc>
        <w:tc>
          <w:tcPr>
            <w:tcW w:w="202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87"/>
        </w:trPr>
        <w:tc>
          <w:tcPr>
            <w:tcW w:w="55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360" w:type="dxa"/>
            <w:vAlign w:val="bottom"/>
            <w:gridSpan w:val="2"/>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140" w:type="dxa"/>
            <w:vAlign w:val="bottom"/>
            <w:tcBorders>
              <w:right w:val="single" w:sz="8" w:color="auto"/>
            </w:tcBorders>
            <w:shd w:val="clear" w:color="auto" w:fill="E6E6E6"/>
          </w:tcPr>
          <w:p>
            <w:pPr>
              <w:spacing w:after="0"/>
              <w:rPr>
                <w:sz w:val="24"/>
                <w:szCs w:val="24"/>
                <w:color w:val="auto"/>
              </w:rPr>
            </w:pPr>
          </w:p>
        </w:tc>
        <w:tc>
          <w:tcPr>
            <w:tcW w:w="34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90 %</w:t>
            </w:r>
          </w:p>
        </w:tc>
        <w:tc>
          <w:tcPr>
            <w:tcW w:w="0" w:type="dxa"/>
            <w:vAlign w:val="bottom"/>
          </w:tcPr>
          <w:p>
            <w:pPr>
              <w:spacing w:after="0"/>
              <w:rPr>
                <w:sz w:val="1"/>
                <w:szCs w:val="1"/>
                <w:color w:val="auto"/>
              </w:rPr>
            </w:pPr>
          </w:p>
        </w:tc>
      </w:tr>
      <w:tr>
        <w:trPr>
          <w:trHeight w:val="291"/>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Interest expense, net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303"/>
        </w:trPr>
        <w:tc>
          <w:tcPr>
            <w:tcW w:w="552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Income tax expense</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40" w:type="dxa"/>
            <w:vAlign w:val="bottom"/>
            <w:tcBorders>
              <w:right w:val="single" w:sz="8" w:color="auto"/>
            </w:tcBorders>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159 %</w:t>
            </w:r>
          </w:p>
        </w:tc>
        <w:tc>
          <w:tcPr>
            <w:tcW w:w="0" w:type="dxa"/>
            <w:vAlign w:val="bottom"/>
          </w:tcPr>
          <w:p>
            <w:pPr>
              <w:spacing w:after="0"/>
              <w:rPr>
                <w:sz w:val="1"/>
                <w:szCs w:val="1"/>
                <w:color w:val="auto"/>
              </w:rPr>
            </w:pPr>
          </w:p>
        </w:tc>
      </w:tr>
      <w:tr>
        <w:trPr>
          <w:trHeight w:val="291"/>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303"/>
        </w:trPr>
        <w:tc>
          <w:tcPr>
            <w:tcW w:w="552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(Gains)/losses on asset sales and asset impairments, net</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140" w:type="dxa"/>
            <w:vAlign w:val="bottom"/>
            <w:tcBorders>
              <w:right w:val="single" w:sz="8" w:color="auto"/>
            </w:tcBorders>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91"/>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(Gains)/losses on investments in unconsolidated entities, net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52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 xml:space="preserve">Depreciation and amortization of unconsolidated entities </w:t>
            </w:r>
            <w:r>
              <w:rPr>
                <w:rFonts w:ascii="Times New Roman" w:cs="Times New Roman" w:eastAsia="Times New Roman" w:hAnsi="Times New Roman"/>
                <w:sz w:val="25"/>
                <w:szCs w:val="25"/>
                <w:color w:val="auto"/>
                <w:vertAlign w:val="superscript"/>
              </w:rPr>
              <w:t>(1)</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40" w:type="dxa"/>
            <w:vAlign w:val="bottom"/>
            <w:tcBorders>
              <w:right w:val="single" w:sz="8" w:color="auto"/>
            </w:tcBorders>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91"/>
        </w:trPr>
        <w:tc>
          <w:tcPr>
            <w:tcW w:w="55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Selected Items Impacting Comparability:</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52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Derivative activities and inventory valuation adjustments</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140" w:type="dxa"/>
            <w:vAlign w:val="bottom"/>
            <w:tcBorders>
              <w:right w:val="single" w:sz="8" w:color="auto"/>
            </w:tcBorders>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Long-term inventory costing adjustments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52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Deficiencies under minimum volume commitments, net</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tcBorders>
              <w:right w:val="single" w:sz="8" w:color="auto"/>
            </w:tcBorders>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Equity-indexed compensation expense</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52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Foreign currency revaluation</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40" w:type="dxa"/>
            <w:vAlign w:val="bottom"/>
            <w:tcBorders>
              <w:right w:val="single" w:sz="8" w:color="auto"/>
            </w:tcBorders>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Line 901 incident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2"/>
        </w:trPr>
        <w:tc>
          <w:tcPr>
            <w:tcW w:w="5520" w:type="dxa"/>
            <w:vAlign w:val="bottom"/>
            <w:tcBorders>
              <w:bottom w:val="single" w:sz="8" w:color="E6E6E6"/>
            </w:tcBorders>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Significant transaction-related expenses</w:t>
            </w: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40" w:type="dxa"/>
            <w:vAlign w:val="bottom"/>
            <w:tcBorders>
              <w:bottom w:val="single" w:sz="8" w:color="E6E6E6"/>
              <w:right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1"/>
        </w:trPr>
        <w:tc>
          <w:tcPr>
            <w:tcW w:w="552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8"/>
                <w:szCs w:val="18"/>
                <w:color w:val="auto"/>
              </w:rPr>
              <w:t>Selected Items Impacting Comparability - Segment Adjusted</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ind w:left="240"/>
              <w:spacing w:after="0" w:line="270" w:lineRule="exact"/>
              <w:rPr>
                <w:sz w:val="20"/>
                <w:szCs w:val="20"/>
                <w:color w:val="auto"/>
              </w:rPr>
            </w:pPr>
            <w:r>
              <w:rPr>
                <w:rFonts w:ascii="Times New Roman" w:cs="Times New Roman" w:eastAsia="Times New Roman" w:hAnsi="Times New Roman"/>
                <w:sz w:val="20"/>
                <w:szCs w:val="20"/>
                <w:color w:val="auto"/>
              </w:rPr>
              <w:t xml:space="preserve">EBITDA </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5520" w:type="dxa"/>
            <w:vAlign w:val="bottom"/>
            <w:gridSpan w:val="2"/>
            <w:shd w:val="clear" w:color="auto" w:fill="E6E6E6"/>
          </w:tcPr>
          <w:p>
            <w:pPr>
              <w:ind w:left="180"/>
              <w:spacing w:after="0" w:line="220" w:lineRule="exact"/>
              <w:rPr>
                <w:sz w:val="20"/>
                <w:szCs w:val="20"/>
                <w:color w:val="auto"/>
              </w:rPr>
            </w:pPr>
            <w:r>
              <w:rPr>
                <w:rFonts w:ascii="Times New Roman" w:cs="Times New Roman" w:eastAsia="Times New Roman" w:hAnsi="Times New Roman"/>
                <w:sz w:val="20"/>
                <w:szCs w:val="20"/>
                <w:color w:val="auto"/>
              </w:rPr>
              <w:t>Mark-to-market adjustment of Preferred Distribution Rate Reset</w:t>
            </w:r>
          </w:p>
        </w:tc>
        <w:tc>
          <w:tcPr>
            <w:tcW w:w="200" w:type="dxa"/>
            <w:vAlign w:val="bottom"/>
            <w:shd w:val="clear" w:color="auto" w:fill="E6E6E6"/>
          </w:tcPr>
          <w:p>
            <w:pPr>
              <w:spacing w:after="0"/>
              <w:rPr>
                <w:sz w:val="19"/>
                <w:szCs w:val="19"/>
                <w:color w:val="auto"/>
              </w:rPr>
            </w:pPr>
          </w:p>
        </w:tc>
        <w:tc>
          <w:tcPr>
            <w:tcW w:w="8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8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8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40" w:type="dxa"/>
            <w:vAlign w:val="bottom"/>
            <w:tcBorders>
              <w:right w:val="single" w:sz="8" w:color="auto"/>
            </w:tcBorders>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7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8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7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E6E6E6"/>
          </w:tcPr>
          <w:p>
            <w:pPr>
              <w:ind w:left="360"/>
              <w:spacing w:after="0" w:line="270" w:lineRule="exact"/>
              <w:rPr>
                <w:sz w:val="20"/>
                <w:szCs w:val="20"/>
                <w:color w:val="auto"/>
              </w:rPr>
            </w:pPr>
            <w:r>
              <w:rPr>
                <w:rFonts w:ascii="Times New Roman" w:cs="Times New Roman" w:eastAsia="Times New Roman" w:hAnsi="Times New Roman"/>
                <w:sz w:val="20"/>
                <w:szCs w:val="20"/>
                <w:color w:val="auto"/>
              </w:rPr>
              <w:t xml:space="preserve">Option embedded derivative </w:t>
            </w:r>
            <w:r>
              <w:rPr>
                <w:rFonts w:ascii="Times New Roman" w:cs="Times New Roman" w:eastAsia="Times New Roman" w:hAnsi="Times New Roman"/>
                <w:sz w:val="25"/>
                <w:szCs w:val="25"/>
                <w:color w:val="auto"/>
                <w:vertAlign w:val="superscript"/>
              </w:rPr>
              <w:t>(3)</w:t>
            </w:r>
          </w:p>
        </w:tc>
        <w:tc>
          <w:tcPr>
            <w:tcW w:w="200" w:type="dxa"/>
            <w:vAlign w:val="bottom"/>
            <w:shd w:val="clear" w:color="auto" w:fill="E6E6E6"/>
          </w:tcPr>
          <w:p>
            <w:pPr>
              <w:spacing w:after="0"/>
              <w:rPr>
                <w:sz w:val="23"/>
                <w:szCs w:val="23"/>
                <w:color w:val="auto"/>
              </w:rPr>
            </w:pPr>
          </w:p>
        </w:tc>
        <w:tc>
          <w:tcPr>
            <w:tcW w:w="88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800" w:type="dxa"/>
            <w:vAlign w:val="bottom"/>
            <w:vMerge w:val="continue"/>
            <w:shd w:val="clear" w:color="auto" w:fill="E6E6E6"/>
          </w:tcPr>
          <w:p>
            <w:pPr>
              <w:spacing w:after="0"/>
              <w:rPr>
                <w:sz w:val="23"/>
                <w:szCs w:val="23"/>
                <w:color w:val="auto"/>
              </w:rPr>
            </w:pPr>
          </w:p>
        </w:tc>
        <w:tc>
          <w:tcPr>
            <w:tcW w:w="140" w:type="dxa"/>
            <w:vAlign w:val="bottom"/>
            <w:tcBorders>
              <w:right w:val="single" w:sz="8" w:color="auto"/>
            </w:tcBorders>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60" w:type="dxa"/>
            <w:vAlign w:val="bottom"/>
            <w:shd w:val="clear" w:color="auto" w:fill="E6E6E6"/>
          </w:tcPr>
          <w:p>
            <w:pPr>
              <w:spacing w:after="0"/>
              <w:rPr>
                <w:sz w:val="23"/>
                <w:szCs w:val="23"/>
                <w:color w:val="auto"/>
              </w:rPr>
            </w:pPr>
          </w:p>
        </w:tc>
        <w:tc>
          <w:tcPr>
            <w:tcW w:w="72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520" w:type="dxa"/>
            <w:vAlign w:val="bottom"/>
            <w:tcBorders>
              <w:bottom w:val="single" w:sz="8" w:color="E6E6E6"/>
            </w:tcBorders>
            <w:gridSpan w:val="2"/>
          </w:tcPr>
          <w:p>
            <w:pPr>
              <w:ind w:left="180"/>
              <w:spacing w:after="0"/>
              <w:rPr>
                <w:sz w:val="20"/>
                <w:szCs w:val="20"/>
                <w:color w:val="auto"/>
              </w:rPr>
            </w:pPr>
            <w:r>
              <w:rPr>
                <w:rFonts w:ascii="Times New Roman" w:cs="Times New Roman" w:eastAsia="Times New Roman" w:hAnsi="Times New Roman"/>
                <w:sz w:val="20"/>
                <w:szCs w:val="20"/>
                <w:color w:val="auto"/>
              </w:rPr>
              <w:t xml:space="preserve">Foreign currency revaluation </w:t>
            </w:r>
            <w:r>
              <w:rPr>
                <w:rFonts w:ascii="Times New Roman" w:cs="Times New Roman" w:eastAsia="Times New Roman" w:hAnsi="Times New Roman"/>
                <w:sz w:val="25"/>
                <w:szCs w:val="25"/>
                <w:color w:val="auto"/>
                <w:vertAlign w:val="superscript"/>
              </w:rPr>
              <w:t>(4)</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Borders>
              <w:bottom w:val="single" w:sz="8" w:color="E6E6E6"/>
              <w:right w:val="single" w:sz="8" w:color="auto"/>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E6E6E6"/>
            </w:tcBorders>
            <w:gridSpan w:val="2"/>
            <w:shd w:val="clear" w:color="auto" w:fill="E6E6E6"/>
          </w:tcPr>
          <w:p>
            <w:pPr>
              <w:ind w:left="60"/>
              <w:spacing w:after="0" w:line="277" w:lineRule="exact"/>
              <w:rPr>
                <w:sz w:val="20"/>
                <w:szCs w:val="20"/>
                <w:color w:val="auto"/>
              </w:rPr>
            </w:pPr>
            <w:r>
              <w:rPr>
                <w:rFonts w:ascii="Times New Roman" w:cs="Times New Roman" w:eastAsia="Times New Roman" w:hAnsi="Times New Roman"/>
                <w:sz w:val="20"/>
                <w:szCs w:val="20"/>
                <w:color w:val="auto"/>
              </w:rPr>
              <w:t xml:space="preserve">Selected Items Impacting Comparability - Adjusted EBITDA </w:t>
            </w:r>
            <w:r>
              <w:rPr>
                <w:rFonts w:ascii="Times New Roman" w:cs="Times New Roman" w:eastAsia="Times New Roman" w:hAnsi="Times New Roman"/>
                <w:sz w:val="25"/>
                <w:szCs w:val="25"/>
                <w:color w:val="auto"/>
                <w:vertAlign w:val="superscript"/>
              </w:rPr>
              <w:t>(5)</w:t>
            </w: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140" w:type="dxa"/>
            <w:vAlign w:val="bottom"/>
            <w:tcBorders>
              <w:bottom w:val="single" w:sz="8" w:color="E6E6E6"/>
              <w:right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7"/>
        </w:trPr>
        <w:tc>
          <w:tcPr>
            <w:tcW w:w="5520" w:type="dxa"/>
            <w:vAlign w:val="bottom"/>
            <w:gridSpan w:val="2"/>
          </w:tcPr>
          <w:p>
            <w:pPr>
              <w:ind w:left="60"/>
              <w:spacing w:after="0" w:line="266" w:lineRule="exact"/>
              <w:rPr>
                <w:sz w:val="20"/>
                <w:szCs w:val="20"/>
                <w:color w:val="auto"/>
              </w:rPr>
            </w:pPr>
            <w:r>
              <w:rPr>
                <w:rFonts w:ascii="Times New Roman" w:cs="Times New Roman" w:eastAsia="Times New Roman" w:hAnsi="Times New Roman"/>
                <w:sz w:val="20"/>
                <w:szCs w:val="20"/>
                <w:color w:val="auto"/>
              </w:rPr>
              <w:t xml:space="preserve">Adjusted EBITDA </w:t>
            </w:r>
            <w:r>
              <w:rPr>
                <w:rFonts w:ascii="Times New Roman" w:cs="Times New Roman" w:eastAsia="Times New Roman" w:hAnsi="Times New Roman"/>
                <w:sz w:val="25"/>
                <w:szCs w:val="25"/>
                <w:color w:val="auto"/>
                <w:vertAlign w:val="superscript"/>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2,875</w:t>
            </w:r>
          </w:p>
        </w:tc>
        <w:tc>
          <w:tcPr>
            <w:tcW w:w="3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2,290</w:t>
            </w:r>
          </w:p>
        </w:tc>
        <w:tc>
          <w:tcPr>
            <w:tcW w:w="140" w:type="dxa"/>
            <w:vAlign w:val="bottom"/>
            <w:tcBorders>
              <w:right w:val="single" w:sz="8" w:color="auto"/>
            </w:tcBorders>
          </w:tcPr>
          <w:p>
            <w:pPr>
              <w:spacing w:after="0"/>
              <w:rPr>
                <w:sz w:val="23"/>
                <w:szCs w:val="23"/>
                <w:color w:val="auto"/>
              </w:rPr>
            </w:pP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0" w:type="dxa"/>
            <w:vAlign w:val="bottom"/>
          </w:tcPr>
          <w:p>
            <w:pPr>
              <w:spacing w:after="0"/>
              <w:rPr>
                <w:sz w:val="1"/>
                <w:szCs w:val="1"/>
                <w:color w:val="auto"/>
              </w:rPr>
            </w:pPr>
          </w:p>
        </w:tc>
      </w:tr>
      <w:tr>
        <w:trPr>
          <w:trHeight w:val="287"/>
        </w:trPr>
        <w:tc>
          <w:tcPr>
            <w:tcW w:w="5520" w:type="dxa"/>
            <w:vAlign w:val="bottom"/>
            <w:tcBorders>
              <w:bottom w:val="single" w:sz="8" w:color="E6E6E6"/>
            </w:tcBorders>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 xml:space="preserve">Adjusted EBITDA attributable to noncontrolling interests </w:t>
            </w:r>
            <w:r>
              <w:rPr>
                <w:rFonts w:ascii="Times New Roman" w:cs="Times New Roman" w:eastAsia="Times New Roman" w:hAnsi="Times New Roman"/>
                <w:sz w:val="25"/>
                <w:szCs w:val="25"/>
                <w:color w:val="auto"/>
                <w:vertAlign w:val="superscript"/>
              </w:rPr>
              <w:t>(6)</w:t>
            </w: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40" w:type="dxa"/>
            <w:vAlign w:val="bottom"/>
            <w:tcBorders>
              <w:bottom w:val="single" w:sz="8" w:color="E6E6E6"/>
              <w:right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0" w:type="dxa"/>
            <w:vAlign w:val="bottom"/>
          </w:tcPr>
          <w:p>
            <w:pPr>
              <w:spacing w:after="0"/>
              <w:rPr>
                <w:sz w:val="1"/>
                <w:szCs w:val="1"/>
                <w:color w:val="auto"/>
              </w:rPr>
            </w:pPr>
          </w:p>
        </w:tc>
      </w:tr>
      <w:tr>
        <w:trPr>
          <w:trHeight w:val="297"/>
        </w:trPr>
        <w:tc>
          <w:tcPr>
            <w:tcW w:w="55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Adjusted EBITDA attributable to PAA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2,510</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2,196</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0" w:type="dxa"/>
            <w:vAlign w:val="bottom"/>
          </w:tcPr>
          <w:p>
            <w:pPr>
              <w:spacing w:after="0"/>
              <w:rPr>
                <w:sz w:val="1"/>
                <w:szCs w:val="1"/>
                <w:color w:val="auto"/>
              </w:rPr>
            </w:pPr>
          </w:p>
        </w:tc>
      </w:tr>
      <w:tr>
        <w:trPr>
          <w:trHeight w:val="549"/>
        </w:trPr>
        <w:tc>
          <w:tcPr>
            <w:tcW w:w="3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500" w:type="dxa"/>
            <w:vAlign w:val="bottom"/>
            <w:tcBorders>
              <w:bottom w:val="single" w:sz="8" w:color="E6E6E6"/>
            </w:tcBorders>
          </w:tcPr>
          <w:p>
            <w:pPr>
              <w:spacing w:after="0"/>
              <w:rPr>
                <w:sz w:val="20"/>
                <w:szCs w:val="20"/>
                <w:color w:val="auto"/>
              </w:rPr>
            </w:pPr>
          </w:p>
        </w:tc>
        <w:tc>
          <w:tcPr>
            <w:tcW w:w="202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87"/>
        </w:trPr>
        <w:tc>
          <w:tcPr>
            <w:tcW w:w="55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Adjusted EBITDA </w:t>
            </w:r>
            <w:r>
              <w:rPr>
                <w:rFonts w:ascii="Times New Roman" w:cs="Times New Roman" w:eastAsia="Times New Roman" w:hAnsi="Times New Roman"/>
                <w:sz w:val="25"/>
                <w:szCs w:val="25"/>
                <w:color w:val="auto"/>
                <w:vertAlign w:val="superscript"/>
              </w:rPr>
              <w:t>(5)</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2,875</w:t>
            </w:r>
          </w:p>
        </w:tc>
        <w:tc>
          <w:tcPr>
            <w:tcW w:w="360" w:type="dxa"/>
            <w:vAlign w:val="bottom"/>
            <w:gridSpan w:val="2"/>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2,290</w:t>
            </w:r>
          </w:p>
        </w:tc>
        <w:tc>
          <w:tcPr>
            <w:tcW w:w="140" w:type="dxa"/>
            <w:vAlign w:val="bottom"/>
            <w:tcBorders>
              <w:right w:val="single" w:sz="8" w:color="auto"/>
            </w:tcBorders>
            <w:shd w:val="clear" w:color="auto" w:fill="E6E6E6"/>
          </w:tcPr>
          <w:p>
            <w:pPr>
              <w:spacing w:after="0"/>
              <w:rPr>
                <w:sz w:val="24"/>
                <w:szCs w:val="24"/>
                <w:color w:val="auto"/>
              </w:rPr>
            </w:pPr>
          </w:p>
        </w:tc>
        <w:tc>
          <w:tcPr>
            <w:tcW w:w="34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0" w:type="dxa"/>
            <w:vAlign w:val="bottom"/>
          </w:tcPr>
          <w:p>
            <w:pPr>
              <w:spacing w:after="0"/>
              <w:rPr>
                <w:sz w:val="1"/>
                <w:szCs w:val="1"/>
                <w:color w:val="auto"/>
              </w:rPr>
            </w:pPr>
          </w:p>
        </w:tc>
      </w:tr>
      <w:tr>
        <w:trPr>
          <w:trHeight w:val="297"/>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 xml:space="preserve">Interest expense, net of certain non-cash items </w:t>
            </w:r>
            <w:r>
              <w:rPr>
                <w:rFonts w:ascii="Times New Roman" w:cs="Times New Roman" w:eastAsia="Times New Roman" w:hAnsi="Times New Roman"/>
                <w:sz w:val="25"/>
                <w:szCs w:val="25"/>
                <w:color w:val="auto"/>
                <w:vertAlign w:val="superscript"/>
              </w:rPr>
              <w:t>(7)</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2 %</w:t>
            </w:r>
          </w:p>
        </w:tc>
        <w:tc>
          <w:tcPr>
            <w:tcW w:w="0" w:type="dxa"/>
            <w:vAlign w:val="bottom"/>
          </w:tcPr>
          <w:p>
            <w:pPr>
              <w:spacing w:after="0"/>
              <w:rPr>
                <w:sz w:val="1"/>
                <w:szCs w:val="1"/>
                <w:color w:val="auto"/>
              </w:rPr>
            </w:pPr>
          </w:p>
        </w:tc>
      </w:tr>
      <w:tr>
        <w:trPr>
          <w:trHeight w:val="297"/>
        </w:trPr>
        <w:tc>
          <w:tcPr>
            <w:tcW w:w="552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 xml:space="preserve">Maintenance capital </w:t>
            </w:r>
            <w:r>
              <w:rPr>
                <w:rFonts w:ascii="Times New Roman" w:cs="Times New Roman" w:eastAsia="Times New Roman" w:hAnsi="Times New Roman"/>
                <w:sz w:val="25"/>
                <w:szCs w:val="25"/>
                <w:color w:val="auto"/>
                <w:vertAlign w:val="superscript"/>
              </w:rPr>
              <w:t>(8)</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40" w:type="dxa"/>
            <w:vAlign w:val="bottom"/>
            <w:tcBorders>
              <w:right w:val="single" w:sz="8" w:color="auto"/>
            </w:tcBorders>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97"/>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 xml:space="preserve">Investment capital of noncontrolling interests </w:t>
            </w:r>
            <w:r>
              <w:rPr>
                <w:rFonts w:ascii="Times New Roman" w:cs="Times New Roman" w:eastAsia="Times New Roman" w:hAnsi="Times New Roman"/>
                <w:sz w:val="25"/>
                <w:szCs w:val="25"/>
                <w:color w:val="auto"/>
                <w:vertAlign w:val="superscript"/>
              </w:rPr>
              <w:t>(9)</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552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Current income tax expense</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40" w:type="dxa"/>
            <w:vAlign w:val="bottom"/>
            <w:tcBorders>
              <w:right w:val="single" w:sz="8" w:color="auto"/>
            </w:tcBorders>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20"/>
        </w:trPr>
        <w:tc>
          <w:tcPr>
            <w:tcW w:w="55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Distributions from unconsolidated entities in excess of/(less than)</w:t>
            </w:r>
          </w:p>
        </w:tc>
        <w:tc>
          <w:tcPr>
            <w:tcW w:w="2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ind w:left="360"/>
              <w:spacing w:after="0" w:line="270" w:lineRule="exact"/>
              <w:rPr>
                <w:sz w:val="20"/>
                <w:szCs w:val="20"/>
                <w:color w:val="auto"/>
              </w:rPr>
            </w:pPr>
            <w:r>
              <w:rPr>
                <w:rFonts w:ascii="Times New Roman" w:cs="Times New Roman" w:eastAsia="Times New Roman" w:hAnsi="Times New Roman"/>
                <w:sz w:val="20"/>
                <w:szCs w:val="20"/>
                <w:color w:val="auto"/>
              </w:rPr>
              <w:t xml:space="preserve">adjusted equity earnings </w:t>
            </w:r>
            <w:r>
              <w:rPr>
                <w:rFonts w:ascii="Times New Roman" w:cs="Times New Roman" w:eastAsia="Times New Roman" w:hAnsi="Times New Roman"/>
                <w:sz w:val="25"/>
                <w:szCs w:val="25"/>
                <w:color w:val="auto"/>
                <w:vertAlign w:val="superscript"/>
              </w:rPr>
              <w:t>(10)</w:t>
            </w:r>
          </w:p>
        </w:tc>
        <w:tc>
          <w:tcPr>
            <w:tcW w:w="20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520" w:type="dxa"/>
            <w:vAlign w:val="bottom"/>
            <w:tcBorders>
              <w:bottom w:val="single" w:sz="8" w:color="E6E6E6"/>
            </w:tcBorders>
            <w:gridSpan w:val="2"/>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 xml:space="preserve">Distributions to noncontrolling interests </w:t>
            </w:r>
            <w:r>
              <w:rPr>
                <w:rFonts w:ascii="Times New Roman" w:cs="Times New Roman" w:eastAsia="Times New Roman" w:hAnsi="Times New Roman"/>
                <w:sz w:val="25"/>
                <w:szCs w:val="25"/>
                <w:color w:val="auto"/>
                <w:vertAlign w:val="superscript"/>
              </w:rPr>
              <w:t>(11)</w:t>
            </w: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40" w:type="dxa"/>
            <w:vAlign w:val="bottom"/>
            <w:tcBorders>
              <w:bottom w:val="single" w:sz="8" w:color="E6E6E6"/>
              <w:right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1"/>
        </w:trPr>
        <w:tc>
          <w:tcPr>
            <w:tcW w:w="55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Implied DCF</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1,794</w:t>
            </w:r>
          </w:p>
        </w:tc>
        <w:tc>
          <w:tcPr>
            <w:tcW w:w="3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1,664</w:t>
            </w:r>
          </w:p>
        </w:tc>
        <w:tc>
          <w:tcPr>
            <w:tcW w:w="14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0" w:type="dxa"/>
            <w:vAlign w:val="bottom"/>
          </w:tcPr>
          <w:p>
            <w:pPr>
              <w:spacing w:after="0"/>
              <w:rPr>
                <w:sz w:val="1"/>
                <w:szCs w:val="1"/>
                <w:color w:val="auto"/>
              </w:rPr>
            </w:pPr>
          </w:p>
        </w:tc>
      </w:tr>
      <w:tr>
        <w:trPr>
          <w:trHeight w:val="293"/>
        </w:trPr>
        <w:tc>
          <w:tcPr>
            <w:tcW w:w="5520" w:type="dxa"/>
            <w:vAlign w:val="bottom"/>
            <w:tcBorders>
              <w:bottom w:val="single" w:sz="8" w:color="E6E6E6"/>
            </w:tcBorders>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 xml:space="preserve">Preferred unit cash distributions </w:t>
            </w:r>
            <w:r>
              <w:rPr>
                <w:rFonts w:ascii="Times New Roman" w:cs="Times New Roman" w:eastAsia="Times New Roman" w:hAnsi="Times New Roman"/>
                <w:sz w:val="25"/>
                <w:szCs w:val="25"/>
                <w:color w:val="auto"/>
                <w:vertAlign w:val="superscript"/>
              </w:rPr>
              <w:t>(11)</w:t>
            </w: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140" w:type="dxa"/>
            <w:vAlign w:val="bottom"/>
            <w:tcBorders>
              <w:bottom w:val="single" w:sz="8" w:color="E6E6E6"/>
              <w:right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7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Implied DCF Available to Common Unitholders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1,596</w:t>
            </w:r>
          </w:p>
        </w:tc>
        <w:tc>
          <w:tcPr>
            <w:tcW w:w="3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520" w:type="dxa"/>
            <w:vAlign w:val="bottom"/>
            <w:tcBorders>
              <w:top w:val="single" w:sz="8" w:color="E6E6E6"/>
              <w:bottom w:val="single" w:sz="8" w:color="E6E6E6"/>
            </w:tcBorders>
            <w:gridSpan w:val="2"/>
            <w:shd w:val="clear" w:color="auto" w:fill="E6E6E6"/>
          </w:tcPr>
          <w:p>
            <w:pPr>
              <w:ind w:left="180"/>
              <w:spacing w:after="0" w:line="257" w:lineRule="exact"/>
              <w:rPr>
                <w:sz w:val="20"/>
                <w:szCs w:val="20"/>
                <w:color w:val="auto"/>
              </w:rPr>
            </w:pPr>
            <w:r>
              <w:rPr>
                <w:rFonts w:ascii="Times New Roman" w:cs="Times New Roman" w:eastAsia="Times New Roman" w:hAnsi="Times New Roman"/>
                <w:sz w:val="20"/>
                <w:szCs w:val="20"/>
                <w:color w:val="auto"/>
              </w:rPr>
              <w:t xml:space="preserve">Common unit cash distributions </w:t>
            </w:r>
            <w:r>
              <w:rPr>
                <w:rFonts w:ascii="Times New Roman" w:cs="Times New Roman" w:eastAsia="Times New Roman" w:hAnsi="Times New Roman"/>
                <w:sz w:val="25"/>
                <w:szCs w:val="25"/>
                <w:color w:val="auto"/>
                <w:vertAlign w:val="superscript"/>
              </w:rPr>
              <w:t>(11)</w:t>
            </w:r>
          </w:p>
        </w:tc>
        <w:tc>
          <w:tcPr>
            <w:tcW w:w="200" w:type="dxa"/>
            <w:vAlign w:val="bottom"/>
            <w:tcBorders>
              <w:top w:val="single" w:sz="8" w:color="auto"/>
              <w:bottom w:val="single" w:sz="8" w:color="auto"/>
            </w:tcBorders>
            <w:shd w:val="clear" w:color="auto" w:fill="E6E6E6"/>
          </w:tcPr>
          <w:p>
            <w:pPr>
              <w:spacing w:after="0"/>
              <w:rPr>
                <w:sz w:val="24"/>
                <w:szCs w:val="24"/>
                <w:color w:val="auto"/>
              </w:rPr>
            </w:pPr>
          </w:p>
        </w:tc>
        <w:tc>
          <w:tcPr>
            <w:tcW w:w="8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280" w:type="dxa"/>
            <w:vAlign w:val="bottom"/>
            <w:tcBorders>
              <w:top w:val="single" w:sz="8" w:color="auto"/>
              <w:bottom w:val="single" w:sz="8" w:color="auto"/>
            </w:tcBorders>
            <w:shd w:val="clear" w:color="auto" w:fill="E6E6E6"/>
          </w:tcPr>
          <w:p>
            <w:pPr>
              <w:spacing w:after="0"/>
              <w:rPr>
                <w:sz w:val="24"/>
                <w:szCs w:val="24"/>
                <w:color w:val="auto"/>
              </w:rPr>
            </w:pPr>
          </w:p>
        </w:tc>
        <w:tc>
          <w:tcPr>
            <w:tcW w:w="8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140" w:type="dxa"/>
            <w:vAlign w:val="bottom"/>
            <w:tcBorders>
              <w:top w:val="single" w:sz="8" w:color="E6E6E6"/>
              <w:bottom w:val="single" w:sz="8" w:color="E6E6E6"/>
              <w:right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320" w:type="dxa"/>
            <w:vAlign w:val="bottom"/>
            <w:tcBorders>
              <w:top w:val="single" w:sz="8" w:color="E6E6E6"/>
              <w:bottom w:val="single" w:sz="8" w:color="E6E6E6"/>
            </w:tcBorders>
            <w:shd w:val="clear" w:color="auto" w:fill="E6E6E6"/>
          </w:tcPr>
          <w:p>
            <w:pPr>
              <w:spacing w:after="0"/>
              <w:rPr>
                <w:sz w:val="24"/>
                <w:szCs w:val="24"/>
                <w:color w:val="auto"/>
              </w:rPr>
            </w:pPr>
          </w:p>
        </w:tc>
        <w:tc>
          <w:tcPr>
            <w:tcW w:w="760" w:type="dxa"/>
            <w:vAlign w:val="bottom"/>
            <w:tcBorders>
              <w:top w:val="single" w:sz="8" w:color="E6E6E6"/>
              <w:bottom w:val="single" w:sz="8" w:color="E6E6E6"/>
            </w:tcBorders>
            <w:shd w:val="clear" w:color="auto" w:fill="E6E6E6"/>
          </w:tcPr>
          <w:p>
            <w:pPr>
              <w:spacing w:after="0"/>
              <w:rPr>
                <w:sz w:val="24"/>
                <w:szCs w:val="24"/>
                <w:color w:val="auto"/>
              </w:rPr>
            </w:pP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360" w:type="dxa"/>
            <w:vAlign w:val="bottom"/>
            <w:tcBorders>
              <w:top w:val="single" w:sz="8" w:color="E6E6E6"/>
              <w:bottom w:val="single" w:sz="8" w:color="E6E6E6"/>
            </w:tcBorders>
            <w:shd w:val="clear" w:color="auto" w:fill="E6E6E6"/>
          </w:tcPr>
          <w:p>
            <w:pPr>
              <w:spacing w:after="0"/>
              <w:rPr>
                <w:sz w:val="24"/>
                <w:szCs w:val="24"/>
                <w:color w:val="auto"/>
              </w:rPr>
            </w:pPr>
          </w:p>
        </w:tc>
        <w:tc>
          <w:tcPr>
            <w:tcW w:w="720" w:type="dxa"/>
            <w:vAlign w:val="bottom"/>
            <w:tcBorders>
              <w:top w:val="single" w:sz="8" w:color="E6E6E6"/>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520" w:type="dxa"/>
            <w:vAlign w:val="bottom"/>
            <w:gridSpan w:val="2"/>
          </w:tcPr>
          <w:p>
            <w:pPr>
              <w:ind w:left="60"/>
              <w:spacing w:after="0" w:line="238" w:lineRule="exact"/>
              <w:rPr>
                <w:sz w:val="20"/>
                <w:szCs w:val="20"/>
                <w:color w:val="auto"/>
              </w:rPr>
            </w:pPr>
            <w:r>
              <w:rPr>
                <w:rFonts w:ascii="Times New Roman" w:cs="Times New Roman" w:eastAsia="Times New Roman" w:hAnsi="Times New Roman"/>
                <w:sz w:val="20"/>
                <w:szCs w:val="20"/>
                <w:color w:val="auto"/>
              </w:rPr>
              <w:t xml:space="preserve">Implied DCF Excess </w:t>
            </w:r>
            <w:r>
              <w:rPr>
                <w:rFonts w:ascii="Times New Roman" w:cs="Times New Roman" w:eastAsia="Times New Roman" w:hAnsi="Times New Roman"/>
                <w:sz w:val="25"/>
                <w:szCs w:val="25"/>
                <w:color w:val="auto"/>
                <w:vertAlign w:val="superscript"/>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w:t>
            </w:r>
          </w:p>
        </w:tc>
        <w:tc>
          <w:tcPr>
            <w:tcW w:w="3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50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-7436485</wp:posOffset>
            </wp:positionV>
            <wp:extent cx="2992120" cy="5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4">
                      <a:extLst>
                        <a:ext uri="{28A0092B-C50C-407E-A947-70E740481C1C}"/>
                      </a:extLst>
                    </a:blip>
                    <a:srcRect/>
                    <a:stretch>
                      <a:fillRect/>
                    </a:stretch>
                  </pic:blipFill>
                  <pic:spPr bwMode="auto">
                    <a:xfrm>
                      <a:off x="0" y="0"/>
                      <a:ext cx="2992120" cy="5016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-4607560</wp:posOffset>
            </wp:positionV>
            <wp:extent cx="2992120" cy="5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5">
                      <a:extLst>
                        <a:ext uri="{28A0092B-C50C-407E-A947-70E740481C1C}"/>
                      </a:extLst>
                    </a:blip>
                    <a:srcRect/>
                    <a:stretch>
                      <a:fillRect/>
                    </a:stretch>
                  </pic:blipFill>
                  <pic:spPr bwMode="auto">
                    <a:xfrm>
                      <a:off x="0" y="0"/>
                      <a:ext cx="2992120" cy="5016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-3815080</wp:posOffset>
            </wp:positionV>
            <wp:extent cx="2992120" cy="817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6">
                      <a:extLst>
                        <a:ext uri="{28A0092B-C50C-407E-A947-70E740481C1C}"/>
                      </a:extLst>
                    </a:blip>
                    <a:srcRect/>
                    <a:stretch>
                      <a:fillRect/>
                    </a:stretch>
                  </pic:blipFill>
                  <pic:spPr bwMode="auto">
                    <a:xfrm>
                      <a:off x="0" y="0"/>
                      <a:ext cx="2992120" cy="81724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-2526665</wp:posOffset>
            </wp:positionV>
            <wp:extent cx="2992120" cy="2448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7">
                      <a:extLst>
                        <a:ext uri="{28A0092B-C50C-407E-A947-70E740481C1C}"/>
                      </a:extLst>
                    </a:blip>
                    <a:srcRect/>
                    <a:stretch>
                      <a:fillRect/>
                    </a:stretch>
                  </pic:blipFill>
                  <pic:spPr bwMode="auto">
                    <a:xfrm>
                      <a:off x="0" y="0"/>
                      <a:ext cx="2992120" cy="2448560"/>
                    </a:xfrm>
                    <a:prstGeom prst="rect">
                      <a:avLst/>
                    </a:prstGeom>
                    <a:noFill/>
                  </pic:spPr>
                </pic:pic>
              </a:graphicData>
            </a:graphic>
          </wp:anchor>
        </w:drawing>
      </w:r>
    </w:p>
    <w:p>
      <w:pPr>
        <w:spacing w:after="0" w:line="7" w:lineRule="exact"/>
        <w:rPr>
          <w:sz w:val="20"/>
          <w:szCs w:val="20"/>
          <w:color w:val="auto"/>
        </w:rPr>
      </w:pPr>
    </w:p>
    <w:p>
      <w:pPr>
        <w:ind w:left="720" w:hanging="719"/>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that variance as a percentage is not meaningful.</w:t>
      </w:r>
    </w:p>
    <w:p>
      <w:pPr>
        <w:spacing w:after="0" w:line="126" w:lineRule="exact"/>
        <w:rPr>
          <w:sz w:val="20"/>
          <w:szCs w:val="20"/>
          <w:color w:val="auto"/>
        </w:rPr>
      </w:pPr>
    </w:p>
    <w:p>
      <w:pPr>
        <w:ind w:left="720" w:right="320" w:hanging="719"/>
        <w:spacing w:after="0" w:line="232" w:lineRule="auto"/>
        <w:tabs>
          <w:tab w:leader="none" w:pos="72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ectPr>
          <w:pgSz w:w="11880" w:h="15480" w:orient="portrait"/>
          <w:cols w:equalWidth="0" w:num="1">
            <w:col w:w="10160"/>
          </w:cols>
          <w:pgMar w:left="860" w:top="100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160"/>
          </w:cols>
          <w:pgMar w:left="860" w:top="1009" w:right="860" w:bottom="0" w:gutter="0" w:footer="0" w:header="0"/>
          <w:type w:val="continuous"/>
        </w:sectPr>
      </w:pPr>
    </w:p>
    <w:bookmarkStart w:id="73" w:name="page74"/>
    <w:bookmarkEnd w:id="73"/>
    <w:p>
      <w:pPr>
        <w:ind w:left="720" w:right="520" w:hanging="719"/>
        <w:spacing w:after="0" w:line="225" w:lineRule="auto"/>
        <w:tabs>
          <w:tab w:leader="none" w:pos="720"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a more detailed discussion of these selected items impacting comparability, see the footnotes to the Segment Adjusted EBITDA Reconciliation table in Note 20 to our Consolidated Financial Statements.</w:t>
      </w:r>
    </w:p>
    <w:p>
      <w:pPr>
        <w:spacing w:after="0" w:line="98" w:lineRule="exact"/>
        <w:rPr>
          <w:rFonts w:ascii="Times New Roman" w:cs="Times New Roman" w:eastAsia="Times New Roman" w:hAnsi="Times New Roman"/>
          <w:sz w:val="26"/>
          <w:szCs w:val="26"/>
          <w:color w:val="auto"/>
          <w:vertAlign w:val="superscript"/>
        </w:rPr>
      </w:pPr>
    </w:p>
    <w:p>
      <w:pPr>
        <w:ind w:left="720" w:right="60" w:hanging="719"/>
        <w:spacing w:after="0" w:line="249" w:lineRule="auto"/>
        <w:tabs>
          <w:tab w:leader="none" w:pos="720" w:val="left"/>
        </w:tabs>
        <w:numPr>
          <w:ilvl w:val="0"/>
          <w:numId w:val="4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Preferred Distribution Rate Reset Option of our Series A preferred units is accounted for as an embedded derivative and recorded at fair value in our Consolidated Financial Statements. The associated gains and losses are not integral to our results and were thus classified as a selected item impacting comparability. See Note 13 to our Consolidated Financial Statements for additional information regarding the Preferred Distribution Rate Reset Option.</w:t>
      </w:r>
    </w:p>
    <w:p>
      <w:pPr>
        <w:spacing w:after="0" w:line="90" w:lineRule="exact"/>
        <w:rPr>
          <w:rFonts w:ascii="Times New Roman" w:cs="Times New Roman" w:eastAsia="Times New Roman" w:hAnsi="Times New Roman"/>
          <w:sz w:val="25"/>
          <w:szCs w:val="25"/>
          <w:color w:val="auto"/>
          <w:vertAlign w:val="superscript"/>
        </w:rPr>
      </w:pPr>
    </w:p>
    <w:p>
      <w:pPr>
        <w:ind w:left="720" w:right="240" w:hanging="719"/>
        <w:spacing w:after="0" w:line="235" w:lineRule="auto"/>
        <w:tabs>
          <w:tab w:leader="none" w:pos="720"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100" w:lineRule="exact"/>
        <w:rPr>
          <w:rFonts w:ascii="Times New Roman" w:cs="Times New Roman" w:eastAsia="Times New Roman" w:hAnsi="Times New Roman"/>
          <w:sz w:val="26"/>
          <w:szCs w:val="26"/>
          <w:color w:val="auto"/>
          <w:vertAlign w:val="superscript"/>
        </w:rPr>
      </w:pPr>
    </w:p>
    <w:p>
      <w:pPr>
        <w:ind w:left="720" w:right="80" w:hanging="719"/>
        <w:spacing w:after="0" w:line="232" w:lineRule="auto"/>
        <w:tabs>
          <w:tab w:leader="none" w:pos="720"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Other income/(expense), net on our Consolidated Statements of Operations, adjusted for selected items impacting comparability (“Adjusted other income/(expense), net”) is included in Adjusted EBITDA and excluded from Segment Adjusted EBITDA.</w:t>
      </w:r>
    </w:p>
    <w:p>
      <w:pPr>
        <w:sectPr>
          <w:pgSz w:w="11880" w:h="15480" w:orient="portrait"/>
          <w:cols w:equalWidth="0" w:num="1">
            <w:col w:w="10140"/>
          </w:cols>
          <w:pgMar w:left="860" w:top="683" w:right="880" w:bottom="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Reflects amounts attributable to noncontrolling interests in the Permian JV, Cactus II and Red River.</w:t>
      </w:r>
    </w:p>
    <w:p>
      <w:pPr>
        <w:spacing w:after="0" w:line="126"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color w:val="auto"/>
        </w:rPr>
        <w:t>Excludes certain non-cash items impacting interest expense such as amortization of debt issuance costs and terminated interest rate swaps.</w:t>
      </w:r>
    </w:p>
    <w:p>
      <w:pPr>
        <w:spacing w:after="0" w:line="61" w:lineRule="exact"/>
        <w:rPr>
          <w:sz w:val="20"/>
          <w:szCs w:val="20"/>
          <w:color w:val="auto"/>
        </w:rPr>
      </w:pPr>
    </w:p>
    <w:p>
      <w:pPr>
        <w:sectPr>
          <w:pgSz w:w="11880" w:h="15480" w:orient="portrait"/>
          <w:cols w:equalWidth="0" w:num="2">
            <w:col w:w="160" w:space="560"/>
            <w:col w:w="9420"/>
          </w:cols>
          <w:pgMar w:left="860" w:top="683" w:right="880" w:bottom="0" w:gutter="0" w:footer="0" w:header="0"/>
          <w:type w:val="continuous"/>
        </w:sectPr>
      </w:pPr>
    </w:p>
    <w:p>
      <w:pPr>
        <w:ind w:left="720" w:right="200" w:hanging="719"/>
        <w:spacing w:after="0" w:line="235" w:lineRule="auto"/>
        <w:tabs>
          <w:tab w:leader="none" w:pos="720" w:val="left"/>
        </w:tabs>
        <w:numPr>
          <w:ilvl w:val="0"/>
          <w:numId w:val="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98" w:lineRule="exact"/>
        <w:rPr>
          <w:rFonts w:ascii="Times New Roman" w:cs="Times New Roman" w:eastAsia="Times New Roman" w:hAnsi="Times New Roman"/>
          <w:sz w:val="25"/>
          <w:szCs w:val="25"/>
          <w:color w:val="auto"/>
          <w:vertAlign w:val="superscript"/>
        </w:rPr>
      </w:pPr>
    </w:p>
    <w:p>
      <w:pPr>
        <w:ind w:left="720" w:right="400" w:hanging="719"/>
        <w:spacing w:after="0" w:line="225" w:lineRule="auto"/>
        <w:tabs>
          <w:tab w:leader="none" w:pos="720"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Investment capital expenditures attributable to noncontrolling interests that reduce Implied DCF available to PAA common unitholders.</w:t>
      </w:r>
    </w:p>
    <w:p>
      <w:pPr>
        <w:spacing w:after="0" w:line="98" w:lineRule="exact"/>
        <w:rPr>
          <w:rFonts w:ascii="Times New Roman" w:cs="Times New Roman" w:eastAsia="Times New Roman" w:hAnsi="Times New Roman"/>
          <w:sz w:val="26"/>
          <w:szCs w:val="26"/>
          <w:color w:val="auto"/>
          <w:vertAlign w:val="superscript"/>
        </w:rPr>
      </w:pPr>
    </w:p>
    <w:p>
      <w:pPr>
        <w:ind w:left="720" w:right="200" w:hanging="719"/>
        <w:spacing w:after="0" w:line="232" w:lineRule="auto"/>
        <w:tabs>
          <w:tab w:leader="none" w:pos="720"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58" w:lineRule="exact"/>
        <w:rPr>
          <w:rFonts w:ascii="Times New Roman" w:cs="Times New Roman" w:eastAsia="Times New Roman" w:hAnsi="Times New Roman"/>
          <w:sz w:val="26"/>
          <w:szCs w:val="26"/>
          <w:color w:val="auto"/>
          <w:vertAlign w:val="superscript"/>
        </w:rPr>
      </w:pPr>
    </w:p>
    <w:p>
      <w:pPr>
        <w:ind w:left="720" w:hanging="719"/>
        <w:spacing w:after="0"/>
        <w:tabs>
          <w:tab w:leader="none" w:pos="720"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Cash distributions paid during the period presented.</w:t>
      </w:r>
    </w:p>
    <w:p>
      <w:pPr>
        <w:spacing w:after="0" w:line="97" w:lineRule="exact"/>
        <w:rPr>
          <w:rFonts w:ascii="Times New Roman" w:cs="Times New Roman" w:eastAsia="Times New Roman" w:hAnsi="Times New Roman"/>
          <w:sz w:val="26"/>
          <w:szCs w:val="26"/>
          <w:color w:val="auto"/>
          <w:vertAlign w:val="superscript"/>
        </w:rPr>
      </w:pPr>
    </w:p>
    <w:p>
      <w:pPr>
        <w:ind w:left="720" w:right="400" w:hanging="719"/>
        <w:spacing w:after="0" w:line="225" w:lineRule="auto"/>
        <w:tabs>
          <w:tab w:leader="none" w:pos="720"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Excess DCF is retained to establish reserves for debt repayment, future distributions, common equity repurchases, capital expenditures and other partnership purposes.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Analysis of Operating Segments</w:t>
      </w:r>
    </w:p>
    <w:p>
      <w:pPr>
        <w:spacing w:after="0" w:line="253" w:lineRule="exact"/>
        <w:rPr>
          <w:sz w:val="20"/>
          <w:szCs w:val="20"/>
          <w:color w:val="auto"/>
        </w:rPr>
      </w:pPr>
    </w:p>
    <w:p>
      <w:pPr>
        <w:ind w:right="260" w:firstLine="713"/>
        <w:spacing w:after="0" w:line="263" w:lineRule="auto"/>
        <w:rPr>
          <w:sz w:val="20"/>
          <w:szCs w:val="20"/>
          <w:color w:val="auto"/>
        </w:rPr>
      </w:pPr>
      <w:r>
        <w:rPr>
          <w:rFonts w:ascii="Times New Roman" w:cs="Times New Roman" w:eastAsia="Times New Roman" w:hAnsi="Times New Roman"/>
          <w:sz w:val="20"/>
          <w:szCs w:val="20"/>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w:t>
      </w:r>
    </w:p>
    <w:p>
      <w:pPr>
        <w:spacing w:after="0" w:line="194" w:lineRule="exact"/>
        <w:rPr>
          <w:sz w:val="20"/>
          <w:szCs w:val="20"/>
          <w:color w:val="auto"/>
        </w:rPr>
      </w:pPr>
    </w:p>
    <w:p>
      <w:pPr>
        <w:ind w:firstLine="713"/>
        <w:spacing w:after="0" w:line="250" w:lineRule="auto"/>
        <w:rPr>
          <w:sz w:val="20"/>
          <w:szCs w:val="20"/>
          <w:color w:val="auto"/>
        </w:rPr>
      </w:pPr>
      <w:r>
        <w:rPr>
          <w:rFonts w:ascii="Times New Roman" w:cs="Times New Roman" w:eastAsia="Times New Roman" w:hAnsi="Times New Roman"/>
          <w:sz w:val="20"/>
          <w:szCs w:val="20"/>
          <w:color w:val="auto"/>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 See Note 20 to our Consolidated Financial Statements for a reconciliation of Segment Adjusted EBITDA to Net income/(loss) attributable to PAA.</w:t>
      </w:r>
    </w:p>
    <w:p>
      <w:pPr>
        <w:sectPr>
          <w:pgSz w:w="11880" w:h="15480" w:orient="portrait"/>
          <w:cols w:equalWidth="0" w:num="1">
            <w:col w:w="10140"/>
          </w:cols>
          <w:pgMar w:left="860" w:top="683" w:right="8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140"/>
          </w:cols>
          <w:pgMar w:left="860" w:top="683" w:right="880" w:bottom="0" w:gutter="0" w:footer="0" w:header="0"/>
          <w:type w:val="continuous"/>
        </w:sectPr>
      </w:pPr>
    </w:p>
    <w:bookmarkStart w:id="74" w:name="page75"/>
    <w:bookmarkEnd w:id="74"/>
    <w:p>
      <w:pPr>
        <w:ind w:right="60" w:firstLine="713"/>
        <w:spacing w:after="0" w:line="251" w:lineRule="auto"/>
        <w:rPr>
          <w:sz w:val="20"/>
          <w:szCs w:val="20"/>
          <w:color w:val="auto"/>
        </w:rPr>
      </w:pPr>
      <w:r>
        <w:rPr>
          <w:rFonts w:ascii="Times New Roman" w:cs="Times New Roman" w:eastAsia="Times New Roman" w:hAnsi="Times New Roman"/>
          <w:sz w:val="20"/>
          <w:szCs w:val="20"/>
          <w:color w:val="auto"/>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211" w:lineRule="exact"/>
        <w:rPr>
          <w:sz w:val="20"/>
          <w:szCs w:val="20"/>
          <w:color w:val="auto"/>
        </w:rPr>
      </w:pPr>
    </w:p>
    <w:p>
      <w:pPr>
        <w:ind w:right="620" w:firstLine="713"/>
        <w:spacing w:after="0" w:line="278" w:lineRule="auto"/>
        <w:rPr>
          <w:sz w:val="20"/>
          <w:szCs w:val="20"/>
          <w:color w:val="auto"/>
        </w:rPr>
      </w:pPr>
      <w:r>
        <w:rPr>
          <w:rFonts w:ascii="Times New Roman" w:cs="Times New Roman" w:eastAsia="Times New Roman" w:hAnsi="Times New Roman"/>
          <w:sz w:val="20"/>
          <w:szCs w:val="20"/>
          <w:color w:val="auto"/>
        </w:rPr>
        <w:t>Revenues and expenses from our Canadian based subsidiaries, which use CAD as their functional currency, are translated at the prevailing average exchange rates for the month.</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Crude Oil Segment</w:t>
      </w:r>
    </w:p>
    <w:p>
      <w:pPr>
        <w:spacing w:after="0" w:line="252" w:lineRule="exact"/>
        <w:rPr>
          <w:sz w:val="20"/>
          <w:szCs w:val="20"/>
          <w:color w:val="auto"/>
        </w:rPr>
      </w:pPr>
    </w:p>
    <w:p>
      <w:pPr>
        <w:ind w:right="20" w:firstLine="713"/>
        <w:spacing w:after="0" w:line="253" w:lineRule="auto"/>
        <w:rPr>
          <w:sz w:val="20"/>
          <w:szCs w:val="20"/>
          <w:color w:val="auto"/>
        </w:rPr>
      </w:pPr>
      <w:r>
        <w:rPr>
          <w:rFonts w:ascii="Times New Roman" w:cs="Times New Roman" w:eastAsia="Times New Roman" w:hAnsi="Times New Roman"/>
          <w:sz w:val="20"/>
          <w:szCs w:val="20"/>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hedge our exposure.</w:t>
      </w:r>
    </w:p>
    <w:p>
      <w:pPr>
        <w:spacing w:after="0" w:line="204"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the overall strength, weakness and volatility of market conditions, including regional differentials and time spreads. In addition, the execution of our risk management strategies in conjunction with our assets can provide upside in certain markets. The segment results also include the direct fixed and variable field costs of operating the crude oil assets, as well as an allocation of indirect operating costs.</w:t>
      </w:r>
    </w:p>
    <w:p>
      <w:pPr>
        <w:sectPr>
          <w:pgSz w:w="11880" w:h="15480" w:orient="portrait"/>
          <w:cols w:equalWidth="0" w:num="1">
            <w:col w:w="10160"/>
          </w:cols>
          <w:pgMar w:left="860" w:top="68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160"/>
          </w:cols>
          <w:pgMar w:left="860" w:top="683" w:right="860" w:bottom="0" w:gutter="0" w:footer="0" w:header="0"/>
          <w:type w:val="continuous"/>
        </w:sectPr>
      </w:pPr>
    </w:p>
    <w:bookmarkStart w:id="75" w:name="page76"/>
    <w:bookmarkEnd w:id="75"/>
    <w:p>
      <w:pPr>
        <w:ind w:left="720"/>
        <w:spacing w:after="0"/>
        <w:rPr>
          <w:sz w:val="20"/>
          <w:szCs w:val="20"/>
          <w:color w:val="auto"/>
        </w:rPr>
      </w:pPr>
      <w:r>
        <w:rPr>
          <w:rFonts w:ascii="Times New Roman" w:cs="Times New Roman" w:eastAsia="Times New Roman" w:hAnsi="Times New Roman"/>
          <w:sz w:val="20"/>
          <w:szCs w:val="20"/>
          <w:color w:val="auto"/>
        </w:rPr>
        <w:t>The following tables set forth our operating results from our Crude Oil segment: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Operating Results </w:t>
            </w:r>
            <w:r>
              <w:rPr>
                <w:rFonts w:ascii="Times New Roman" w:cs="Times New Roman" w:eastAsia="Times New Roman" w:hAnsi="Times New Roman"/>
                <w:sz w:val="20"/>
                <w:szCs w:val="20"/>
                <w:b w:val="1"/>
                <w:bCs w:val="1"/>
                <w:color w:val="auto"/>
                <w:vertAlign w:val="superscript"/>
              </w:rPr>
              <w:t>(1)</w:t>
            </w:r>
          </w:p>
        </w:tc>
        <w:tc>
          <w:tcPr>
            <w:tcW w:w="200" w:type="dxa"/>
            <w:vAlign w:val="bottom"/>
          </w:tcPr>
          <w:p>
            <w:pPr>
              <w:spacing w:after="0"/>
              <w:rPr>
                <w:sz w:val="18"/>
                <w:szCs w:val="18"/>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continue"/>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vMerge w:val="restart"/>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vMerge w:val="restart"/>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vMerge w:val="restart"/>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vMerge w:val="restart"/>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line="20" w:lineRule="exact"/>
              <w:rPr>
                <w:sz w:val="1"/>
                <w:szCs w:val="1"/>
                <w:color w:val="auto"/>
              </w:rPr>
            </w:pPr>
          </w:p>
        </w:tc>
      </w:tr>
      <w:tr>
        <w:trPr>
          <w:trHeight w:val="212"/>
        </w:trPr>
        <w:tc>
          <w:tcPr>
            <w:tcW w:w="5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552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Revenues</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55,080</w:t>
            </w:r>
          </w:p>
        </w:tc>
        <w:tc>
          <w:tcPr>
            <w:tcW w:w="360" w:type="dxa"/>
            <w:vAlign w:val="bottom"/>
            <w:gridSpan w:val="2"/>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40,470</w:t>
            </w:r>
          </w:p>
        </w:tc>
        <w:tc>
          <w:tcPr>
            <w:tcW w:w="100" w:type="dxa"/>
            <w:vAlign w:val="bottom"/>
            <w:tcBorders>
              <w:right w:val="single" w:sz="8" w:color="auto"/>
            </w:tcBorders>
            <w:shd w:val="clear" w:color="auto" w:fill="E6E6E6"/>
          </w:tcPr>
          <w:p>
            <w:pPr>
              <w:spacing w:after="0"/>
              <w:rPr>
                <w:sz w:val="24"/>
                <w:szCs w:val="24"/>
                <w:color w:val="auto"/>
              </w:rPr>
            </w:pPr>
          </w:p>
        </w:tc>
        <w:tc>
          <w:tcPr>
            <w:tcW w:w="2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14,610</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36 %</w:t>
            </w:r>
          </w:p>
        </w:tc>
        <w:tc>
          <w:tcPr>
            <w:tcW w:w="0" w:type="dxa"/>
            <w:vAlign w:val="bottom"/>
          </w:tcPr>
          <w:p>
            <w:pPr>
              <w:spacing w:after="0"/>
              <w:rPr>
                <w:sz w:val="1"/>
                <w:szCs w:val="1"/>
                <w:color w:val="auto"/>
              </w:rPr>
            </w:pPr>
          </w:p>
        </w:tc>
      </w:tr>
      <w:tr>
        <w:trPr>
          <w:trHeight w:val="291"/>
        </w:trPr>
        <w:tc>
          <w:tcPr>
            <w:tcW w:w="5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Purchases and related costs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(52,088)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(37,540)</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303"/>
        </w:trPr>
        <w:tc>
          <w:tcPr>
            <w:tcW w:w="552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Field operating costs</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(1,003)</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97"/>
        </w:trPr>
        <w:tc>
          <w:tcPr>
            <w:tcW w:w="5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 xml:space="preserve">Segment general and administrative expenses </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94"/>
        </w:trPr>
        <w:tc>
          <w:tcPr>
            <w:tcW w:w="552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Equity earnings in unconsolidated entities</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47 %</w:t>
            </w:r>
          </w:p>
        </w:tc>
        <w:tc>
          <w:tcPr>
            <w:tcW w:w="0" w:type="dxa"/>
            <w:vAlign w:val="bottom"/>
          </w:tcPr>
          <w:p>
            <w:pPr>
              <w:spacing w:after="0"/>
              <w:rPr>
                <w:sz w:val="1"/>
                <w:szCs w:val="1"/>
                <w:color w:val="auto"/>
              </w:rPr>
            </w:pPr>
          </w:p>
        </w:tc>
      </w:tr>
      <w:tr>
        <w:trPr>
          <w:trHeight w:val="300"/>
        </w:trPr>
        <w:tc>
          <w:tcPr>
            <w:tcW w:w="3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Adjustments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Depreciation and amortization of unconsolidated entities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303"/>
        </w:trPr>
        <w:tc>
          <w:tcPr>
            <w:tcW w:w="552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Derivative activities and inventory valuation adjustments</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Long-term inventory costing adjustments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52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Deficiencies under minimum volume commitments, net</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Equity-indexed compensation expense</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52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Foreign currency revaluation</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Line 901 incident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52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Significant transaction-related expenses</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7"/>
        </w:trPr>
        <w:tc>
          <w:tcPr>
            <w:tcW w:w="5520" w:type="dxa"/>
            <w:vAlign w:val="bottom"/>
            <w:tcBorders>
              <w:bottom w:val="single" w:sz="8" w:color="E6E6E6"/>
            </w:tcBorders>
            <w:gridSpan w:val="3"/>
          </w:tcPr>
          <w:p>
            <w:pPr>
              <w:ind w:left="180"/>
              <w:spacing w:after="0"/>
              <w:rPr>
                <w:sz w:val="20"/>
                <w:szCs w:val="20"/>
                <w:color w:val="auto"/>
              </w:rPr>
            </w:pPr>
            <w:r>
              <w:rPr>
                <w:rFonts w:ascii="Times New Roman" w:cs="Times New Roman" w:eastAsia="Times New Roman" w:hAnsi="Times New Roman"/>
                <w:sz w:val="20"/>
                <w:szCs w:val="20"/>
                <w:color w:val="auto"/>
              </w:rPr>
              <w:t>Adjusted EBITDA attributable to noncontrolling interests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00" w:type="dxa"/>
            <w:vAlign w:val="bottom"/>
            <w:tcBorders>
              <w:bottom w:val="single" w:sz="8" w:color="E6E6E6"/>
              <w:right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552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Segment Adjusted EBITDA</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1,986</w:t>
            </w:r>
          </w:p>
        </w:tc>
        <w:tc>
          <w:tcPr>
            <w:tcW w:w="360" w:type="dxa"/>
            <w:vAlign w:val="bottom"/>
            <w:gridSpan w:val="2"/>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1,909</w:t>
            </w:r>
          </w:p>
        </w:tc>
        <w:tc>
          <w:tcPr>
            <w:tcW w:w="100" w:type="dxa"/>
            <w:vAlign w:val="bottom"/>
            <w:tcBorders>
              <w:right w:val="single" w:sz="8" w:color="auto"/>
            </w:tcBorders>
            <w:shd w:val="clear" w:color="auto" w:fill="E6E6E6"/>
          </w:tcPr>
          <w:p>
            <w:pPr>
              <w:spacing w:after="0"/>
              <w:rPr>
                <w:sz w:val="24"/>
                <w:szCs w:val="24"/>
                <w:color w:val="auto"/>
              </w:rPr>
            </w:pPr>
          </w:p>
        </w:tc>
        <w:tc>
          <w:tcPr>
            <w:tcW w:w="2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4 %</w:t>
            </w:r>
          </w:p>
        </w:tc>
        <w:tc>
          <w:tcPr>
            <w:tcW w:w="0" w:type="dxa"/>
            <w:vAlign w:val="bottom"/>
          </w:tcPr>
          <w:p>
            <w:pPr>
              <w:spacing w:after="0"/>
              <w:rPr>
                <w:sz w:val="1"/>
                <w:szCs w:val="1"/>
                <w:color w:val="auto"/>
              </w:rPr>
            </w:pPr>
          </w:p>
        </w:tc>
      </w:tr>
      <w:tr>
        <w:trPr>
          <w:trHeight w:val="267"/>
        </w:trPr>
        <w:tc>
          <w:tcPr>
            <w:tcW w:w="3500" w:type="dxa"/>
            <w:vAlign w:val="bottom"/>
            <w:tcBorders>
              <w:top w:val="single" w:sz="8" w:color="E6E6E6"/>
            </w:tcBorders>
          </w:tcPr>
          <w:p>
            <w:pPr>
              <w:spacing w:after="0"/>
              <w:rPr>
                <w:sz w:val="23"/>
                <w:szCs w:val="23"/>
                <w:color w:val="auto"/>
              </w:rPr>
            </w:pPr>
          </w:p>
        </w:tc>
        <w:tc>
          <w:tcPr>
            <w:tcW w:w="1960" w:type="dxa"/>
            <w:vAlign w:val="bottom"/>
            <w:tcBorders>
              <w:top w:val="single" w:sz="8" w:color="E6E6E6"/>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80" w:type="dxa"/>
            <w:vAlign w:val="bottom"/>
            <w:tcBorders>
              <w:top w:val="single" w:sz="8" w:color="E6E6E6"/>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E6E6E6"/>
              <w:right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80" w:type="dxa"/>
            <w:vAlign w:val="bottom"/>
            <w:tcBorders>
              <w:top w:val="single" w:sz="8" w:color="E6E6E6"/>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5520" w:type="dxa"/>
            <w:vAlign w:val="bottom"/>
            <w:tcBorders>
              <w:bottom w:val="single" w:sz="8" w:color="E6E6E6"/>
            </w:tcBorders>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Maintenance capital</w:t>
            </w:r>
          </w:p>
        </w:tc>
        <w:tc>
          <w:tcPr>
            <w:tcW w:w="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Borders>
              <w:bottom w:val="single" w:sz="8" w:color="E6E6E6"/>
              <w:right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0" w:type="dxa"/>
            <w:vAlign w:val="bottom"/>
          </w:tcPr>
          <w:p>
            <w:pPr>
              <w:spacing w:after="0"/>
              <w:rPr>
                <w:sz w:val="1"/>
                <w:szCs w:val="1"/>
                <w:color w:val="auto"/>
              </w:rPr>
            </w:pPr>
          </w:p>
        </w:tc>
      </w:tr>
      <w:tr>
        <w:trPr>
          <w:trHeight w:val="549"/>
        </w:trPr>
        <w:tc>
          <w:tcPr>
            <w:tcW w:w="3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5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Average Volumes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Volumes</w:t>
            </w:r>
          </w:p>
        </w:tc>
        <w:tc>
          <w:tcPr>
            <w:tcW w:w="720" w:type="dxa"/>
            <w:vAlign w:val="bottom"/>
            <w:tcBorders>
              <w:top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87"/>
        </w:trPr>
        <w:tc>
          <w:tcPr>
            <w:tcW w:w="5460" w:type="dxa"/>
            <w:vAlign w:val="bottom"/>
            <w:tcBorders>
              <w:top w:val="single" w:sz="8" w:color="auto"/>
            </w:tcBorders>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Crude oil pipeline tariff (by region) </w:t>
            </w:r>
            <w:r>
              <w:rPr>
                <w:rFonts w:ascii="Times New Roman" w:cs="Times New Roman" w:eastAsia="Times New Roman" w:hAnsi="Times New Roman"/>
                <w:sz w:val="25"/>
                <w:szCs w:val="25"/>
                <w:color w:val="auto"/>
                <w:vertAlign w:val="superscript"/>
              </w:rPr>
              <w:t>(4)</w:t>
            </w:r>
          </w:p>
        </w:tc>
        <w:tc>
          <w:tcPr>
            <w:tcW w:w="60" w:type="dxa"/>
            <w:vAlign w:val="bottom"/>
            <w:tcBorders>
              <w:top w:val="single" w:sz="8" w:color="E6E6E6"/>
            </w:tcBorders>
            <w:shd w:val="clear" w:color="auto" w:fill="E6E6E6"/>
          </w:tcPr>
          <w:p>
            <w:pPr>
              <w:spacing w:after="0"/>
              <w:rPr>
                <w:sz w:val="24"/>
                <w:szCs w:val="24"/>
                <w:color w:val="auto"/>
              </w:rPr>
            </w:pPr>
          </w:p>
        </w:tc>
        <w:tc>
          <w:tcPr>
            <w:tcW w:w="200" w:type="dxa"/>
            <w:vAlign w:val="bottom"/>
            <w:tcBorders>
              <w:top w:val="single" w:sz="8" w:color="auto"/>
            </w:tcBorders>
            <w:shd w:val="clear" w:color="auto" w:fill="E6E6E6"/>
          </w:tcPr>
          <w:p>
            <w:pPr>
              <w:spacing w:after="0"/>
              <w:rPr>
                <w:sz w:val="24"/>
                <w:szCs w:val="24"/>
                <w:color w:val="auto"/>
              </w:rPr>
            </w:pPr>
          </w:p>
        </w:tc>
        <w:tc>
          <w:tcPr>
            <w:tcW w:w="880" w:type="dxa"/>
            <w:vAlign w:val="bottom"/>
            <w:tcBorders>
              <w:top w:val="single" w:sz="8" w:color="auto"/>
            </w:tcBorders>
            <w:shd w:val="clear" w:color="auto" w:fill="E6E6E6"/>
          </w:tcPr>
          <w:p>
            <w:pPr>
              <w:spacing w:after="0"/>
              <w:rPr>
                <w:sz w:val="24"/>
                <w:szCs w:val="24"/>
                <w:color w:val="auto"/>
              </w:rPr>
            </w:pPr>
          </w:p>
        </w:tc>
        <w:tc>
          <w:tcPr>
            <w:tcW w:w="80" w:type="dxa"/>
            <w:vAlign w:val="bottom"/>
            <w:tcBorders>
              <w:top w:val="single" w:sz="8" w:color="E6E6E6"/>
            </w:tcBorders>
            <w:shd w:val="clear" w:color="auto" w:fill="E6E6E6"/>
          </w:tcPr>
          <w:p>
            <w:pPr>
              <w:spacing w:after="0"/>
              <w:rPr>
                <w:sz w:val="24"/>
                <w:szCs w:val="24"/>
                <w:color w:val="auto"/>
              </w:rPr>
            </w:pPr>
          </w:p>
        </w:tc>
        <w:tc>
          <w:tcPr>
            <w:tcW w:w="280" w:type="dxa"/>
            <w:vAlign w:val="bottom"/>
            <w:tcBorders>
              <w:top w:val="single" w:sz="8" w:color="auto"/>
            </w:tcBorders>
            <w:shd w:val="clear" w:color="auto" w:fill="E6E6E6"/>
          </w:tcPr>
          <w:p>
            <w:pPr>
              <w:spacing w:after="0"/>
              <w:rPr>
                <w:sz w:val="24"/>
                <w:szCs w:val="24"/>
                <w:color w:val="auto"/>
              </w:rPr>
            </w:pPr>
          </w:p>
        </w:tc>
        <w:tc>
          <w:tcPr>
            <w:tcW w:w="800" w:type="dxa"/>
            <w:vAlign w:val="bottom"/>
            <w:tcBorders>
              <w:top w:val="single" w:sz="8" w:color="auto"/>
            </w:tcBorders>
            <w:shd w:val="clear" w:color="auto" w:fill="E6E6E6"/>
          </w:tcPr>
          <w:p>
            <w:pPr>
              <w:spacing w:after="0"/>
              <w:rPr>
                <w:sz w:val="24"/>
                <w:szCs w:val="24"/>
                <w:color w:val="auto"/>
              </w:rPr>
            </w:pPr>
          </w:p>
        </w:tc>
        <w:tc>
          <w:tcPr>
            <w:tcW w:w="100" w:type="dxa"/>
            <w:vAlign w:val="bottom"/>
            <w:tcBorders>
              <w:top w:val="single" w:sz="8" w:color="E6E6E6"/>
              <w:right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00" w:type="dxa"/>
            <w:vAlign w:val="bottom"/>
            <w:tcBorders>
              <w:top w:val="single" w:sz="8" w:color="auto"/>
            </w:tcBorders>
            <w:shd w:val="clear" w:color="auto" w:fill="E6E6E6"/>
          </w:tcPr>
          <w:p>
            <w:pPr>
              <w:spacing w:after="0"/>
              <w:rPr>
                <w:sz w:val="24"/>
                <w:szCs w:val="24"/>
                <w:color w:val="auto"/>
              </w:rPr>
            </w:pPr>
          </w:p>
        </w:tc>
        <w:tc>
          <w:tcPr>
            <w:tcW w:w="880" w:type="dxa"/>
            <w:vAlign w:val="bottom"/>
            <w:tcBorders>
              <w:top w:val="single" w:sz="8" w:color="auto"/>
            </w:tcBorders>
            <w:shd w:val="clear" w:color="auto" w:fill="E6E6E6"/>
          </w:tcPr>
          <w:p>
            <w:pPr>
              <w:spacing w:after="0"/>
              <w:rPr>
                <w:sz w:val="24"/>
                <w:szCs w:val="24"/>
                <w:color w:val="auto"/>
              </w:rPr>
            </w:pPr>
          </w:p>
        </w:tc>
        <w:tc>
          <w:tcPr>
            <w:tcW w:w="80" w:type="dxa"/>
            <w:vAlign w:val="bottom"/>
            <w:tcBorders>
              <w:top w:val="single" w:sz="8" w:color="E6E6E6"/>
            </w:tcBorders>
            <w:shd w:val="clear" w:color="auto" w:fill="E6E6E6"/>
          </w:tcPr>
          <w:p>
            <w:pPr>
              <w:spacing w:after="0"/>
              <w:rPr>
                <w:sz w:val="24"/>
                <w:szCs w:val="24"/>
                <w:color w:val="auto"/>
              </w:rPr>
            </w:pPr>
          </w:p>
        </w:tc>
        <w:tc>
          <w:tcPr>
            <w:tcW w:w="360" w:type="dxa"/>
            <w:vAlign w:val="bottom"/>
            <w:tcBorders>
              <w:top w:val="single" w:sz="8" w:color="auto"/>
            </w:tcBorders>
            <w:shd w:val="clear" w:color="auto" w:fill="E6E6E6"/>
          </w:tcPr>
          <w:p>
            <w:pPr>
              <w:spacing w:after="0"/>
              <w:rPr>
                <w:sz w:val="24"/>
                <w:szCs w:val="24"/>
                <w:color w:val="auto"/>
              </w:rPr>
            </w:pPr>
          </w:p>
        </w:tc>
        <w:tc>
          <w:tcPr>
            <w:tcW w:w="720" w:type="dxa"/>
            <w:vAlign w:val="bottom"/>
            <w:tcBorders>
              <w:top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 xml:space="preserve">Permian Basin </w:t>
            </w:r>
            <w:r>
              <w:rPr>
                <w:rFonts w:ascii="Times New Roman" w:cs="Times New Roman" w:eastAsia="Times New Roman" w:hAnsi="Times New Roman"/>
                <w:sz w:val="25"/>
                <w:szCs w:val="25"/>
                <w:color w:val="auto"/>
                <w:vertAlign w:val="superscript"/>
              </w:rPr>
              <w:t>(5)</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4,412</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28 %</w:t>
            </w:r>
          </w:p>
        </w:tc>
        <w:tc>
          <w:tcPr>
            <w:tcW w:w="0" w:type="dxa"/>
            <w:vAlign w:val="bottom"/>
          </w:tcPr>
          <w:p>
            <w:pPr>
              <w:spacing w:after="0"/>
              <w:rPr>
                <w:sz w:val="1"/>
                <w:szCs w:val="1"/>
                <w:color w:val="auto"/>
              </w:rPr>
            </w:pPr>
          </w:p>
        </w:tc>
      </w:tr>
      <w:tr>
        <w:trPr>
          <w:trHeight w:val="287"/>
        </w:trPr>
        <w:tc>
          <w:tcPr>
            <w:tcW w:w="5520" w:type="dxa"/>
            <w:vAlign w:val="bottom"/>
            <w:tcBorders>
              <w:bottom w:val="single" w:sz="8" w:color="E6E6E6"/>
            </w:tcBorders>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5"/>
                <w:szCs w:val="25"/>
                <w:color w:val="auto"/>
                <w:vertAlign w:val="superscript"/>
              </w:rPr>
              <w:t>(5)</w:t>
            </w: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1,927</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1,793</w:t>
            </w:r>
          </w:p>
        </w:tc>
        <w:tc>
          <w:tcPr>
            <w:tcW w:w="100" w:type="dxa"/>
            <w:vAlign w:val="bottom"/>
            <w:tcBorders>
              <w:bottom w:val="single" w:sz="8" w:color="E6E6E6"/>
              <w:right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7 %</w:t>
            </w:r>
          </w:p>
        </w:tc>
        <w:tc>
          <w:tcPr>
            <w:tcW w:w="0" w:type="dxa"/>
            <w:vAlign w:val="bottom"/>
          </w:tcPr>
          <w:p>
            <w:pPr>
              <w:spacing w:after="0"/>
              <w:rPr>
                <w:sz w:val="1"/>
                <w:szCs w:val="1"/>
                <w:color w:val="auto"/>
              </w:rPr>
            </w:pPr>
          </w:p>
        </w:tc>
      </w:tr>
      <w:tr>
        <w:trPr>
          <w:trHeight w:val="281"/>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Total crude oil pipeline tariff</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6,205</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22 %</w:t>
            </w:r>
          </w:p>
        </w:tc>
        <w:tc>
          <w:tcPr>
            <w:tcW w:w="0" w:type="dxa"/>
            <w:vAlign w:val="bottom"/>
          </w:tcPr>
          <w:p>
            <w:pPr>
              <w:spacing w:after="0"/>
              <w:rPr>
                <w:sz w:val="1"/>
                <w:szCs w:val="1"/>
                <w:color w:val="auto"/>
              </w:rPr>
            </w:pPr>
          </w:p>
        </w:tc>
      </w:tr>
      <w:tr>
        <w:trPr>
          <w:trHeight w:val="303"/>
        </w:trPr>
        <w:tc>
          <w:tcPr>
            <w:tcW w:w="3500" w:type="dxa"/>
            <w:vAlign w:val="bottom"/>
            <w:shd w:val="clear" w:color="auto" w:fill="E6E6E6"/>
          </w:tcPr>
          <w:p>
            <w:pPr>
              <w:spacing w:after="0"/>
              <w:rPr>
                <w:sz w:val="24"/>
                <w:szCs w:val="24"/>
                <w:color w:val="auto"/>
              </w:rPr>
            </w:pPr>
          </w:p>
        </w:tc>
        <w:tc>
          <w:tcPr>
            <w:tcW w:w="2020" w:type="dxa"/>
            <w:vAlign w:val="bottom"/>
            <w:gridSpan w:val="2"/>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 xml:space="preserve">Commercial crude oil storage capacity </w:t>
            </w:r>
            <w:r>
              <w:rPr>
                <w:rFonts w:ascii="Times New Roman" w:cs="Times New Roman" w:eastAsia="Times New Roman" w:hAnsi="Times New Roman"/>
                <w:sz w:val="25"/>
                <w:szCs w:val="25"/>
                <w:color w:val="auto"/>
                <w:vertAlign w:val="superscript"/>
              </w:rPr>
              <w:t>(5) (6)</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97"/>
        </w:trPr>
        <w:tc>
          <w:tcPr>
            <w:tcW w:w="3500" w:type="dxa"/>
            <w:vAlign w:val="bottom"/>
            <w:shd w:val="clear" w:color="auto" w:fill="E6E6E6"/>
          </w:tcPr>
          <w:p>
            <w:pPr>
              <w:spacing w:after="0"/>
              <w:rPr>
                <w:sz w:val="24"/>
                <w:szCs w:val="24"/>
                <w:color w:val="auto"/>
              </w:rPr>
            </w:pPr>
          </w:p>
        </w:tc>
        <w:tc>
          <w:tcPr>
            <w:tcW w:w="2020" w:type="dxa"/>
            <w:vAlign w:val="bottom"/>
            <w:gridSpan w:val="2"/>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 xml:space="preserve">Crude oil lease gathering purchases </w:t>
            </w:r>
            <w:r>
              <w:rPr>
                <w:rFonts w:ascii="Times New Roman" w:cs="Times New Roman" w:eastAsia="Times New Roman" w:hAnsi="Times New Roman"/>
                <w:sz w:val="25"/>
                <w:szCs w:val="25"/>
                <w:color w:val="auto"/>
                <w:vertAlign w:val="superscript"/>
              </w:rPr>
              <w:t>(4) (7)</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4 %</w:t>
            </w:r>
          </w:p>
        </w:tc>
        <w:tc>
          <w:tcPr>
            <w:tcW w:w="0" w:type="dxa"/>
            <w:vAlign w:val="bottom"/>
          </w:tcPr>
          <w:p>
            <w:pPr>
              <w:spacing w:after="0"/>
              <w:rPr>
                <w:sz w:val="1"/>
                <w:szCs w:val="1"/>
                <w:color w:val="auto"/>
              </w:rPr>
            </w:pPr>
          </w:p>
        </w:tc>
      </w:tr>
      <w:tr>
        <w:trPr>
          <w:trHeight w:val="163"/>
        </w:trPr>
        <w:tc>
          <w:tcPr>
            <w:tcW w:w="3500" w:type="dxa"/>
            <w:vAlign w:val="bottom"/>
            <w:tcBorders>
              <w:bottom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-5767070</wp:posOffset>
            </wp:positionV>
            <wp:extent cx="6500495" cy="36461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extLst>
                        <a:ext uri="{28A0092B-C50C-407E-A947-70E740481C1C}"/>
                      </a:extLst>
                    </a:blip>
                    <a:srcRect/>
                    <a:stretch>
                      <a:fillRect/>
                    </a:stretch>
                  </pic:blipFill>
                  <pic:spPr bwMode="auto">
                    <a:xfrm>
                      <a:off x="0" y="0"/>
                      <a:ext cx="6500495" cy="364617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-1649730</wp:posOffset>
            </wp:positionV>
            <wp:extent cx="6500495" cy="50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a:extLst>
                        <a:ext uri="{28A0092B-C50C-407E-A947-70E740481C1C}"/>
                      </a:extLst>
                    </a:blip>
                    <a:srcRect/>
                    <a:stretch>
                      <a:fillRect/>
                    </a:stretch>
                  </pic:blipFill>
                  <pic:spPr bwMode="auto">
                    <a:xfrm>
                      <a:off x="0" y="0"/>
                      <a:ext cx="6500495" cy="5016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-1272540</wp:posOffset>
            </wp:positionV>
            <wp:extent cx="2992120" cy="1181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0">
                      <a:extLst>
                        <a:ext uri="{28A0092B-C50C-407E-A947-70E740481C1C}"/>
                      </a:extLst>
                    </a:blip>
                    <a:srcRect/>
                    <a:stretch>
                      <a:fillRect/>
                    </a:stretch>
                  </pic:blipFill>
                  <pic:spPr bwMode="auto">
                    <a:xfrm>
                      <a:off x="0" y="0"/>
                      <a:ext cx="2992120" cy="1181735"/>
                    </a:xfrm>
                    <a:prstGeom prst="rect">
                      <a:avLst/>
                    </a:prstGeom>
                    <a:noFill/>
                  </pic:spPr>
                </pic:pic>
              </a:graphicData>
            </a:graphic>
          </wp:anchor>
        </w:drawing>
      </w:r>
    </w:p>
    <w:p>
      <w:pPr>
        <w:spacing w:after="0" w:line="126" w:lineRule="exact"/>
        <w:rPr>
          <w:sz w:val="20"/>
          <w:szCs w:val="20"/>
          <w:color w:val="auto"/>
        </w:rPr>
      </w:pPr>
    </w:p>
    <w:p>
      <w:pPr>
        <w:ind w:left="720" w:hanging="719"/>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that variance as a percentage is not meaningful.</w:t>
      </w:r>
    </w:p>
    <w:p>
      <w:pPr>
        <w:sectPr>
          <w:pgSz w:w="11880" w:h="15480" w:orient="portrait"/>
          <w:cols w:equalWidth="0" w:num="1">
            <w:col w:w="10160"/>
          </w:cols>
          <w:pgMar w:left="860" w:top="683" w:right="860" w:bottom="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Revenues and costs and expenses include intersegment amounts.</w:t>
      </w:r>
    </w:p>
    <w:p>
      <w:pPr>
        <w:spacing w:after="0" w:line="126" w:lineRule="exact"/>
        <w:rPr>
          <w:sz w:val="20"/>
          <w:szCs w:val="20"/>
          <w:color w:val="auto"/>
        </w:rPr>
      </w:pPr>
    </w:p>
    <w:p>
      <w:pPr>
        <w:jc w:val="both"/>
        <w:ind w:right="360"/>
        <w:spacing w:after="0" w:line="263" w:lineRule="auto"/>
        <w:rPr>
          <w:sz w:val="20"/>
          <w:szCs w:val="20"/>
          <w:color w:val="auto"/>
        </w:rPr>
      </w:pPr>
      <w:r>
        <w:rPr>
          <w:rFonts w:ascii="Times New Roman" w:cs="Times New Roman" w:eastAsia="Times New Roman" w:hAnsi="Times New Roman"/>
          <w:sz w:val="20"/>
          <w:szCs w:val="20"/>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6" w:lineRule="exact"/>
        <w:rPr>
          <w:sz w:val="20"/>
          <w:szCs w:val="20"/>
          <w:color w:val="auto"/>
        </w:rPr>
      </w:pPr>
    </w:p>
    <w:p>
      <w:pPr>
        <w:ind w:right="460"/>
        <w:spacing w:after="0" w:line="305" w:lineRule="auto"/>
        <w:rPr>
          <w:sz w:val="20"/>
          <w:szCs w:val="20"/>
          <w:color w:val="auto"/>
        </w:rPr>
      </w:pPr>
      <w:r>
        <w:rPr>
          <w:rFonts w:ascii="Times New Roman" w:cs="Times New Roman" w:eastAsia="Times New Roman" w:hAnsi="Times New Roman"/>
          <w:sz w:val="19"/>
          <w:szCs w:val="19"/>
          <w:color w:val="auto"/>
        </w:rPr>
        <w:t>Represents adjustments included in the performance measure utilized by our CODM in the evaluation of segment results. See Note 20 to our Consolidated Financial Statements for additional discussion of such adjustments.</w:t>
      </w:r>
    </w:p>
    <w:p>
      <w:pPr>
        <w:spacing w:after="0" w:line="3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Average daily volumes in thousands of barrels per day calculated as the total volumes (attributable to our interest for assets owned by unconsolidated entities or through undivided joint interests) for the year divided by the number of days in the year. Volumes associated with acquisitions represent total volumes for the number of days we actually owned the assets divided by the number of days in the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Includes volumes (attributable to our interest) from assets owned by unconsolidated entities.</w:t>
      </w:r>
    </w:p>
    <w:p>
      <w:pPr>
        <w:spacing w:after="0" w:line="200" w:lineRule="exact"/>
        <w:rPr>
          <w:sz w:val="20"/>
          <w:szCs w:val="20"/>
          <w:color w:val="auto"/>
        </w:rPr>
      </w:pPr>
    </w:p>
    <w:p>
      <w:pPr>
        <w:sectPr>
          <w:pgSz w:w="11880" w:h="15480" w:orient="portrait"/>
          <w:cols w:equalWidth="0" w:num="2">
            <w:col w:w="160" w:space="560"/>
            <w:col w:w="9440"/>
          </w:cols>
          <w:pgMar w:left="860" w:top="683" w:right="860" w:bottom="0" w:gutter="0" w:footer="0" w:header="0"/>
          <w:type w:val="continuous"/>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160"/>
          </w:cols>
          <w:pgMar w:left="860" w:top="683" w:right="86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3"/>
          <w:szCs w:val="13"/>
          <w:color w:val="auto"/>
        </w:rPr>
        <w:t>(6)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br w:type="column"/>
      </w:r>
    </w:p>
    <w:p>
      <w:pPr>
        <w:ind w:right="40"/>
        <w:spacing w:after="0" w:line="278" w:lineRule="auto"/>
        <w:rPr>
          <w:sz w:val="20"/>
          <w:szCs w:val="20"/>
          <w:color w:val="auto"/>
        </w:rPr>
      </w:pPr>
      <w:r>
        <w:rPr>
          <w:rFonts w:ascii="Times New Roman" w:cs="Times New Roman" w:eastAsia="Times New Roman" w:hAnsi="Times New Roman"/>
          <w:sz w:val="20"/>
          <w:szCs w:val="20"/>
          <w:color w:val="auto"/>
        </w:rPr>
        <w:t>Average monthly capacity in millions of barrels per day calculated as total volumes for the year divided by the number of months in the year.</w:t>
      </w:r>
    </w:p>
    <w:p>
      <w:pPr>
        <w:spacing w:after="0" w:line="6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color w:val="auto"/>
        </w:rPr>
        <w:t>Of this amount, approximately 1,073 and 1,038 thousand barrels per day were purchased in the Permian Basin for the years ended December 31, 2022 and 2021,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Adjusted EBITDA</w:t>
      </w:r>
    </w:p>
    <w:p>
      <w:pPr>
        <w:spacing w:after="0" w:line="200" w:lineRule="exact"/>
        <w:rPr>
          <w:sz w:val="20"/>
          <w:szCs w:val="20"/>
          <w:color w:val="auto"/>
        </w:rPr>
      </w:pPr>
    </w:p>
    <w:p>
      <w:pPr>
        <w:sectPr>
          <w:pgSz w:w="11880" w:h="15480" w:orient="portrait"/>
          <w:cols w:equalWidth="0" w:num="2">
            <w:col w:w="160" w:space="560"/>
            <w:col w:w="9440"/>
          </w:cols>
          <w:pgMar w:left="860" w:top="665" w:right="860" w:bottom="0" w:gutter="0" w:footer="0" w:header="0"/>
        </w:sectPr>
      </w:pPr>
    </w:p>
    <w:p>
      <w:pPr>
        <w:spacing w:after="0" w:line="48" w:lineRule="exact"/>
        <w:rPr>
          <w:sz w:val="20"/>
          <w:szCs w:val="20"/>
          <w:color w:val="auto"/>
        </w:rPr>
      </w:pPr>
    </w:p>
    <w:p>
      <w:pPr>
        <w:ind w:right="20" w:firstLine="713"/>
        <w:spacing w:after="0" w:line="272" w:lineRule="auto"/>
        <w:rPr>
          <w:sz w:val="20"/>
          <w:szCs w:val="20"/>
          <w:color w:val="auto"/>
        </w:rPr>
      </w:pPr>
      <w:r>
        <w:rPr>
          <w:rFonts w:ascii="Times New Roman" w:cs="Times New Roman" w:eastAsia="Times New Roman" w:hAnsi="Times New Roman"/>
          <w:sz w:val="19"/>
          <w:szCs w:val="19"/>
          <w:color w:val="auto"/>
        </w:rPr>
        <w:t>Crude Oil Segment Adjusted EBITDA was favorably impacted for the year ended December 31, 2022 compared to the year ended December 31, 2021 by higher volumes on our pipelines, favorable Canadian crude oil differentials and higher loss allowance revenue. These favorable impacts were partially offset by (i) the monetization of contango hedges that benefited the 2021 period, (ii) the sale of our natural gas storage facilities in August 2021 (which were reported in our Crude Oil Segment) and (iii) gains related to hedged power costs resulting from Winter Storm Uri recognized in the first quarter of 2021.</w:t>
      </w:r>
    </w:p>
    <w:p>
      <w:pPr>
        <w:spacing w:after="0" w:line="188" w:lineRule="exact"/>
        <w:rPr>
          <w:sz w:val="20"/>
          <w:szCs w:val="20"/>
          <w:color w:val="auto"/>
        </w:rPr>
      </w:pPr>
    </w:p>
    <w:p>
      <w:pPr>
        <w:ind w:right="320" w:firstLine="713"/>
        <w:spacing w:after="0" w:line="278" w:lineRule="auto"/>
        <w:rPr>
          <w:sz w:val="20"/>
          <w:szCs w:val="20"/>
          <w:color w:val="auto"/>
        </w:rPr>
      </w:pPr>
      <w:r>
        <w:rPr>
          <w:rFonts w:ascii="Times New Roman" w:cs="Times New Roman" w:eastAsia="Times New Roman" w:hAnsi="Times New Roman"/>
          <w:sz w:val="20"/>
          <w:szCs w:val="20"/>
          <w:color w:val="auto"/>
        </w:rPr>
        <w:t>The following is a more detailed discussion of the significant factors impacting Segment Adjusted EBITDA for the year ended December 31, 2022 compared to the year ended December 31, 2021.</w:t>
      </w:r>
    </w:p>
    <w:p>
      <w:pPr>
        <w:spacing w:after="0" w:line="177" w:lineRule="exact"/>
        <w:rPr>
          <w:sz w:val="20"/>
          <w:szCs w:val="20"/>
          <w:color w:val="auto"/>
        </w:rPr>
      </w:pPr>
    </w:p>
    <w:p>
      <w:pPr>
        <w:ind w:left="1080" w:right="20" w:hanging="366"/>
        <w:spacing w:after="0" w:line="252" w:lineRule="auto"/>
        <w:tabs>
          <w:tab w:leader="none" w:pos="1080" w:val="left"/>
        </w:tabs>
        <w:numPr>
          <w:ilvl w:val="0"/>
          <w:numId w:val="5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Permian JV. </w:t>
      </w:r>
      <w:r>
        <w:rPr>
          <w:rFonts w:ascii="Times New Roman" w:cs="Times New Roman" w:eastAsia="Times New Roman" w:hAnsi="Times New Roman"/>
          <w:sz w:val="20"/>
          <w:szCs w:val="20"/>
          <w:color w:val="auto"/>
        </w:rPr>
        <w:t>In October 2021, we closed on the transaction with Oryx Midstream to merge our respective Permian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Basin assets, with the exception of our long-haul pipeline systems and certain of our intra-basin assets, into the Permian JV. The significant year-over-year growth in our tariff volumes in the Permian Basin region was primarily from the Permian JV assets, largely due to additional volumes from the pipelines contributed by Oryx Midstream as well as increased production and new connections. We deduct the portion of the financial results attributable to Oryx Midstream’s 35% interest in the Permian JV in determining Segment Adjusted EBITDA, which partially offset the favorable impact of the volume growth when comparing Segment Adjusted EBITDA for 2022 compared to 2021.</w:t>
      </w:r>
    </w:p>
    <w:p>
      <w:pPr>
        <w:spacing w:after="0" w:line="206" w:lineRule="exact"/>
        <w:rPr>
          <w:rFonts w:ascii="Times New Roman" w:cs="Times New Roman" w:eastAsia="Times New Roman" w:hAnsi="Times New Roman"/>
          <w:sz w:val="20"/>
          <w:szCs w:val="20"/>
          <w:b w:val="1"/>
          <w:bCs w:val="1"/>
          <w:i w:val="1"/>
          <w:iCs w:val="1"/>
          <w:color w:val="auto"/>
        </w:rPr>
      </w:pPr>
    </w:p>
    <w:p>
      <w:pPr>
        <w:jc w:val="both"/>
        <w:ind w:left="1080" w:right="320" w:hanging="366"/>
        <w:spacing w:after="0" w:line="264" w:lineRule="auto"/>
        <w:tabs>
          <w:tab w:leader="none" w:pos="1080" w:val="left"/>
        </w:tabs>
        <w:numPr>
          <w:ilvl w:val="0"/>
          <w:numId w:val="5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Pipeline Projects. </w:t>
      </w:r>
      <w:r>
        <w:rPr>
          <w:rFonts w:ascii="Times New Roman" w:cs="Times New Roman" w:eastAsia="Times New Roman" w:hAnsi="Times New Roman"/>
          <w:sz w:val="20"/>
          <w:szCs w:val="20"/>
          <w:color w:val="auto"/>
        </w:rPr>
        <w:t>The Capline pipeline reversal project and phase two of the Wink to Webster pipeline project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were placed in service in the first quarter of 2022, which favorably impacted equity earnings in unconsolidated entities and our tariff volumes in 2022.</w:t>
      </w:r>
    </w:p>
    <w:p>
      <w:pPr>
        <w:spacing w:after="0" w:line="194" w:lineRule="exact"/>
        <w:rPr>
          <w:rFonts w:ascii="Times New Roman" w:cs="Times New Roman" w:eastAsia="Times New Roman" w:hAnsi="Times New Roman"/>
          <w:sz w:val="20"/>
          <w:szCs w:val="20"/>
          <w:b w:val="1"/>
          <w:bCs w:val="1"/>
          <w:i w:val="1"/>
          <w:iCs w:val="1"/>
          <w:color w:val="auto"/>
        </w:rPr>
      </w:pPr>
    </w:p>
    <w:p>
      <w:pPr>
        <w:ind w:left="1080" w:right="60"/>
        <w:spacing w:after="0" w:line="254"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variance in equity earnings in unconsolidated entities for the year ended December 31, 2022 compared to the year ended December 31, 2021 was also driven by the unfavorable impact to the prior period of the recognition of our proportionate share of the write-off of costs associated with a capital project canceled during the second quarter of 2021 (which impacted equity earnings in unconsolidated entities but is excluded from Segment Adjusted EBITDA and thus is reflected as an “Adjustment” as “Depreciation and amortization of unconsolidated entities” in the table above).</w:t>
      </w:r>
    </w:p>
    <w:p>
      <w:pPr>
        <w:spacing w:after="0" w:line="199" w:lineRule="exact"/>
        <w:rPr>
          <w:rFonts w:ascii="Times New Roman" w:cs="Times New Roman" w:eastAsia="Times New Roman" w:hAnsi="Times New Roman"/>
          <w:sz w:val="20"/>
          <w:szCs w:val="20"/>
          <w:b w:val="1"/>
          <w:bCs w:val="1"/>
          <w:i w:val="1"/>
          <w:iCs w:val="1"/>
          <w:color w:val="auto"/>
        </w:rPr>
      </w:pPr>
    </w:p>
    <w:p>
      <w:pPr>
        <w:jc w:val="both"/>
        <w:ind w:left="1080" w:right="240" w:hanging="366"/>
        <w:spacing w:after="0" w:line="264" w:lineRule="auto"/>
        <w:tabs>
          <w:tab w:leader="none" w:pos="1080" w:val="left"/>
        </w:tabs>
        <w:numPr>
          <w:ilvl w:val="0"/>
          <w:numId w:val="5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Pipeline Loss Allowance Revenue. </w:t>
      </w:r>
      <w:r>
        <w:rPr>
          <w:rFonts w:ascii="Times New Roman" w:cs="Times New Roman" w:eastAsia="Times New Roman" w:hAnsi="Times New Roman"/>
          <w:sz w:val="20"/>
          <w:szCs w:val="20"/>
          <w:color w:val="auto"/>
        </w:rPr>
        <w:t>Pipeline loss allowance revenues increased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2022 compared to the year ended December 31, 2021 due to a combination of higher prices and higher volumes during 2022.</w:t>
      </w:r>
    </w:p>
    <w:p>
      <w:pPr>
        <w:spacing w:after="0" w:line="191" w:lineRule="exact"/>
        <w:rPr>
          <w:rFonts w:ascii="Times New Roman" w:cs="Times New Roman" w:eastAsia="Times New Roman" w:hAnsi="Times New Roman"/>
          <w:sz w:val="20"/>
          <w:szCs w:val="20"/>
          <w:b w:val="1"/>
          <w:bCs w:val="1"/>
          <w:i w:val="1"/>
          <w:iCs w:val="1"/>
          <w:color w:val="auto"/>
        </w:rPr>
      </w:pPr>
    </w:p>
    <w:p>
      <w:pPr>
        <w:ind w:left="1080" w:hanging="366"/>
        <w:spacing w:after="0" w:line="259" w:lineRule="auto"/>
        <w:tabs>
          <w:tab w:leader="none" w:pos="1080" w:val="left"/>
        </w:tabs>
        <w:numPr>
          <w:ilvl w:val="0"/>
          <w:numId w:val="5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Market Opportunities. </w:t>
      </w:r>
      <w:r>
        <w:rPr>
          <w:rFonts w:ascii="Times New Roman" w:cs="Times New Roman" w:eastAsia="Times New Roman" w:hAnsi="Times New Roman"/>
          <w:sz w:val="20"/>
          <w:szCs w:val="20"/>
          <w:color w:val="auto"/>
        </w:rPr>
        <w:t>Our results for the year ended December 31, 2022 benefited from favorable Canadian crude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oil differentials and the sale of excess linefill and inventory in a higher crude oil price environment; however, in comparison to the year ended December 31, 2021, these favorable variances were offset by the benefit of the monetization of contango hedges during the year ended December 31, 2021.</w:t>
      </w:r>
    </w:p>
    <w:p>
      <w:pPr>
        <w:spacing w:after="0" w:line="195" w:lineRule="exact"/>
        <w:rPr>
          <w:rFonts w:ascii="Times New Roman" w:cs="Times New Roman" w:eastAsia="Times New Roman" w:hAnsi="Times New Roman"/>
          <w:sz w:val="20"/>
          <w:szCs w:val="20"/>
          <w:b w:val="1"/>
          <w:bCs w:val="1"/>
          <w:i w:val="1"/>
          <w:iCs w:val="1"/>
          <w:color w:val="auto"/>
        </w:rPr>
      </w:pPr>
    </w:p>
    <w:p>
      <w:pPr>
        <w:ind w:left="1080" w:right="140" w:hanging="366"/>
        <w:spacing w:after="0" w:line="256" w:lineRule="auto"/>
        <w:tabs>
          <w:tab w:leader="none" w:pos="1080" w:val="left"/>
        </w:tabs>
        <w:numPr>
          <w:ilvl w:val="0"/>
          <w:numId w:val="5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Natural Gas Storage Assets. </w:t>
      </w:r>
      <w:r>
        <w:rPr>
          <w:rFonts w:ascii="Times New Roman" w:cs="Times New Roman" w:eastAsia="Times New Roman" w:hAnsi="Times New Roman"/>
          <w:sz w:val="20"/>
          <w:szCs w:val="20"/>
          <w:color w:val="auto"/>
        </w:rPr>
        <w:t>We sold our natural gas storage facilities in August 2021, impacting the comparison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our results for the year ended December 31, 2022 compared to the year ended December 31, 2021. Net revenues from our natural gas storage facilities were approximately $76 million for the year ended December 31, 2021, which included the benefit of favorable margins from hub activities related to Winter Storm Uri, as mentioned below.</w:t>
      </w:r>
    </w:p>
    <w:p>
      <w:pPr>
        <w:spacing w:after="0" w:line="199" w:lineRule="exact"/>
        <w:rPr>
          <w:rFonts w:ascii="Times New Roman" w:cs="Times New Roman" w:eastAsia="Times New Roman" w:hAnsi="Times New Roman"/>
          <w:sz w:val="20"/>
          <w:szCs w:val="20"/>
          <w:b w:val="1"/>
          <w:bCs w:val="1"/>
          <w:i w:val="1"/>
          <w:iCs w:val="1"/>
          <w:color w:val="auto"/>
        </w:rPr>
      </w:pPr>
    </w:p>
    <w:p>
      <w:pPr>
        <w:ind w:left="1080" w:right="140" w:hanging="366"/>
        <w:spacing w:after="0" w:line="259" w:lineRule="auto"/>
        <w:tabs>
          <w:tab w:leader="none" w:pos="1080" w:val="left"/>
        </w:tabs>
        <w:numPr>
          <w:ilvl w:val="0"/>
          <w:numId w:val="5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Winter Storm Uri. </w:t>
      </w:r>
      <w:r>
        <w:rPr>
          <w:rFonts w:ascii="Times New Roman" w:cs="Times New Roman" w:eastAsia="Times New Roman" w:hAnsi="Times New Roman"/>
          <w:sz w:val="20"/>
          <w:szCs w:val="20"/>
          <w:color w:val="auto"/>
        </w:rPr>
        <w:t>During the first quarter of 2021, Winter Storm Uri had a negative impact on our volumes;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however, this impact was more than offset during the 2021 period by gains related to hedged power costs, which are reflected in equity earnings and field operating costs, and favorable margins from hub activities at our natural gas storage facilities resulting from Winter Storm Uri.</w:t>
      </w:r>
    </w:p>
    <w:p>
      <w:pPr>
        <w:sectPr>
          <w:pgSz w:w="11880" w:h="15480" w:orient="portrait"/>
          <w:cols w:equalWidth="0" w:num="1">
            <w:col w:w="10160"/>
          </w:cols>
          <w:pgMar w:left="860" w:top="665"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160"/>
          </w:cols>
          <w:pgMar w:left="860" w:top="665" w:right="860" w:bottom="0" w:gutter="0" w:footer="0" w:header="0"/>
          <w:type w:val="continuous"/>
        </w:sectPr>
      </w:pPr>
    </w:p>
    <w:bookmarkStart w:id="77" w:name="page78"/>
    <w:bookmarkEnd w:id="77"/>
    <w:p>
      <w:pPr>
        <w:ind w:left="1080" w:right="20" w:hanging="366"/>
        <w:spacing w:after="0" w:line="259" w:lineRule="auto"/>
        <w:tabs>
          <w:tab w:leader="none" w:pos="1080" w:val="left"/>
        </w:tabs>
        <w:numPr>
          <w:ilvl w:val="0"/>
          <w:numId w:val="5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Line 2000 Pipeline. </w:t>
      </w:r>
      <w:r>
        <w:rPr>
          <w:rFonts w:ascii="Times New Roman" w:cs="Times New Roman" w:eastAsia="Times New Roman" w:hAnsi="Times New Roman"/>
          <w:sz w:val="20"/>
          <w:szCs w:val="20"/>
          <w:color w:val="auto"/>
        </w:rPr>
        <w:t>In the third quarter of 2022, we temporarily ceased service on Line 2000 in California as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precautionary measure following a routine inspection, which unfavorably impacted our results for the year ended December 31, 2022 compared to the year ended December 31, 2021. Line 2000 was returned to service in the first quarter of 2023.</w:t>
      </w:r>
    </w:p>
    <w:p>
      <w:pPr>
        <w:spacing w:after="0" w:line="195" w:lineRule="exact"/>
        <w:rPr>
          <w:rFonts w:ascii="Times New Roman" w:cs="Times New Roman" w:eastAsia="Times New Roman" w:hAnsi="Times New Roman"/>
          <w:sz w:val="20"/>
          <w:szCs w:val="20"/>
          <w:b w:val="1"/>
          <w:bCs w:val="1"/>
          <w:i w:val="1"/>
          <w:iCs w:val="1"/>
          <w:color w:val="auto"/>
        </w:rPr>
      </w:pPr>
    </w:p>
    <w:p>
      <w:pPr>
        <w:ind w:left="1080" w:right="40" w:hanging="366"/>
        <w:spacing w:after="0" w:line="252" w:lineRule="auto"/>
        <w:tabs>
          <w:tab w:leader="none" w:pos="1080" w:val="left"/>
        </w:tabs>
        <w:numPr>
          <w:ilvl w:val="0"/>
          <w:numId w:val="5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Field Operating Costs. </w:t>
      </w:r>
      <w:r>
        <w:rPr>
          <w:rFonts w:ascii="Times New Roman" w:cs="Times New Roman" w:eastAsia="Times New Roman" w:hAnsi="Times New Roman"/>
          <w:sz w:val="20"/>
          <w:szCs w:val="20"/>
          <w:color w:val="auto"/>
        </w:rPr>
        <w:t>The increase in field operating costs for the year ended December 31, 2022 compared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year ended December 31, 2021 was primarily due to (i) an increase in estimated costs associated with the Line 901 incident (which impact field operating costs but are excluded from Segment Adjusted EBITDA and thus are reflected as an “Adjustment” in the table above), (ii) the impact of gains related to hedged power costs resulting from Winter Storm Uri recognized in the first quarter of 2021, (iii) incremental operating costs from the Permian JV, (iv) increased utilities as a result of higher volumes, (v) increased costs resulting from higher third-party trucked volumes and (vi) higher fuel prices, partially offset by (vii) the sale of our natural gas storage facilities in August 2021.</w:t>
      </w:r>
    </w:p>
    <w:p>
      <w:pPr>
        <w:spacing w:after="0" w:line="207" w:lineRule="exact"/>
        <w:rPr>
          <w:sz w:val="20"/>
          <w:szCs w:val="20"/>
          <w:color w:val="auto"/>
        </w:rPr>
      </w:pPr>
    </w:p>
    <w:p>
      <w:pPr>
        <w:ind w:right="300" w:firstLine="713"/>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Segment General and Administrative Expenses. </w:t>
      </w:r>
      <w:r>
        <w:rPr>
          <w:rFonts w:ascii="Times New Roman" w:cs="Times New Roman" w:eastAsia="Times New Roman" w:hAnsi="Times New Roman"/>
          <w:sz w:val="20"/>
          <w:szCs w:val="20"/>
          <w:color w:val="auto"/>
        </w:rPr>
        <w:t>See the “—Consolidated Results” section above for a discussion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general and administrative expenses.</w:t>
      </w:r>
    </w:p>
    <w:p>
      <w:pPr>
        <w:spacing w:after="0" w:line="174" w:lineRule="exact"/>
        <w:rPr>
          <w:sz w:val="20"/>
          <w:szCs w:val="20"/>
          <w:color w:val="auto"/>
        </w:rPr>
      </w:pPr>
    </w:p>
    <w:p>
      <w:pPr>
        <w:ind w:right="20" w:firstLine="713"/>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Maintenance Capital. </w:t>
      </w:r>
      <w:r>
        <w:rPr>
          <w:rFonts w:ascii="Times New Roman" w:cs="Times New Roman" w:eastAsia="Times New Roman" w:hAnsi="Times New Roman"/>
          <w:sz w:val="20"/>
          <w:szCs w:val="20"/>
          <w:color w:val="auto"/>
        </w:rPr>
        <w:t>Maintenance capital consists of capital expenditures for the replacement and/or refurbishment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partially or fully depreciated assets in order to maintain the operating and/or earnings capacity of our existing assets. The increase in maintenance capital spending for the year ended December 31, 2022 compared to the year ended December 31,</w:t>
      </w:r>
    </w:p>
    <w:p>
      <w:pPr>
        <w:spacing w:after="0" w:line="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2021 was primarily due to ongoing station upgrades, integrity projects and tank maintenance, partially offset by lower costs due to the completion of certain projects.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NGL Segment</w:t>
      </w:r>
    </w:p>
    <w:p>
      <w:pPr>
        <w:spacing w:after="0" w:line="252" w:lineRule="exact"/>
        <w:rPr>
          <w:sz w:val="20"/>
          <w:szCs w:val="20"/>
          <w:color w:val="auto"/>
        </w:rPr>
      </w:pPr>
    </w:p>
    <w:p>
      <w:pPr>
        <w:ind w:firstLine="713"/>
        <w:spacing w:after="0" w:line="255" w:lineRule="auto"/>
        <w:rPr>
          <w:sz w:val="20"/>
          <w:szCs w:val="20"/>
          <w:color w:val="auto"/>
        </w:rPr>
      </w:pPr>
      <w:r>
        <w:rPr>
          <w:rFonts w:ascii="Times New Roman" w:cs="Times New Roman" w:eastAsia="Times New Roman" w:hAnsi="Times New Roman"/>
          <w:sz w:val="20"/>
          <w:szCs w:val="20"/>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w:t>
      </w:r>
    </w:p>
    <w:p>
      <w:pPr>
        <w:spacing w:after="0" w:line="204" w:lineRule="exact"/>
        <w:rPr>
          <w:sz w:val="20"/>
          <w:szCs w:val="20"/>
          <w:color w:val="auto"/>
        </w:rPr>
      </w:pPr>
    </w:p>
    <w:p>
      <w:pPr>
        <w:ind w:right="240" w:firstLine="713"/>
        <w:spacing w:after="0" w:line="258" w:lineRule="auto"/>
        <w:rPr>
          <w:sz w:val="20"/>
          <w:szCs w:val="20"/>
          <w:color w:val="auto"/>
        </w:rPr>
      </w:pPr>
      <w:r>
        <w:rPr>
          <w:rFonts w:ascii="Times New Roman" w:cs="Times New Roman" w:eastAsia="Times New Roman" w:hAnsi="Times New Roman"/>
          <w:sz w:val="20"/>
          <w:szCs w:val="20"/>
          <w:color w:val="auto"/>
        </w:rPr>
        <w:t>Generally, our segment results are impacted by (i) increases or decreases in our NGL sales volumes, (ii) the overall strength, weakness and volatility of market conditions, including the differential between the price of natural gas and the extracted NGL, as well as location differentials and time spreads, and (iii) the effects of competition on our NGL margins. In addition, we utilize various risk management strategies to manage our commodity exposure.</w:t>
      </w:r>
    </w:p>
    <w:p>
      <w:pPr>
        <w:spacing w:after="0" w:line="199" w:lineRule="exact"/>
        <w:rPr>
          <w:sz w:val="20"/>
          <w:szCs w:val="20"/>
          <w:color w:val="auto"/>
        </w:rPr>
      </w:pPr>
    </w:p>
    <w:p>
      <w:pPr>
        <w:ind w:right="220" w:firstLine="713"/>
        <w:spacing w:after="0" w:line="258" w:lineRule="auto"/>
        <w:rPr>
          <w:sz w:val="20"/>
          <w:szCs w:val="20"/>
          <w:color w:val="auto"/>
        </w:rPr>
      </w:pPr>
      <w:r>
        <w:rPr>
          <w:rFonts w:ascii="Times New Roman" w:cs="Times New Roman" w:eastAsia="Times New Roman" w:hAnsi="Times New Roman"/>
          <w:sz w:val="20"/>
          <w:szCs w:val="20"/>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ectPr>
          <w:pgSz w:w="11880" w:h="15480" w:orient="portrait"/>
          <w:cols w:equalWidth="0" w:num="1">
            <w:col w:w="10140"/>
          </w:cols>
          <w:pgMar w:left="860" w:top="68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140"/>
          </w:cols>
          <w:pgMar w:left="860" w:top="680" w:right="880" w:bottom="0" w:gutter="0" w:footer="0" w:header="0"/>
          <w:type w:val="continuous"/>
        </w:sectPr>
      </w:pPr>
    </w:p>
    <w:bookmarkStart w:id="78" w:name="page79"/>
    <w:bookmarkEnd w:id="78"/>
    <w:p>
      <w:pPr>
        <w:ind w:left="720"/>
        <w:spacing w:after="0"/>
        <w:rPr>
          <w:sz w:val="20"/>
          <w:szCs w:val="20"/>
          <w:color w:val="auto"/>
        </w:rPr>
      </w:pPr>
      <w:r>
        <w:rPr>
          <w:rFonts w:ascii="Times New Roman" w:cs="Times New Roman" w:eastAsia="Times New Roman" w:hAnsi="Times New Roman"/>
          <w:sz w:val="20"/>
          <w:szCs w:val="20"/>
          <w:color w:val="auto"/>
        </w:rPr>
        <w:t>The following tables set forth our operating results from our NGL segment: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Operating Results </w:t>
            </w:r>
            <w:r>
              <w:rPr>
                <w:rFonts w:ascii="Times New Roman" w:cs="Times New Roman" w:eastAsia="Times New Roman" w:hAnsi="Times New Roman"/>
                <w:sz w:val="20"/>
                <w:szCs w:val="20"/>
                <w:b w:val="1"/>
                <w:bCs w:val="1"/>
                <w:color w:val="auto"/>
                <w:vertAlign w:val="superscript"/>
              </w:rPr>
              <w:t>(1)</w:t>
            </w:r>
          </w:p>
        </w:tc>
        <w:tc>
          <w:tcPr>
            <w:tcW w:w="200" w:type="dxa"/>
            <w:vAlign w:val="bottom"/>
          </w:tcPr>
          <w:p>
            <w:pPr>
              <w:spacing w:after="0"/>
              <w:rPr>
                <w:sz w:val="18"/>
                <w:szCs w:val="18"/>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continue"/>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vMerge w:val="restart"/>
          </w:tcPr>
          <w:p>
            <w:pPr>
              <w:jc w:val="right"/>
              <w:ind w:right="28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vMerge w:val="restart"/>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vMerge w:val="restart"/>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vMerge w:val="restart"/>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line="20" w:lineRule="exact"/>
              <w:rPr>
                <w:sz w:val="1"/>
                <w:szCs w:val="1"/>
                <w:color w:val="auto"/>
              </w:rPr>
            </w:pPr>
          </w:p>
        </w:tc>
      </w:tr>
      <w:tr>
        <w:trPr>
          <w:trHeight w:val="212"/>
        </w:trPr>
        <w:tc>
          <w:tcPr>
            <w:tcW w:w="5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552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Revenues</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2,761</w:t>
            </w:r>
          </w:p>
        </w:tc>
        <w:tc>
          <w:tcPr>
            <w:tcW w:w="360" w:type="dxa"/>
            <w:vAlign w:val="bottom"/>
            <w:gridSpan w:val="2"/>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1,968</w:t>
            </w:r>
          </w:p>
        </w:tc>
        <w:tc>
          <w:tcPr>
            <w:tcW w:w="100" w:type="dxa"/>
            <w:vAlign w:val="bottom"/>
            <w:tcBorders>
              <w:right w:val="single" w:sz="8" w:color="auto"/>
            </w:tcBorders>
            <w:shd w:val="clear" w:color="auto" w:fill="E6E6E6"/>
          </w:tcPr>
          <w:p>
            <w:pPr>
              <w:spacing w:after="0"/>
              <w:rPr>
                <w:sz w:val="24"/>
                <w:szCs w:val="24"/>
                <w:color w:val="auto"/>
              </w:rPr>
            </w:pPr>
          </w:p>
        </w:tc>
        <w:tc>
          <w:tcPr>
            <w:tcW w:w="2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0" w:type="dxa"/>
            <w:vAlign w:val="bottom"/>
          </w:tcPr>
          <w:p>
            <w:pPr>
              <w:spacing w:after="0"/>
              <w:rPr>
                <w:sz w:val="1"/>
                <w:szCs w:val="1"/>
                <w:color w:val="auto"/>
              </w:rPr>
            </w:pPr>
          </w:p>
        </w:tc>
      </w:tr>
      <w:tr>
        <w:trPr>
          <w:trHeight w:val="291"/>
        </w:trPr>
        <w:tc>
          <w:tcPr>
            <w:tcW w:w="5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Purchases and related costs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303"/>
        </w:trPr>
        <w:tc>
          <w:tcPr>
            <w:tcW w:w="552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Field operating costs</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97"/>
        </w:trPr>
        <w:tc>
          <w:tcPr>
            <w:tcW w:w="5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 xml:space="preserve">Segment general and administrative expenses </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97"/>
        </w:trPr>
        <w:tc>
          <w:tcPr>
            <w:tcW w:w="3500" w:type="dxa"/>
            <w:vAlign w:val="bottom"/>
            <w:shd w:val="clear" w:color="auto" w:fill="E6E6E6"/>
          </w:tcPr>
          <w:p>
            <w:pPr>
              <w:spacing w:after="0"/>
              <w:rPr>
                <w:sz w:val="24"/>
                <w:szCs w:val="24"/>
                <w:color w:val="auto"/>
              </w:rPr>
            </w:pPr>
          </w:p>
        </w:tc>
        <w:tc>
          <w:tcPr>
            <w:tcW w:w="1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 xml:space="preserve">Adjustments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Derivative activities</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Long-term inventory costing adjustments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3"/>
        </w:trPr>
        <w:tc>
          <w:tcPr>
            <w:tcW w:w="5520" w:type="dxa"/>
            <w:vAlign w:val="bottom"/>
            <w:tcBorders>
              <w:bottom w:val="single" w:sz="8" w:color="E6E6E6"/>
            </w:tcBorders>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Foreign currency revaluation</w:t>
            </w: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bottom w:val="single" w:sz="8" w:color="E6E6E6"/>
              <w:right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5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Segment Adjusted EBITDA</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3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100" w:type="dxa"/>
            <w:vAlign w:val="bottom"/>
            <w:tcBorders>
              <w:right w:val="single" w:sz="8" w:color="auto"/>
            </w:tcBorders>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82 %</w:t>
            </w:r>
          </w:p>
        </w:tc>
        <w:tc>
          <w:tcPr>
            <w:tcW w:w="0" w:type="dxa"/>
            <w:vAlign w:val="bottom"/>
          </w:tcPr>
          <w:p>
            <w:pPr>
              <w:spacing w:after="0"/>
              <w:rPr>
                <w:sz w:val="1"/>
                <w:szCs w:val="1"/>
                <w:color w:val="auto"/>
              </w:rPr>
            </w:pPr>
          </w:p>
        </w:tc>
      </w:tr>
      <w:tr>
        <w:trPr>
          <w:trHeight w:val="267"/>
        </w:trPr>
        <w:tc>
          <w:tcPr>
            <w:tcW w:w="3500" w:type="dxa"/>
            <w:vAlign w:val="bottom"/>
            <w:tcBorders>
              <w:top w:val="single" w:sz="8" w:color="E6E6E6"/>
            </w:tcBorders>
            <w:shd w:val="clear" w:color="auto" w:fill="E6E6E6"/>
          </w:tcPr>
          <w:p>
            <w:pPr>
              <w:spacing w:after="0"/>
              <w:rPr>
                <w:sz w:val="23"/>
                <w:szCs w:val="23"/>
                <w:color w:val="auto"/>
              </w:rPr>
            </w:pPr>
          </w:p>
        </w:tc>
        <w:tc>
          <w:tcPr>
            <w:tcW w:w="1960" w:type="dxa"/>
            <w:vAlign w:val="bottom"/>
            <w:tcBorders>
              <w:top w:val="single" w:sz="8" w:color="E6E6E6"/>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88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280" w:type="dxa"/>
            <w:vAlign w:val="bottom"/>
            <w:tcBorders>
              <w:top w:val="single" w:sz="8" w:color="auto"/>
            </w:tcBorders>
            <w:shd w:val="clear" w:color="auto" w:fill="E6E6E6"/>
          </w:tcPr>
          <w:p>
            <w:pPr>
              <w:spacing w:after="0"/>
              <w:rPr>
                <w:sz w:val="23"/>
                <w:szCs w:val="23"/>
                <w:color w:val="auto"/>
              </w:rPr>
            </w:pPr>
          </w:p>
        </w:tc>
        <w:tc>
          <w:tcPr>
            <w:tcW w:w="800" w:type="dxa"/>
            <w:vAlign w:val="bottom"/>
            <w:tcBorders>
              <w:top w:val="single" w:sz="8" w:color="auto"/>
            </w:tcBorders>
            <w:shd w:val="clear" w:color="auto" w:fill="E6E6E6"/>
          </w:tcPr>
          <w:p>
            <w:pPr>
              <w:spacing w:after="0"/>
              <w:rPr>
                <w:sz w:val="23"/>
                <w:szCs w:val="23"/>
                <w:color w:val="auto"/>
              </w:rPr>
            </w:pPr>
          </w:p>
        </w:tc>
        <w:tc>
          <w:tcPr>
            <w:tcW w:w="100" w:type="dxa"/>
            <w:vAlign w:val="bottom"/>
            <w:tcBorders>
              <w:top w:val="single" w:sz="8" w:color="E6E6E6"/>
              <w:right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88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360" w:type="dxa"/>
            <w:vAlign w:val="bottom"/>
            <w:tcBorders>
              <w:top w:val="single" w:sz="8" w:color="auto"/>
            </w:tcBorders>
            <w:shd w:val="clear" w:color="auto" w:fill="E6E6E6"/>
          </w:tcPr>
          <w:p>
            <w:pPr>
              <w:spacing w:after="0"/>
              <w:rPr>
                <w:sz w:val="23"/>
                <w:szCs w:val="23"/>
                <w:color w:val="auto"/>
              </w:rPr>
            </w:pPr>
          </w:p>
        </w:tc>
        <w:tc>
          <w:tcPr>
            <w:tcW w:w="72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5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Maintenance capital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46 %</w:t>
            </w:r>
          </w:p>
        </w:tc>
        <w:tc>
          <w:tcPr>
            <w:tcW w:w="0" w:type="dxa"/>
            <w:vAlign w:val="bottom"/>
          </w:tcPr>
          <w:p>
            <w:pPr>
              <w:spacing w:after="0"/>
              <w:rPr>
                <w:sz w:val="1"/>
                <w:szCs w:val="1"/>
                <w:color w:val="auto"/>
              </w:rPr>
            </w:pPr>
          </w:p>
        </w:tc>
      </w:tr>
      <w:tr>
        <w:trPr>
          <w:trHeight w:val="549"/>
        </w:trPr>
        <w:tc>
          <w:tcPr>
            <w:tcW w:w="3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Average Volumes (in thousands of barrels per day) </w:t>
            </w:r>
            <w:r>
              <w:rPr>
                <w:rFonts w:ascii="Times New Roman" w:cs="Times New Roman" w:eastAsia="Times New Roman" w:hAnsi="Times New Roman"/>
                <w:sz w:val="20"/>
                <w:szCs w:val="20"/>
                <w:b w:val="1"/>
                <w:bCs w:val="1"/>
                <w:color w:val="auto"/>
                <w:vertAlign w:val="superscript"/>
              </w:rPr>
              <w:t>(4)</w:t>
            </w:r>
          </w:p>
        </w:tc>
        <w:tc>
          <w:tcPr>
            <w:tcW w:w="60" w:type="dxa"/>
            <w:vAlign w:val="bottom"/>
            <w:tcBorders>
              <w:bottom w:val="single" w:sz="8" w:color="E6E6E6"/>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E6E6E6"/>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E6E6E6"/>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Volumes</w:t>
            </w:r>
          </w:p>
        </w:tc>
        <w:tc>
          <w:tcPr>
            <w:tcW w:w="80" w:type="dxa"/>
            <w:vAlign w:val="bottom"/>
            <w:tcBorders>
              <w:top w:val="single" w:sz="8" w:color="auto"/>
              <w:bottom w:val="single" w:sz="8" w:color="E6E6E6"/>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87"/>
        </w:trPr>
        <w:tc>
          <w:tcPr>
            <w:tcW w:w="552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NGL fractionation</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0" w:type="dxa"/>
            <w:vAlign w:val="bottom"/>
          </w:tcPr>
          <w:p>
            <w:pPr>
              <w:spacing w:after="0"/>
              <w:rPr>
                <w:sz w:val="1"/>
                <w:szCs w:val="1"/>
                <w:color w:val="auto"/>
              </w:rPr>
            </w:pPr>
          </w:p>
        </w:tc>
      </w:tr>
      <w:tr>
        <w:trPr>
          <w:trHeight w:val="297"/>
        </w:trPr>
        <w:tc>
          <w:tcPr>
            <w:tcW w:w="3500" w:type="dxa"/>
            <w:vAlign w:val="bottom"/>
          </w:tcPr>
          <w:p>
            <w:pPr>
              <w:spacing w:after="0"/>
              <w:rPr>
                <w:sz w:val="24"/>
                <w:szCs w:val="24"/>
                <w:color w:val="auto"/>
              </w:rPr>
            </w:pPr>
          </w:p>
        </w:tc>
        <w:tc>
          <w:tcPr>
            <w:tcW w:w="20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NGL pipeline tariff</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7 %</w:t>
            </w:r>
          </w:p>
        </w:tc>
        <w:tc>
          <w:tcPr>
            <w:tcW w:w="0" w:type="dxa"/>
            <w:vAlign w:val="bottom"/>
          </w:tcPr>
          <w:p>
            <w:pPr>
              <w:spacing w:after="0"/>
              <w:rPr>
                <w:sz w:val="1"/>
                <w:szCs w:val="1"/>
                <w:color w:val="auto"/>
              </w:rPr>
            </w:pPr>
          </w:p>
        </w:tc>
      </w:tr>
      <w:tr>
        <w:trPr>
          <w:trHeight w:val="297"/>
        </w:trPr>
        <w:tc>
          <w:tcPr>
            <w:tcW w:w="3500" w:type="dxa"/>
            <w:vAlign w:val="bottom"/>
          </w:tcPr>
          <w:p>
            <w:pPr>
              <w:spacing w:after="0"/>
              <w:rPr>
                <w:sz w:val="24"/>
                <w:szCs w:val="24"/>
                <w:color w:val="auto"/>
              </w:rPr>
            </w:pPr>
          </w:p>
        </w:tc>
        <w:tc>
          <w:tcPr>
            <w:tcW w:w="20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Propane and butane sales </w:t>
            </w:r>
            <w:r>
              <w:rPr>
                <w:rFonts w:ascii="Times New Roman" w:cs="Times New Roman" w:eastAsia="Times New Roman" w:hAnsi="Times New Roman"/>
                <w:sz w:val="25"/>
                <w:szCs w:val="25"/>
                <w:color w:val="auto"/>
                <w:vertAlign w:val="superscript"/>
              </w:rPr>
              <w:t>(5)</w:t>
            </w: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163"/>
        </w:trPr>
        <w:tc>
          <w:tcPr>
            <w:tcW w:w="3500" w:type="dxa"/>
            <w:vAlign w:val="bottom"/>
            <w:tcBorders>
              <w:bottom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-3881120</wp:posOffset>
            </wp:positionV>
            <wp:extent cx="6500495" cy="2326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1">
                      <a:extLst>
                        <a:ext uri="{28A0092B-C50C-407E-A947-70E740481C1C}"/>
                      </a:extLst>
                    </a:blip>
                    <a:srcRect/>
                    <a:stretch>
                      <a:fillRect/>
                    </a:stretch>
                  </pic:blipFill>
                  <pic:spPr bwMode="auto">
                    <a:xfrm>
                      <a:off x="0" y="0"/>
                      <a:ext cx="6500495" cy="2326005"/>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-329565</wp:posOffset>
            </wp:positionV>
            <wp:extent cx="50165" cy="238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2">
                      <a:extLst>
                        <a:ext uri="{28A0092B-C50C-407E-A947-70E740481C1C}"/>
                      </a:extLst>
                    </a:blip>
                    <a:srcRect/>
                    <a:stretch>
                      <a:fillRect/>
                    </a:stretch>
                  </pic:blipFill>
                  <pic:spPr bwMode="auto">
                    <a:xfrm>
                      <a:off x="0" y="0"/>
                      <a:ext cx="50165" cy="23876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-1083945</wp:posOffset>
            </wp:positionV>
            <wp:extent cx="6500495" cy="50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3">
                      <a:extLst>
                        <a:ext uri="{28A0092B-C50C-407E-A947-70E740481C1C}"/>
                      </a:extLst>
                    </a:blip>
                    <a:srcRect/>
                    <a:stretch>
                      <a:fillRect/>
                    </a:stretch>
                  </pic:blipFill>
                  <pic:spPr bwMode="auto">
                    <a:xfrm>
                      <a:off x="0" y="0"/>
                      <a:ext cx="6500495" cy="50165"/>
                    </a:xfrm>
                    <a:prstGeom prst="rect">
                      <a:avLst/>
                    </a:prstGeom>
                    <a:noFill/>
                  </pic:spPr>
                </pic:pic>
              </a:graphicData>
            </a:graphic>
          </wp:anchor>
        </w:drawing>
      </w:r>
    </w:p>
    <w:p>
      <w:pPr>
        <w:spacing w:after="0" w:line="126" w:lineRule="exact"/>
        <w:rPr>
          <w:sz w:val="20"/>
          <w:szCs w:val="20"/>
          <w:color w:val="auto"/>
        </w:rPr>
      </w:pPr>
    </w:p>
    <w:p>
      <w:pPr>
        <w:ind w:left="720" w:hanging="719"/>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that variance as a percentage is not meaningful.</w:t>
      </w:r>
    </w:p>
    <w:p>
      <w:pPr>
        <w:sectPr>
          <w:pgSz w:w="11880" w:h="15480" w:orient="portrait"/>
          <w:cols w:equalWidth="0" w:num="1">
            <w:col w:w="10160"/>
          </w:cols>
          <w:pgMar w:left="860" w:top="921" w:right="860" w:bottom="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Revenues and costs and expenses include intersegment amounts.</w:t>
      </w:r>
    </w:p>
    <w:p>
      <w:pPr>
        <w:spacing w:after="0" w:line="126" w:lineRule="exact"/>
        <w:rPr>
          <w:sz w:val="20"/>
          <w:szCs w:val="20"/>
          <w:color w:val="auto"/>
        </w:rPr>
      </w:pPr>
    </w:p>
    <w:p>
      <w:pPr>
        <w:jc w:val="both"/>
        <w:ind w:right="360"/>
        <w:spacing w:after="0" w:line="263" w:lineRule="auto"/>
        <w:rPr>
          <w:sz w:val="20"/>
          <w:szCs w:val="20"/>
          <w:color w:val="auto"/>
        </w:rPr>
      </w:pPr>
      <w:r>
        <w:rPr>
          <w:rFonts w:ascii="Times New Roman" w:cs="Times New Roman" w:eastAsia="Times New Roman" w:hAnsi="Times New Roman"/>
          <w:sz w:val="20"/>
          <w:szCs w:val="20"/>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6" w:lineRule="exact"/>
        <w:rPr>
          <w:sz w:val="20"/>
          <w:szCs w:val="20"/>
          <w:color w:val="auto"/>
        </w:rPr>
      </w:pPr>
    </w:p>
    <w:p>
      <w:pPr>
        <w:sectPr>
          <w:pgSz w:w="11880" w:h="15480" w:orient="portrait"/>
          <w:cols w:equalWidth="0" w:num="2">
            <w:col w:w="160" w:space="560"/>
            <w:col w:w="9440"/>
          </w:cols>
          <w:pgMar w:left="860" w:top="921" w:right="860" w:bottom="0" w:gutter="0" w:footer="0" w:header="0"/>
          <w:type w:val="continuous"/>
        </w:sectPr>
      </w:pPr>
    </w:p>
    <w:p>
      <w:pPr>
        <w:ind w:left="720" w:right="460" w:hanging="719"/>
        <w:spacing w:after="0" w:line="235" w:lineRule="auto"/>
        <w:tabs>
          <w:tab w:leader="none" w:pos="72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Represents adjustments included in the performance measure utilized by our CODM in the evaluation of segment results. See Note 20 to our Consolidated Financial Statements for additional discussion of such adjustments.</w:t>
      </w:r>
    </w:p>
    <w:p>
      <w:pPr>
        <w:spacing w:after="0" w:line="98" w:lineRule="exact"/>
        <w:rPr>
          <w:rFonts w:ascii="Times New Roman" w:cs="Times New Roman" w:eastAsia="Times New Roman" w:hAnsi="Times New Roman"/>
          <w:sz w:val="25"/>
          <w:szCs w:val="25"/>
          <w:color w:val="auto"/>
          <w:vertAlign w:val="superscript"/>
        </w:rPr>
      </w:pPr>
    </w:p>
    <w:p>
      <w:pPr>
        <w:ind w:left="720" w:right="100" w:hanging="719"/>
        <w:spacing w:after="0" w:line="225" w:lineRule="auto"/>
        <w:tabs>
          <w:tab w:leader="none" w:pos="720" w:val="left"/>
        </w:tabs>
        <w:numPr>
          <w:ilvl w:val="0"/>
          <w:numId w:val="5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Average daily volumes calculated as the total volumes (attributable to our interest for assets owned through undivided joint interests) for the year divided by the number of days in the year.</w:t>
      </w:r>
    </w:p>
    <w:p>
      <w:pPr>
        <w:spacing w:after="0" w:line="98" w:lineRule="exact"/>
        <w:rPr>
          <w:rFonts w:ascii="Times New Roman" w:cs="Times New Roman" w:eastAsia="Times New Roman" w:hAnsi="Times New Roman"/>
          <w:sz w:val="26"/>
          <w:szCs w:val="26"/>
          <w:color w:val="auto"/>
          <w:vertAlign w:val="superscript"/>
        </w:rPr>
      </w:pPr>
    </w:p>
    <w:p>
      <w:pPr>
        <w:ind w:left="720" w:right="200" w:hanging="719"/>
        <w:spacing w:after="0" w:line="238" w:lineRule="auto"/>
        <w:tabs>
          <w:tab w:leader="none" w:pos="720" w:val="left"/>
        </w:tabs>
        <w:numPr>
          <w:ilvl w:val="0"/>
          <w:numId w:val="5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During the fourth quarter of 2022, we modified our sales volumes reported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13" w:lineRule="exact"/>
        <w:rPr>
          <w:rFonts w:ascii="Times New Roman" w:cs="Times New Roman" w:eastAsia="Times New Roman" w:hAnsi="Times New Roman"/>
          <w:sz w:val="26"/>
          <w:szCs w:val="26"/>
          <w:color w:val="auto"/>
          <w:vertAlign w:val="superscript"/>
        </w:rPr>
      </w:pPr>
    </w:p>
    <w:p>
      <w:pPr>
        <w:ind w:left="72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b w:val="1"/>
          <w:bCs w:val="1"/>
          <w:i w:val="1"/>
          <w:iCs w:val="1"/>
          <w:color w:val="auto"/>
        </w:rPr>
        <w:t>Segment Adjusted EBITDA</w:t>
      </w:r>
    </w:p>
    <w:p>
      <w:pPr>
        <w:spacing w:after="0" w:line="238" w:lineRule="exact"/>
        <w:rPr>
          <w:sz w:val="20"/>
          <w:szCs w:val="20"/>
          <w:color w:val="auto"/>
        </w:rPr>
      </w:pPr>
    </w:p>
    <w:p>
      <w:pPr>
        <w:ind w:right="200" w:firstLine="713"/>
        <w:spacing w:after="0" w:line="263" w:lineRule="auto"/>
        <w:rPr>
          <w:sz w:val="20"/>
          <w:szCs w:val="20"/>
          <w:color w:val="auto"/>
        </w:rPr>
      </w:pPr>
      <w:r>
        <w:rPr>
          <w:rFonts w:ascii="Times New Roman" w:cs="Times New Roman" w:eastAsia="Times New Roman" w:hAnsi="Times New Roman"/>
          <w:sz w:val="20"/>
          <w:szCs w:val="20"/>
          <w:color w:val="auto"/>
        </w:rPr>
        <w:t>NGL Segment Adjusted EBITDA increased for the year ended December 31, 2022 compared to the year ended December 31, 2021 primarily due to the favorable impact of higher realized fractionation spreads between the price of natural gas and the extracted NGL (“frac spreads”) and increased NGL mix produced at our straddle plants.</w:t>
      </w:r>
    </w:p>
    <w:p>
      <w:pPr>
        <w:spacing w:after="0" w:line="2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Significant variances in the components of Segment Adjusted EBITDA are discussed in more detail below:</w:t>
      </w:r>
    </w:p>
    <w:p>
      <w:pPr>
        <w:sectPr>
          <w:pgSz w:w="11880" w:h="15480" w:orient="portrait"/>
          <w:cols w:equalWidth="0" w:num="1">
            <w:col w:w="10160"/>
          </w:cols>
          <w:pgMar w:left="860" w:top="921"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160"/>
          </w:cols>
          <w:pgMar w:left="860" w:top="921" w:right="860" w:bottom="0" w:gutter="0" w:footer="0" w:header="0"/>
          <w:type w:val="continuous"/>
        </w:sectPr>
      </w:pPr>
    </w:p>
    <w:bookmarkStart w:id="79" w:name="page80"/>
    <w:bookmarkEnd w:id="79"/>
    <w:p>
      <w:pPr>
        <w:ind w:firstLine="713"/>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Revenues. </w:t>
      </w:r>
      <w:r>
        <w:rPr>
          <w:rFonts w:ascii="Times New Roman" w:cs="Times New Roman" w:eastAsia="Times New Roman" w:hAnsi="Times New Roman"/>
          <w:sz w:val="20"/>
          <w:szCs w:val="20"/>
          <w:color w:val="auto"/>
        </w:rPr>
        <w:t>Net revenues from our NGL activities, excluding the impact of derivative activities and inventory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valuation and long-term inventory costing adjustments, increased for the year ended December 31, 2022 compared to the year ended December 31, 2021 primarily due to higher realized frac spreads, increased NGL mix produced at our straddle plants and higher field operating cost recoveries at our Empress straddle plants as part of our commercial agreements, primarily related to higher utilities-related costs. This was partially offset by lower NGL sales volumes due to a reduction in lower margin hub activity. Additionally, net revenues for the year ended December 31, 2022 include the benefit of a full year of increased ownership in the Empress straddle plants and higher product gains at certain of our NGL facilities.</w:t>
      </w:r>
    </w:p>
    <w:p>
      <w:pPr>
        <w:spacing w:after="0" w:line="204" w:lineRule="exact"/>
        <w:rPr>
          <w:sz w:val="20"/>
          <w:szCs w:val="20"/>
          <w:color w:val="auto"/>
        </w:rPr>
      </w:pPr>
    </w:p>
    <w:p>
      <w:pPr>
        <w:ind w:right="100" w:firstLine="713"/>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Field Operating Costs. </w:t>
      </w:r>
      <w:r>
        <w:rPr>
          <w:rFonts w:ascii="Times New Roman" w:cs="Times New Roman" w:eastAsia="Times New Roman" w:hAnsi="Times New Roman"/>
          <w:sz w:val="20"/>
          <w:szCs w:val="20"/>
          <w:color w:val="auto"/>
        </w:rPr>
        <w:t>The increase in field operating costs for the year ended December 31, 2022 compared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2021 was primarily due to increased utilities-related costs from (i) increased production at certain of our Empress straddle plants, (ii) our increased ownership in the Empress straddle plants and (iii) higher utility-related prices in the 2022 period. The increase in utilities-related costs was largely offset by the benefit to net revenues from operating cost recoveries realized through commercial agreements.</w:t>
      </w:r>
    </w:p>
    <w:p>
      <w:pPr>
        <w:spacing w:after="0" w:line="199" w:lineRule="exact"/>
        <w:rPr>
          <w:sz w:val="20"/>
          <w:szCs w:val="20"/>
          <w:color w:val="auto"/>
        </w:rPr>
      </w:pPr>
    </w:p>
    <w:p>
      <w:pPr>
        <w:ind w:right="280" w:firstLine="713"/>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Segment General and Administrative Expenses. </w:t>
      </w:r>
      <w:r>
        <w:rPr>
          <w:rFonts w:ascii="Times New Roman" w:cs="Times New Roman" w:eastAsia="Times New Roman" w:hAnsi="Times New Roman"/>
          <w:sz w:val="20"/>
          <w:szCs w:val="20"/>
          <w:color w:val="auto"/>
        </w:rPr>
        <w:t>See the “—Consolidated Results” section above for a discussion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general and administrative expenses.</w:t>
      </w:r>
    </w:p>
    <w:p>
      <w:pPr>
        <w:spacing w:after="0" w:line="174" w:lineRule="exact"/>
        <w:rPr>
          <w:sz w:val="20"/>
          <w:szCs w:val="20"/>
          <w:color w:val="auto"/>
        </w:rPr>
      </w:pPr>
    </w:p>
    <w:p>
      <w:pPr>
        <w:jc w:val="both"/>
        <w:ind w:right="40" w:firstLine="713"/>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Maintenance Capital. </w:t>
      </w:r>
      <w:r>
        <w:rPr>
          <w:rFonts w:ascii="Times New Roman" w:cs="Times New Roman" w:eastAsia="Times New Roman" w:hAnsi="Times New Roman"/>
          <w:sz w:val="20"/>
          <w:szCs w:val="20"/>
          <w:color w:val="auto"/>
        </w:rPr>
        <w:t>The increase in maintenance capital spending for the year ended December 31, 2022 compared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the year ended December 31, 2021 was primarily due to (i) a turnaround at one of our Empress facilities during 2022 and (ii) various maintenance capital projects on our Co-Ed pipeline system. This increase was partially offset by the absence of certain costs in 2022 that were incurred in 2021, including repair costs at the Fort Saskatchewan facility.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53" w:lineRule="exact"/>
        <w:rPr>
          <w:sz w:val="20"/>
          <w:szCs w:val="20"/>
          <w:color w:val="auto"/>
        </w:rPr>
      </w:pPr>
    </w:p>
    <w:p>
      <w:pPr>
        <w:ind w:right="60" w:firstLine="713"/>
        <w:spacing w:after="0" w:line="261" w:lineRule="auto"/>
        <w:rPr>
          <w:sz w:val="20"/>
          <w:szCs w:val="20"/>
          <w:color w:val="auto"/>
        </w:rPr>
      </w:pPr>
      <w:r>
        <w:rPr>
          <w:rFonts w:ascii="Times New Roman" w:cs="Times New Roman" w:eastAsia="Times New Roman" w:hAnsi="Times New Roman"/>
          <w:sz w:val="19"/>
          <w:szCs w:val="19"/>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our long-term debt and</w:t>
      </w:r>
    </w:p>
    <w:p>
      <w:pPr>
        <w:ind w:right="140" w:firstLine="1"/>
        <w:spacing w:after="0" w:line="254" w:lineRule="auto"/>
        <w:tabs>
          <w:tab w:leader="none" w:pos="2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our unitholders and noncontrolling interests. In addition, we may use cash for repurchases of common equity. We generally expect to fund our short-term cash requirements through cash flow generated from operating activities and/or borrowings under our commercial paper program or credit facilities. In addition, we generally expect to fund our long-term needs, such as those resulting from investment capital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03" w:lineRule="exact"/>
        <w:rPr>
          <w:sz w:val="20"/>
          <w:szCs w:val="20"/>
          <w:color w:val="auto"/>
        </w:rPr>
      </w:pPr>
    </w:p>
    <w:p>
      <w:pPr>
        <w:ind w:right="440" w:firstLine="713"/>
        <w:spacing w:after="0" w:line="263" w:lineRule="auto"/>
        <w:rPr>
          <w:sz w:val="20"/>
          <w:szCs w:val="20"/>
          <w:color w:val="auto"/>
        </w:rPr>
      </w:pPr>
      <w:r>
        <w:rPr>
          <w:rFonts w:ascii="Times New Roman" w:cs="Times New Roman" w:eastAsia="Times New Roman" w:hAnsi="Times New Roman"/>
          <w:sz w:val="20"/>
          <w:szCs w:val="20"/>
          <w:color w:val="auto"/>
        </w:rPr>
        <w:t>As of December 31, 2022, although we had a working capital deficit of $536 million, we had approximately $3.0 billion of liquidity available to meet our ongoing operating, investing and financing needs, subject to continued covenant compliance, as noted below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2"/>
        </w:trPr>
        <w:tc>
          <w:tcPr>
            <w:tcW w:w="60" w:type="dxa"/>
            <w:vAlign w:val="bottom"/>
          </w:tcPr>
          <w:p>
            <w:pPr>
              <w:spacing w:after="0"/>
              <w:rPr>
                <w:sz w:val="18"/>
                <w:szCs w:val="18"/>
                <w:color w:val="auto"/>
              </w:rPr>
            </w:pPr>
          </w:p>
        </w:tc>
        <w:tc>
          <w:tcPr>
            <w:tcW w:w="3440" w:type="dxa"/>
            <w:vAlign w:val="bottom"/>
            <w:tcBorders>
              <w:bottom w:val="single" w:sz="8" w:color="E6E6E6"/>
            </w:tcBorders>
          </w:tcPr>
          <w:p>
            <w:pPr>
              <w:spacing w:after="0"/>
              <w:rPr>
                <w:sz w:val="18"/>
                <w:szCs w:val="18"/>
                <w:color w:val="auto"/>
              </w:rPr>
            </w:pPr>
          </w:p>
        </w:tc>
        <w:tc>
          <w:tcPr>
            <w:tcW w:w="5120" w:type="dxa"/>
            <w:vAlign w:val="bottom"/>
            <w:tcBorders>
              <w:bottom w:val="single" w:sz="8" w:color="E6E6E6"/>
            </w:tcBorders>
          </w:tcPr>
          <w:p>
            <w:pPr>
              <w:spacing w:after="0"/>
              <w:rPr>
                <w:sz w:val="18"/>
                <w:szCs w:val="18"/>
                <w:color w:val="auto"/>
              </w:rPr>
            </w:pPr>
          </w:p>
        </w:tc>
        <w:tc>
          <w:tcPr>
            <w:tcW w:w="148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72"/>
        </w:trPr>
        <w:tc>
          <w:tcPr>
            <w:tcW w:w="60" w:type="dxa"/>
            <w:vAlign w:val="bottom"/>
          </w:tcPr>
          <w:p>
            <w:pPr>
              <w:spacing w:after="0"/>
              <w:rPr>
                <w:sz w:val="23"/>
                <w:szCs w:val="23"/>
                <w:color w:val="auto"/>
              </w:rPr>
            </w:pPr>
          </w:p>
        </w:tc>
        <w:tc>
          <w:tcPr>
            <w:tcW w:w="8560" w:type="dxa"/>
            <w:vAlign w:val="bottom"/>
            <w:gridSpan w:val="2"/>
            <w:shd w:val="clear" w:color="auto" w:fill="E6E6E6"/>
          </w:tcPr>
          <w:p>
            <w:pPr>
              <w:ind w:left="60"/>
              <w:spacing w:after="0" w:line="272" w:lineRule="exact"/>
              <w:rPr>
                <w:sz w:val="20"/>
                <w:szCs w:val="20"/>
                <w:color w:val="auto"/>
              </w:rPr>
            </w:pPr>
            <w:r>
              <w:rPr>
                <w:rFonts w:ascii="Times New Roman" w:cs="Times New Roman" w:eastAsia="Times New Roman" w:hAnsi="Times New Roman"/>
                <w:sz w:val="20"/>
                <w:szCs w:val="20"/>
                <w:color w:val="auto"/>
              </w:rPr>
              <w:t xml:space="preserve">Availability under senior unsecured revolving credit facility </w:t>
            </w:r>
            <w:r>
              <w:rPr>
                <w:rFonts w:ascii="Times New Roman" w:cs="Times New Roman" w:eastAsia="Times New Roman" w:hAnsi="Times New Roman"/>
                <w:sz w:val="25"/>
                <w:szCs w:val="25"/>
                <w:color w:val="auto"/>
                <w:vertAlign w:val="superscript"/>
              </w:rPr>
              <w:t>(1) (2)</w:t>
            </w:r>
          </w:p>
        </w:tc>
        <w:tc>
          <w:tcPr>
            <w:tcW w:w="360" w:type="dxa"/>
            <w:vAlign w:val="bottom"/>
            <w:shd w:val="clear" w:color="auto" w:fill="E6E6E6"/>
          </w:tcPr>
          <w:p>
            <w:pPr>
              <w:jc w:val="right"/>
              <w:ind w:right="128"/>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1,317</w:t>
            </w:r>
          </w:p>
        </w:tc>
      </w:tr>
      <w:tr>
        <w:trPr>
          <w:trHeight w:val="282"/>
        </w:trPr>
        <w:tc>
          <w:tcPr>
            <w:tcW w:w="60" w:type="dxa"/>
            <w:vAlign w:val="bottom"/>
          </w:tcPr>
          <w:p>
            <w:pPr>
              <w:spacing w:after="0"/>
              <w:rPr>
                <w:sz w:val="24"/>
                <w:szCs w:val="24"/>
                <w:color w:val="auto"/>
              </w:rPr>
            </w:pPr>
          </w:p>
        </w:tc>
        <w:tc>
          <w:tcPr>
            <w:tcW w:w="8560" w:type="dxa"/>
            <w:vAlign w:val="bottom"/>
            <w:gridSpan w:val="2"/>
          </w:tcPr>
          <w:p>
            <w:pPr>
              <w:ind w:left="60"/>
              <w:spacing w:after="0" w:line="282" w:lineRule="exact"/>
              <w:rPr>
                <w:sz w:val="20"/>
                <w:szCs w:val="20"/>
                <w:color w:val="auto"/>
              </w:rPr>
            </w:pPr>
            <w:r>
              <w:rPr>
                <w:rFonts w:ascii="Times New Roman" w:cs="Times New Roman" w:eastAsia="Times New Roman" w:hAnsi="Times New Roman"/>
                <w:sz w:val="20"/>
                <w:szCs w:val="20"/>
                <w:color w:val="auto"/>
              </w:rPr>
              <w:t xml:space="preserve">Availability under senior secured hedged inventory facility </w:t>
            </w:r>
            <w:r>
              <w:rPr>
                <w:rFonts w:ascii="Times New Roman" w:cs="Times New Roman" w:eastAsia="Times New Roman" w:hAnsi="Times New Roman"/>
                <w:sz w:val="25"/>
                <w:szCs w:val="25"/>
                <w:color w:val="auto"/>
                <w:vertAlign w:val="superscript"/>
              </w:rPr>
              <w:t>(1) (2)</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w:t>
            </w:r>
          </w:p>
        </w:tc>
      </w:tr>
      <w:tr>
        <w:trPr>
          <w:trHeight w:val="291"/>
        </w:trPr>
        <w:tc>
          <w:tcPr>
            <w:tcW w:w="60" w:type="dxa"/>
            <w:vAlign w:val="bottom"/>
          </w:tcPr>
          <w:p>
            <w:pPr>
              <w:spacing w:after="0"/>
              <w:rPr>
                <w:sz w:val="24"/>
                <w:szCs w:val="24"/>
                <w:color w:val="auto"/>
              </w:rPr>
            </w:pPr>
          </w:p>
        </w:tc>
        <w:tc>
          <w:tcPr>
            <w:tcW w:w="8560" w:type="dxa"/>
            <w:vAlign w:val="bottom"/>
            <w:tcBorders>
              <w:bottom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Amounts outstanding under commercial paper program</w:t>
            </w: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7"/>
        </w:trPr>
        <w:tc>
          <w:tcPr>
            <w:tcW w:w="60" w:type="dxa"/>
            <w:vAlign w:val="bottom"/>
          </w:tcPr>
          <w:p>
            <w:pPr>
              <w:spacing w:after="0"/>
              <w:rPr>
                <w:sz w:val="21"/>
                <w:szCs w:val="21"/>
                <w:color w:val="auto"/>
              </w:rPr>
            </w:pPr>
          </w:p>
        </w:tc>
        <w:tc>
          <w:tcPr>
            <w:tcW w:w="8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Subtotal</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2,598</w:t>
            </w:r>
          </w:p>
        </w:tc>
      </w:tr>
      <w:tr>
        <w:trPr>
          <w:trHeight w:val="298"/>
        </w:trPr>
        <w:tc>
          <w:tcPr>
            <w:tcW w:w="60" w:type="dxa"/>
            <w:vAlign w:val="bottom"/>
          </w:tcPr>
          <w:p>
            <w:pPr>
              <w:spacing w:after="0"/>
              <w:rPr>
                <w:sz w:val="24"/>
                <w:szCs w:val="24"/>
                <w:color w:val="auto"/>
              </w:rPr>
            </w:pPr>
          </w:p>
        </w:tc>
        <w:tc>
          <w:tcPr>
            <w:tcW w:w="8560" w:type="dxa"/>
            <w:vAlign w:val="bottom"/>
            <w:tcBorders>
              <w:bottom w:val="single" w:sz="8" w:color="E6E6E6"/>
            </w:tcBorders>
            <w:gridSpan w:val="2"/>
            <w:shd w:val="clear" w:color="auto" w:fill="E6E6E6"/>
          </w:tcPr>
          <w:p>
            <w:pPr>
              <w:ind w:left="60"/>
              <w:spacing w:after="0" w:line="278" w:lineRule="exact"/>
              <w:rPr>
                <w:sz w:val="20"/>
                <w:szCs w:val="20"/>
                <w:color w:val="auto"/>
              </w:rPr>
            </w:pPr>
            <w:r>
              <w:rPr>
                <w:rFonts w:ascii="Times New Roman" w:cs="Times New Roman" w:eastAsia="Times New Roman" w:hAnsi="Times New Roman"/>
                <w:sz w:val="20"/>
                <w:szCs w:val="20"/>
                <w:color w:val="auto"/>
              </w:rPr>
              <w:t xml:space="preserve">Cash and cash equivalents </w:t>
            </w:r>
            <w:r>
              <w:rPr>
                <w:rFonts w:ascii="Times New Roman" w:cs="Times New Roman" w:eastAsia="Times New Roman" w:hAnsi="Times New Roman"/>
                <w:sz w:val="25"/>
                <w:szCs w:val="25"/>
                <w:color w:val="auto"/>
                <w:vertAlign w:val="superscript"/>
              </w:rPr>
              <w:t>(3)</w:t>
            </w: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378</w:t>
            </w:r>
          </w:p>
        </w:tc>
      </w:tr>
      <w:tr>
        <w:trPr>
          <w:trHeight w:val="222"/>
        </w:trPr>
        <w:tc>
          <w:tcPr>
            <w:tcW w:w="60" w:type="dxa"/>
            <w:vAlign w:val="bottom"/>
          </w:tcPr>
          <w:p>
            <w:pPr>
              <w:spacing w:after="0"/>
              <w:rPr>
                <w:sz w:val="19"/>
                <w:szCs w:val="19"/>
                <w:color w:val="auto"/>
              </w:rPr>
            </w:pPr>
          </w:p>
        </w:tc>
        <w:tc>
          <w:tcPr>
            <w:tcW w:w="85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360" w:type="dxa"/>
            <w:vAlign w:val="bottom"/>
            <w:tcBorders>
              <w:bottom w:val="single" w:sz="8" w:color="auto"/>
            </w:tcBorders>
          </w:tcPr>
          <w:p>
            <w:pPr>
              <w:jc w:val="right"/>
              <w:ind w:right="128"/>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2,976</w:t>
            </w:r>
          </w:p>
        </w:tc>
      </w:tr>
      <w:tr>
        <w:trPr>
          <w:trHeight w:val="20"/>
        </w:trPr>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33"/>
        </w:trPr>
        <w:tc>
          <w:tcPr>
            <w:tcW w:w="6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-1203325</wp:posOffset>
            </wp:positionV>
            <wp:extent cx="96837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4">
                      <a:extLst>
                        <a:ext uri="{28A0092B-C50C-407E-A947-70E740481C1C}"/>
                      </a:extLst>
                    </a:blip>
                    <a:srcRect/>
                    <a:stretch>
                      <a:fillRect/>
                    </a:stretch>
                  </pic:blipFill>
                  <pic:spPr bwMode="auto">
                    <a:xfrm>
                      <a:off x="0" y="0"/>
                      <a:ext cx="968375" cy="25400"/>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-678180</wp:posOffset>
            </wp:positionV>
            <wp:extent cx="993140" cy="50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5">
                      <a:extLst>
                        <a:ext uri="{28A0092B-C50C-407E-A947-70E740481C1C}"/>
                      </a:extLst>
                    </a:blip>
                    <a:srcRect/>
                    <a:stretch>
                      <a:fillRect/>
                    </a:stretch>
                  </pic:blipFill>
                  <pic:spPr bwMode="auto">
                    <a:xfrm>
                      <a:off x="0" y="0"/>
                      <a:ext cx="993140" cy="5016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-320040</wp:posOffset>
            </wp:positionV>
            <wp:extent cx="993140" cy="50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6">
                      <a:extLst>
                        <a:ext uri="{28A0092B-C50C-407E-A947-70E740481C1C}"/>
                      </a:extLst>
                    </a:blip>
                    <a:srcRect/>
                    <a:stretch>
                      <a:fillRect/>
                    </a:stretch>
                  </pic:blipFill>
                  <pic:spPr bwMode="auto">
                    <a:xfrm>
                      <a:off x="0" y="0"/>
                      <a:ext cx="993140" cy="50165"/>
                    </a:xfrm>
                    <a:prstGeom prst="rect">
                      <a:avLst/>
                    </a:prstGeom>
                    <a:noFill/>
                  </pic:spPr>
                </pic:pic>
              </a:graphicData>
            </a:graphic>
          </wp:anchor>
        </w:drawing>
      </w:r>
    </w:p>
    <w:p>
      <w:pPr>
        <w:sectPr>
          <w:pgSz w:w="11880" w:h="15480" w:orient="portrait"/>
          <w:cols w:equalWidth="0" w:num="1">
            <w:col w:w="10120"/>
          </w:cols>
          <w:pgMar w:left="860" w:top="680" w:right="900" w:bottom="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color w:val="auto"/>
        </w:rPr>
        <w:t>Represents availability prior to giving effect to borrowings outstanding under our commercial paper program, which reduce available capacity under the facilities.</w:t>
      </w:r>
    </w:p>
    <w:p>
      <w:pPr>
        <w:spacing w:after="0" w:line="6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color w:val="auto"/>
        </w:rPr>
        <w:t>Available capacity under our senior unsecured revolving credit facility and senior secured hedged inventory facility was reduced by outstanding letters of credit of $33 million and $69 million, respectively.</w:t>
      </w:r>
    </w:p>
    <w:p>
      <w:pPr>
        <w:spacing w:after="0" w:line="200" w:lineRule="exact"/>
        <w:rPr>
          <w:sz w:val="20"/>
          <w:szCs w:val="20"/>
          <w:color w:val="auto"/>
        </w:rPr>
      </w:pPr>
    </w:p>
    <w:p>
      <w:pPr>
        <w:sectPr>
          <w:pgSz w:w="11880" w:h="15480" w:orient="portrait"/>
          <w:cols w:equalWidth="0" w:num="2">
            <w:col w:w="160" w:space="560"/>
            <w:col w:w="9400"/>
          </w:cols>
          <w:pgMar w:left="860" w:top="680" w:right="900" w:bottom="0" w:gutter="0" w:footer="0" w:header="0"/>
          <w:type w:val="continuous"/>
        </w:sect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120"/>
          </w:cols>
          <w:pgMar w:left="860" w:top="680" w:right="900" w:bottom="0" w:gutter="0" w:footer="0" w:header="0"/>
          <w:type w:val="continuous"/>
        </w:sectPr>
      </w:pPr>
    </w:p>
    <w:bookmarkStart w:id="80" w:name="page81"/>
    <w:bookmarkEnd w:id="80"/>
    <w:p>
      <w:pPr>
        <w:ind w:left="720" w:hanging="719"/>
        <w:spacing w:after="0"/>
        <w:tabs>
          <w:tab w:leader="none" w:pos="720"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Excludes restricted cash of $23 million.</w:t>
      </w:r>
    </w:p>
    <w:p>
      <w:pPr>
        <w:spacing w:after="0" w:line="216" w:lineRule="exact"/>
        <w:rPr>
          <w:sz w:val="20"/>
          <w:szCs w:val="20"/>
          <w:color w:val="auto"/>
        </w:rPr>
      </w:pPr>
    </w:p>
    <w:p>
      <w:pPr>
        <w:ind w:right="40" w:firstLine="713"/>
        <w:spacing w:after="0" w:line="255" w:lineRule="auto"/>
        <w:rPr>
          <w:sz w:val="20"/>
          <w:szCs w:val="20"/>
          <w:color w:val="auto"/>
        </w:rPr>
      </w:pPr>
      <w:r>
        <w:rPr>
          <w:rFonts w:ascii="Times New Roman" w:cs="Times New Roman" w:eastAsia="Times New Roman" w:hAnsi="Times New Roman"/>
          <w:sz w:val="20"/>
          <w:szCs w:val="20"/>
          <w:color w:val="auto"/>
        </w:rPr>
        <w:t>Usage of our credit facilities, which provide the financial backstop for our commercial paper program, is subject to ongoing compliance with covenants, as discussed further below. Our borrowing capacity and borrowing costs are also impacted by our credit rating. See Item 1A. “Risk Factors—Risks Related to Our Business—Loss of our investment grade credit rating or the ability to receive open credit could negatively affect our borrowing costs, ability to purchase crude oil, NGL and natural gas supplies or to capitalize on market opportunities.”</w:t>
      </w:r>
    </w:p>
    <w:p>
      <w:pPr>
        <w:spacing w:after="0" w:line="204" w:lineRule="exact"/>
        <w:rPr>
          <w:sz w:val="20"/>
          <w:szCs w:val="20"/>
          <w:color w:val="auto"/>
        </w:rPr>
      </w:pPr>
    </w:p>
    <w:p>
      <w:pPr>
        <w:ind w:right="180" w:firstLine="713"/>
        <w:spacing w:after="0" w:line="251" w:lineRule="auto"/>
        <w:rPr>
          <w:sz w:val="20"/>
          <w:szCs w:val="20"/>
          <w:color w:val="auto"/>
        </w:rPr>
      </w:pPr>
      <w:r>
        <w:rPr>
          <w:rFonts w:ascii="Times New Roman" w:cs="Times New Roman" w:eastAsia="Times New Roman" w:hAnsi="Times New Roman"/>
          <w:sz w:val="20"/>
          <w:szCs w:val="20"/>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OPEC. A prolonged material decrease in our cash flows would likely produce an adverse effect on our borrowing capacity and cost of borrowing. See Item 1A. “Risk Factors” for further discussion regarding risks that may impact our liquidity and capital resources.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Credit Agreements, Commercial Paper Program and Indentures</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have three primary credit arrangements, which we use to meet our short-term cash needs. These include our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$1.35 billion senior unsecured revolving credit facility maturing in 2027, $1.35 billion senior secured hedged inventory facility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maturing in 2025 and $2.7 billion unsecured commercial paper program that is backstopped by our revolving credit facility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hedged inventory facility. The credit agreements for our revolving credit facilities (which impact our ability to access our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commercial paper program because they provide the financial backstop that supports our short-term credit ratings) and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indentures governing our senior notes contain cross-default provisions. A default under our credit agreements or indentures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would permit the lenders to accelerate the maturity of the outstanding debt. As long as we are in compliance with the provisions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our credit agreements, our ability to make distributions of available cash is not restricted. We were in compliance with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covenants contained in our credit agreements and indentures as of December 31, 2022.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Measures</w:t>
      </w:r>
    </w:p>
    <w:p>
      <w:pPr>
        <w:spacing w:after="0" w:line="253" w:lineRule="exact"/>
        <w:rPr>
          <w:sz w:val="20"/>
          <w:szCs w:val="20"/>
          <w:color w:val="auto"/>
        </w:rPr>
      </w:pPr>
    </w:p>
    <w:p>
      <w:pPr>
        <w:ind w:right="60" w:firstLine="713"/>
        <w:spacing w:after="0" w:line="252" w:lineRule="auto"/>
        <w:rPr>
          <w:sz w:val="20"/>
          <w:szCs w:val="20"/>
          <w:color w:val="auto"/>
        </w:rPr>
      </w:pPr>
      <w:r>
        <w:rPr>
          <w:rFonts w:ascii="Times New Roman" w:cs="Times New Roman" w:eastAsia="Times New Roman" w:hAnsi="Times New Roman"/>
          <w:sz w:val="20"/>
          <w:szCs w:val="20"/>
          <w:color w:val="auto"/>
        </w:rPr>
        <w:t>Management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contributions from and proceeds from the sale of noncontrolling interests. Free Cash Flow is further reduced by cash distributions paid to our preferred and common unitholders to arrive at Free Cash Flow after Distributions.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the reconciliation of the non-GAAP financial liquidity measures Free Cash Flow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Free Cash Flow after Distributions from Net Cash Provided by Operating Activities (in millions):</w:t>
      </w:r>
    </w:p>
    <w:p>
      <w:pPr>
        <w:spacing w:after="0" w:line="334"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Borders>
              <w:bottom w:val="single" w:sz="8" w:color="E6E6E6"/>
            </w:tcBorders>
          </w:tcPr>
          <w:p>
            <w:pPr>
              <w:spacing w:after="0"/>
              <w:rPr>
                <w:sz w:val="20"/>
                <w:szCs w:val="20"/>
                <w:color w:val="auto"/>
              </w:rPr>
            </w:pPr>
          </w:p>
        </w:tc>
        <w:tc>
          <w:tcPr>
            <w:tcW w:w="3340" w:type="dxa"/>
            <w:vAlign w:val="bottom"/>
            <w:tcBorders>
              <w:bottom w:val="single" w:sz="8" w:color="E6E6E6"/>
            </w:tcBorders>
          </w:tcPr>
          <w:p>
            <w:pPr>
              <w:spacing w:after="0"/>
              <w:rPr>
                <w:sz w:val="20"/>
                <w:szCs w:val="20"/>
                <w:color w:val="auto"/>
              </w:rPr>
            </w:pPr>
          </w:p>
        </w:tc>
        <w:tc>
          <w:tcPr>
            <w:tcW w:w="4420" w:type="dxa"/>
            <w:vAlign w:val="bottom"/>
            <w:tcBorders>
              <w:bottom w:val="single" w:sz="8" w:color="E6E6E6"/>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E6E6E6"/>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87"/>
        </w:trPr>
        <w:tc>
          <w:tcPr>
            <w:tcW w:w="792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260" w:type="dxa"/>
            <w:vAlign w:val="bottom"/>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2,408</w:t>
            </w:r>
          </w:p>
        </w:tc>
        <w:tc>
          <w:tcPr>
            <w:tcW w:w="34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1,996</w:t>
            </w:r>
          </w:p>
        </w:tc>
        <w:tc>
          <w:tcPr>
            <w:tcW w:w="0" w:type="dxa"/>
            <w:vAlign w:val="bottom"/>
          </w:tcPr>
          <w:p>
            <w:pPr>
              <w:spacing w:after="0"/>
              <w:rPr>
                <w:sz w:val="1"/>
                <w:szCs w:val="1"/>
                <w:color w:val="auto"/>
              </w:rPr>
            </w:pPr>
          </w:p>
        </w:tc>
      </w:tr>
      <w:tr>
        <w:trPr>
          <w:trHeight w:val="291"/>
        </w:trPr>
        <w:tc>
          <w:tcPr>
            <w:tcW w:w="79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Adjustments to reconcile net cash provided by operating activities to free cash flow:</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0" w:type="dxa"/>
            <w:vAlign w:val="bottom"/>
            <w:shd w:val="clear" w:color="auto" w:fill="E6E6E6"/>
          </w:tcPr>
          <w:p>
            <w:pPr>
              <w:spacing w:after="0"/>
              <w:rPr>
                <w:sz w:val="24"/>
                <w:szCs w:val="24"/>
                <w:color w:val="auto"/>
              </w:rPr>
            </w:pPr>
          </w:p>
        </w:tc>
        <w:tc>
          <w:tcPr>
            <w:tcW w:w="7760" w:type="dxa"/>
            <w:vAlign w:val="bottom"/>
            <w:gridSpan w:val="2"/>
            <w:shd w:val="clear" w:color="auto" w:fill="E6E6E6"/>
          </w:tcPr>
          <w:p>
            <w:pPr>
              <w:ind w:left="20"/>
              <w:spacing w:after="0"/>
              <w:rPr>
                <w:sz w:val="20"/>
                <w:szCs w:val="20"/>
                <w:color w:val="auto"/>
              </w:rPr>
            </w:pPr>
            <w:r>
              <w:rPr>
                <w:rFonts w:ascii="Times New Roman" w:cs="Times New Roman" w:eastAsia="Times New Roman" w:hAnsi="Times New Roman"/>
                <w:sz w:val="20"/>
                <w:szCs w:val="20"/>
                <w:color w:val="auto"/>
              </w:rPr>
              <w:t>Net cash provided by/(used in) investing activities</w:t>
            </w: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0" w:type="dxa"/>
            <w:vAlign w:val="bottom"/>
          </w:tcPr>
          <w:p>
            <w:pPr>
              <w:spacing w:after="0"/>
              <w:rPr>
                <w:sz w:val="1"/>
                <w:szCs w:val="1"/>
                <w:color w:val="auto"/>
              </w:rPr>
            </w:pPr>
          </w:p>
        </w:tc>
      </w:tr>
      <w:tr>
        <w:trPr>
          <w:trHeight w:val="291"/>
        </w:trPr>
        <w:tc>
          <w:tcPr>
            <w:tcW w:w="160" w:type="dxa"/>
            <w:vAlign w:val="bottom"/>
          </w:tcPr>
          <w:p>
            <w:pPr>
              <w:spacing w:after="0"/>
              <w:rPr>
                <w:sz w:val="24"/>
                <w:szCs w:val="24"/>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Cash contributions from noncontrolling interests</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93"/>
        </w:trPr>
        <w:tc>
          <w:tcPr>
            <w:tcW w:w="160" w:type="dxa"/>
            <w:vAlign w:val="bottom"/>
            <w:tcBorders>
              <w:bottom w:val="single" w:sz="8" w:color="E6E6E6"/>
            </w:tcBorders>
            <w:shd w:val="clear" w:color="auto" w:fill="E6E6E6"/>
          </w:tcPr>
          <w:p>
            <w:pPr>
              <w:spacing w:after="0"/>
              <w:rPr>
                <w:sz w:val="24"/>
                <w:szCs w:val="24"/>
                <w:color w:val="auto"/>
              </w:rPr>
            </w:pPr>
          </w:p>
        </w:tc>
        <w:tc>
          <w:tcPr>
            <w:tcW w:w="7760" w:type="dxa"/>
            <w:vAlign w:val="bottom"/>
            <w:tcBorders>
              <w:bottom w:val="single" w:sz="8" w:color="E6E6E6"/>
            </w:tcBorders>
            <w:gridSpan w:val="2"/>
            <w:shd w:val="clear" w:color="auto" w:fill="E6E6E6"/>
          </w:tcPr>
          <w:p>
            <w:pPr>
              <w:ind w:left="20"/>
              <w:spacing w:after="0"/>
              <w:rPr>
                <w:sz w:val="20"/>
                <w:szCs w:val="20"/>
                <w:color w:val="auto"/>
              </w:rPr>
            </w:pPr>
            <w:r>
              <w:rPr>
                <w:rFonts w:ascii="Times New Roman" w:cs="Times New Roman" w:eastAsia="Times New Roman" w:hAnsi="Times New Roman"/>
                <w:sz w:val="20"/>
                <w:szCs w:val="20"/>
                <w:color w:val="auto"/>
              </w:rPr>
              <w:t xml:space="preserve">Cash distributions paid to noncontrolling interests </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81"/>
        </w:trPr>
        <w:tc>
          <w:tcPr>
            <w:tcW w:w="79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Free Cash Flow</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2,369</w:t>
            </w:r>
          </w:p>
        </w:tc>
        <w:tc>
          <w:tcPr>
            <w:tcW w:w="0" w:type="dxa"/>
            <w:vAlign w:val="bottom"/>
          </w:tcPr>
          <w:p>
            <w:pPr>
              <w:spacing w:after="0"/>
              <w:rPr>
                <w:sz w:val="1"/>
                <w:szCs w:val="1"/>
                <w:color w:val="auto"/>
              </w:rPr>
            </w:pPr>
          </w:p>
        </w:tc>
      </w:tr>
      <w:tr>
        <w:trPr>
          <w:trHeight w:val="293"/>
        </w:trPr>
        <w:tc>
          <w:tcPr>
            <w:tcW w:w="160" w:type="dxa"/>
            <w:vAlign w:val="bottom"/>
            <w:tcBorders>
              <w:bottom w:val="single" w:sz="8" w:color="E6E6E6"/>
            </w:tcBorders>
            <w:shd w:val="clear" w:color="auto" w:fill="E6E6E6"/>
          </w:tcPr>
          <w:p>
            <w:pPr>
              <w:spacing w:after="0"/>
              <w:rPr>
                <w:sz w:val="24"/>
                <w:szCs w:val="24"/>
                <w:color w:val="auto"/>
              </w:rPr>
            </w:pPr>
          </w:p>
        </w:tc>
        <w:tc>
          <w:tcPr>
            <w:tcW w:w="7760" w:type="dxa"/>
            <w:vAlign w:val="bottom"/>
            <w:tcBorders>
              <w:bottom w:val="single" w:sz="8" w:color="E6E6E6"/>
            </w:tcBorders>
            <w:gridSpan w:val="2"/>
            <w:shd w:val="clear" w:color="auto" w:fill="E6E6E6"/>
          </w:tcPr>
          <w:p>
            <w:pPr>
              <w:ind w:left="20"/>
              <w:spacing w:after="0"/>
              <w:rPr>
                <w:sz w:val="20"/>
                <w:szCs w:val="20"/>
                <w:color w:val="auto"/>
              </w:rPr>
            </w:pPr>
            <w:r>
              <w:rPr>
                <w:rFonts w:ascii="Times New Roman" w:cs="Times New Roman" w:eastAsia="Times New Roman" w:hAnsi="Times New Roman"/>
                <w:sz w:val="20"/>
                <w:szCs w:val="20"/>
                <w:color w:val="auto"/>
              </w:rPr>
              <w:t xml:space="preserve">Cash distributions </w:t>
            </w:r>
            <w:r>
              <w:rPr>
                <w:rFonts w:ascii="Times New Roman" w:cs="Times New Roman" w:eastAsia="Times New Roman" w:hAnsi="Times New Roman"/>
                <w:sz w:val="25"/>
                <w:szCs w:val="25"/>
                <w:color w:val="auto"/>
                <w:vertAlign w:val="superscript"/>
              </w:rPr>
              <w:t>(2)</w:t>
            </w: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(782)</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(715)</w:t>
            </w:r>
          </w:p>
        </w:tc>
        <w:tc>
          <w:tcPr>
            <w:tcW w:w="0" w:type="dxa"/>
            <w:vAlign w:val="bottom"/>
          </w:tcPr>
          <w:p>
            <w:pPr>
              <w:spacing w:after="0"/>
              <w:rPr>
                <w:sz w:val="1"/>
                <w:szCs w:val="1"/>
                <w:color w:val="auto"/>
              </w:rPr>
            </w:pPr>
          </w:p>
        </w:tc>
      </w:tr>
      <w:tr>
        <w:trPr>
          <w:trHeight w:val="257"/>
        </w:trPr>
        <w:tc>
          <w:tcPr>
            <w:tcW w:w="79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Free Cash Flow after Distributions</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92"/>
              </w:rPr>
              <w:t>(1)</w:t>
            </w:r>
          </w:p>
        </w:tc>
        <w:tc>
          <w:tcPr>
            <w:tcW w:w="7760" w:type="dxa"/>
            <w:vAlign w:val="bottom"/>
            <w:gridSpan w:val="2"/>
            <w:vMerge w:val="restart"/>
          </w:tcPr>
          <w:p>
            <w:pPr>
              <w:ind w:left="560"/>
              <w:spacing w:after="0"/>
              <w:rPr>
                <w:sz w:val="20"/>
                <w:szCs w:val="20"/>
                <w:color w:val="auto"/>
              </w:rPr>
            </w:pPr>
            <w:r>
              <w:rPr>
                <w:rFonts w:ascii="Times New Roman" w:cs="Times New Roman" w:eastAsia="Times New Roman" w:hAnsi="Times New Roman"/>
                <w:sz w:val="20"/>
                <w:szCs w:val="20"/>
                <w:color w:val="auto"/>
              </w:rPr>
              <w:t>Cash distributions paid during the period presented.</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160" w:type="dxa"/>
            <w:vAlign w:val="bottom"/>
          </w:tcPr>
          <w:p>
            <w:pPr>
              <w:spacing w:after="0"/>
              <w:rPr>
                <w:sz w:val="9"/>
                <w:szCs w:val="9"/>
                <w:color w:val="auto"/>
              </w:rPr>
            </w:pPr>
          </w:p>
        </w:tc>
        <w:tc>
          <w:tcPr>
            <w:tcW w:w="77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5001895</wp:posOffset>
            </wp:positionH>
            <wp:positionV relativeFrom="paragraph">
              <wp:posOffset>-1868805</wp:posOffset>
            </wp:positionV>
            <wp:extent cx="1474470" cy="50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7">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-925830</wp:posOffset>
            </wp:positionV>
            <wp:extent cx="1474470" cy="501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8">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-548640</wp:posOffset>
            </wp:positionV>
            <wp:extent cx="1474470" cy="50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9">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-372745</wp:posOffset>
            </wp:positionV>
            <wp:extent cx="738505" cy="755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0">
                      <a:extLst>
                        <a:ext uri="{28A0092B-C50C-407E-A947-70E740481C1C}"/>
                      </a:extLst>
                    </a:blip>
                    <a:srcRect/>
                    <a:stretch>
                      <a:fillRect/>
                    </a:stretch>
                  </pic:blipFill>
                  <pic:spPr bwMode="auto">
                    <a:xfrm>
                      <a:off x="0" y="0"/>
                      <a:ext cx="738505" cy="75565"/>
                    </a:xfrm>
                    <a:prstGeom prst="rect">
                      <a:avLst/>
                    </a:prstGeom>
                    <a:noFill/>
                  </pic:spPr>
                </pic:pic>
              </a:graphicData>
            </a:graphic>
          </wp:anchor>
        </w:drawing>
      </w:r>
    </w:p>
    <w:p>
      <w:pPr>
        <w:sectPr>
          <w:pgSz w:w="11880" w:h="15480" w:orient="portrait"/>
          <w:cols w:equalWidth="0" w:num="1">
            <w:col w:w="10160"/>
          </w:cols>
          <w:pgMar w:left="860" w:top="643" w:right="860" w:bottom="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160"/>
          </w:cols>
          <w:pgMar w:left="860" w:top="643" w:right="860" w:bottom="0" w:gutter="0" w:footer="0" w:header="0"/>
          <w:type w:val="continuous"/>
        </w:sectPr>
      </w:pPr>
    </w:p>
    <w:bookmarkStart w:id="81" w:name="page82"/>
    <w:bookmarkEnd w:id="81"/>
    <w:p>
      <w:pPr>
        <w:ind w:left="720" w:hanging="719"/>
        <w:spacing w:after="0"/>
        <w:tabs>
          <w:tab w:leader="none" w:pos="720" w:val="left"/>
        </w:tabs>
        <w:numPr>
          <w:ilvl w:val="0"/>
          <w:numId w:val="5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Cash distributions paid to our preferred and common unitholders during the period presented.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 from Operating Activities</w:t>
      </w:r>
    </w:p>
    <w:p>
      <w:pPr>
        <w:spacing w:after="0" w:line="253" w:lineRule="exact"/>
        <w:rPr>
          <w:sz w:val="20"/>
          <w:szCs w:val="20"/>
          <w:color w:val="auto"/>
        </w:rPr>
      </w:pPr>
    </w:p>
    <w:p>
      <w:pPr>
        <w:ind w:right="60" w:firstLine="713"/>
        <w:spacing w:after="0" w:line="258" w:lineRule="auto"/>
        <w:rPr>
          <w:sz w:val="20"/>
          <w:szCs w:val="20"/>
          <w:color w:val="auto"/>
        </w:rPr>
      </w:pPr>
      <w:r>
        <w:rPr>
          <w:rFonts w:ascii="Times New Roman" w:cs="Times New Roman" w:eastAsia="Times New Roman" w:hAnsi="Times New Roman"/>
          <w:sz w:val="20"/>
          <w:szCs w:val="20"/>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199" w:lineRule="exact"/>
        <w:rPr>
          <w:sz w:val="20"/>
          <w:szCs w:val="20"/>
          <w:color w:val="auto"/>
        </w:rPr>
      </w:pPr>
    </w:p>
    <w:p>
      <w:pPr>
        <w:ind w:right="180" w:firstLine="713"/>
        <w:spacing w:after="0" w:line="254" w:lineRule="auto"/>
        <w:rPr>
          <w:sz w:val="20"/>
          <w:szCs w:val="20"/>
          <w:color w:val="auto"/>
        </w:rPr>
      </w:pPr>
      <w:r>
        <w:rPr>
          <w:rFonts w:ascii="Times New Roman" w:cs="Times New Roman" w:eastAsia="Times New Roman" w:hAnsi="Times New Roman"/>
          <w:sz w:val="20"/>
          <w:szCs w:val="20"/>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203" w:lineRule="exact"/>
        <w:rPr>
          <w:sz w:val="20"/>
          <w:szCs w:val="20"/>
          <w:color w:val="auto"/>
        </w:rPr>
      </w:pPr>
    </w:p>
    <w:p>
      <w:pPr>
        <w:ind w:right="120" w:firstLine="713"/>
        <w:spacing w:after="0" w:line="251" w:lineRule="auto"/>
        <w:rPr>
          <w:sz w:val="20"/>
          <w:szCs w:val="20"/>
          <w:color w:val="auto"/>
        </w:rPr>
      </w:pPr>
      <w:r>
        <w:rPr>
          <w:rFonts w:ascii="Times New Roman" w:cs="Times New Roman" w:eastAsia="Times New Roman" w:hAnsi="Times New Roman"/>
          <w:sz w:val="20"/>
          <w:szCs w:val="20"/>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211" w:lineRule="exact"/>
        <w:rPr>
          <w:sz w:val="20"/>
          <w:szCs w:val="20"/>
          <w:color w:val="auto"/>
        </w:rPr>
      </w:pPr>
    </w:p>
    <w:p>
      <w:pPr>
        <w:ind w:right="300" w:firstLine="713"/>
        <w:spacing w:after="0" w:line="258" w:lineRule="auto"/>
        <w:rPr>
          <w:sz w:val="20"/>
          <w:szCs w:val="20"/>
          <w:color w:val="auto"/>
        </w:rPr>
      </w:pPr>
      <w:r>
        <w:rPr>
          <w:rFonts w:ascii="Times New Roman" w:cs="Times New Roman" w:eastAsia="Times New Roman" w:hAnsi="Times New Roman"/>
          <w:sz w:val="20"/>
          <w:szCs w:val="20"/>
          <w:color w:val="auto"/>
        </w:rPr>
        <w:t>Net cash provided by operating activities for the years ended December 31, 2022 and 2021 was approximately $2.4 billion and $2.0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99" w:lineRule="exact"/>
        <w:rPr>
          <w:sz w:val="20"/>
          <w:szCs w:val="20"/>
          <w:color w:val="auto"/>
        </w:rPr>
      </w:pPr>
    </w:p>
    <w:p>
      <w:pPr>
        <w:ind w:right="80" w:firstLine="713"/>
        <w:spacing w:after="0" w:line="258" w:lineRule="auto"/>
        <w:rPr>
          <w:sz w:val="20"/>
          <w:szCs w:val="20"/>
          <w:color w:val="auto"/>
        </w:rPr>
      </w:pPr>
      <w:r>
        <w:rPr>
          <w:rFonts w:ascii="Times New Roman" w:cs="Times New Roman" w:eastAsia="Times New Roman" w:hAnsi="Times New Roman"/>
          <w:sz w:val="20"/>
          <w:szCs w:val="20"/>
          <w:color w:val="auto"/>
        </w:rPr>
        <w:t>During 2022, we decreased the volume of our crude oil inventory due to opportunities for inventory liquidation during the year, and we also had lower margin balances required as part of our hedging activities, both of which reduced required funding by short-term debt. These decreases were partially offset by higher NGL volumes at the end of 2022 due to inventory builds as part of the winter heating season.</w:t>
      </w:r>
    </w:p>
    <w:p>
      <w:pPr>
        <w:spacing w:after="0" w:line="199" w:lineRule="exact"/>
        <w:rPr>
          <w:sz w:val="20"/>
          <w:szCs w:val="20"/>
          <w:color w:val="auto"/>
        </w:rPr>
      </w:pPr>
    </w:p>
    <w:p>
      <w:pPr>
        <w:ind w:right="180" w:firstLine="713"/>
        <w:spacing w:after="0" w:line="258" w:lineRule="auto"/>
        <w:rPr>
          <w:sz w:val="20"/>
          <w:szCs w:val="20"/>
          <w:color w:val="auto"/>
        </w:rPr>
      </w:pPr>
      <w:r>
        <w:rPr>
          <w:rFonts w:ascii="Times New Roman" w:cs="Times New Roman" w:eastAsia="Times New Roman" w:hAnsi="Times New Roman"/>
          <w:sz w:val="20"/>
          <w:szCs w:val="20"/>
          <w:color w:val="auto"/>
        </w:rPr>
        <w:t>During 2021, we decreased the volume of both our crude oil inventory due to fewer storage opportunities in the contango market and our NGL inventory as well as the margin balances required as part of our hedging activities, all of which reduced required funding by short-term debt. The cash inflows associated with these activities were partially offset by higher prices for inventory purchased and stored at the end of the current period compared to the end of 2020.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Capital Expenditures</w:t>
      </w:r>
    </w:p>
    <w:p>
      <w:pPr>
        <w:spacing w:after="0" w:line="252" w:lineRule="exact"/>
        <w:rPr>
          <w:sz w:val="20"/>
          <w:szCs w:val="20"/>
          <w:color w:val="auto"/>
        </w:rPr>
      </w:pPr>
    </w:p>
    <w:p>
      <w:pPr>
        <w:ind w:right="160" w:firstLine="713"/>
        <w:spacing w:after="0" w:line="275" w:lineRule="auto"/>
        <w:rPr>
          <w:sz w:val="20"/>
          <w:szCs w:val="20"/>
          <w:color w:val="auto"/>
        </w:rPr>
      </w:pPr>
      <w:r>
        <w:rPr>
          <w:rFonts w:ascii="Times New Roman" w:cs="Times New Roman" w:eastAsia="Times New Roman" w:hAnsi="Times New Roman"/>
          <w:sz w:val="19"/>
          <w:szCs w:val="19"/>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r>
      <w:tr>
        <w:trPr>
          <w:trHeight w:val="232"/>
        </w:trPr>
        <w:tc>
          <w:tcPr>
            <w:tcW w:w="3500" w:type="dxa"/>
            <w:vAlign w:val="bottom"/>
            <w:tcBorders>
              <w:bottom w:val="single" w:sz="8" w:color="E6E6E6"/>
            </w:tcBorders>
          </w:tcPr>
          <w:p>
            <w:pPr>
              <w:spacing w:after="0"/>
              <w:rPr>
                <w:sz w:val="20"/>
                <w:szCs w:val="20"/>
                <w:color w:val="auto"/>
              </w:rPr>
            </w:pPr>
          </w:p>
        </w:tc>
        <w:tc>
          <w:tcPr>
            <w:tcW w:w="4000" w:type="dxa"/>
            <w:vAlign w:val="bottom"/>
            <w:tcBorders>
              <w:bottom w:val="single" w:sz="8" w:color="E6E6E6"/>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bottom w:val="single" w:sz="8" w:color="auto"/>
            </w:tcBorders>
          </w:tcPr>
          <w:p>
            <w:pPr>
              <w:spacing w:after="0"/>
              <w:rPr>
                <w:sz w:val="20"/>
                <w:szCs w:val="20"/>
                <w:color w:val="auto"/>
              </w:rPr>
            </w:pPr>
          </w:p>
        </w:tc>
      </w:tr>
      <w:tr>
        <w:trPr>
          <w:trHeight w:val="287"/>
        </w:trPr>
        <w:tc>
          <w:tcPr>
            <w:tcW w:w="75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Investment capital </w:t>
            </w:r>
            <w:r>
              <w:rPr>
                <w:rFonts w:ascii="Times New Roman" w:cs="Times New Roman" w:eastAsia="Times New Roman" w:hAnsi="Times New Roman"/>
                <w:sz w:val="25"/>
                <w:szCs w:val="25"/>
                <w:color w:val="auto"/>
                <w:vertAlign w:val="superscript"/>
              </w:rPr>
              <w:t>(1) (2) (3)</w:t>
            </w:r>
          </w:p>
        </w:tc>
        <w:tc>
          <w:tcPr>
            <w:tcW w:w="860" w:type="dxa"/>
            <w:vAlign w:val="bottom"/>
            <w:shd w:val="clear" w:color="auto" w:fill="E6E6E6"/>
          </w:tcPr>
          <w:p>
            <w:pPr>
              <w:jc w:val="right"/>
              <w:ind w:right="61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940" w:type="dxa"/>
            <w:vAlign w:val="bottom"/>
            <w:gridSpan w:val="2"/>
            <w:shd w:val="clear" w:color="auto" w:fill="E6E6E6"/>
          </w:tcPr>
          <w:p>
            <w:pPr>
              <w:jc w:val="right"/>
              <w:ind w:right="6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237</w:t>
            </w:r>
          </w:p>
        </w:tc>
      </w:tr>
      <w:tr>
        <w:trPr>
          <w:trHeight w:val="297"/>
        </w:trPr>
        <w:tc>
          <w:tcPr>
            <w:tcW w:w="75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Maintenance capital </w:t>
            </w:r>
            <w:r>
              <w:rPr>
                <w:rFonts w:ascii="Times New Roman" w:cs="Times New Roman" w:eastAsia="Times New Roman" w:hAnsi="Times New Roman"/>
                <w:sz w:val="25"/>
                <w:szCs w:val="25"/>
                <w:color w:val="auto"/>
                <w:vertAlign w:val="superscript"/>
              </w:rPr>
              <w:t>(1) (3)</w:t>
            </w:r>
          </w:p>
        </w:tc>
        <w:tc>
          <w:tcPr>
            <w:tcW w:w="8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r>
      <w:tr>
        <w:trPr>
          <w:trHeight w:val="287"/>
        </w:trPr>
        <w:tc>
          <w:tcPr>
            <w:tcW w:w="7500" w:type="dxa"/>
            <w:vAlign w:val="bottom"/>
            <w:tcBorders>
              <w:bottom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Acquisition capital </w:t>
            </w:r>
            <w:r>
              <w:rPr>
                <w:rFonts w:ascii="Times New Roman" w:cs="Times New Roman" w:eastAsia="Times New Roman" w:hAnsi="Times New Roman"/>
                <w:sz w:val="25"/>
                <w:szCs w:val="25"/>
                <w:color w:val="auto"/>
                <w:vertAlign w:val="superscript"/>
              </w:rPr>
              <w:t>(2) (4)</w:t>
            </w:r>
          </w:p>
        </w:tc>
        <w:tc>
          <w:tcPr>
            <w:tcW w:w="860" w:type="dxa"/>
            <w:vAlign w:val="bottom"/>
            <w:tcBorders>
              <w:bottom w:val="single" w:sz="8" w:color="auto"/>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7"/>
        </w:trPr>
        <w:tc>
          <w:tcPr>
            <w:tcW w:w="35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860" w:type="dxa"/>
            <w:vAlign w:val="bottom"/>
          </w:tcPr>
          <w:p>
            <w:pPr>
              <w:jc w:val="right"/>
              <w:ind w:right="61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940" w:type="dxa"/>
            <w:vAlign w:val="bottom"/>
            <w:gridSpan w:val="2"/>
          </w:tcPr>
          <w:p>
            <w:pPr>
              <w:jc w:val="right"/>
              <w:ind w:right="6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r>
      <w:tr>
        <w:trPr>
          <w:trHeight w:val="20"/>
        </w:trPr>
        <w:tc>
          <w:tcPr>
            <w:tcW w:w="35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350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-895350</wp:posOffset>
            </wp:positionV>
            <wp:extent cx="1737995" cy="50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1">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-329565</wp:posOffset>
            </wp:positionV>
            <wp:extent cx="1737995" cy="50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2">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-153670</wp:posOffset>
            </wp:positionV>
            <wp:extent cx="870585" cy="755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3">
                      <a:extLst>
                        <a:ext uri="{28A0092B-C50C-407E-A947-70E740481C1C}"/>
                      </a:extLst>
                    </a:blip>
                    <a:srcRect/>
                    <a:stretch>
                      <a:fillRect/>
                    </a:stretch>
                  </pic:blipFill>
                  <pic:spPr bwMode="auto">
                    <a:xfrm>
                      <a:off x="0" y="0"/>
                      <a:ext cx="870585" cy="75565"/>
                    </a:xfrm>
                    <a:prstGeom prst="rect">
                      <a:avLst/>
                    </a:prstGeom>
                    <a:noFill/>
                  </pic:spPr>
                </pic:pic>
              </a:graphicData>
            </a:graphic>
          </wp:anchor>
        </w:drawing>
      </w:r>
    </w:p>
    <w:p>
      <w:pPr>
        <w:sectPr>
          <w:pgSz w:w="11880" w:h="15480" w:orient="portrait"/>
          <w:cols w:equalWidth="0" w:num="1">
            <w:col w:w="10160"/>
          </w:cols>
          <w:pgMar w:left="860" w:top="643" w:right="86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160"/>
          </w:cols>
          <w:pgMar w:left="860" w:top="643" w:right="86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br w:type="column"/>
      </w:r>
    </w:p>
    <w:p>
      <w:pPr>
        <w:ind w:right="120"/>
        <w:spacing w:after="0" w:line="258" w:lineRule="auto"/>
        <w:rPr>
          <w:sz w:val="20"/>
          <w:szCs w:val="20"/>
          <w:color w:val="auto"/>
        </w:rPr>
      </w:pPr>
      <w:r>
        <w:rPr>
          <w:rFonts w:ascii="Times New Roman" w:cs="Times New Roman" w:eastAsia="Times New Roman" w:hAnsi="Times New Roman"/>
          <w:sz w:val="20"/>
          <w:szCs w:val="20"/>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8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0"/>
          <w:szCs w:val="20"/>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76"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color w:val="auto"/>
        </w:rPr>
        <w:t>Investment capital and Maintenance capital, net to our interest, was approximately $265 million and $202 million, respectively, for 2022.</w:t>
      </w:r>
    </w:p>
    <w:p>
      <w:pPr>
        <w:spacing w:after="0" w:line="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Acquisition capital for 2022 includes (i) an additional ownership interest in certain straddle plants included in our NGL segment, (ii) the purchase of an additional 5% interest in Cactus II and (iii) the remaining 50% interest in Advantage Pipeline Holdings LLC. Acquisition capital for 2021 represents the cash consideration paid as part of the Asset Exchange transaction. See Note 7 to our Consolidated Financial Statements for additional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Capital Projects</w:t>
      </w:r>
    </w:p>
    <w:p>
      <w:pPr>
        <w:spacing w:after="0" w:line="200" w:lineRule="exact"/>
        <w:rPr>
          <w:sz w:val="20"/>
          <w:szCs w:val="20"/>
          <w:color w:val="auto"/>
        </w:rPr>
      </w:pPr>
    </w:p>
    <w:p>
      <w:pPr>
        <w:sectPr>
          <w:pgSz w:w="11880" w:h="15480" w:orient="portrait"/>
          <w:cols w:equalWidth="0" w:num="2">
            <w:col w:w="160" w:space="560"/>
            <w:col w:w="9440"/>
          </w:cols>
          <w:pgMar w:left="860" w:top="665" w:right="860" w:bottom="0" w:gutter="0" w:footer="0" w:header="0"/>
        </w:sectPr>
      </w:pPr>
    </w:p>
    <w:p>
      <w:pPr>
        <w:spacing w:after="0" w:line="52" w:lineRule="exact"/>
        <w:rPr>
          <w:sz w:val="20"/>
          <w:szCs w:val="20"/>
          <w:color w:val="auto"/>
        </w:rPr>
      </w:pPr>
    </w:p>
    <w:p>
      <w:pPr>
        <w:ind w:right="220" w:firstLine="713"/>
        <w:spacing w:after="0" w:line="258" w:lineRule="auto"/>
        <w:rPr>
          <w:sz w:val="20"/>
          <w:szCs w:val="20"/>
          <w:color w:val="auto"/>
        </w:rPr>
      </w:pPr>
      <w:r>
        <w:rPr>
          <w:rFonts w:ascii="Times New Roman" w:cs="Times New Roman" w:eastAsia="Times New Roman" w:hAnsi="Times New Roman"/>
          <w:sz w:val="20"/>
          <w:szCs w:val="20"/>
          <w:color w:val="auto"/>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8"/>
        </w:trPr>
        <w:tc>
          <w:tcPr>
            <w:tcW w:w="7500" w:type="dxa"/>
            <w:vAlign w:val="bottom"/>
            <w:tcBorders>
              <w:bottom w:val="single" w:sz="8" w:color="E6E6E6"/>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Projects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72"/>
        </w:trPr>
        <w:tc>
          <w:tcPr>
            <w:tcW w:w="7500" w:type="dxa"/>
            <w:vAlign w:val="bottom"/>
            <w:gridSpan w:val="2"/>
            <w:shd w:val="clear" w:color="auto" w:fill="E6E6E6"/>
          </w:tcPr>
          <w:p>
            <w:pPr>
              <w:ind w:left="60"/>
              <w:spacing w:after="0" w:line="272" w:lineRule="exact"/>
              <w:rPr>
                <w:sz w:val="20"/>
                <w:szCs w:val="20"/>
                <w:color w:val="auto"/>
              </w:rPr>
            </w:pPr>
            <w:r>
              <w:rPr>
                <w:rFonts w:ascii="Times New Roman" w:cs="Times New Roman" w:eastAsia="Times New Roman" w:hAnsi="Times New Roman"/>
                <w:sz w:val="20"/>
                <w:szCs w:val="20"/>
                <w:color w:val="auto"/>
              </w:rPr>
              <w:t xml:space="preserve">Complementary Permian Basin Projects </w:t>
            </w:r>
            <w:r>
              <w:rPr>
                <w:rFonts w:ascii="Times New Roman" w:cs="Times New Roman" w:eastAsia="Times New Roman" w:hAnsi="Times New Roman"/>
                <w:sz w:val="25"/>
                <w:szCs w:val="25"/>
                <w:color w:val="auto"/>
                <w:vertAlign w:val="superscript"/>
              </w:rPr>
              <w:t>(1)</w:t>
            </w:r>
          </w:p>
        </w:tc>
        <w:tc>
          <w:tcPr>
            <w:tcW w:w="300" w:type="dxa"/>
            <w:vAlign w:val="bottom"/>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38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82"/>
        </w:trPr>
        <w:tc>
          <w:tcPr>
            <w:tcW w:w="7500" w:type="dxa"/>
            <w:vAlign w:val="bottom"/>
            <w:gridSpan w:val="2"/>
          </w:tcPr>
          <w:p>
            <w:pPr>
              <w:ind w:left="60"/>
              <w:spacing w:after="0" w:line="282" w:lineRule="exact"/>
              <w:rPr>
                <w:sz w:val="20"/>
                <w:szCs w:val="20"/>
                <w:color w:val="auto"/>
              </w:rPr>
            </w:pPr>
            <w:r>
              <w:rPr>
                <w:rFonts w:ascii="Times New Roman" w:cs="Times New Roman" w:eastAsia="Times New Roman" w:hAnsi="Times New Roman"/>
                <w:sz w:val="20"/>
                <w:szCs w:val="20"/>
                <w:color w:val="auto"/>
              </w:rPr>
              <w:t xml:space="preserve">Permian Basin Takeaway Pipeline Projects </w:t>
            </w:r>
            <w:r>
              <w:rPr>
                <w:rFonts w:ascii="Times New Roman" w:cs="Times New Roman" w:eastAsia="Times New Roman" w:hAnsi="Times New Roman"/>
                <w:sz w:val="25"/>
                <w:szCs w:val="25"/>
                <w:color w:val="auto"/>
                <w:vertAlign w:val="superscript"/>
              </w:rPr>
              <w:t>(2)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82"/>
        </w:trPr>
        <w:tc>
          <w:tcPr>
            <w:tcW w:w="7500" w:type="dxa"/>
            <w:vAlign w:val="bottom"/>
            <w:gridSpan w:val="2"/>
            <w:shd w:val="clear" w:color="auto" w:fill="E6E6E6"/>
          </w:tcPr>
          <w:p>
            <w:pPr>
              <w:ind w:left="60"/>
              <w:spacing w:after="0" w:line="282" w:lineRule="exact"/>
              <w:rPr>
                <w:sz w:val="20"/>
                <w:szCs w:val="20"/>
                <w:color w:val="auto"/>
              </w:rPr>
            </w:pPr>
            <w:r>
              <w:rPr>
                <w:rFonts w:ascii="Times New Roman" w:cs="Times New Roman" w:eastAsia="Times New Roman" w:hAnsi="Times New Roman"/>
                <w:sz w:val="20"/>
                <w:szCs w:val="20"/>
                <w:color w:val="auto"/>
              </w:rPr>
              <w:t xml:space="preserve">Selected Facilities/Downstream Projects </w:t>
            </w:r>
            <w:r>
              <w:rPr>
                <w:rFonts w:ascii="Times New Roman" w:cs="Times New Roman" w:eastAsia="Times New Roman" w:hAnsi="Times New Roman"/>
                <w:sz w:val="25"/>
                <w:szCs w:val="25"/>
                <w:color w:val="auto"/>
                <w:vertAlign w:val="superscript"/>
              </w:rPr>
              <w:t>(3)</w:t>
            </w: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72"/>
        </w:trPr>
        <w:tc>
          <w:tcPr>
            <w:tcW w:w="7500" w:type="dxa"/>
            <w:vAlign w:val="bottom"/>
            <w:tcBorders>
              <w:bottom w:val="single" w:sz="8" w:color="E6E6E6"/>
            </w:tcBorders>
            <w:gridSpan w:val="2"/>
          </w:tcPr>
          <w:p>
            <w:pPr>
              <w:ind w:left="60"/>
              <w:spacing w:after="0"/>
              <w:rPr>
                <w:sz w:val="20"/>
                <w:szCs w:val="20"/>
                <w:color w:val="auto"/>
              </w:rPr>
            </w:pPr>
            <w:r>
              <w:rPr>
                <w:rFonts w:ascii="Times New Roman" w:cs="Times New Roman" w:eastAsia="Times New Roman" w:hAnsi="Times New Roman"/>
                <w:sz w:val="20"/>
                <w:szCs w:val="20"/>
                <w:color w:val="auto"/>
              </w:rPr>
              <w:t>Other Projects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60" w:type="dxa"/>
            <w:vAlign w:val="bottom"/>
            <w:tcBorders>
              <w:bottom w:val="single" w:sz="8" w:color="E6E6E6"/>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82"/>
        </w:trPr>
        <w:tc>
          <w:tcPr>
            <w:tcW w:w="750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38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237</w:t>
            </w:r>
          </w:p>
        </w:tc>
      </w:tr>
      <w:tr>
        <w:trPr>
          <w:trHeight w:val="134"/>
        </w:trPr>
        <w:tc>
          <w:tcPr>
            <w:tcW w:w="3500" w:type="dxa"/>
            <w:vAlign w:val="bottom"/>
            <w:tcBorders>
              <w:top w:val="single" w:sz="8" w:color="E6E6E6"/>
              <w:bottom w:val="single" w:sz="8" w:color="auto"/>
            </w:tcBorders>
          </w:tcPr>
          <w:p>
            <w:pPr>
              <w:spacing w:after="0"/>
              <w:rPr>
                <w:sz w:val="11"/>
                <w:szCs w:val="11"/>
                <w:color w:val="auto"/>
              </w:rPr>
            </w:pPr>
          </w:p>
        </w:tc>
        <w:tc>
          <w:tcPr>
            <w:tcW w:w="4000" w:type="dxa"/>
            <w:vAlign w:val="bottom"/>
            <w:tcBorders>
              <w:top w:val="single" w:sz="8" w:color="E6E6E6"/>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Borders>
              <w:top w:val="single" w:sz="8" w:color="E6E6E6"/>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-1036320</wp:posOffset>
            </wp:positionV>
            <wp:extent cx="1737995" cy="50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4">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-320040</wp:posOffset>
            </wp:positionV>
            <wp:extent cx="1737995" cy="50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5">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-153670</wp:posOffset>
            </wp:positionV>
            <wp:extent cx="1737995" cy="755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6">
                      <a:extLst>
                        <a:ext uri="{28A0092B-C50C-407E-A947-70E740481C1C}"/>
                      </a:extLst>
                    </a:blip>
                    <a:srcRect/>
                    <a:stretch>
                      <a:fillRect/>
                    </a:stretch>
                  </pic:blipFill>
                  <pic:spPr bwMode="auto">
                    <a:xfrm>
                      <a:off x="0" y="0"/>
                      <a:ext cx="1737995" cy="75565"/>
                    </a:xfrm>
                    <a:prstGeom prst="rect">
                      <a:avLst/>
                    </a:prstGeom>
                    <a:noFill/>
                  </pic:spPr>
                </pic:pic>
              </a:graphicData>
            </a:graphic>
          </wp:anchor>
        </w:drawing>
      </w:r>
    </w:p>
    <w:p>
      <w:pPr>
        <w:sectPr>
          <w:pgSz w:w="11880" w:h="15480" w:orient="portrait"/>
          <w:cols w:equalWidth="0" w:num="1">
            <w:col w:w="10160"/>
          </w:cols>
          <w:pgMar w:left="860" w:top="665" w:right="860" w:bottom="0" w:gutter="0" w:footer="0" w:header="0"/>
          <w:type w:val="continuous"/>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Includes projects associated with assets included in the Permian JV.</w:t>
      </w:r>
    </w:p>
    <w:p>
      <w:pPr>
        <w:spacing w:after="0" w:line="126" w:lineRule="exact"/>
        <w:rPr>
          <w:sz w:val="20"/>
          <w:szCs w:val="20"/>
          <w:color w:val="auto"/>
        </w:rPr>
      </w:pPr>
    </w:p>
    <w:p>
      <w:pPr>
        <w:ind w:right="860"/>
        <w:spacing w:after="0" w:line="278" w:lineRule="auto"/>
        <w:rPr>
          <w:sz w:val="20"/>
          <w:szCs w:val="20"/>
          <w:color w:val="auto"/>
        </w:rPr>
      </w:pPr>
      <w:r>
        <w:rPr>
          <w:rFonts w:ascii="Times New Roman" w:cs="Times New Roman" w:eastAsia="Times New Roman" w:hAnsi="Times New Roman"/>
          <w:sz w:val="20"/>
          <w:szCs w:val="20"/>
          <w:color w:val="auto"/>
        </w:rPr>
        <w:t>Represents pipeline projects with takeaway capacity out of the Permian Basin, including investments for our proportionate share of the projects of Wink to Webster Pipeline and Cactus II Pipeline.</w:t>
      </w:r>
    </w:p>
    <w:p>
      <w:pPr>
        <w:spacing w:after="0" w:line="22" w:lineRule="exact"/>
        <w:rPr>
          <w:sz w:val="20"/>
          <w:szCs w:val="20"/>
          <w:color w:val="auto"/>
        </w:rPr>
      </w:pPr>
    </w:p>
    <w:p>
      <w:pPr>
        <w:sectPr>
          <w:pgSz w:w="11880" w:h="15480" w:orient="portrait"/>
          <w:cols w:equalWidth="0" w:num="2">
            <w:col w:w="160" w:space="560"/>
            <w:col w:w="9440"/>
          </w:cols>
          <w:pgMar w:left="860" w:top="665" w:right="860" w:bottom="0" w:gutter="0" w:footer="0" w:header="0"/>
          <w:type w:val="continuous"/>
        </w:sectPr>
      </w:pPr>
    </w:p>
    <w:p>
      <w:pPr>
        <w:ind w:left="720" w:hanging="719"/>
        <w:spacing w:after="0"/>
        <w:tabs>
          <w:tab w:leader="none" w:pos="720" w:val="left"/>
        </w:tabs>
        <w:numPr>
          <w:ilvl w:val="0"/>
          <w:numId w:val="5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projects at our St. James, Cushing and Fort Saskatchewan terminals.</w:t>
      </w:r>
    </w:p>
    <w:p>
      <w:pPr>
        <w:spacing w:after="0" w:line="213" w:lineRule="exact"/>
        <w:rPr>
          <w:sz w:val="20"/>
          <w:szCs w:val="20"/>
          <w:color w:val="auto"/>
        </w:rPr>
      </w:pPr>
    </w:p>
    <w:p>
      <w:pPr>
        <w:ind w:right="200" w:firstLine="713"/>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Projected 2023 Capital Expenditures. </w:t>
      </w:r>
      <w:r>
        <w:rPr>
          <w:rFonts w:ascii="Times New Roman" w:cs="Times New Roman" w:eastAsia="Times New Roman" w:hAnsi="Times New Roman"/>
          <w:sz w:val="20"/>
          <w:szCs w:val="20"/>
          <w:color w:val="auto"/>
        </w:rPr>
        <w:t>Total investment capital for the year ending December 31, 2023 is currently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projected to be approximately $420 million ($325 million net to our interest). Approximately half of our projected investment capital expenditures are expected to be invested in the Permian JV assets. Additionally, maintenance capital for 2023 is currently projected to be $205 million ($195 million net to our interest). We expect to fund our 2023 investment and maintenance capital expenditures primarily with retained cash flow.</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Divestitures</w:t>
      </w:r>
    </w:p>
    <w:p>
      <w:pPr>
        <w:spacing w:after="0" w:line="252" w:lineRule="exact"/>
        <w:rPr>
          <w:sz w:val="20"/>
          <w:szCs w:val="20"/>
          <w:color w:val="auto"/>
        </w:rPr>
      </w:pPr>
    </w:p>
    <w:p>
      <w:pPr>
        <w:ind w:right="440" w:firstLine="762"/>
        <w:spacing w:after="0" w:line="305" w:lineRule="auto"/>
        <w:rPr>
          <w:sz w:val="20"/>
          <w:szCs w:val="20"/>
          <w:color w:val="auto"/>
        </w:rPr>
      </w:pPr>
      <w:r>
        <w:rPr>
          <w:rFonts w:ascii="Times New Roman" w:cs="Times New Roman" w:eastAsia="Times New Roman" w:hAnsi="Times New Roman"/>
          <w:sz w:val="19"/>
          <w:szCs w:val="19"/>
          <w:color w:val="auto"/>
        </w:rPr>
        <w:t>Proceeds from the sale of assets have generally been used to fund our investment capital projects and reduce debt levels. The following table summarizes the proceeds received from divestitures during the last two years (in millions):</w:t>
      </w:r>
    </w:p>
    <w:p>
      <w:pPr>
        <w:spacing w:after="0" w:line="24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4762500</wp:posOffset>
                </wp:positionH>
                <wp:positionV relativeFrom="paragraph">
                  <wp:posOffset>26670</wp:posOffset>
                </wp:positionV>
                <wp:extent cx="168783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783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2.1pt" to="507.9pt,2.1pt" o:allowincell="f" strokecolor="#000000" strokeweight="0.99pt"/>
            </w:pict>
          </mc:Fallback>
        </mc:AlternateContent>
      </w:r>
    </w:p>
    <w:p>
      <w:pPr>
        <w:spacing w:after="0" w:line="49" w:lineRule="exact"/>
        <w:rPr>
          <w:sz w:val="20"/>
          <w:szCs w:val="20"/>
          <w:color w:val="auto"/>
        </w:rPr>
      </w:pPr>
    </w:p>
    <w:p>
      <w:pPr>
        <w:ind w:left="7980"/>
        <w:spacing w:after="0"/>
        <w:tabs>
          <w:tab w:leader="none" w:pos="934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6475095" cy="2139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7">
                      <a:extLst>
                        <a:ext uri="{28A0092B-C50C-407E-A947-70E740481C1C}"/>
                      </a:extLst>
                    </a:blip>
                    <a:srcRect/>
                    <a:stretch>
                      <a:fillRect/>
                    </a:stretch>
                  </pic:blipFill>
                  <pic:spPr bwMode="auto">
                    <a:xfrm>
                      <a:off x="0" y="0"/>
                      <a:ext cx="6475095" cy="213995"/>
                    </a:xfrm>
                    <a:prstGeom prst="rect">
                      <a:avLst/>
                    </a:prstGeom>
                    <a:noFill/>
                  </pic:spPr>
                </pic:pic>
              </a:graphicData>
            </a:graphic>
          </wp:anchor>
        </w:drawing>
      </w:r>
    </w:p>
    <w:p>
      <w:pPr>
        <w:spacing w:after="0" w:line="29" w:lineRule="exact"/>
        <w:rPr>
          <w:sz w:val="20"/>
          <w:szCs w:val="20"/>
          <w:color w:val="auto"/>
        </w:rPr>
      </w:pPr>
    </w:p>
    <w:p>
      <w:pPr>
        <w:ind w:left="60"/>
        <w:spacing w:after="0"/>
        <w:tabs>
          <w:tab w:leader="none" w:pos="7540" w:val="left"/>
          <w:tab w:leader="none" w:pos="8500" w:val="left"/>
          <w:tab w:leader="none" w:pos="8900" w:val="left"/>
          <w:tab w:leader="none" w:pos="9760" w:val="left"/>
        </w:tabs>
        <w:rPr>
          <w:sz w:val="20"/>
          <w:szCs w:val="20"/>
          <w:color w:val="auto"/>
        </w:rPr>
      </w:pPr>
      <w:r>
        <w:rPr>
          <w:rFonts w:ascii="Times New Roman" w:cs="Times New Roman" w:eastAsia="Times New Roman" w:hAnsi="Times New Roman"/>
          <w:sz w:val="20"/>
          <w:szCs w:val="20"/>
          <w:color w:val="auto"/>
        </w:rPr>
        <w:t xml:space="preserve">Proceeds from divestitures </w:t>
      </w:r>
      <w:r>
        <w:rPr>
          <w:rFonts w:ascii="Times New Roman" w:cs="Times New Roman" w:eastAsia="Times New Roman" w:hAnsi="Times New Roman"/>
          <w:sz w:val="25"/>
          <w:szCs w:val="25"/>
          <w:color w:val="auto"/>
          <w:vertAlign w:val="superscript"/>
        </w:rPr>
        <w:t>(1)</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60</w:t>
        <w:tab/>
        <w:t>$</w:t>
      </w:r>
      <w:r>
        <w:rPr>
          <w:sz w:val="20"/>
          <w:szCs w:val="20"/>
          <w:color w:val="auto"/>
        </w:rPr>
        <w:tab/>
      </w:r>
      <w:r>
        <w:rPr>
          <w:rFonts w:ascii="Times New Roman" w:cs="Times New Roman" w:eastAsia="Times New Roman" w:hAnsi="Times New Roman"/>
          <w:sz w:val="20"/>
          <w:szCs w:val="20"/>
          <w:color w:val="auto"/>
        </w:rPr>
        <w:t>875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111125</wp:posOffset>
                </wp:positionV>
                <wp:extent cx="222504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8.75pt" to="175.25pt,8.75pt" o:allowincell="f" strokecolor="#000000" strokeweight="0.99pt"/>
            </w:pict>
          </mc:Fallback>
        </mc:AlternateContent>
      </w:r>
    </w:p>
    <w:p>
      <w:pPr>
        <w:spacing w:after="0" w:line="272" w:lineRule="exact"/>
        <w:rPr>
          <w:sz w:val="20"/>
          <w:szCs w:val="20"/>
          <w:color w:val="auto"/>
        </w:rPr>
      </w:pPr>
    </w:p>
    <w:p>
      <w:pPr>
        <w:ind w:left="720" w:hanging="719"/>
        <w:spacing w:after="0"/>
        <w:tabs>
          <w:tab w:leader="none" w:pos="72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proceeds, including working capital adjustments, net of transaction costs.</w:t>
      </w:r>
    </w:p>
    <w:p>
      <w:pPr>
        <w:sectPr>
          <w:pgSz w:w="11880" w:h="15480" w:orient="portrait"/>
          <w:cols w:equalWidth="0" w:num="1">
            <w:col w:w="10160"/>
          </w:cols>
          <w:pgMar w:left="860" w:top="665"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160"/>
          </w:cols>
          <w:pgMar w:left="860" w:top="665" w:right="860" w:bottom="0" w:gutter="0" w:footer="0" w:header="0"/>
          <w:type w:val="continuous"/>
        </w:sectPr>
      </w:pPr>
    </w:p>
    <w:bookmarkStart w:id="83" w:name="page84"/>
    <w:bookmarkEnd w:id="83"/>
    <w:p>
      <w:pPr>
        <w:ind w:left="720"/>
        <w:spacing w:after="0"/>
        <w:rPr>
          <w:sz w:val="20"/>
          <w:szCs w:val="20"/>
          <w:color w:val="auto"/>
        </w:rPr>
      </w:pPr>
      <w:r>
        <w:rPr>
          <w:rFonts w:ascii="Times New Roman" w:cs="Times New Roman" w:eastAsia="Times New Roman" w:hAnsi="Times New Roman"/>
          <w:sz w:val="20"/>
          <w:szCs w:val="20"/>
          <w:b w:val="1"/>
          <w:bCs w:val="1"/>
          <w:color w:val="auto"/>
        </w:rPr>
        <w:t>Ongoing Activities Related to Strategic Transactions</w:t>
      </w:r>
    </w:p>
    <w:p>
      <w:pPr>
        <w:spacing w:after="0" w:line="249" w:lineRule="exact"/>
        <w:rPr>
          <w:sz w:val="20"/>
          <w:szCs w:val="20"/>
          <w:color w:val="auto"/>
        </w:rPr>
      </w:pPr>
    </w:p>
    <w:p>
      <w:pPr>
        <w:ind w:right="200" w:firstLine="713"/>
        <w:spacing w:after="0" w:line="254" w:lineRule="auto"/>
        <w:rPr>
          <w:sz w:val="20"/>
          <w:szCs w:val="20"/>
          <w:color w:val="auto"/>
        </w:rPr>
      </w:pPr>
      <w:r>
        <w:rPr>
          <w:rFonts w:ascii="Times New Roman" w:cs="Times New Roman" w:eastAsia="Times New Roman" w:hAnsi="Times New Roman"/>
          <w:sz w:val="20"/>
          <w:szCs w:val="20"/>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203"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53" w:lineRule="exact"/>
        <w:rPr>
          <w:sz w:val="20"/>
          <w:szCs w:val="20"/>
          <w:color w:val="auto"/>
        </w:rPr>
      </w:pPr>
    </w:p>
    <w:p>
      <w:pPr>
        <w:ind w:firstLine="713"/>
        <w:spacing w:after="0" w:line="263" w:lineRule="auto"/>
        <w:rPr>
          <w:sz w:val="20"/>
          <w:szCs w:val="20"/>
          <w:color w:val="auto"/>
        </w:rPr>
      </w:pPr>
      <w:r>
        <w:rPr>
          <w:rFonts w:ascii="Times New Roman" w:cs="Times New Roman" w:eastAsia="Times New Roman" w:hAnsi="Times New Roman"/>
          <w:sz w:val="20"/>
          <w:szCs w:val="20"/>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Borrowings and Repayments Under Credit Arrangements</w:t>
      </w:r>
    </w:p>
    <w:p>
      <w:pPr>
        <w:spacing w:after="0" w:line="252" w:lineRule="exact"/>
        <w:rPr>
          <w:sz w:val="20"/>
          <w:szCs w:val="20"/>
          <w:color w:val="auto"/>
        </w:rPr>
      </w:pPr>
    </w:p>
    <w:p>
      <w:pPr>
        <w:ind w:right="460" w:firstLine="713"/>
        <w:spacing w:after="0" w:line="278" w:lineRule="auto"/>
        <w:rPr>
          <w:sz w:val="20"/>
          <w:szCs w:val="20"/>
          <w:color w:val="auto"/>
        </w:rPr>
      </w:pPr>
      <w:r>
        <w:rPr>
          <w:rFonts w:ascii="Times New Roman" w:cs="Times New Roman" w:eastAsia="Times New Roman" w:hAnsi="Times New Roman"/>
          <w:sz w:val="20"/>
          <w:szCs w:val="20"/>
          <w:color w:val="auto"/>
        </w:rPr>
        <w:t>We had no net borrowings or repayments under our credit facilities or commercial paper program during the year ended December 31, 2022.</w:t>
      </w:r>
    </w:p>
    <w:p>
      <w:pPr>
        <w:spacing w:after="0" w:line="180" w:lineRule="exact"/>
        <w:rPr>
          <w:sz w:val="20"/>
          <w:szCs w:val="20"/>
          <w:color w:val="auto"/>
        </w:rPr>
      </w:pPr>
    </w:p>
    <w:p>
      <w:pPr>
        <w:ind w:right="40" w:firstLine="713"/>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2021, we had net repayments under our credit facilities and commercial paper program of $712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199" w:lineRule="exact"/>
        <w:rPr>
          <w:sz w:val="20"/>
          <w:szCs w:val="20"/>
          <w:color w:val="auto"/>
        </w:rPr>
      </w:pPr>
    </w:p>
    <w:p>
      <w:pPr>
        <w:ind w:right="340" w:firstLine="713"/>
        <w:spacing w:after="0" w:line="263" w:lineRule="auto"/>
        <w:rPr>
          <w:sz w:val="20"/>
          <w:szCs w:val="20"/>
          <w:color w:val="auto"/>
        </w:rPr>
      </w:pPr>
      <w:r>
        <w:rPr>
          <w:rFonts w:ascii="Times New Roman" w:cs="Times New Roman" w:eastAsia="Times New Roman" w:hAnsi="Times New Roman"/>
          <w:sz w:val="20"/>
          <w:szCs w:val="20"/>
          <w:color w:val="auto"/>
        </w:rPr>
        <w:t>In connection with the sale of our Pine Prairie and Southern Pines natural gas storage facilities in August 2021, we repaid our two GO Zone term loans totaling $200 million. See Note 7 for additional information regarding the sale of our natural gas storage facilities.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2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Repayments of Senior Notes. </w:t>
      </w:r>
      <w:r>
        <w:rPr>
          <w:rFonts w:ascii="Times New Roman" w:cs="Times New Roman" w:eastAsia="Times New Roman" w:hAnsi="Times New Roman"/>
          <w:sz w:val="20"/>
          <w:szCs w:val="20"/>
          <w:color w:val="auto"/>
        </w:rPr>
        <w:t>During 2022, we repaid the following senior unsecured notes in full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Borders>
              <w:bottom w:val="single" w:sz="8" w:color="E6E6E6"/>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center"/>
              <w:ind w:right="1261"/>
              <w:spacing w:after="0"/>
              <w:rPr>
                <w:sz w:val="20"/>
                <w:szCs w:val="20"/>
                <w:color w:val="auto"/>
              </w:rPr>
            </w:pPr>
            <w:r>
              <w:rPr>
                <w:rFonts w:ascii="Times New Roman" w:cs="Times New Roman" w:eastAsia="Times New Roman" w:hAnsi="Times New Roman"/>
                <w:sz w:val="16"/>
                <w:szCs w:val="16"/>
                <w:b w:val="1"/>
                <w:bCs w:val="1"/>
                <w:color w:val="auto"/>
                <w:w w:val="98"/>
              </w:rPr>
              <w:t>Description</w:t>
            </w:r>
          </w:p>
        </w:tc>
        <w:tc>
          <w:tcPr>
            <w:tcW w:w="80" w:type="dxa"/>
            <w:vAlign w:val="bottom"/>
            <w:tcBorders>
              <w:bottom w:val="single" w:sz="8" w:color="E6E6E6"/>
            </w:tcBorders>
          </w:tcPr>
          <w:p>
            <w:pPr>
              <w:spacing w:after="0"/>
              <w:rPr>
                <w:sz w:val="18"/>
                <w:szCs w:val="18"/>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Repayment Date</w:t>
            </w:r>
          </w:p>
        </w:tc>
        <w:tc>
          <w:tcPr>
            <w:tcW w:w="54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60" w:type="dxa"/>
            <w:vAlign w:val="bottom"/>
            <w:vMerge w:val="restart"/>
            <w:shd w:val="clear" w:color="auto" w:fill="E6E6E6"/>
          </w:tcPr>
          <w:p>
            <w:pPr>
              <w:jc w:val="right"/>
              <w:ind w:right="751"/>
              <w:spacing w:after="0"/>
              <w:rPr>
                <w:sz w:val="20"/>
                <w:szCs w:val="20"/>
                <w:color w:val="auto"/>
              </w:rPr>
            </w:pPr>
            <w:r>
              <w:rPr>
                <w:rFonts w:ascii="Times New Roman" w:cs="Times New Roman" w:eastAsia="Times New Roman" w:hAnsi="Times New Roman"/>
                <w:sz w:val="20"/>
                <w:szCs w:val="20"/>
                <w:color w:val="auto"/>
              </w:rPr>
              <w:t>2022</w:t>
            </w:r>
          </w:p>
        </w:tc>
        <w:tc>
          <w:tcPr>
            <w:tcW w:w="80" w:type="dxa"/>
            <w:vAlign w:val="bottom"/>
            <w:shd w:val="clear" w:color="auto" w:fill="E6E6E6"/>
          </w:tcPr>
          <w:p>
            <w:pPr>
              <w:spacing w:after="0"/>
              <w:rPr>
                <w:sz w:val="14"/>
                <w:szCs w:val="14"/>
                <w:color w:val="auto"/>
              </w:rPr>
            </w:pPr>
          </w:p>
        </w:tc>
        <w:tc>
          <w:tcPr>
            <w:tcW w:w="4940" w:type="dxa"/>
            <w:vAlign w:val="bottom"/>
            <w:gridSpan w:val="2"/>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$750 million 3.65% Senior Notes due June 2022</w:t>
            </w:r>
          </w:p>
        </w:tc>
        <w:tc>
          <w:tcPr>
            <w:tcW w:w="80" w:type="dxa"/>
            <w:vAlign w:val="bottom"/>
            <w:shd w:val="clear" w:color="auto" w:fill="E6E6E6"/>
          </w:tcPr>
          <w:p>
            <w:pPr>
              <w:spacing w:after="0"/>
              <w:rPr>
                <w:sz w:val="14"/>
                <w:szCs w:val="14"/>
                <w:color w:val="auto"/>
              </w:rPr>
            </w:pPr>
          </w:p>
        </w:tc>
        <w:tc>
          <w:tcPr>
            <w:tcW w:w="242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March 2022</w:t>
            </w:r>
          </w:p>
        </w:tc>
        <w:tc>
          <w:tcPr>
            <w:tcW w:w="540" w:type="dxa"/>
            <w:vAlign w:val="bottom"/>
            <w:shd w:val="clear" w:color="auto" w:fill="E6E6E6"/>
          </w:tcPr>
          <w:p>
            <w:pPr>
              <w:jc w:val="right"/>
              <w:ind w:right="19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vMerge w:val="continue"/>
            <w:shd w:val="clear" w:color="auto" w:fill="E6E6E6"/>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4940" w:type="dxa"/>
            <w:vAlign w:val="bottom"/>
            <w:gridSpan w:val="2"/>
            <w:vMerge w:val="continue"/>
            <w:shd w:val="clear" w:color="auto" w:fill="E6E6E6"/>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2420" w:type="dxa"/>
            <w:vAlign w:val="bottom"/>
            <w:vMerge w:val="continue"/>
            <w:shd w:val="clear" w:color="auto" w:fill="E6E6E6"/>
          </w:tcPr>
          <w:p>
            <w:pPr>
              <w:spacing w:after="0"/>
              <w:rPr>
                <w:sz w:val="10"/>
                <w:szCs w:val="10"/>
                <w:color w:val="auto"/>
              </w:rPr>
            </w:pPr>
          </w:p>
        </w:tc>
        <w:tc>
          <w:tcPr>
            <w:tcW w:w="54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6120130" cy="5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8">
                      <a:extLst>
                        <a:ext uri="{28A0092B-C50C-407E-A947-70E740481C1C}"/>
                      </a:extLst>
                    </a:blip>
                    <a:srcRect/>
                    <a:stretch>
                      <a:fillRect/>
                    </a:stretch>
                  </pic:blipFill>
                  <pic:spPr bwMode="auto">
                    <a:xfrm>
                      <a:off x="0" y="0"/>
                      <a:ext cx="6120130" cy="50165"/>
                    </a:xfrm>
                    <a:prstGeom prst="rect">
                      <a:avLst/>
                    </a:prstGeom>
                    <a:noFill/>
                  </pic:spPr>
                </pic:pic>
              </a:graphicData>
            </a:graphic>
          </wp:anchor>
        </w:drawing>
      </w:r>
    </w:p>
    <w:p>
      <w:pPr>
        <w:spacing w:after="0" w:line="86" w:lineRule="exact"/>
        <w:rPr>
          <w:sz w:val="20"/>
          <w:szCs w:val="20"/>
          <w:color w:val="auto"/>
        </w:rPr>
      </w:pPr>
    </w:p>
    <w:p>
      <w:pPr>
        <w:ind w:left="720" w:hanging="719"/>
        <w:spacing w:after="0"/>
        <w:tabs>
          <w:tab w:leader="none" w:pos="720" w:val="left"/>
        </w:tabs>
        <w:numPr>
          <w:ilvl w:val="0"/>
          <w:numId w:val="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We repaid these senior notes with cash on hand and borrowings under our commercial paper program.</w:t>
      </w:r>
    </w:p>
    <w:p>
      <w:pPr>
        <w:spacing w:after="0" w:line="335" w:lineRule="exact"/>
        <w:rPr>
          <w:sz w:val="20"/>
          <w:szCs w:val="20"/>
          <w:color w:val="auto"/>
        </w:rPr>
      </w:pPr>
    </w:p>
    <w:p>
      <w:pPr>
        <w:ind w:right="160" w:firstLine="713"/>
        <w:spacing w:after="0" w:line="258" w:lineRule="auto"/>
        <w:rPr>
          <w:sz w:val="20"/>
          <w:szCs w:val="20"/>
          <w:color w:val="auto"/>
        </w:rPr>
      </w:pPr>
      <w:r>
        <w:rPr>
          <w:rFonts w:ascii="Times New Roman" w:cs="Times New Roman" w:eastAsia="Times New Roman" w:hAnsi="Times New Roman"/>
          <w:sz w:val="20"/>
          <w:szCs w:val="20"/>
          <w:color w:val="auto"/>
        </w:rPr>
        <w:t>On January 31, 2023, we redeemed our 2.85%, $400 million senior notes. We utilized a combination of cash on hand and borrowings under our commercial paper program to repay these senior notes. We also intend to utilize a combination of cash flow from operating activities, proceeds from asset sales and borrowings under our commercial paper program to repay our 3.85%, $700 million notes due October 2023.</w:t>
      </w:r>
    </w:p>
    <w:p>
      <w:pPr>
        <w:sectPr>
          <w:pgSz w:w="11880" w:h="15480" w:orient="portrait"/>
          <w:cols w:equalWidth="0" w:num="1">
            <w:col w:w="10140"/>
          </w:cols>
          <w:pgMar w:left="860" w:top="67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140"/>
          </w:cols>
          <w:pgMar w:left="860" w:top="679" w:right="880" w:bottom="0" w:gutter="0" w:footer="0" w:header="0"/>
          <w:type w:val="continuous"/>
        </w:sectPr>
      </w:pPr>
    </w:p>
    <w:bookmarkStart w:id="84" w:name="page85"/>
    <w:bookmarkEnd w:id="84"/>
    <w:p>
      <w:pPr>
        <w:ind w:left="720"/>
        <w:spacing w:after="0"/>
        <w:rPr>
          <w:sz w:val="20"/>
          <w:szCs w:val="20"/>
          <w:color w:val="auto"/>
        </w:rPr>
      </w:pPr>
      <w:r>
        <w:rPr>
          <w:rFonts w:ascii="Times New Roman" w:cs="Times New Roman" w:eastAsia="Times New Roman" w:hAnsi="Times New Roman"/>
          <w:sz w:val="20"/>
          <w:szCs w:val="20"/>
          <w:b w:val="1"/>
          <w:bCs w:val="1"/>
          <w:color w:val="auto"/>
        </w:rPr>
        <w:t>Registration Statements</w:t>
      </w:r>
    </w:p>
    <w:p>
      <w:pPr>
        <w:spacing w:after="0" w:line="252" w:lineRule="exact"/>
        <w:rPr>
          <w:sz w:val="20"/>
          <w:szCs w:val="20"/>
          <w:color w:val="auto"/>
        </w:rPr>
      </w:pPr>
    </w:p>
    <w:p>
      <w:pPr>
        <w:ind w:firstLine="713"/>
        <w:spacing w:after="0" w:line="272" w:lineRule="auto"/>
        <w:rPr>
          <w:sz w:val="20"/>
          <w:szCs w:val="20"/>
          <w:color w:val="auto"/>
        </w:rPr>
      </w:pPr>
      <w:r>
        <w:rPr>
          <w:rFonts w:ascii="Times New Roman" w:cs="Times New Roman" w:eastAsia="Times New Roman" w:hAnsi="Times New Roman"/>
          <w:sz w:val="19"/>
          <w:szCs w:val="19"/>
          <w:color w:val="auto"/>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December 31, 2022. We also have access to a universal shelf registration statement (“WKSI Shelf”), which provides us with the ability to offer and sell an unlimited amount of debt and equity securities, subject to market conditions and our capital needs.</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Common Equity Repurchase Program</w:t>
      </w:r>
    </w:p>
    <w:p>
      <w:pPr>
        <w:spacing w:after="0" w:line="249" w:lineRule="exact"/>
        <w:rPr>
          <w:sz w:val="20"/>
          <w:szCs w:val="20"/>
          <w:color w:val="auto"/>
        </w:rPr>
      </w:pPr>
    </w:p>
    <w:p>
      <w:pPr>
        <w:ind w:right="60" w:firstLine="713"/>
        <w:spacing w:after="0" w:line="251" w:lineRule="auto"/>
        <w:rPr>
          <w:sz w:val="20"/>
          <w:szCs w:val="20"/>
          <w:color w:val="auto"/>
        </w:rPr>
      </w:pPr>
      <w:r>
        <w:rPr>
          <w:rFonts w:ascii="Times New Roman" w:cs="Times New Roman" w:eastAsia="Times New Roman" w:hAnsi="Times New Roman"/>
          <w:sz w:val="20"/>
          <w:szCs w:val="20"/>
          <w:color w:val="auto"/>
        </w:rPr>
        <w:t>In November 2020, the board of directors of PAGP GP approved a $500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Ultimately, the amount, timing and pace of potential repurchase activity will be determined by a number of factors, including market conditions, our financial performance and flexibility, actual and expected Free Cash Flow after distributions, the absolute and relative equity prices of our common units and PAGP Class A shares, and the extent to which we are positioned to achieve and maintain our targeted leverage ratio.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w:t>
      </w:r>
    </w:p>
    <w:p>
      <w:pPr>
        <w:spacing w:after="0" w:line="208" w:lineRule="exact"/>
        <w:rPr>
          <w:sz w:val="20"/>
          <w:szCs w:val="20"/>
          <w:color w:val="auto"/>
        </w:rPr>
      </w:pPr>
    </w:p>
    <w:p>
      <w:pPr>
        <w:ind w:firstLine="713"/>
        <w:spacing w:after="0" w:line="263" w:lineRule="auto"/>
        <w:rPr>
          <w:sz w:val="20"/>
          <w:szCs w:val="20"/>
          <w:color w:val="auto"/>
        </w:rPr>
      </w:pPr>
      <w:r>
        <w:rPr>
          <w:rFonts w:ascii="Times New Roman" w:cs="Times New Roman" w:eastAsia="Times New Roman" w:hAnsi="Times New Roman"/>
          <w:sz w:val="20"/>
          <w:szCs w:val="20"/>
          <w:color w:val="auto"/>
        </w:rPr>
        <w:t>We repurchased common units under the Program during the years ended December 31, 2022 and 2021 for a total purchase price of $74 million and $178 million, respectively, including commissions and fees. The remaining available capacity under the Program as of December 31, 2022 was $198 million.</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Distributions to Our Unitholders</w:t>
      </w:r>
    </w:p>
    <w:p>
      <w:pPr>
        <w:spacing w:after="0" w:line="252" w:lineRule="exact"/>
        <w:rPr>
          <w:sz w:val="20"/>
          <w:szCs w:val="20"/>
          <w:color w:val="auto"/>
        </w:rPr>
      </w:pPr>
    </w:p>
    <w:p>
      <w:pPr>
        <w:ind w:right="20" w:firstLine="713"/>
        <w:spacing w:after="0" w:line="266" w:lineRule="auto"/>
        <w:rPr>
          <w:sz w:val="20"/>
          <w:szCs w:val="20"/>
          <w:color w:val="auto"/>
        </w:rPr>
      </w:pPr>
      <w:r>
        <w:rPr>
          <w:rFonts w:ascii="Times New Roman" w:cs="Times New Roman" w:eastAsia="Times New Roman" w:hAnsi="Times New Roman"/>
          <w:sz w:val="19"/>
          <w:szCs w:val="19"/>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for additional discussion regarding distributions.</w:t>
      </w:r>
    </w:p>
    <w:p>
      <w:pPr>
        <w:spacing w:after="0" w:line="194"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Distributions to our Series A preferred unitholders. </w:t>
      </w:r>
      <w:r>
        <w:rPr>
          <w:rFonts w:ascii="Times New Roman" w:cs="Times New Roman" w:eastAsia="Times New Roman" w:hAnsi="Times New Roman"/>
          <w:sz w:val="20"/>
          <w:szCs w:val="20"/>
          <w:color w:val="auto"/>
        </w:rPr>
        <w:t>Holders of our Series A preferred units are entitled to receive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quarterly distributions, subject to customary anti-dilution adjustments, of $0.525 per unit ($2.10 per unit annualized). Subject to certain limitations, following January 28, 2021, the holders of our Series A preferred units have the right to make a one-time election to reset the distribution rate. In January 2023, we received notice that the Series A preferred unitholders elected the Preferred Distribution Rate Reset Option. Effective January 31, 2023, the new Series A preferred unit distribution rate is equal to 9.375% per annum on the original issue price (approximately $2.46 per unit annualized). The quarterly distribution to be paid in May 2023 will reflect a pro-rated amount of $0.58516 per unit. See Note 12 to our Consolidated Financial Statements for additional information.</w:t>
      </w:r>
    </w:p>
    <w:p>
      <w:pPr>
        <w:spacing w:after="0" w:line="207" w:lineRule="exact"/>
        <w:rPr>
          <w:sz w:val="20"/>
          <w:szCs w:val="20"/>
          <w:color w:val="auto"/>
        </w:rPr>
      </w:pPr>
    </w:p>
    <w:p>
      <w:pPr>
        <w:ind w:right="20" w:firstLine="713"/>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Distributions to our Series B preferred unitholders. </w:t>
      </w:r>
      <w:r>
        <w:rPr>
          <w:rFonts w:ascii="Times New Roman" w:cs="Times New Roman" w:eastAsia="Times New Roman" w:hAnsi="Times New Roman"/>
          <w:sz w:val="19"/>
          <w:szCs w:val="19"/>
          <w:color w:val="auto"/>
        </w:rPr>
        <w:t>Holders of our Series B preferred units are entitled to receive,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when, as and if declared by our general partner out of legally available funds for such purpose, cumulative cash distributions, as applicable. Through and including November 15, 2022, holders were entitled to a distribution equal to $61.25 per unit per year, payable semiannually in arrears on the 15th day of May and November. On and after November 15, 2022, distributions on the Series B units accumulate based on a floating rate equal to the applicable three-month LIBOR (or, if discontinued, a substitute or successor rate determined by the calculation agent) plus a spread of 4.11% and is payable quarterly on the 15th day of February, May, August and November. The distribution rate for the quarterly distribution paid on February 15, 2023 was</w:t>
      </w:r>
    </w:p>
    <w:p>
      <w:pPr>
        <w:spacing w:after="0" w:line="3"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color w:val="auto"/>
        </w:rPr>
        <w:t>8.71614% ($22.27 per Series B preferred unit). See Note 12 to our Consolidated Financial Statements for further discussion of our Series B preferred units.</w:t>
      </w:r>
    </w:p>
    <w:p>
      <w:pPr>
        <w:sectPr>
          <w:pgSz w:w="11880" w:h="15480" w:orient="portrait"/>
          <w:cols w:equalWidth="0" w:num="1">
            <w:col w:w="10140"/>
          </w:cols>
          <w:pgMar w:left="860" w:top="67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140"/>
          </w:cols>
          <w:pgMar w:left="860" w:top="676" w:right="880" w:bottom="0" w:gutter="0" w:footer="0" w:header="0"/>
          <w:type w:val="continuous"/>
        </w:sectPr>
      </w:pPr>
    </w:p>
    <w:bookmarkStart w:id="85" w:name="page86"/>
    <w:bookmarkEnd w:id="85"/>
    <w:p>
      <w:pPr>
        <w:ind w:right="500" w:firstLine="713"/>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 xml:space="preserve">Distributions to our common unitholders. </w:t>
      </w:r>
      <w:r>
        <w:rPr>
          <w:rFonts w:ascii="Times New Roman" w:cs="Times New Roman" w:eastAsia="Times New Roman" w:hAnsi="Times New Roman"/>
          <w:sz w:val="19"/>
          <w:szCs w:val="19"/>
          <w:color w:val="auto"/>
        </w:rPr>
        <w:t>On February 14, 2023, we paid a quarterly distribution of $0.2675 per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common unit ($1.07 per common unit on an annualized basis). The total distribution of $187 million was paid to common unitholders of record as of January 31, 2023, with respect to the quarter ended December 31, 2022. See Note 12 to our Consolidated Financial Statements for details of distributions paid during the three years ended December 31, 2022.</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Distributions to Noncontrolling Interests</w:t>
      </w:r>
    </w:p>
    <w:p>
      <w:pPr>
        <w:spacing w:after="0" w:line="252" w:lineRule="exact"/>
        <w:rPr>
          <w:sz w:val="20"/>
          <w:szCs w:val="20"/>
          <w:color w:val="auto"/>
        </w:rPr>
      </w:pPr>
    </w:p>
    <w:p>
      <w:pPr>
        <w:ind w:right="60" w:firstLine="713"/>
        <w:spacing w:after="0" w:line="261" w:lineRule="auto"/>
        <w:rPr>
          <w:sz w:val="20"/>
          <w:szCs w:val="20"/>
          <w:color w:val="auto"/>
        </w:rPr>
      </w:pPr>
      <w:r>
        <w:rPr>
          <w:rFonts w:ascii="Times New Roman" w:cs="Times New Roman" w:eastAsia="Times New Roman" w:hAnsi="Times New Roman"/>
          <w:sz w:val="19"/>
          <w:szCs w:val="19"/>
          <w:color w:val="auto"/>
        </w:rPr>
        <w:t>Distributions to noncontrolling interests represent amounts paid on interests in consolidated entities that are not owned by us. As of December 31, 2022, noncontrolling interests in our subsidiaries consisted of (i) a 35% interest in the Permian JV,</w:t>
      </w:r>
    </w:p>
    <w:p>
      <w:pPr>
        <w:ind w:right="180" w:firstLine="1"/>
        <w:spacing w:after="0" w:line="278" w:lineRule="auto"/>
        <w:tabs>
          <w:tab w:leader="none" w:pos="29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30% interest in Cactus II and (iii) a 33% interest in Red River. See Note 12 to our Consolidated Financial Statements for details of distributions paid to noncontrolling interests during the three years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For a discussion of contingencies that may impact us, see Note 19 to our Consolidated Financial Statements.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Commitments</w:t>
      </w:r>
    </w:p>
    <w:p>
      <w:pPr>
        <w:spacing w:after="0" w:line="253" w:lineRule="exact"/>
        <w:rPr>
          <w:sz w:val="20"/>
          <w:szCs w:val="20"/>
          <w:color w:val="auto"/>
        </w:rPr>
      </w:pPr>
    </w:p>
    <w:p>
      <w:pPr>
        <w:ind w:right="160" w:firstLine="713"/>
        <w:spacing w:after="0" w:line="278" w:lineRule="auto"/>
        <w:rPr>
          <w:sz w:val="20"/>
          <w:szCs w:val="20"/>
          <w:color w:val="auto"/>
        </w:rPr>
      </w:pPr>
      <w:r>
        <w:rPr>
          <w:rFonts w:ascii="Times New Roman" w:cs="Times New Roman" w:eastAsia="Times New Roman" w:hAnsi="Times New Roman"/>
          <w:sz w:val="20"/>
          <w:szCs w:val="20"/>
          <w:color w:val="auto"/>
        </w:rPr>
        <w:t>See Note 11 to our Consolidated Financial Statements for information regarding our debt obligations and Note 19 for information regarding our leases and other commitments.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Purchase Obligations</w:t>
      </w:r>
    </w:p>
    <w:p>
      <w:pPr>
        <w:spacing w:after="0" w:line="252" w:lineRule="exact"/>
        <w:rPr>
          <w:sz w:val="20"/>
          <w:szCs w:val="20"/>
          <w:color w:val="auto"/>
        </w:rPr>
      </w:pPr>
    </w:p>
    <w:p>
      <w:pPr>
        <w:ind w:right="160" w:firstLine="713"/>
        <w:spacing w:after="0" w:line="253" w:lineRule="auto"/>
        <w:rPr>
          <w:sz w:val="20"/>
          <w:szCs w:val="20"/>
          <w:color w:val="auto"/>
        </w:rPr>
      </w:pPr>
      <w:r>
        <w:rPr>
          <w:rFonts w:ascii="Times New Roman" w:cs="Times New Roman" w:eastAsia="Times New Roman" w:hAnsi="Times New Roman"/>
          <w:sz w:val="20"/>
          <w:szCs w:val="20"/>
          <w:color w:val="auto"/>
        </w:rPr>
        <w:t>In the ordinary course of doing business, we purchase crude oil and NGL from third parties under contracts, the majority of 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4" w:lineRule="exact"/>
        <w:rPr>
          <w:sz w:val="20"/>
          <w:szCs w:val="20"/>
          <w:color w:val="auto"/>
        </w:rPr>
      </w:pPr>
    </w:p>
    <w:p>
      <w:pPr>
        <w:ind w:right="82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 includes our best estimate and the timing of these payments as of December 31, 2022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86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c>
          <w:tcPr>
            <w:tcW w:w="86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86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vMerge w:val="restart"/>
          </w:tcPr>
          <w:p>
            <w:pPr>
              <w:spacing w:after="0"/>
              <w:rPr>
                <w:sz w:val="16"/>
                <w:szCs w:val="16"/>
                <w:color w:val="auto"/>
              </w:rPr>
            </w:pPr>
          </w:p>
        </w:tc>
        <w:tc>
          <w:tcPr>
            <w:tcW w:w="86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vMerge w:val="restart"/>
          </w:tcPr>
          <w:p>
            <w:pPr>
              <w:spacing w:after="0"/>
              <w:rPr>
                <w:sz w:val="16"/>
                <w:szCs w:val="16"/>
                <w:color w:val="auto"/>
              </w:rPr>
            </w:pPr>
          </w:p>
        </w:tc>
        <w:tc>
          <w:tcPr>
            <w:tcW w:w="86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2027</w:t>
            </w:r>
          </w:p>
        </w:tc>
        <w:tc>
          <w:tcPr>
            <w:tcW w:w="8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2028 and</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2"/>
        </w:trPr>
        <w:tc>
          <w:tcPr>
            <w:tcW w:w="3680" w:type="dxa"/>
            <w:vAlign w:val="bottom"/>
            <w:tcBorders>
              <w:bottom w:val="single" w:sz="8" w:color="E6E6E6"/>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80" w:type="dxa"/>
            <w:vAlign w:val="bottom"/>
            <w:tcBorders>
              <w:bottom w:val="single" w:sz="8" w:color="E6E6E6"/>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36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Crude oil, NGL and other purchases </w:t>
            </w:r>
            <w:r>
              <w:rPr>
                <w:rFonts w:ascii="Times New Roman" w:cs="Times New Roman" w:eastAsia="Times New Roman" w:hAnsi="Times New Roman"/>
                <w:sz w:val="25"/>
                <w:szCs w:val="25"/>
                <w:color w:val="auto"/>
                <w:vertAlign w:val="superscript"/>
              </w:rPr>
              <w:t>(1)</w:t>
            </w: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$ 22,660</w:t>
            </w:r>
          </w:p>
        </w:tc>
        <w:tc>
          <w:tcPr>
            <w:tcW w:w="8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$ 19,940</w:t>
            </w:r>
          </w:p>
        </w:tc>
        <w:tc>
          <w:tcPr>
            <w:tcW w:w="8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$ 18,528</w:t>
            </w:r>
          </w:p>
        </w:tc>
        <w:tc>
          <w:tcPr>
            <w:tcW w:w="940" w:type="dxa"/>
            <w:vAlign w:val="bottom"/>
            <w:gridSpan w:val="2"/>
            <w:shd w:val="clear" w:color="auto" w:fill="E6E6E6"/>
          </w:tcPr>
          <w:p>
            <w:pPr>
              <w:jc w:val="right"/>
              <w:ind w:right="1"/>
              <w:spacing w:after="0"/>
              <w:rPr>
                <w:sz w:val="20"/>
                <w:szCs w:val="20"/>
                <w:color w:val="auto"/>
              </w:rPr>
            </w:pPr>
            <w:r>
              <w:rPr>
                <w:rFonts w:ascii="Times New Roman" w:cs="Times New Roman" w:eastAsia="Times New Roman" w:hAnsi="Times New Roman"/>
                <w:sz w:val="20"/>
                <w:szCs w:val="20"/>
                <w:color w:val="auto"/>
              </w:rPr>
              <w:t>$ 17,568</w:t>
            </w:r>
          </w:p>
        </w:tc>
        <w:tc>
          <w:tcPr>
            <w:tcW w:w="920" w:type="dxa"/>
            <w:vAlign w:val="bottom"/>
            <w:gridSpan w:val="2"/>
            <w:shd w:val="clear" w:color="auto" w:fill="E6E6E6"/>
          </w:tcPr>
          <w:p>
            <w:pPr>
              <w:jc w:val="right"/>
              <w:ind w:right="1"/>
              <w:spacing w:after="0"/>
              <w:rPr>
                <w:sz w:val="20"/>
                <w:szCs w:val="20"/>
                <w:color w:val="auto"/>
              </w:rPr>
            </w:pPr>
            <w:r>
              <w:rPr>
                <w:rFonts w:ascii="Times New Roman" w:cs="Times New Roman" w:eastAsia="Times New Roman" w:hAnsi="Times New Roman"/>
                <w:sz w:val="20"/>
                <w:szCs w:val="20"/>
                <w:color w:val="auto"/>
              </w:rPr>
              <w:t>$ 15,582</w:t>
            </w:r>
          </w:p>
        </w:tc>
        <w:tc>
          <w:tcPr>
            <w:tcW w:w="94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rPr>
              <w:t>$ 41,216</w:t>
            </w:r>
          </w:p>
        </w:tc>
        <w:tc>
          <w:tcPr>
            <w:tcW w:w="8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$135,494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-213360</wp:posOffset>
            </wp:positionV>
            <wp:extent cx="4149090" cy="50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9">
                      <a:extLst>
                        <a:ext uri="{28A0092B-C50C-407E-A947-70E740481C1C}"/>
                      </a:extLst>
                    </a:blip>
                    <a:srcRect/>
                    <a:stretch>
                      <a:fillRect/>
                    </a:stretch>
                  </pic:blipFill>
                  <pic:spPr bwMode="auto">
                    <a:xfrm>
                      <a:off x="0" y="0"/>
                      <a:ext cx="4149090"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260350</wp:posOffset>
                </wp:positionV>
                <wp:extent cx="222504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20.5pt" to="175.25pt,20.5pt" o:allowincell="f" strokecolor="#000000" strokeweight="0.99pt"/>
            </w:pict>
          </mc:Fallback>
        </mc:AlternateContent>
      </w:r>
    </w:p>
    <w:p>
      <w:pPr>
        <w:spacing w:after="0" w:line="200" w:lineRule="exact"/>
        <w:rPr>
          <w:sz w:val="20"/>
          <w:szCs w:val="20"/>
          <w:color w:val="auto"/>
        </w:rPr>
      </w:pPr>
    </w:p>
    <w:p>
      <w:pPr>
        <w:spacing w:after="0" w:line="346" w:lineRule="exact"/>
        <w:rPr>
          <w:sz w:val="20"/>
          <w:szCs w:val="20"/>
          <w:color w:val="auto"/>
        </w:rPr>
      </w:pPr>
    </w:p>
    <w:p>
      <w:pPr>
        <w:ind w:left="720" w:right="260" w:hanging="719"/>
        <w:spacing w:after="0" w:line="235" w:lineRule="auto"/>
        <w:tabs>
          <w:tab w:leader="none" w:pos="720"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Amounts are primarily based on estimated volumes and market prices based on average activity during December 2022.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17" w:lineRule="exact"/>
        <w:rPr>
          <w:sz w:val="20"/>
          <w:szCs w:val="20"/>
          <w:color w:val="auto"/>
        </w:rPr>
      </w:pPr>
    </w:p>
    <w:p>
      <w:pPr>
        <w:ind w:right="120" w:firstLine="713"/>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Letters of Credit. </w:t>
      </w:r>
      <w:r>
        <w:rPr>
          <w:rFonts w:ascii="Times New Roman" w:cs="Times New Roman" w:eastAsia="Times New Roman" w:hAnsi="Times New Roman"/>
          <w:sz w:val="20"/>
          <w:szCs w:val="20"/>
          <w:color w:val="auto"/>
        </w:rPr>
        <w:t>In connection with our merchant activities, we provide certain suppliers with irrevocable standby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2022 and 2021, we had outstanding letters of credit of approximately $102 million and $98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have no off-balance sheet arrangements as defined by Item 303 of Regulation S-K.</w:t>
      </w:r>
    </w:p>
    <w:p>
      <w:pPr>
        <w:sectPr>
          <w:pgSz w:w="11880" w:h="15480" w:orient="portrait"/>
          <w:cols w:equalWidth="0" w:num="1">
            <w:col w:w="10160"/>
          </w:cols>
          <w:pgMar w:left="860" w:top="68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160"/>
          </w:cols>
          <w:pgMar w:left="860" w:top="680" w:right="86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Unconsolidated Entities</w:t>
      </w:r>
    </w:p>
    <w:p>
      <w:pPr>
        <w:spacing w:after="0" w:line="253"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20"/>
          <w:szCs w:val="20"/>
          <w:color w:val="auto"/>
        </w:rPr>
        <w:t>We have invested in entities that are not consolidated in our financial statements. None of these entities had debt outstanding as of December 31, 2022. We may elect at any time to make additional capital contributions to any of these entities. The following table sets forth selected information regarding these entities as of December 31, 2022 (unaudited, dollars in millions):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Our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28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8"/>
              </w:rPr>
              <w:t>Total Cash</w:t>
            </w: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7"/>
              <w:spacing w:after="0" w:line="158" w:lineRule="exact"/>
              <w:rPr>
                <w:sz w:val="20"/>
                <w:szCs w:val="20"/>
                <w:color w:val="auto"/>
              </w:rPr>
            </w:pPr>
            <w:r>
              <w:rPr>
                <w:rFonts w:ascii="Times New Roman" w:cs="Times New Roman" w:eastAsia="Times New Roman" w:hAnsi="Times New Roman"/>
                <w:sz w:val="16"/>
                <w:szCs w:val="16"/>
                <w:b w:val="1"/>
                <w:bCs w:val="1"/>
                <w:color w:val="auto"/>
              </w:rPr>
              <w:t>and</w:t>
            </w:r>
          </w:p>
        </w:tc>
        <w:tc>
          <w:tcPr>
            <w:tcW w:w="0" w:type="dxa"/>
            <w:vAlign w:val="bottom"/>
          </w:tcPr>
          <w:p>
            <w:pPr>
              <w:spacing w:after="0"/>
              <w:rPr>
                <w:sz w:val="1"/>
                <w:szCs w:val="1"/>
                <w:color w:val="auto"/>
              </w:rPr>
            </w:pPr>
          </w:p>
        </w:tc>
      </w:tr>
      <w:tr>
        <w:trPr>
          <w:trHeight w:val="158"/>
        </w:trPr>
        <w:tc>
          <w:tcPr>
            <w:tcW w:w="3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80" w:type="dxa"/>
            <w:vAlign w:val="bottom"/>
          </w:tcPr>
          <w:p>
            <w:pPr>
              <w:spacing w:after="0"/>
              <w:rPr>
                <w:sz w:val="13"/>
                <w:szCs w:val="13"/>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Type of Operation</w:t>
            </w:r>
          </w:p>
        </w:tc>
        <w:tc>
          <w:tcPr>
            <w:tcW w:w="6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Ownership</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26"/>
              <w:spacing w:after="0" w:line="158" w:lineRule="exact"/>
              <w:rPr>
                <w:sz w:val="20"/>
                <w:szCs w:val="20"/>
                <w:color w:val="auto"/>
              </w:rPr>
            </w:pPr>
            <w:r>
              <w:rPr>
                <w:rFonts w:ascii="Times New Roman" w:cs="Times New Roman" w:eastAsia="Times New Roman" w:hAnsi="Times New Roman"/>
                <w:sz w:val="16"/>
                <w:szCs w:val="16"/>
                <w:b w:val="1"/>
                <w:bCs w:val="1"/>
                <w:color w:val="auto"/>
              </w:rPr>
              <w:t>Entity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7"/>
              <w:spacing w:after="0" w:line="158"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0" w:type="dxa"/>
            <w:vAlign w:val="bottom"/>
          </w:tcPr>
          <w:p>
            <w:pPr>
              <w:spacing w:after="0"/>
              <w:rPr>
                <w:sz w:val="1"/>
                <w:szCs w:val="1"/>
                <w:color w:val="auto"/>
              </w:rPr>
            </w:pPr>
          </w:p>
        </w:tc>
      </w:tr>
      <w:tr>
        <w:trPr>
          <w:trHeight w:val="212"/>
        </w:trPr>
        <w:tc>
          <w:tcPr>
            <w:tcW w:w="3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30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0" w:type="dxa"/>
            <w:vAlign w:val="bottom"/>
          </w:tcPr>
          <w:p>
            <w:pPr>
              <w:spacing w:after="0"/>
              <w:rPr>
                <w:sz w:val="1"/>
                <w:szCs w:val="1"/>
                <w:color w:val="auto"/>
              </w:rPr>
            </w:pPr>
          </w:p>
        </w:tc>
      </w:tr>
      <w:tr>
        <w:trPr>
          <w:trHeight w:val="287"/>
        </w:trPr>
        <w:tc>
          <w:tcPr>
            <w:tcW w:w="36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BridgeTex Pipeline Company, LLC</w:t>
            </w:r>
          </w:p>
        </w:tc>
        <w:tc>
          <w:tcPr>
            <w:tcW w:w="80" w:type="dxa"/>
            <w:vAlign w:val="bottom"/>
            <w:shd w:val="clear" w:color="auto" w:fill="E6E6E6"/>
          </w:tcPr>
          <w:p>
            <w:pPr>
              <w:spacing w:after="0"/>
              <w:rPr>
                <w:sz w:val="24"/>
                <w:szCs w:val="24"/>
                <w:color w:val="auto"/>
              </w:rPr>
            </w:pPr>
          </w:p>
        </w:tc>
        <w:tc>
          <w:tcPr>
            <w:tcW w:w="3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4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20%</w:t>
            </w:r>
          </w:p>
        </w:tc>
        <w:tc>
          <w:tcPr>
            <w:tcW w:w="30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792</w:t>
            </w:r>
          </w:p>
        </w:tc>
        <w:tc>
          <w:tcPr>
            <w:tcW w:w="2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91"/>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Capline Pipeline Company LLC</w:t>
            </w:r>
          </w:p>
        </w:tc>
        <w:tc>
          <w:tcPr>
            <w:tcW w:w="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8"/>
              </w:rPr>
              <w:t>54%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303"/>
        </w:trPr>
        <w:tc>
          <w:tcPr>
            <w:tcW w:w="36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Diamond Pipeline LLC</w:t>
            </w:r>
          </w:p>
        </w:tc>
        <w:tc>
          <w:tcPr>
            <w:tcW w:w="80" w:type="dxa"/>
            <w:vAlign w:val="bottom"/>
            <w:shd w:val="clear" w:color="auto" w:fill="E6E6E6"/>
          </w:tcPr>
          <w:p>
            <w:pPr>
              <w:spacing w:after="0"/>
              <w:rPr>
                <w:sz w:val="24"/>
                <w:szCs w:val="24"/>
                <w:color w:val="auto"/>
              </w:rPr>
            </w:pPr>
          </w:p>
        </w:tc>
        <w:tc>
          <w:tcPr>
            <w:tcW w:w="3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6"/>
              </w:rPr>
              <w:t xml:space="preserve">Crude Oil Pipeline </w:t>
            </w:r>
            <w:r>
              <w:rPr>
                <w:rFonts w:ascii="Times New Roman" w:cs="Times New Roman" w:eastAsia="Times New Roman" w:hAnsi="Times New Roman"/>
                <w:sz w:val="25"/>
                <w:szCs w:val="25"/>
                <w:color w:val="auto"/>
                <w:w w:val="96"/>
                <w:vertAlign w:val="superscript"/>
              </w:rPr>
              <w:t>(1)</w:t>
            </w:r>
          </w:p>
        </w:tc>
        <w:tc>
          <w:tcPr>
            <w:tcW w:w="114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50%</w:t>
            </w:r>
          </w:p>
        </w:tc>
        <w:tc>
          <w:tcPr>
            <w:tcW w:w="30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2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Eagle Ford Pipeline LLC</w:t>
            </w:r>
          </w:p>
        </w:tc>
        <w:tc>
          <w:tcPr>
            <w:tcW w:w="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 xml:space="preserve">Crude Oil Pipeline </w:t>
            </w:r>
            <w:r>
              <w:rPr>
                <w:rFonts w:ascii="Times New Roman" w:cs="Times New Roman" w:eastAsia="Times New Roman" w:hAnsi="Times New Roman"/>
                <w:sz w:val="25"/>
                <w:szCs w:val="25"/>
                <w:color w:val="auto"/>
                <w:w w:val="96"/>
                <w:vertAlign w:val="superscript"/>
              </w:rPr>
              <w:t>(1)</w:t>
            </w:r>
          </w:p>
        </w:tc>
        <w:tc>
          <w:tcPr>
            <w:tcW w:w="11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8"/>
              </w:rPr>
              <w:t>50%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97"/>
        </w:trPr>
        <w:tc>
          <w:tcPr>
            <w:tcW w:w="36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Eagle Ford Terminals Corpus Christi LLC</w:t>
            </w:r>
          </w:p>
        </w:tc>
        <w:tc>
          <w:tcPr>
            <w:tcW w:w="80" w:type="dxa"/>
            <w:vAlign w:val="bottom"/>
            <w:shd w:val="clear" w:color="auto" w:fill="E6E6E6"/>
          </w:tcPr>
          <w:p>
            <w:pPr>
              <w:spacing w:after="0"/>
              <w:rPr>
                <w:sz w:val="24"/>
                <w:szCs w:val="24"/>
                <w:color w:val="auto"/>
              </w:rPr>
            </w:pPr>
          </w:p>
        </w:tc>
        <w:tc>
          <w:tcPr>
            <w:tcW w:w="3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6"/>
              </w:rPr>
              <w:t xml:space="preserve">Crude Oil Terminal and Dock </w:t>
            </w:r>
            <w:r>
              <w:rPr>
                <w:rFonts w:ascii="Times New Roman" w:cs="Times New Roman" w:eastAsia="Times New Roman" w:hAnsi="Times New Roman"/>
                <w:sz w:val="25"/>
                <w:szCs w:val="25"/>
                <w:color w:val="auto"/>
                <w:w w:val="96"/>
                <w:vertAlign w:val="superscript"/>
              </w:rPr>
              <w:t>(1)</w:t>
            </w:r>
          </w:p>
        </w:tc>
        <w:tc>
          <w:tcPr>
            <w:tcW w:w="114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50%</w:t>
            </w:r>
          </w:p>
        </w:tc>
        <w:tc>
          <w:tcPr>
            <w:tcW w:w="30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2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OMOG JV LLC</w:t>
            </w:r>
          </w:p>
        </w:tc>
        <w:tc>
          <w:tcPr>
            <w:tcW w:w="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 xml:space="preserve">Crude Oil Pipeline </w:t>
            </w:r>
            <w:r>
              <w:rPr>
                <w:rFonts w:ascii="Times New Roman" w:cs="Times New Roman" w:eastAsia="Times New Roman" w:hAnsi="Times New Roman"/>
                <w:sz w:val="25"/>
                <w:szCs w:val="25"/>
                <w:color w:val="auto"/>
                <w:w w:val="96"/>
                <w:vertAlign w:val="superscript"/>
              </w:rPr>
              <w:t>(1)</w:t>
            </w:r>
          </w:p>
        </w:tc>
        <w:tc>
          <w:tcPr>
            <w:tcW w:w="11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8"/>
              </w:rPr>
              <w:t>57%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97"/>
        </w:trPr>
        <w:tc>
          <w:tcPr>
            <w:tcW w:w="36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Saddlehorn Pipeline Company, LLC</w:t>
            </w:r>
          </w:p>
        </w:tc>
        <w:tc>
          <w:tcPr>
            <w:tcW w:w="80" w:type="dxa"/>
            <w:vAlign w:val="bottom"/>
            <w:shd w:val="clear" w:color="auto" w:fill="E6E6E6"/>
          </w:tcPr>
          <w:p>
            <w:pPr>
              <w:spacing w:after="0"/>
              <w:rPr>
                <w:sz w:val="24"/>
                <w:szCs w:val="24"/>
                <w:color w:val="auto"/>
              </w:rPr>
            </w:pPr>
          </w:p>
        </w:tc>
        <w:tc>
          <w:tcPr>
            <w:tcW w:w="3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4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30%</w:t>
            </w:r>
          </w:p>
        </w:tc>
        <w:tc>
          <w:tcPr>
            <w:tcW w:w="30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612</w:t>
            </w:r>
          </w:p>
        </w:tc>
        <w:tc>
          <w:tcPr>
            <w:tcW w:w="2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91"/>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White Cliffs Pipeline, LLC</w:t>
            </w:r>
          </w:p>
        </w:tc>
        <w:tc>
          <w:tcPr>
            <w:tcW w:w="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8"/>
              </w:rPr>
              <w:t>36%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303"/>
        </w:trPr>
        <w:tc>
          <w:tcPr>
            <w:tcW w:w="36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Wink to Webster Pipeline LLC</w:t>
            </w:r>
          </w:p>
        </w:tc>
        <w:tc>
          <w:tcPr>
            <w:tcW w:w="80" w:type="dxa"/>
            <w:vAlign w:val="bottom"/>
            <w:shd w:val="clear" w:color="auto" w:fill="E6E6E6"/>
          </w:tcPr>
          <w:p>
            <w:pPr>
              <w:spacing w:after="0"/>
              <w:rPr>
                <w:sz w:val="24"/>
                <w:szCs w:val="24"/>
                <w:color w:val="auto"/>
              </w:rPr>
            </w:pPr>
          </w:p>
        </w:tc>
        <w:tc>
          <w:tcPr>
            <w:tcW w:w="3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40" w:type="dxa"/>
            <w:vAlign w:val="bottom"/>
            <w:gridSpan w:val="2"/>
            <w:shd w:val="clear" w:color="auto" w:fill="E6E6E6"/>
          </w:tcPr>
          <w:p>
            <w:pPr>
              <w:jc w:val="center"/>
              <w:ind w:left="1"/>
              <w:spacing w:after="0"/>
              <w:rPr>
                <w:sz w:val="20"/>
                <w:szCs w:val="20"/>
                <w:color w:val="auto"/>
              </w:rPr>
            </w:pPr>
            <w:r>
              <w:rPr>
                <w:rFonts w:ascii="Times New Roman" w:cs="Times New Roman" w:eastAsia="Times New Roman" w:hAnsi="Times New Roman"/>
                <w:sz w:val="20"/>
                <w:szCs w:val="20"/>
                <w:color w:val="auto"/>
                <w:w w:val="98"/>
              </w:rPr>
              <w:t>16%</w:t>
            </w:r>
          </w:p>
        </w:tc>
        <w:tc>
          <w:tcPr>
            <w:tcW w:w="30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2,129</w:t>
            </w:r>
          </w:p>
        </w:tc>
        <w:tc>
          <w:tcPr>
            <w:tcW w:w="2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85"/>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investments</w:t>
            </w: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-1902460</wp:posOffset>
            </wp:positionV>
            <wp:extent cx="6468745" cy="50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0">
                      <a:extLst>
                        <a:ext uri="{28A0092B-C50C-407E-A947-70E740481C1C}"/>
                      </a:extLst>
                    </a:blip>
                    <a:srcRect/>
                    <a:stretch>
                      <a:fillRect/>
                    </a:stretch>
                  </pic:blipFill>
                  <pic:spPr bwMode="auto">
                    <a:xfrm>
                      <a:off x="0" y="0"/>
                      <a:ext cx="6468745"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117475</wp:posOffset>
                </wp:positionV>
                <wp:extent cx="222504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9.25pt" to="175.25pt,9.25pt" o:allowincell="f" strokecolor="#000000" strokeweight="0.99pt"/>
            </w:pict>
          </mc:Fallback>
        </mc:AlternateConten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316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We serve as operator of the asset.</w:t>
            </w:r>
          </w:p>
        </w:tc>
        <w:tc>
          <w:tcPr>
            <w:tcW w:w="0" w:type="dxa"/>
            <w:vAlign w:val="bottom"/>
          </w:tcPr>
          <w:p>
            <w:pPr>
              <w:spacing w:after="0"/>
              <w:rPr>
                <w:sz w:val="1"/>
                <w:szCs w:val="1"/>
                <w:color w:val="auto"/>
              </w:rPr>
            </w:pPr>
          </w:p>
        </w:tc>
      </w:tr>
      <w:tr>
        <w:trPr>
          <w:trHeight w:val="110"/>
        </w:trPr>
        <w:tc>
          <w:tcPr>
            <w:tcW w:w="440" w:type="dxa"/>
            <w:vAlign w:val="bottom"/>
          </w:tcPr>
          <w:p>
            <w:pPr>
              <w:spacing w:after="0"/>
              <w:rPr>
                <w:sz w:val="9"/>
                <w:szCs w:val="9"/>
                <w:color w:val="auto"/>
              </w:rPr>
            </w:pPr>
          </w:p>
        </w:tc>
        <w:tc>
          <w:tcPr>
            <w:tcW w:w="3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2"/>
        </w:trPr>
        <w:tc>
          <w:tcPr>
            <w:tcW w:w="3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Critical Accounting Policies and Estimates</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40" w:firstLine="713"/>
        <w:spacing w:after="0" w:line="254"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203" w:lineRule="exact"/>
        <w:rPr>
          <w:sz w:val="20"/>
          <w:szCs w:val="20"/>
          <w:color w:val="auto"/>
        </w:rPr>
      </w:pPr>
    </w:p>
    <w:p>
      <w:pPr>
        <w:ind w:right="20" w:firstLine="713"/>
        <w:spacing w:after="0" w:line="247" w:lineRule="auto"/>
        <w:rPr>
          <w:sz w:val="20"/>
          <w:szCs w:val="20"/>
          <w:color w:val="auto"/>
        </w:rPr>
      </w:pPr>
      <w:r>
        <w:rPr>
          <w:rFonts w:ascii="Times New Roman" w:cs="Times New Roman" w:eastAsia="Times New Roman" w:hAnsi="Times New Roman"/>
          <w:sz w:val="20"/>
          <w:szCs w:val="20"/>
          <w:color w:val="auto"/>
        </w:rPr>
        <w:t>We believe that the assumptions, judgments and estimates involved in the accounting for our (i) estimated fair value of assets and liabilities acquired and identification of associated goodwill and intangible assets, (ii) fair value of derivatives,</w:t>
      </w:r>
    </w:p>
    <w:p>
      <w:pPr>
        <w:spacing w:after="0" w:line="2" w:lineRule="exact"/>
        <w:rPr>
          <w:sz w:val="20"/>
          <w:szCs w:val="20"/>
          <w:color w:val="auto"/>
        </w:rPr>
      </w:pPr>
    </w:p>
    <w:p>
      <w:pPr>
        <w:ind w:firstLine="1"/>
        <w:spacing w:after="0" w:line="269" w:lineRule="auto"/>
        <w:tabs>
          <w:tab w:leader="none" w:pos="346"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spacing w:after="0" w:line="191" w:lineRule="exact"/>
        <w:rPr>
          <w:sz w:val="20"/>
          <w:szCs w:val="20"/>
          <w:color w:val="auto"/>
        </w:rPr>
      </w:pPr>
    </w:p>
    <w:p>
      <w:pPr>
        <w:ind w:firstLine="713"/>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Fair Value of Assets and Liabilities Acquired and Identification of Associated Goodwill and Intangible Assets. </w:t>
      </w:r>
      <w:r>
        <w:rPr>
          <w:rFonts w:ascii="Times New Roman" w:cs="Times New Roman" w:eastAsia="Times New Roman" w:hAnsi="Times New Roman"/>
          <w:sz w:val="20"/>
          <w:szCs w:val="20"/>
          <w:color w:val="auto"/>
        </w:rPr>
        <w:t>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accordance with Financial 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207" w:lineRule="exact"/>
        <w:rPr>
          <w:sz w:val="20"/>
          <w:szCs w:val="20"/>
          <w:color w:val="auto"/>
        </w:rPr>
      </w:pPr>
    </w:p>
    <w:p>
      <w:pPr>
        <w:ind w:right="340" w:firstLine="713"/>
        <w:spacing w:after="0" w:line="258" w:lineRule="auto"/>
        <w:rPr>
          <w:sz w:val="20"/>
          <w:szCs w:val="20"/>
          <w:color w:val="auto"/>
        </w:rPr>
      </w:pPr>
      <w:r>
        <w:rPr>
          <w:rFonts w:ascii="Times New Roman" w:cs="Times New Roman" w:eastAsia="Times New Roman" w:hAnsi="Times New Roman"/>
          <w:sz w:val="20"/>
          <w:szCs w:val="20"/>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ectPr>
          <w:pgSz w:w="11880" w:h="15480" w:orient="portrait"/>
          <w:cols w:equalWidth="0" w:num="1">
            <w:col w:w="10140"/>
          </w:cols>
          <w:pgMar w:left="860"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140"/>
          </w:cols>
          <w:pgMar w:left="860" w:top="675" w:right="880" w:bottom="0" w:gutter="0" w:footer="0" w:header="0"/>
          <w:type w:val="continuous"/>
        </w:sectPr>
      </w:pPr>
    </w:p>
    <w:bookmarkStart w:id="87" w:name="page88"/>
    <w:bookmarkEnd w:id="87"/>
    <w:p>
      <w:pPr>
        <w:ind w:firstLine="713"/>
        <w:spacing w:after="0" w:line="261" w:lineRule="auto"/>
        <w:rPr>
          <w:sz w:val="20"/>
          <w:szCs w:val="20"/>
          <w:color w:val="auto"/>
        </w:rPr>
      </w:pPr>
      <w:r>
        <w:rPr>
          <w:rFonts w:ascii="Times New Roman" w:cs="Times New Roman" w:eastAsia="Times New Roman" w:hAnsi="Times New Roman"/>
          <w:sz w:val="19"/>
          <w:szCs w:val="19"/>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of the purchase price. We and Enbridge are now the sole owners of Cactus II, with 70% and 30% respective ownership interests. We previously accounted for our 65% interest in Cactus</w:t>
      </w:r>
    </w:p>
    <w:p>
      <w:pPr>
        <w:ind w:right="300" w:firstLine="1"/>
        <w:spacing w:after="0" w:line="255" w:lineRule="auto"/>
        <w:tabs>
          <w:tab w:leader="none" w:pos="18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204" w:lineRule="exact"/>
        <w:rPr>
          <w:sz w:val="20"/>
          <w:szCs w:val="20"/>
          <w:color w:val="auto"/>
        </w:rPr>
      </w:pPr>
    </w:p>
    <w:p>
      <w:pPr>
        <w:jc w:val="both"/>
        <w:ind w:right="40" w:firstLine="713"/>
        <w:spacing w:after="0" w:line="263" w:lineRule="auto"/>
        <w:rPr>
          <w:sz w:val="20"/>
          <w:szCs w:val="20"/>
          <w:color w:val="auto"/>
        </w:rPr>
      </w:pPr>
      <w:r>
        <w:rPr>
          <w:rFonts w:ascii="Times New Roman" w:cs="Times New Roman" w:eastAsia="Times New Roman" w:hAnsi="Times New Roman"/>
          <w:sz w:val="20"/>
          <w:szCs w:val="20"/>
          <w:color w:val="auto"/>
        </w:rPr>
        <w:t>In October 2021, we and Oryx Midstream completed the formation of the Permian JV.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91"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Fair Value of Derivatives. </w:t>
      </w:r>
      <w:r>
        <w:rPr>
          <w:rFonts w:ascii="Times New Roman" w:cs="Times New Roman" w:eastAsia="Times New Roman" w:hAnsi="Times New Roman"/>
          <w:sz w:val="20"/>
          <w:szCs w:val="20"/>
          <w:color w:val="auto"/>
        </w:rPr>
        <w:t>The fair value of a derivative at a particular period end does not reflect the end results of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particular transaction, and will most likely not reflect the gain or loss at the conclusion of a transaction. We reflect estimates for these items based on our internal records and information from third parties. We have commodity derivatives and interest rate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206" w:lineRule="exact"/>
        <w:rPr>
          <w:sz w:val="20"/>
          <w:szCs w:val="20"/>
          <w:color w:val="auto"/>
        </w:rPr>
      </w:pPr>
    </w:p>
    <w:p>
      <w:pPr>
        <w:ind w:right="180" w:firstLine="713"/>
        <w:spacing w:after="0" w:line="255" w:lineRule="auto"/>
        <w:rPr>
          <w:sz w:val="20"/>
          <w:szCs w:val="20"/>
          <w:color w:val="auto"/>
        </w:rPr>
      </w:pPr>
      <w:r>
        <w:rPr>
          <w:rFonts w:ascii="Times New Roman" w:cs="Times New Roman" w:eastAsia="Times New Roman" w:hAnsi="Times New Roman"/>
          <w:sz w:val="20"/>
          <w:szCs w:val="20"/>
          <w:color w:val="auto"/>
        </w:rPr>
        <w:t>The Preferred Distribution Rate Reset Option of our Series A preferred units is an embedded derivative that is recorded at fair value in our Consolidated Balance Sheets. The valuation model utilized for this embedded derivative contains multiple inputs, some of which involve management judgment, including our common unit price, ten-year United States treasury rates, default probabilities and timing estimates to ultimately calculate the fair value of our Series A preferred units with and without the Preferred Distribution Rate Reset Option.</w:t>
      </w:r>
    </w:p>
    <w:p>
      <w:pPr>
        <w:spacing w:after="0" w:line="204" w:lineRule="exact"/>
        <w:rPr>
          <w:sz w:val="20"/>
          <w:szCs w:val="20"/>
          <w:color w:val="auto"/>
        </w:rPr>
      </w:pPr>
    </w:p>
    <w:p>
      <w:pPr>
        <w:ind w:right="240" w:firstLine="713"/>
        <w:spacing w:after="0" w:line="258" w:lineRule="auto"/>
        <w:rPr>
          <w:sz w:val="20"/>
          <w:szCs w:val="20"/>
          <w:color w:val="auto"/>
        </w:rPr>
      </w:pPr>
      <w:r>
        <w:rPr>
          <w:rFonts w:ascii="Times New Roman" w:cs="Times New Roman" w:eastAsia="Times New Roman" w:hAnsi="Times New Roman"/>
          <w:sz w:val="20"/>
          <w:szCs w:val="20"/>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196" w:lineRule="exact"/>
        <w:rPr>
          <w:sz w:val="20"/>
          <w:szCs w:val="20"/>
          <w:color w:val="auto"/>
        </w:rPr>
      </w:pPr>
    </w:p>
    <w:p>
      <w:pPr>
        <w:ind w:firstLine="713"/>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Accruals and Contingent Liabilities. </w:t>
      </w:r>
      <w:r>
        <w:rPr>
          <w:rFonts w:ascii="Times New Roman" w:cs="Times New Roman" w:eastAsia="Times New Roman" w:hAnsi="Times New Roman"/>
          <w:sz w:val="20"/>
          <w:szCs w:val="20"/>
          <w:color w:val="auto"/>
        </w:rPr>
        <w:t>We record accruals or liabilities for, among other things, environmental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remediation, potential legal claims or 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$16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08" w:lineRule="exact"/>
        <w:rPr>
          <w:sz w:val="20"/>
          <w:szCs w:val="20"/>
          <w:color w:val="auto"/>
        </w:rPr>
      </w:pPr>
    </w:p>
    <w:p>
      <w:pPr>
        <w:ind w:firstLine="713"/>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Property and Equipment, Depreciation and Amortization Expense and Asset Retirement Obligations. </w:t>
      </w:r>
      <w:r>
        <w:rPr>
          <w:rFonts w:ascii="Times New Roman" w:cs="Times New Roman" w:eastAsia="Times New Roman" w:hAnsi="Times New Roman"/>
          <w:sz w:val="20"/>
          <w:szCs w:val="20"/>
          <w:color w:val="auto"/>
        </w:rPr>
        <w:t>We compute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depreciation and amortization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ectPr>
          <w:pgSz w:w="11880" w:h="15480" w:orient="portrait"/>
          <w:cols w:equalWidth="0" w:num="1">
            <w:col w:w="10140"/>
          </w:cols>
          <w:pgMar w:left="860" w:top="683" w:right="88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140"/>
          </w:cols>
          <w:pgMar w:left="860" w:top="683" w:right="880" w:bottom="0" w:gutter="0" w:footer="0" w:header="0"/>
          <w:type w:val="continuous"/>
        </w:sectPr>
      </w:pPr>
    </w:p>
    <w:bookmarkStart w:id="88" w:name="page89"/>
    <w:bookmarkEnd w:id="88"/>
    <w:p>
      <w:pPr>
        <w:ind w:firstLine="713"/>
        <w:spacing w:after="0" w:line="252" w:lineRule="auto"/>
        <w:rPr>
          <w:sz w:val="20"/>
          <w:szCs w:val="20"/>
          <w:color w:val="auto"/>
        </w:rPr>
      </w:pPr>
      <w:r>
        <w:rPr>
          <w:rFonts w:ascii="Times New Roman" w:cs="Times New Roman" w:eastAsia="Times New Roman" w:hAnsi="Times New Roman"/>
          <w:sz w:val="20"/>
          <w:szCs w:val="20"/>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$6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07" w:lineRule="exact"/>
        <w:rPr>
          <w:sz w:val="20"/>
          <w:szCs w:val="20"/>
          <w:color w:val="auto"/>
        </w:rPr>
      </w:pPr>
    </w:p>
    <w:p>
      <w:pPr>
        <w:ind w:right="220" w:firstLine="713"/>
        <w:spacing w:after="0" w:line="263" w:lineRule="auto"/>
        <w:rPr>
          <w:sz w:val="20"/>
          <w:szCs w:val="20"/>
          <w:color w:val="auto"/>
        </w:rPr>
      </w:pPr>
      <w:r>
        <w:rPr>
          <w:rFonts w:ascii="Times New Roman" w:cs="Times New Roman" w:eastAsia="Times New Roman" w:hAnsi="Times New Roman"/>
          <w:sz w:val="20"/>
          <w:szCs w:val="20"/>
          <w:color w:val="auto"/>
        </w:rPr>
        <w:t>See Note 6 and Note 10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spacing w:after="0" w:line="191" w:lineRule="exact"/>
        <w:rPr>
          <w:sz w:val="20"/>
          <w:szCs w:val="20"/>
          <w:color w:val="auto"/>
        </w:rPr>
      </w:pPr>
    </w:p>
    <w:p>
      <w:pPr>
        <w:ind w:right="80" w:firstLine="71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 xml:space="preserve">Impairment Assessments of Property and Equipment, Investments in Unconsolidated Entities and Intangible Assets. </w:t>
      </w:r>
      <w:r>
        <w:rPr>
          <w:rFonts w:ascii="Times New Roman" w:cs="Times New Roman" w:eastAsia="Times New Roman" w:hAnsi="Times New Roman"/>
          <w:sz w:val="19"/>
          <w:szCs w:val="19"/>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86" w:lineRule="exact"/>
        <w:rPr>
          <w:sz w:val="20"/>
          <w:szCs w:val="20"/>
          <w:color w:val="auto"/>
        </w:rPr>
      </w:pPr>
    </w:p>
    <w:p>
      <w:pPr>
        <w:ind w:left="1080" w:hanging="366"/>
        <w:spacing w:after="0"/>
        <w:tabs>
          <w:tab w:leader="none" w:pos="10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there is an event or circumstance that may be indicative of an impairment;</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grouping of assets;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intention of “holding”, “abandoning” or “selling” an asset;</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forecast of undiscounted expected future cash flow over the asset’s estimated useful life; and</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impairment exists, the fair value of the asset or asset group.</w:t>
      </w:r>
    </w:p>
    <w:p>
      <w:pPr>
        <w:spacing w:after="0" w:line="245" w:lineRule="exact"/>
        <w:rPr>
          <w:sz w:val="20"/>
          <w:szCs w:val="20"/>
          <w:color w:val="auto"/>
        </w:rPr>
      </w:pPr>
    </w:p>
    <w:p>
      <w:pPr>
        <w:ind w:right="340" w:firstLine="713"/>
        <w:spacing w:after="0" w:line="278" w:lineRule="auto"/>
        <w:rPr>
          <w:sz w:val="20"/>
          <w:szCs w:val="20"/>
          <w:color w:val="auto"/>
        </w:rPr>
      </w:pPr>
      <w:r>
        <w:rPr>
          <w:rFonts w:ascii="Times New Roman" w:cs="Times New Roman" w:eastAsia="Times New Roman" w:hAnsi="Times New Roman"/>
          <w:sz w:val="20"/>
          <w:szCs w:val="20"/>
          <w:color w:val="auto"/>
        </w:rPr>
        <w:t>In addition, when we evaluate property and equipment and other long-lived assets for recoverability, it may also be necessary to review related depreciation estimates and methods.</w:t>
      </w:r>
    </w:p>
    <w:p>
      <w:pPr>
        <w:spacing w:after="0" w:line="180" w:lineRule="exact"/>
        <w:rPr>
          <w:sz w:val="20"/>
          <w:szCs w:val="20"/>
          <w:color w:val="auto"/>
        </w:rPr>
      </w:pPr>
    </w:p>
    <w:p>
      <w:pPr>
        <w:ind w:firstLine="713"/>
        <w:spacing w:after="0" w:line="253" w:lineRule="auto"/>
        <w:rPr>
          <w:sz w:val="20"/>
          <w:szCs w:val="20"/>
          <w:color w:val="auto"/>
        </w:rPr>
      </w:pPr>
      <w:r>
        <w:rPr>
          <w:rFonts w:ascii="Times New Roman" w:cs="Times New Roman" w:eastAsia="Times New Roman" w:hAnsi="Times New Roman"/>
          <w:sz w:val="20"/>
          <w:szCs w:val="20"/>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194" w:lineRule="exact"/>
        <w:rPr>
          <w:sz w:val="20"/>
          <w:szCs w:val="20"/>
          <w:color w:val="auto"/>
        </w:rPr>
      </w:pPr>
    </w:p>
    <w:p>
      <w:pPr>
        <w:ind w:left="1080" w:hanging="366"/>
        <w:spacing w:after="0"/>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there is an event or circumstance that may be indicative of a decline in value of the investment;</w:t>
      </w:r>
    </w:p>
    <w:p>
      <w:pPr>
        <w:spacing w:after="0" w:line="11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decline in value is other than temporary; and</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 of the investment.</w:t>
      </w:r>
    </w:p>
    <w:p>
      <w:pPr>
        <w:spacing w:after="0" w:line="245"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208" w:lineRule="exact"/>
        <w:rPr>
          <w:sz w:val="20"/>
          <w:szCs w:val="20"/>
          <w:color w:val="auto"/>
        </w:rPr>
      </w:pPr>
    </w:p>
    <w:p>
      <w:pPr>
        <w:ind w:right="480" w:firstLine="713"/>
        <w:spacing w:after="0" w:line="263" w:lineRule="auto"/>
        <w:rPr>
          <w:sz w:val="20"/>
          <w:szCs w:val="20"/>
          <w:color w:val="auto"/>
        </w:rPr>
      </w:pPr>
      <w:r>
        <w:rPr>
          <w:rFonts w:ascii="Times New Roman" w:cs="Times New Roman" w:eastAsia="Times New Roman" w:hAnsi="Times New Roman"/>
          <w:sz w:val="20"/>
          <w:szCs w:val="20"/>
          <w:color w:val="auto"/>
        </w:rPr>
        <w:t>A change in our outlook or use could result in impairments that may be material to our results of operations or financial condition. See “—Executive Summary— Market Overview and Outlook” and Note 6, Note 9 and Note 10 to our Consolidated Financial Statements for additional information.</w:t>
      </w:r>
    </w:p>
    <w:p>
      <w:pPr>
        <w:sectPr>
          <w:pgSz w:w="11880" w:h="15480" w:orient="portrait"/>
          <w:cols w:equalWidth="0" w:num="1">
            <w:col w:w="10160"/>
          </w:cols>
          <w:pgMar w:left="860" w:top="68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160"/>
          </w:cols>
          <w:pgMar w:left="860" w:top="683" w:right="860" w:bottom="0" w:gutter="0" w:footer="0" w:header="0"/>
          <w:type w:val="continuous"/>
        </w:sectPr>
      </w:pPr>
    </w:p>
    <w:bookmarkStart w:id="89" w:name="page90"/>
    <w:bookmarkEnd w:id="89"/>
    <w:p>
      <w:pPr>
        <w:ind w:right="20" w:firstLine="713"/>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Inventory Valuations. </w:t>
      </w:r>
      <w:r>
        <w:rPr>
          <w:rFonts w:ascii="Times New Roman" w:cs="Times New Roman" w:eastAsia="Times New Roman" w:hAnsi="Times New Roman"/>
          <w:sz w:val="20"/>
          <w:szCs w:val="20"/>
          <w:color w:val="auto"/>
        </w:rPr>
        <w:t>Inventory, including long-term inventory, primarily consists of crude oil and NGL and is valued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at the lower of 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2022 and 2021, we did not record any charges related to the valuation adjustment of our inventory. During the year ended December 31, 2020, we recorded charges of $233 million related to the valuation adjustment of our crude oil inventory due to declines in prices. See Note 5 to our Consolidated Financial Statements for further discussion regarding inventory.</w:t>
      </w:r>
    </w:p>
    <w:p>
      <w:pPr>
        <w:spacing w:after="0" w:line="208" w:lineRule="exact"/>
        <w:rPr>
          <w:sz w:val="20"/>
          <w:szCs w:val="20"/>
          <w:color w:val="auto"/>
        </w:rPr>
      </w:pPr>
    </w:p>
    <w:p>
      <w:pPr>
        <w:ind w:right="20" w:firstLine="713"/>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Line 901 Incident Insurance Receivable. </w:t>
      </w:r>
      <w:r>
        <w:rPr>
          <w:rFonts w:ascii="Times New Roman" w:cs="Times New Roman" w:eastAsia="Times New Roman" w:hAnsi="Times New Roman"/>
          <w:sz w:val="19"/>
          <w:szCs w:val="19"/>
          <w:color w:val="auto"/>
        </w:rPr>
        <w:t>In May 2015, we experienced a crude oil release from our Las Flores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Gaviota Pipeline (Line 901) in Santa Barbara County, California. We have estimated that the aggregate total costs we have incurred or will incur with respect to the Line 901 incident will be approximately $740 million, which includes actual and projected emergency response and clean-up costs, natural resource damage assessments, fines and penalties payable pursuant to the Consent Decree, certain third-party claims settlements, and estimated costs associated with our remaining Line 901 lawsuits and claims, as well as estimates for certain legal fees and statutory interest where applicable. As of December 31, 2022, we have recognized a long-term receivable of approximately $225 million for the portion of the release costs that we believe is probable of recovery from insurance, net of deductibles and amounts already collected. In the fourth quarter of 2022, insurers responsible for the majority of our remaining insurance coverage formally communicated a denial of coverage. We intend to vigorously pursue recovery from our insurers of all amounts for which we have claimed reimbursement. We believe that our claim for reimbursement from our insurers is strong and that our ultimate recovery of such amounts is probable.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We cannot provide assurance that actual receivable amounts will not vary significantly from our estimated amounts. See Note 19 to our Consolidated Financial Statements for further discussion regarding the Line 901 incident and our related insurance receivable.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52" w:lineRule="exact"/>
        <w:rPr>
          <w:sz w:val="20"/>
          <w:szCs w:val="20"/>
          <w:color w:val="auto"/>
        </w:rPr>
      </w:pPr>
    </w:p>
    <w:p>
      <w:pPr>
        <w:ind w:right="740" w:firstLine="713"/>
        <w:spacing w:after="0" w:line="278" w:lineRule="auto"/>
        <w:rPr>
          <w:sz w:val="20"/>
          <w:szCs w:val="20"/>
          <w:color w:val="auto"/>
        </w:rPr>
      </w:pPr>
      <w:r>
        <w:rPr>
          <w:rFonts w:ascii="Times New Roman" w:cs="Times New Roman" w:eastAsia="Times New Roman" w:hAnsi="Times New Roman"/>
          <w:sz w:val="20"/>
          <w:szCs w:val="20"/>
          <w:color w:val="auto"/>
        </w:rPr>
        <w:t>See Note 2 to our Consolidated Financial Statements for information regarding the effect of recent accounting pronouncements on our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2"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Commodity Price Risk</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use derivative instruments to hedge price risk associated with the following commodities:</w:t>
      </w:r>
    </w:p>
    <w:p>
      <w:pPr>
        <w:spacing w:after="0" w:line="123" w:lineRule="exact"/>
        <w:rPr>
          <w:sz w:val="20"/>
          <w:szCs w:val="20"/>
          <w:color w:val="auto"/>
        </w:rPr>
      </w:pPr>
    </w:p>
    <w:p>
      <w:pPr>
        <w:ind w:left="1080" w:hanging="366"/>
        <w:spacing w:after="0"/>
        <w:tabs>
          <w:tab w:leader="none" w:pos="1080" w:val="left"/>
        </w:tabs>
        <w:numPr>
          <w:ilvl w:val="0"/>
          <w:numId w:val="6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Crude oil</w:t>
      </w:r>
    </w:p>
    <w:p>
      <w:pPr>
        <w:spacing w:after="0" w:line="248" w:lineRule="exact"/>
        <w:rPr>
          <w:rFonts w:ascii="Times New Roman" w:cs="Times New Roman" w:eastAsia="Times New Roman" w:hAnsi="Times New Roman"/>
          <w:sz w:val="14"/>
          <w:szCs w:val="14"/>
          <w:b w:val="1"/>
          <w:bCs w:val="1"/>
          <w:i w:val="1"/>
          <w:iCs w:val="1"/>
          <w:color w:val="auto"/>
        </w:rPr>
      </w:pPr>
    </w:p>
    <w:p>
      <w:pPr>
        <w:ind w:left="1080" w:right="60"/>
        <w:spacing w:after="0" w:line="258"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20"/>
          <w:szCs w:val="20"/>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ectPr>
          <w:pgSz w:w="11880" w:h="15480" w:orient="portrait"/>
          <w:cols w:equalWidth="0" w:num="1">
            <w:col w:w="10160"/>
          </w:cols>
          <w:pgMar w:left="860" w:top="68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160"/>
          </w:cols>
          <w:pgMar w:left="860" w:top="680" w:right="860" w:bottom="0" w:gutter="0" w:footer="0" w:header="0"/>
          <w:type w:val="continuous"/>
        </w:sectPr>
      </w:pPr>
    </w:p>
    <w:bookmarkStart w:id="90" w:name="page91"/>
    <w:bookmarkEnd w:id="90"/>
    <w:p>
      <w:pPr>
        <w:ind w:left="1080" w:hanging="366"/>
        <w:spacing w:after="0"/>
        <w:tabs>
          <w:tab w:leader="none" w:pos="10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b w:val="1"/>
          <w:bCs w:val="1"/>
          <w:i w:val="1"/>
          <w:iCs w:val="1"/>
          <w:u w:val="single" w:color="auto"/>
          <w:color w:val="auto"/>
        </w:rPr>
        <w:t>Natural gas</w:t>
      </w:r>
    </w:p>
    <w:p>
      <w:pPr>
        <w:spacing w:after="0" w:line="248" w:lineRule="exact"/>
        <w:rPr>
          <w:rFonts w:ascii="Times New Roman" w:cs="Times New Roman" w:eastAsia="Times New Roman" w:hAnsi="Times New Roman"/>
          <w:sz w:val="14"/>
          <w:szCs w:val="14"/>
          <w:color w:val="auto"/>
        </w:rPr>
      </w:pPr>
    </w:p>
    <w:p>
      <w:pPr>
        <w:ind w:left="1080" w:right="200"/>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96" w:lineRule="exact"/>
        <w:rPr>
          <w:rFonts w:ascii="Times New Roman" w:cs="Times New Roman" w:eastAsia="Times New Roman" w:hAnsi="Times New Roman"/>
          <w:sz w:val="14"/>
          <w:szCs w:val="14"/>
          <w:color w:val="auto"/>
        </w:rPr>
      </w:pPr>
    </w:p>
    <w:p>
      <w:pPr>
        <w:ind w:left="1080" w:hanging="366"/>
        <w:spacing w:after="0"/>
        <w:tabs>
          <w:tab w:leader="none" w:pos="10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b w:val="1"/>
          <w:bCs w:val="1"/>
          <w:i w:val="1"/>
          <w:iCs w:val="1"/>
          <w:u w:val="single" w:color="auto"/>
          <w:color w:val="auto"/>
        </w:rPr>
        <w:t>NGL and other</w:t>
      </w:r>
    </w:p>
    <w:p>
      <w:pPr>
        <w:spacing w:after="0" w:line="248" w:lineRule="exact"/>
        <w:rPr>
          <w:rFonts w:ascii="Times New Roman" w:cs="Times New Roman" w:eastAsia="Times New Roman" w:hAnsi="Times New Roman"/>
          <w:sz w:val="14"/>
          <w:szCs w:val="14"/>
          <w:color w:val="auto"/>
        </w:rPr>
      </w:pPr>
    </w:p>
    <w:p>
      <w:pPr>
        <w:ind w:left="1080" w:right="14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203" w:lineRule="exact"/>
        <w:rPr>
          <w:sz w:val="20"/>
          <w:szCs w:val="20"/>
          <w:color w:val="auto"/>
        </w:rPr>
      </w:pPr>
    </w:p>
    <w:p>
      <w:pPr>
        <w:ind w:right="480" w:firstLine="713"/>
        <w:spacing w:after="0" w:line="278" w:lineRule="auto"/>
        <w:rPr>
          <w:sz w:val="20"/>
          <w:szCs w:val="20"/>
          <w:color w:val="auto"/>
        </w:rPr>
      </w:pPr>
      <w:r>
        <w:rPr>
          <w:rFonts w:ascii="Times New Roman" w:cs="Times New Roman" w:eastAsia="Times New Roman" w:hAnsi="Times New Roman"/>
          <w:sz w:val="20"/>
          <w:szCs w:val="20"/>
          <w:color w:val="auto"/>
        </w:rPr>
        <w:t>See Note 13 to our Consolidated Financial Statements for further discussion regarding our hedging strategies and objectives.</w:t>
      </w:r>
    </w:p>
    <w:p>
      <w:pPr>
        <w:spacing w:after="0" w:line="180" w:lineRule="exact"/>
        <w:rPr>
          <w:sz w:val="20"/>
          <w:szCs w:val="20"/>
          <w:color w:val="auto"/>
        </w:rPr>
      </w:pPr>
    </w:p>
    <w:p>
      <w:pPr>
        <w:ind w:right="540" w:firstLine="713"/>
        <w:spacing w:after="0" w:line="278" w:lineRule="auto"/>
        <w:rPr>
          <w:sz w:val="20"/>
          <w:szCs w:val="20"/>
          <w:color w:val="auto"/>
        </w:rPr>
      </w:pPr>
      <w:r>
        <w:rPr>
          <w:rFonts w:ascii="Times New Roman" w:cs="Times New Roman" w:eastAsia="Times New Roman" w:hAnsi="Times New Roman"/>
          <w:sz w:val="20"/>
          <w:szCs w:val="20"/>
          <w:color w:val="auto"/>
        </w:rPr>
        <w:t>The fair value of our commodity derivatives and the change in fair value as of December 31, 2022 that would be expected from a 10% price increase or decrease is shown in the table below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w w:val="97"/>
              </w:rPr>
              <w:t>Effect of 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9"/>
              </w:rPr>
              <w:t>Effect of 10%</w:t>
            </w:r>
          </w:p>
        </w:tc>
        <w:tc>
          <w:tcPr>
            <w:tcW w:w="0" w:type="dxa"/>
            <w:vAlign w:val="bottom"/>
          </w:tcPr>
          <w:p>
            <w:pPr>
              <w:spacing w:after="0"/>
              <w:rPr>
                <w:sz w:val="1"/>
                <w:szCs w:val="1"/>
                <w:color w:val="auto"/>
              </w:rPr>
            </w:pPr>
          </w:p>
        </w:tc>
      </w:tr>
      <w:tr>
        <w:trPr>
          <w:trHeight w:val="212"/>
        </w:trPr>
        <w:tc>
          <w:tcPr>
            <w:tcW w:w="612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w w:val="96"/>
              </w:rPr>
              <w:t>Price Increase</w:t>
            </w:r>
          </w:p>
        </w:tc>
        <w:tc>
          <w:tcPr>
            <w:tcW w:w="80" w:type="dxa"/>
            <w:vAlign w:val="bottom"/>
            <w:tcBorders>
              <w:bottom w:val="single" w:sz="8" w:color="E6E6E6"/>
            </w:tcBorders>
          </w:tcPr>
          <w:p>
            <w:pPr>
              <w:spacing w:after="0"/>
              <w:rPr>
                <w:sz w:val="18"/>
                <w:szCs w:val="18"/>
                <w:color w:val="auto"/>
              </w:rPr>
            </w:pPr>
          </w:p>
        </w:tc>
        <w:tc>
          <w:tcPr>
            <w:tcW w:w="1300" w:type="dxa"/>
            <w:vAlign w:val="bottom"/>
            <w:tcBorders>
              <w:bottom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Price Decrease</w:t>
            </w:r>
          </w:p>
        </w:tc>
        <w:tc>
          <w:tcPr>
            <w:tcW w:w="0" w:type="dxa"/>
            <w:vAlign w:val="bottom"/>
          </w:tcPr>
          <w:p>
            <w:pPr>
              <w:spacing w:after="0"/>
              <w:rPr>
                <w:sz w:val="1"/>
                <w:szCs w:val="1"/>
                <w:color w:val="auto"/>
              </w:rPr>
            </w:pPr>
          </w:p>
        </w:tc>
      </w:tr>
      <w:tr>
        <w:trPr>
          <w:trHeight w:val="287"/>
        </w:trPr>
        <w:tc>
          <w:tcPr>
            <w:tcW w:w="61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Crude oil</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2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91"/>
        </w:trPr>
        <w:tc>
          <w:tcPr>
            <w:tcW w:w="6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Natural gas</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93"/>
        </w:trPr>
        <w:tc>
          <w:tcPr>
            <w:tcW w:w="61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NGL and other</w:t>
            </w:r>
          </w:p>
        </w:tc>
        <w:tc>
          <w:tcPr>
            <w:tcW w:w="22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240" w:type="dxa"/>
            <w:vAlign w:val="bottom"/>
            <w:tcBorders>
              <w:bottom w:val="single" w:sz="8" w:color="E6E6E6"/>
            </w:tcBorders>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40" w:type="dxa"/>
            <w:vAlign w:val="bottom"/>
            <w:tcBorders>
              <w:bottom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57"/>
        </w:trPr>
        <w:tc>
          <w:tcPr>
            <w:tcW w:w="6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fair value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3877945</wp:posOffset>
            </wp:positionH>
            <wp:positionV relativeFrom="paragraph">
              <wp:posOffset>-797560</wp:posOffset>
            </wp:positionV>
            <wp:extent cx="2593340" cy="50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1">
                      <a:extLst>
                        <a:ext uri="{28A0092B-C50C-407E-A947-70E740481C1C}"/>
                      </a:extLst>
                    </a:blip>
                    <a:srcRect/>
                    <a:stretch>
                      <a:fillRect/>
                    </a:stretch>
                  </pic:blipFill>
                  <pic:spPr bwMode="auto">
                    <a:xfrm>
                      <a:off x="0" y="0"/>
                      <a:ext cx="25933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-231775</wp:posOffset>
            </wp:positionV>
            <wp:extent cx="870585" cy="50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2">
                      <a:extLst>
                        <a:ext uri="{28A0092B-C50C-407E-A947-70E740481C1C}"/>
                      </a:extLst>
                    </a:blip>
                    <a:srcRect/>
                    <a:stretch>
                      <a:fillRect/>
                    </a:stretch>
                  </pic:blipFill>
                  <pic:spPr bwMode="auto">
                    <a:xfrm>
                      <a:off x="0" y="0"/>
                      <a:ext cx="870585" cy="50165"/>
                    </a:xfrm>
                    <a:prstGeom prst="rect">
                      <a:avLst/>
                    </a:prstGeom>
                    <a:noFill/>
                  </pic:spPr>
                </pic:pic>
              </a:graphicData>
            </a:graphic>
          </wp:anchor>
        </w:drawing>
      </w:r>
    </w:p>
    <w:p>
      <w:pPr>
        <w:spacing w:after="0" w:line="225" w:lineRule="exact"/>
        <w:rPr>
          <w:sz w:val="20"/>
          <w:szCs w:val="20"/>
          <w:color w:val="auto"/>
        </w:rPr>
      </w:pPr>
    </w:p>
    <w:p>
      <w:pPr>
        <w:ind w:right="60" w:firstLine="713"/>
        <w:spacing w:after="0" w:line="254" w:lineRule="auto"/>
        <w:rPr>
          <w:sz w:val="20"/>
          <w:szCs w:val="20"/>
          <w:color w:val="auto"/>
        </w:rPr>
      </w:pPr>
      <w:r>
        <w:rPr>
          <w:rFonts w:ascii="Times New Roman" w:cs="Times New Roman" w:eastAsia="Times New Roman" w:hAnsi="Times New Roman"/>
          <w:sz w:val="20"/>
          <w:szCs w:val="20"/>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52" w:lineRule="exact"/>
        <w:rPr>
          <w:sz w:val="20"/>
          <w:szCs w:val="20"/>
          <w:color w:val="auto"/>
        </w:rPr>
      </w:pPr>
    </w:p>
    <w:p>
      <w:pPr>
        <w:ind w:right="20" w:firstLine="713"/>
        <w:spacing w:after="0" w:line="251" w:lineRule="auto"/>
        <w:rPr>
          <w:sz w:val="20"/>
          <w:szCs w:val="20"/>
          <w:color w:val="auto"/>
        </w:rPr>
      </w:pPr>
      <w:r>
        <w:rPr>
          <w:rFonts w:ascii="Times New Roman" w:cs="Times New Roman" w:eastAsia="Times New Roman" w:hAnsi="Times New Roman"/>
          <w:sz w:val="20"/>
          <w:szCs w:val="20"/>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We did not have any variable rate debt outstanding at December 31, 2022. The average interest rate on variable rate debt that was outstanding during the year ended December 31, 2022 was 1.9%, based upon rates in effect during the year. The fair value of our interest rate derivatives was an asset of $120 million as of December 31, 2022. A 10% increase in the forward LIBOR curve as of December 31, 2022 would have resulted in an increase of $18 million to the fair value of our interest rate derivatives. A 10% decrease in the forward LIBOR curve as of December 31, 2022 would have resulted in a decrease of $18 million to the fair value of our interest rate derivatives. See Note 13 to our Consolidated Financial Statements for a discussion of our interest rate risk hedging activities.</w:t>
      </w:r>
    </w:p>
    <w:p>
      <w:pPr>
        <w:sectPr>
          <w:pgSz w:w="11880" w:h="15480" w:orient="portrait"/>
          <w:cols w:equalWidth="0" w:num="1">
            <w:col w:w="10160"/>
          </w:cols>
          <w:pgMar w:left="860" w:top="68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160"/>
          </w:cols>
          <w:pgMar w:left="860" w:top="680" w:right="86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auto"/>
        </w:rPr>
        <w:t>Preferred Distribution Rate Reset Option</w:t>
      </w:r>
    </w:p>
    <w:p>
      <w:pPr>
        <w:spacing w:after="0" w:line="252" w:lineRule="exact"/>
        <w:rPr>
          <w:sz w:val="20"/>
          <w:szCs w:val="20"/>
          <w:color w:val="auto"/>
        </w:rPr>
      </w:pPr>
    </w:p>
    <w:p>
      <w:pPr>
        <w:ind w:right="80" w:firstLine="713"/>
        <w:spacing w:after="0" w:line="250" w:lineRule="auto"/>
        <w:rPr>
          <w:sz w:val="20"/>
          <w:szCs w:val="20"/>
          <w:color w:val="auto"/>
        </w:rPr>
      </w:pPr>
      <w:r>
        <w:rPr>
          <w:rFonts w:ascii="Times New Roman" w:cs="Times New Roman" w:eastAsia="Times New Roman" w:hAnsi="Times New Roman"/>
          <w:sz w:val="20"/>
          <w:szCs w:val="20"/>
          <w:color w:val="auto"/>
        </w:rPr>
        <w:t>The Preferred Distribution Rate Reset Option of our Series A preferred units is an embedded derivative that must be bifurcated from the related host contract, our partnership agreement, and recorded at fair value in our Consolidated Balance Sheets. The valuation model utilized for this embedded derivative contains multiple inputs, including our common unit price, ten-year United States treasury rates, default probabilities and timing estimates to ultimately calculate the fair value of our Series A preferred units with and without the Preferred Distribution Rate Reset Option. The fair value of this embedded derivative was a liability of $189 million as of December 31, 2022. The ten-year U.S. Treasury rate as of December 31, 2022 was 3.88%. An increase in the ten-year U.S. Treasury rate curve of 10%, holding other inputs constant, would result in an increase in both expense and our liability of $33 million. A decrease in the ten-year U.S. Treasury rate curve of 10%, holding other inputs constant, would result in a decrease in both expense and our liability of $39 million. See Note 13 to our Consolidated Financial Statements for a discussion of embedded derivatives. In January 2023, we received notice that the Series A preferred unitholders elected the Preferred Distribution Rate Reset Option, which will be effective for the distribution paid in May 2023. See Note 12 to our Consolidated Financial Statements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i w:val="1"/>
          <w:iCs w:val="1"/>
          <w:color w:val="auto"/>
        </w:rPr>
        <w:t>Financial Statements and Supplementary Data</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“Index to the Consolidated Financial Statements” on page F-1.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 </w:t>
      </w:r>
      <w:r>
        <w:rPr>
          <w:rFonts w:ascii="Times New Roman" w:cs="Times New Roman" w:eastAsia="Times New Roman" w:hAnsi="Times New Roman"/>
          <w:sz w:val="20"/>
          <w:szCs w:val="20"/>
          <w:b w:val="1"/>
          <w:bCs w:val="1"/>
          <w:i w:val="1"/>
          <w:iCs w:val="1"/>
          <w:color w:val="auto"/>
        </w:rPr>
        <w:t>Changes In and Disagreements With Accountants on Accounting and Financial Disclosure</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9A. </w:t>
      </w:r>
      <w:r>
        <w:rPr>
          <w:rFonts w:ascii="Times New Roman" w:cs="Times New Roman" w:eastAsia="Times New Roman" w:hAnsi="Times New Roman"/>
          <w:sz w:val="20"/>
          <w:szCs w:val="20"/>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Disclosure Controls and Procedures</w:t>
      </w:r>
    </w:p>
    <w:p>
      <w:pPr>
        <w:spacing w:after="0" w:line="253" w:lineRule="exact"/>
        <w:rPr>
          <w:sz w:val="20"/>
          <w:szCs w:val="20"/>
          <w:color w:val="auto"/>
        </w:rPr>
      </w:pPr>
    </w:p>
    <w:p>
      <w:pPr>
        <w:ind w:right="160" w:firstLine="713"/>
        <w:spacing w:after="0" w:line="255" w:lineRule="auto"/>
        <w:rPr>
          <w:sz w:val="20"/>
          <w:szCs w:val="20"/>
          <w:color w:val="auto"/>
        </w:rPr>
      </w:pPr>
      <w:r>
        <w:rPr>
          <w:rFonts w:ascii="Times New Roman" w:cs="Times New Roman" w:eastAsia="Times New Roman" w:hAnsi="Times New Roman"/>
          <w:sz w:val="20"/>
          <w:szCs w:val="20"/>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204"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20"/>
          <w:szCs w:val="20"/>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2022, the end of the period covered by this report, and, based on such evaluation, our Chief Executive Officer and Chief Financial Officer have concluded that our DCP is effective.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Internal Control over Financial Reporting</w:t>
      </w:r>
    </w:p>
    <w:p>
      <w:pPr>
        <w:spacing w:after="0" w:line="253" w:lineRule="exact"/>
        <w:rPr>
          <w:sz w:val="20"/>
          <w:szCs w:val="20"/>
          <w:color w:val="auto"/>
        </w:rPr>
      </w:pPr>
    </w:p>
    <w:p>
      <w:pPr>
        <w:ind w:right="120" w:firstLine="713"/>
        <w:spacing w:after="0" w:line="268"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2022. See “Management’s Report on Internal Control Over Financial Reporting” on page F-2 of our Consolidated Financial Statements.</w:t>
      </w:r>
    </w:p>
    <w:p>
      <w:pPr>
        <w:spacing w:after="0" w:line="193" w:lineRule="exact"/>
        <w:rPr>
          <w:sz w:val="20"/>
          <w:szCs w:val="20"/>
          <w:color w:val="auto"/>
        </w:rPr>
      </w:pPr>
    </w:p>
    <w:p>
      <w:pPr>
        <w:ind w:right="140" w:firstLine="713"/>
        <w:spacing w:after="0" w:line="263" w:lineRule="auto"/>
        <w:rPr>
          <w:sz w:val="20"/>
          <w:szCs w:val="20"/>
          <w:color w:val="auto"/>
        </w:rPr>
      </w:pPr>
      <w:r>
        <w:rPr>
          <w:rFonts w:ascii="Times New Roman" w:cs="Times New Roman" w:eastAsia="Times New Roman" w:hAnsi="Times New Roman"/>
          <w:sz w:val="20"/>
          <w:szCs w:val="20"/>
          <w:color w:val="auto"/>
        </w:rPr>
        <w:t>Our independent registered public accounting firm, PricewaterhouseCoopers LLP, assessed the effectiveness of our internal control over financial reporting, as stated in the firm’s report. See “</w:t>
      </w:r>
      <w:r>
        <w:rPr>
          <w:rFonts w:ascii="Times New Roman" w:cs="Times New Roman" w:eastAsia="Times New Roman" w:hAnsi="Times New Roman"/>
          <w:sz w:val="18"/>
          <w:szCs w:val="18"/>
          <w:color w:val="auto"/>
        </w:rPr>
        <w:t>Report of Independent Registered Public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Firm</w:t>
      </w:r>
      <w:r>
        <w:rPr>
          <w:rFonts w:ascii="Times New Roman" w:cs="Times New Roman" w:eastAsia="Times New Roman" w:hAnsi="Times New Roman"/>
          <w:sz w:val="19"/>
          <w:szCs w:val="19"/>
          <w:color w:val="auto"/>
        </w:rPr>
        <w:t>” on page F-3 of our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53" w:lineRule="exact"/>
        <w:rPr>
          <w:sz w:val="20"/>
          <w:szCs w:val="20"/>
          <w:color w:val="auto"/>
        </w:rPr>
      </w:pPr>
    </w:p>
    <w:p>
      <w:pPr>
        <w:ind w:right="40" w:firstLine="713"/>
        <w:spacing w:after="0" w:line="278"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during the fourth quarter of 2022 that have materially affected, or are reasonably likely to materially affect, our internal control over financial reporting.</w:t>
      </w:r>
    </w:p>
    <w:p>
      <w:pPr>
        <w:sectPr>
          <w:pgSz w:w="11880" w:h="15480" w:orient="portrait"/>
          <w:cols w:equalWidth="0" w:num="1">
            <w:col w:w="10120"/>
          </w:cols>
          <w:pgMar w:left="860" w:top="6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120"/>
          </w:cols>
          <w:pgMar w:left="860" w:top="676" w:right="90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i w:val="1"/>
          <w:iCs w:val="1"/>
          <w:color w:val="auto"/>
        </w:rPr>
        <w:t>Certifications</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certifications of our Chief Executive Officer and Chief Financial Officer pursuant to Exchange Act</w:t>
      </w:r>
    </w:p>
    <w:p>
      <w:pPr>
        <w:spacing w:after="0" w:line="8" w:lineRule="exact"/>
        <w:rPr>
          <w:sz w:val="20"/>
          <w:szCs w:val="20"/>
          <w:color w:val="auto"/>
        </w:rPr>
      </w:pPr>
    </w:p>
    <w:p>
      <w:pPr>
        <w:ind w:right="200"/>
        <w:spacing w:after="0" w:line="305" w:lineRule="auto"/>
        <w:rPr>
          <w:sz w:val="20"/>
          <w:szCs w:val="20"/>
          <w:color w:val="auto"/>
        </w:rPr>
      </w:pPr>
      <w:r>
        <w:rPr>
          <w:rFonts w:ascii="Times New Roman" w:cs="Times New Roman" w:eastAsia="Times New Roman" w:hAnsi="Times New Roman"/>
          <w:sz w:val="19"/>
          <w:szCs w:val="19"/>
          <w:color w:val="auto"/>
        </w:rPr>
        <w:t>Rules 13a-14(a) and 15d-14(a) are filed with this report as Exhibits 31.1 and 31.2. The certifications of our Chief Executive Officer and Chief Financial Officer pursuant to 18 U.S.C. 1350 are furnished with this report as Exhibits 32.1 and 32.2.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9B. </w:t>
      </w:r>
      <w:r>
        <w:rPr>
          <w:rFonts w:ascii="Times New Roman" w:cs="Times New Roman" w:eastAsia="Times New Roman" w:hAnsi="Times New Roman"/>
          <w:sz w:val="20"/>
          <w:szCs w:val="20"/>
          <w:b w:val="1"/>
          <w:bCs w:val="1"/>
          <w:i w:val="1"/>
          <w:iCs w:val="1"/>
          <w:color w:val="auto"/>
        </w:rPr>
        <w:t>Other Information</w:t>
      </w:r>
    </w:p>
    <w:p>
      <w:pPr>
        <w:spacing w:after="0" w:line="253" w:lineRule="exact"/>
        <w:rPr>
          <w:sz w:val="20"/>
          <w:szCs w:val="20"/>
          <w:color w:val="auto"/>
        </w:rPr>
      </w:pPr>
    </w:p>
    <w:p>
      <w:pPr>
        <w:ind w:firstLine="713"/>
        <w:spacing w:after="0" w:line="278" w:lineRule="auto"/>
        <w:rPr>
          <w:sz w:val="20"/>
          <w:szCs w:val="20"/>
          <w:color w:val="auto"/>
        </w:rPr>
      </w:pPr>
      <w:r>
        <w:rPr>
          <w:rFonts w:ascii="Times New Roman" w:cs="Times New Roman" w:eastAsia="Times New Roman" w:hAnsi="Times New Roman"/>
          <w:sz w:val="20"/>
          <w:szCs w:val="20"/>
          <w:color w:val="auto"/>
        </w:rPr>
        <w:t>There was no information that was required to be disclosed in a report on Form 8-K during the fourth quarter of 2022 that has not previously been reported.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9C. </w:t>
      </w:r>
      <w:r>
        <w:rPr>
          <w:rFonts w:ascii="Times New Roman" w:cs="Times New Roman" w:eastAsia="Times New Roman" w:hAnsi="Times New Roman"/>
          <w:sz w:val="20"/>
          <w:szCs w:val="20"/>
          <w:b w:val="1"/>
          <w:bCs w:val="1"/>
          <w:i w:val="1"/>
          <w:iCs w:val="1"/>
          <w:color w:val="auto"/>
        </w:rPr>
        <w:t>Disclosure Regarding Foreign Jurisdictions that Prevent Inspections</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000"/>
          </w:cols>
          <w:pgMar w:left="860" w:top="67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000"/>
          </w:cols>
          <w:pgMar w:left="860" w:top="675" w:right="1020" w:bottom="0" w:gutter="0" w:footer="0" w:header="0"/>
          <w:type w:val="continuous"/>
        </w:sectPr>
      </w:pPr>
    </w:p>
    <w:bookmarkStart w:id="93" w:name="page94"/>
    <w:bookmarkEnd w:id="93"/>
    <w:p>
      <w:pPr>
        <w:ind w:left="47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Item 10. </w:t>
      </w:r>
      <w:r>
        <w:rPr>
          <w:rFonts w:ascii="Times New Roman" w:cs="Times New Roman" w:eastAsia="Times New Roman" w:hAnsi="Times New Roman"/>
          <w:sz w:val="20"/>
          <w:szCs w:val="20"/>
          <w:b w:val="1"/>
          <w:bCs w:val="1"/>
          <w:i w:val="1"/>
          <w:iCs w:val="1"/>
          <w:color w:val="auto"/>
        </w:rPr>
        <w:t>Directors and Executive Officers of Our General Partner and Corporate Governance</w:t>
      </w:r>
    </w:p>
    <w:p>
      <w:pPr>
        <w:spacing w:after="0" w:line="214" w:lineRule="exact"/>
        <w:rPr>
          <w:sz w:val="20"/>
          <w:szCs w:val="20"/>
          <w:color w:val="auto"/>
        </w:rPr>
      </w:pPr>
    </w:p>
    <w:p>
      <w:pPr>
        <w:ind w:left="40" w:right="40" w:firstLine="713"/>
        <w:spacing w:after="0" w:line="263"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Directors and Executive Officers</w:t>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of the date of filing this report, the following individuals were serving as our executive officers and/or directors:</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 w:type="dxa"/>
            <w:vAlign w:val="bottom"/>
            <w:tcBorders>
              <w:bottom w:val="single" w:sz="8" w:color="E6E6E6"/>
            </w:tcBorders>
          </w:tcPr>
          <w:p>
            <w:pPr>
              <w:spacing w:after="0"/>
              <w:rPr>
                <w:sz w:val="18"/>
                <w:szCs w:val="18"/>
                <w:color w:val="auto"/>
              </w:rPr>
            </w:pPr>
          </w:p>
        </w:tc>
        <w:tc>
          <w:tcPr>
            <w:tcW w:w="7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Principal Occupation or Employment</w:t>
            </w:r>
          </w:p>
        </w:tc>
      </w:tr>
      <w:tr>
        <w:trPr>
          <w:trHeight w:val="287"/>
        </w:trPr>
        <w:tc>
          <w:tcPr>
            <w:tcW w:w="22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Willie Chiang </w:t>
            </w:r>
            <w:r>
              <w:rPr>
                <w:rFonts w:ascii="Times New Roman" w:cs="Times New Roman" w:eastAsia="Times New Roman" w:hAnsi="Times New Roman"/>
                <w:sz w:val="25"/>
                <w:szCs w:val="25"/>
                <w:color w:val="auto"/>
                <w:vertAlign w:val="superscript"/>
              </w:rPr>
              <w:t>(1)(2)</w:t>
            </w:r>
          </w:p>
        </w:tc>
        <w:tc>
          <w:tcPr>
            <w:tcW w:w="60" w:type="dxa"/>
            <w:vAlign w:val="bottom"/>
            <w:shd w:val="clear" w:color="auto" w:fill="E6E6E6"/>
          </w:tcPr>
          <w:p>
            <w:pPr>
              <w:spacing w:after="0"/>
              <w:rPr>
                <w:sz w:val="24"/>
                <w:szCs w:val="24"/>
                <w:color w:val="auto"/>
              </w:rPr>
            </w:pPr>
          </w:p>
        </w:tc>
        <w:tc>
          <w:tcPr>
            <w:tcW w:w="77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Chairman of the Board and Chief Executive Officer</w:t>
            </w:r>
          </w:p>
        </w:tc>
      </w:tr>
      <w:tr>
        <w:trPr>
          <w:trHeight w:val="297"/>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Harry N. Pefanis </w:t>
            </w:r>
            <w:r>
              <w:rPr>
                <w:rFonts w:ascii="Times New Roman" w:cs="Times New Roman" w:eastAsia="Times New Roman" w:hAnsi="Times New Roman"/>
                <w:sz w:val="25"/>
                <w:szCs w:val="25"/>
                <w:color w:val="auto"/>
                <w:vertAlign w:val="superscript"/>
              </w:rPr>
              <w:t>(1)(2)</w:t>
            </w:r>
          </w:p>
        </w:tc>
        <w:tc>
          <w:tcPr>
            <w:tcW w:w="6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President</w:t>
            </w:r>
          </w:p>
        </w:tc>
      </w:tr>
      <w:tr>
        <w:trPr>
          <w:trHeight w:val="297"/>
        </w:trPr>
        <w:tc>
          <w:tcPr>
            <w:tcW w:w="22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Chris R. Chandler </w:t>
            </w:r>
            <w:r>
              <w:rPr>
                <w:rFonts w:ascii="Times New Roman" w:cs="Times New Roman" w:eastAsia="Times New Roman" w:hAnsi="Times New Roman"/>
                <w:sz w:val="25"/>
                <w:szCs w:val="25"/>
                <w:color w:val="auto"/>
                <w:vertAlign w:val="superscript"/>
              </w:rPr>
              <w:t>(1)</w:t>
            </w:r>
          </w:p>
        </w:tc>
        <w:tc>
          <w:tcPr>
            <w:tcW w:w="60" w:type="dxa"/>
            <w:vAlign w:val="bottom"/>
            <w:shd w:val="clear" w:color="auto" w:fill="E6E6E6"/>
          </w:tcPr>
          <w:p>
            <w:pPr>
              <w:spacing w:after="0"/>
              <w:rPr>
                <w:sz w:val="24"/>
                <w:szCs w:val="24"/>
                <w:color w:val="auto"/>
              </w:rPr>
            </w:pPr>
          </w:p>
        </w:tc>
        <w:tc>
          <w:tcPr>
            <w:tcW w:w="77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Executive Vice President and Chief Operating Officer</w:t>
            </w:r>
          </w:p>
        </w:tc>
      </w:tr>
      <w:tr>
        <w:trPr>
          <w:trHeight w:val="297"/>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Al Swanson </w:t>
            </w:r>
            <w:r>
              <w:rPr>
                <w:rFonts w:ascii="Times New Roman" w:cs="Times New Roman" w:eastAsia="Times New Roman" w:hAnsi="Times New Roman"/>
                <w:sz w:val="25"/>
                <w:szCs w:val="25"/>
                <w:color w:val="auto"/>
                <w:vertAlign w:val="superscript"/>
              </w:rPr>
              <w:t>(1)</w:t>
            </w:r>
          </w:p>
        </w:tc>
        <w:tc>
          <w:tcPr>
            <w:tcW w:w="6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297"/>
        </w:trPr>
        <w:tc>
          <w:tcPr>
            <w:tcW w:w="22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Jeremy L. Goebel </w:t>
            </w:r>
            <w:r>
              <w:rPr>
                <w:rFonts w:ascii="Times New Roman" w:cs="Times New Roman" w:eastAsia="Times New Roman" w:hAnsi="Times New Roman"/>
                <w:sz w:val="25"/>
                <w:szCs w:val="25"/>
                <w:color w:val="auto"/>
                <w:vertAlign w:val="superscript"/>
              </w:rPr>
              <w:t>(1)</w:t>
            </w:r>
          </w:p>
        </w:tc>
        <w:tc>
          <w:tcPr>
            <w:tcW w:w="60" w:type="dxa"/>
            <w:vAlign w:val="bottom"/>
            <w:shd w:val="clear" w:color="auto" w:fill="E6E6E6"/>
          </w:tcPr>
          <w:p>
            <w:pPr>
              <w:spacing w:after="0"/>
              <w:rPr>
                <w:sz w:val="24"/>
                <w:szCs w:val="24"/>
                <w:color w:val="auto"/>
              </w:rPr>
            </w:pPr>
          </w:p>
        </w:tc>
        <w:tc>
          <w:tcPr>
            <w:tcW w:w="77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Executive Vice President and Chief Commercial Officer</w:t>
            </w:r>
          </w:p>
        </w:tc>
      </w:tr>
      <w:tr>
        <w:trPr>
          <w:trHeight w:val="297"/>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Richard K. McGee </w:t>
            </w:r>
            <w:r>
              <w:rPr>
                <w:rFonts w:ascii="Times New Roman" w:cs="Times New Roman" w:eastAsia="Times New Roman" w:hAnsi="Times New Roman"/>
                <w:sz w:val="25"/>
                <w:szCs w:val="25"/>
                <w:color w:val="auto"/>
                <w:vertAlign w:val="superscript"/>
              </w:rPr>
              <w:t>(1)</w:t>
            </w:r>
          </w:p>
        </w:tc>
        <w:tc>
          <w:tcPr>
            <w:tcW w:w="6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General Counsel and Secretary</w:t>
            </w:r>
          </w:p>
        </w:tc>
      </w:tr>
      <w:tr>
        <w:trPr>
          <w:trHeight w:val="297"/>
        </w:trPr>
        <w:tc>
          <w:tcPr>
            <w:tcW w:w="22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Chris Herbold </w:t>
            </w:r>
            <w:r>
              <w:rPr>
                <w:rFonts w:ascii="Times New Roman" w:cs="Times New Roman" w:eastAsia="Times New Roman" w:hAnsi="Times New Roman"/>
                <w:sz w:val="25"/>
                <w:szCs w:val="25"/>
                <w:color w:val="auto"/>
                <w:vertAlign w:val="superscript"/>
              </w:rPr>
              <w:t>(1)</w:t>
            </w:r>
          </w:p>
        </w:tc>
        <w:tc>
          <w:tcPr>
            <w:tcW w:w="60" w:type="dxa"/>
            <w:vAlign w:val="bottom"/>
            <w:shd w:val="clear" w:color="auto" w:fill="E6E6E6"/>
          </w:tcPr>
          <w:p>
            <w:pPr>
              <w:spacing w:after="0"/>
              <w:rPr>
                <w:sz w:val="24"/>
                <w:szCs w:val="24"/>
                <w:color w:val="auto"/>
              </w:rPr>
            </w:pPr>
          </w:p>
        </w:tc>
        <w:tc>
          <w:tcPr>
            <w:tcW w:w="77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Senior Vice President, Finance and Chief Accounting Officer</w:t>
            </w:r>
          </w:p>
        </w:tc>
      </w:tr>
      <w:tr>
        <w:trPr>
          <w:trHeight w:val="297"/>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Greg L. Armstrong </w:t>
            </w:r>
            <w:r>
              <w:rPr>
                <w:rFonts w:ascii="Times New Roman" w:cs="Times New Roman" w:eastAsia="Times New Roman" w:hAnsi="Times New Roman"/>
                <w:sz w:val="25"/>
                <w:szCs w:val="25"/>
                <w:color w:val="auto"/>
                <w:vertAlign w:val="superscript"/>
              </w:rPr>
              <w:t>(2)</w:t>
            </w:r>
          </w:p>
        </w:tc>
        <w:tc>
          <w:tcPr>
            <w:tcW w:w="6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Senior Advisor to the Chief Executive Officer (former Chairman and Chief Executive Officer)</w:t>
            </w:r>
          </w:p>
        </w:tc>
      </w:tr>
      <w:tr>
        <w:trPr>
          <w:trHeight w:val="297"/>
        </w:trPr>
        <w:tc>
          <w:tcPr>
            <w:tcW w:w="22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Victor Burk </w:t>
            </w:r>
            <w:r>
              <w:rPr>
                <w:rFonts w:ascii="Times New Roman" w:cs="Times New Roman" w:eastAsia="Times New Roman" w:hAnsi="Times New Roman"/>
                <w:sz w:val="25"/>
                <w:szCs w:val="25"/>
                <w:color w:val="auto"/>
                <w:vertAlign w:val="superscript"/>
              </w:rPr>
              <w:t>(2)</w:t>
            </w:r>
          </w:p>
        </w:tc>
        <w:tc>
          <w:tcPr>
            <w:tcW w:w="60" w:type="dxa"/>
            <w:vAlign w:val="bottom"/>
            <w:shd w:val="clear" w:color="auto" w:fill="E6E6E6"/>
          </w:tcPr>
          <w:p>
            <w:pPr>
              <w:spacing w:after="0"/>
              <w:rPr>
                <w:sz w:val="24"/>
                <w:szCs w:val="24"/>
                <w:color w:val="auto"/>
              </w:rPr>
            </w:pPr>
          </w:p>
        </w:tc>
        <w:tc>
          <w:tcPr>
            <w:tcW w:w="77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Senior Advisor, Alvarez and Marsal</w:t>
            </w:r>
          </w:p>
        </w:tc>
      </w:tr>
      <w:tr>
        <w:trPr>
          <w:trHeight w:val="297"/>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Ellen R. DeSanctis </w:t>
            </w:r>
            <w:r>
              <w:rPr>
                <w:rFonts w:ascii="Times New Roman" w:cs="Times New Roman" w:eastAsia="Times New Roman" w:hAnsi="Times New Roman"/>
                <w:sz w:val="25"/>
                <w:szCs w:val="25"/>
                <w:color w:val="auto"/>
                <w:vertAlign w:val="superscript"/>
              </w:rPr>
              <w:t>(2)</w:t>
            </w:r>
          </w:p>
        </w:tc>
        <w:tc>
          <w:tcPr>
            <w:tcW w:w="6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Former Senior Vice President, ConocoPhillips</w:t>
            </w:r>
          </w:p>
        </w:tc>
      </w:tr>
      <w:tr>
        <w:trPr>
          <w:trHeight w:val="297"/>
        </w:trPr>
        <w:tc>
          <w:tcPr>
            <w:tcW w:w="22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Kevin McCarthy </w:t>
            </w:r>
            <w:r>
              <w:rPr>
                <w:rFonts w:ascii="Times New Roman" w:cs="Times New Roman" w:eastAsia="Times New Roman" w:hAnsi="Times New Roman"/>
                <w:sz w:val="25"/>
                <w:szCs w:val="25"/>
                <w:color w:val="auto"/>
                <w:vertAlign w:val="superscript"/>
              </w:rPr>
              <w:t>(2)</w:t>
            </w:r>
          </w:p>
        </w:tc>
        <w:tc>
          <w:tcPr>
            <w:tcW w:w="60" w:type="dxa"/>
            <w:vAlign w:val="bottom"/>
            <w:shd w:val="clear" w:color="auto" w:fill="E6E6E6"/>
          </w:tcPr>
          <w:p>
            <w:pPr>
              <w:spacing w:after="0"/>
              <w:rPr>
                <w:sz w:val="24"/>
                <w:szCs w:val="24"/>
                <w:color w:val="auto"/>
              </w:rPr>
            </w:pPr>
          </w:p>
        </w:tc>
        <w:tc>
          <w:tcPr>
            <w:tcW w:w="77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Vice Chairman, Kayne Anderson Capital Advisors, L.P.</w:t>
            </w:r>
          </w:p>
        </w:tc>
      </w:tr>
      <w:tr>
        <w:trPr>
          <w:trHeight w:val="297"/>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Gary R. Petersen </w:t>
            </w:r>
            <w:r>
              <w:rPr>
                <w:rFonts w:ascii="Times New Roman" w:cs="Times New Roman" w:eastAsia="Times New Roman" w:hAnsi="Times New Roman"/>
                <w:sz w:val="25"/>
                <w:szCs w:val="25"/>
                <w:color w:val="auto"/>
                <w:vertAlign w:val="superscript"/>
              </w:rPr>
              <w:t>(2)</w:t>
            </w:r>
          </w:p>
        </w:tc>
        <w:tc>
          <w:tcPr>
            <w:tcW w:w="6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Managing Partner, EnCap Investments L.P.</w:t>
            </w:r>
          </w:p>
        </w:tc>
      </w:tr>
      <w:tr>
        <w:trPr>
          <w:trHeight w:val="297"/>
        </w:trPr>
        <w:tc>
          <w:tcPr>
            <w:tcW w:w="22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Alexandra D. Pruner </w:t>
            </w:r>
            <w:r>
              <w:rPr>
                <w:rFonts w:ascii="Times New Roman" w:cs="Times New Roman" w:eastAsia="Times New Roman" w:hAnsi="Times New Roman"/>
                <w:sz w:val="25"/>
                <w:szCs w:val="25"/>
                <w:color w:val="auto"/>
                <w:vertAlign w:val="superscript"/>
              </w:rPr>
              <w:t>(2)</w:t>
            </w:r>
          </w:p>
        </w:tc>
        <w:tc>
          <w:tcPr>
            <w:tcW w:w="60" w:type="dxa"/>
            <w:vAlign w:val="bottom"/>
            <w:shd w:val="clear" w:color="auto" w:fill="E6E6E6"/>
          </w:tcPr>
          <w:p>
            <w:pPr>
              <w:spacing w:after="0"/>
              <w:rPr>
                <w:sz w:val="24"/>
                <w:szCs w:val="24"/>
                <w:color w:val="auto"/>
              </w:rPr>
            </w:pPr>
          </w:p>
        </w:tc>
        <w:tc>
          <w:tcPr>
            <w:tcW w:w="77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Senior Advisor, Perella Weinberg Partners</w:t>
            </w:r>
          </w:p>
        </w:tc>
      </w:tr>
      <w:tr>
        <w:trPr>
          <w:trHeight w:val="297"/>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John T. Raymond </w:t>
            </w:r>
            <w:r>
              <w:rPr>
                <w:rFonts w:ascii="Times New Roman" w:cs="Times New Roman" w:eastAsia="Times New Roman" w:hAnsi="Times New Roman"/>
                <w:sz w:val="25"/>
                <w:szCs w:val="25"/>
                <w:color w:val="auto"/>
                <w:vertAlign w:val="superscript"/>
              </w:rPr>
              <w:t>(2)</w:t>
            </w:r>
          </w:p>
        </w:tc>
        <w:tc>
          <w:tcPr>
            <w:tcW w:w="6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Managing Partner and Chief Executive Officer, The Energy &amp; Minerals Group</w:t>
            </w:r>
          </w:p>
        </w:tc>
      </w:tr>
      <w:tr>
        <w:trPr>
          <w:trHeight w:val="297"/>
        </w:trPr>
        <w:tc>
          <w:tcPr>
            <w:tcW w:w="22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Bobby S. Shackouls </w:t>
            </w:r>
            <w:r>
              <w:rPr>
                <w:rFonts w:ascii="Times New Roman" w:cs="Times New Roman" w:eastAsia="Times New Roman" w:hAnsi="Times New Roman"/>
                <w:sz w:val="25"/>
                <w:szCs w:val="25"/>
                <w:color w:val="auto"/>
                <w:vertAlign w:val="superscript"/>
              </w:rPr>
              <w:t>(2)</w:t>
            </w:r>
          </w:p>
        </w:tc>
        <w:tc>
          <w:tcPr>
            <w:tcW w:w="60" w:type="dxa"/>
            <w:vAlign w:val="bottom"/>
            <w:shd w:val="clear" w:color="auto" w:fill="E6E6E6"/>
          </w:tcPr>
          <w:p>
            <w:pPr>
              <w:spacing w:after="0"/>
              <w:rPr>
                <w:sz w:val="24"/>
                <w:szCs w:val="24"/>
                <w:color w:val="auto"/>
              </w:rPr>
            </w:pPr>
          </w:p>
        </w:tc>
        <w:tc>
          <w:tcPr>
            <w:tcW w:w="77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Former Chairman and CEO, Burlington Resources Inc.</w:t>
            </w:r>
          </w:p>
        </w:tc>
      </w:tr>
      <w:tr>
        <w:trPr>
          <w:trHeight w:val="297"/>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Christopher M. Temple </w:t>
            </w:r>
            <w:r>
              <w:rPr>
                <w:rFonts w:ascii="Times New Roman" w:cs="Times New Roman" w:eastAsia="Times New Roman" w:hAnsi="Times New Roman"/>
                <w:sz w:val="25"/>
                <w:szCs w:val="25"/>
                <w:color w:val="auto"/>
                <w:vertAlign w:val="superscript"/>
              </w:rPr>
              <w:t>(2)</w:t>
            </w:r>
          </w:p>
        </w:tc>
        <w:tc>
          <w:tcPr>
            <w:tcW w:w="6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President, DelTex Capital LLC</w:t>
            </w:r>
          </w:p>
        </w:tc>
      </w:tr>
      <w:tr>
        <w:trPr>
          <w:trHeight w:val="297"/>
        </w:trPr>
        <w:tc>
          <w:tcPr>
            <w:tcW w:w="22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Lawrence M. Ziemba </w:t>
            </w:r>
            <w:r>
              <w:rPr>
                <w:rFonts w:ascii="Times New Roman" w:cs="Times New Roman" w:eastAsia="Times New Roman" w:hAnsi="Times New Roman"/>
                <w:sz w:val="25"/>
                <w:szCs w:val="25"/>
                <w:color w:val="auto"/>
                <w:vertAlign w:val="superscript"/>
              </w:rPr>
              <w:t>(2)</w:t>
            </w:r>
          </w:p>
        </w:tc>
        <w:tc>
          <w:tcPr>
            <w:tcW w:w="60" w:type="dxa"/>
            <w:vAlign w:val="bottom"/>
            <w:shd w:val="clear" w:color="auto" w:fill="E6E6E6"/>
          </w:tcPr>
          <w:p>
            <w:pPr>
              <w:spacing w:after="0"/>
              <w:rPr>
                <w:sz w:val="24"/>
                <w:szCs w:val="24"/>
                <w:color w:val="auto"/>
              </w:rPr>
            </w:pPr>
          </w:p>
        </w:tc>
        <w:tc>
          <w:tcPr>
            <w:tcW w:w="77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6444615</wp:posOffset>
            </wp:positionH>
            <wp:positionV relativeFrom="paragraph">
              <wp:posOffset>-200660</wp:posOffset>
            </wp:positionV>
            <wp:extent cx="25400" cy="2139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3">
                      <a:extLst>
                        <a:ext uri="{28A0092B-C50C-407E-A947-70E740481C1C}"/>
                      </a:extLst>
                    </a:blip>
                    <a:srcRect/>
                    <a:stretch>
                      <a:fillRect/>
                    </a:stretch>
                  </pic:blipFill>
                  <pic:spPr bwMode="auto">
                    <a:xfrm>
                      <a:off x="0" y="0"/>
                      <a:ext cx="25400" cy="21399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-3230880</wp:posOffset>
            </wp:positionV>
            <wp:extent cx="6456680" cy="50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4">
                      <a:extLst>
                        <a:ext uri="{28A0092B-C50C-407E-A947-70E740481C1C}"/>
                      </a:extLst>
                    </a:blip>
                    <a:srcRect/>
                    <a:stretch>
                      <a:fillRect/>
                    </a:stretch>
                  </pic:blipFill>
                  <pic:spPr bwMode="auto">
                    <a:xfrm>
                      <a:off x="0" y="0"/>
                      <a:ext cx="6456680"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26035</wp:posOffset>
                </wp:positionH>
                <wp:positionV relativeFrom="paragraph">
                  <wp:posOffset>235585</wp:posOffset>
                </wp:positionV>
                <wp:extent cx="207454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454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pt,18.55pt" to="165.4pt,18.55pt" o:allowincell="f" strokecolor="#000000" strokeweight="0.99pt"/>
            </w:pict>
          </mc:Fallback>
        </mc:AlternateContent>
      </w:r>
    </w:p>
    <w:p>
      <w:pPr>
        <w:sectPr>
          <w:pgSz w:w="11880" w:h="15480" w:orient="portrait"/>
          <w:cols w:equalWidth="0" w:num="1">
            <w:col w:w="10160"/>
          </w:cols>
          <w:pgMar w:left="820" w:top="676" w:right="900" w:bottom="0" w:gutter="0" w:footer="0" w:header="0"/>
        </w:sect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officer (for purposes of Item 401(b) of Regulation S-K)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ectPr>
          <w:pgSz w:w="11880" w:h="15480" w:orient="portrait"/>
          <w:cols w:equalWidth="0" w:num="2">
            <w:col w:w="160" w:space="600"/>
            <w:col w:w="9400"/>
          </w:cols>
          <w:pgMar w:left="820" w:top="676" w:right="900" w:bottom="0" w:gutter="0" w:footer="0" w:header="0"/>
          <w:type w:val="continuous"/>
        </w:sectPr>
      </w:pPr>
    </w:p>
    <w:p>
      <w:pPr>
        <w:spacing w:after="0" w:line="45" w:lineRule="exact"/>
        <w:rPr>
          <w:sz w:val="20"/>
          <w:szCs w:val="20"/>
          <w:color w:val="auto"/>
        </w:rPr>
      </w:pPr>
    </w:p>
    <w:p>
      <w:pPr>
        <w:ind w:left="40" w:right="1020" w:firstLine="713"/>
        <w:spacing w:after="0" w:line="278" w:lineRule="auto"/>
        <w:rPr>
          <w:sz w:val="20"/>
          <w:szCs w:val="20"/>
          <w:color w:val="auto"/>
        </w:rPr>
      </w:pPr>
      <w:r>
        <w:rPr>
          <w:rFonts w:ascii="Times New Roman" w:cs="Times New Roman" w:eastAsia="Times New Roman" w:hAnsi="Times New Roman"/>
          <w:sz w:val="20"/>
          <w:szCs w:val="20"/>
          <w:color w:val="auto"/>
        </w:rPr>
        <w:t xml:space="preserve">A complete list of our officers, including the executive officers listed above, is available on our website at </w:t>
      </w:r>
      <w:r>
        <w:rPr>
          <w:rFonts w:ascii="Times New Roman" w:cs="Times New Roman" w:eastAsia="Times New Roman" w:hAnsi="Times New Roman"/>
          <w:sz w:val="20"/>
          <w:szCs w:val="20"/>
          <w:b w:val="1"/>
          <w:bCs w:val="1"/>
          <w:i w:val="1"/>
          <w:iCs w:val="1"/>
          <w:color w:val="auto"/>
        </w:rPr>
        <w:t xml:space="preserve">www.plains.com </w:t>
      </w:r>
      <w:r>
        <w:rPr>
          <w:rFonts w:ascii="Times New Roman" w:cs="Times New Roman" w:eastAsia="Times New Roman" w:hAnsi="Times New Roman"/>
          <w:sz w:val="20"/>
          <w:szCs w:val="20"/>
          <w:color w:val="auto"/>
        </w:rPr>
        <w:t>under About Us—Leadership.</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Item 11. </w:t>
      </w:r>
      <w:r>
        <w:rPr>
          <w:rFonts w:ascii="Times New Roman" w:cs="Times New Roman" w:eastAsia="Times New Roman" w:hAnsi="Times New Roman"/>
          <w:sz w:val="20"/>
          <w:szCs w:val="20"/>
          <w:b w:val="1"/>
          <w:bCs w:val="1"/>
          <w:i w:val="1"/>
          <w:iCs w:val="1"/>
          <w:color w:val="auto"/>
        </w:rPr>
        <w:t>Executive Compensation</w:t>
      </w:r>
    </w:p>
    <w:p>
      <w:pPr>
        <w:spacing w:after="0" w:line="214" w:lineRule="exact"/>
        <w:rPr>
          <w:sz w:val="20"/>
          <w:szCs w:val="20"/>
          <w:color w:val="auto"/>
        </w:rPr>
      </w:pPr>
    </w:p>
    <w:p>
      <w:pPr>
        <w:ind w:left="40" w:right="40" w:firstLine="713"/>
        <w:spacing w:after="0" w:line="263"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Item 12. </w:t>
      </w:r>
      <w:r>
        <w:rPr>
          <w:rFonts w:ascii="Times New Roman" w:cs="Times New Roman" w:eastAsia="Times New Roman" w:hAnsi="Times New Roman"/>
          <w:sz w:val="20"/>
          <w:szCs w:val="20"/>
          <w:b w:val="1"/>
          <w:bCs w:val="1"/>
          <w:i w:val="1"/>
          <w:iCs w:val="1"/>
          <w:color w:val="auto"/>
        </w:rPr>
        <w:t>Security Ownership of Certain Beneficial Owners and Management and Related Unitholder Matters</w:t>
      </w:r>
    </w:p>
    <w:p>
      <w:pPr>
        <w:spacing w:after="0" w:line="214" w:lineRule="exact"/>
        <w:rPr>
          <w:sz w:val="20"/>
          <w:szCs w:val="20"/>
          <w:color w:val="auto"/>
        </w:rPr>
      </w:pPr>
    </w:p>
    <w:p>
      <w:pPr>
        <w:ind w:left="40" w:right="40" w:firstLine="713"/>
        <w:spacing w:after="0" w:line="263"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ectPr>
          <w:pgSz w:w="11880" w:h="15480" w:orient="portrait"/>
          <w:cols w:equalWidth="0" w:num="1">
            <w:col w:w="10160"/>
          </w:cols>
          <w:pgMar w:left="820" w:top="676"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160"/>
          </w:cols>
          <w:pgMar w:left="820" w:top="676" w:right="90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 xml:space="preserve">Item 13. </w:t>
      </w:r>
      <w:r>
        <w:rPr>
          <w:rFonts w:ascii="Times New Roman" w:cs="Times New Roman" w:eastAsia="Times New Roman" w:hAnsi="Times New Roman"/>
          <w:sz w:val="20"/>
          <w:szCs w:val="20"/>
          <w:b w:val="1"/>
          <w:bCs w:val="1"/>
          <w:i w:val="1"/>
          <w:iCs w:val="1"/>
          <w:color w:val="auto"/>
        </w:rPr>
        <w:t>Certain Relationships and Related Transactions, and Director Independence</w:t>
      </w:r>
    </w:p>
    <w:p>
      <w:pPr>
        <w:spacing w:after="0" w:line="214" w:lineRule="exact"/>
        <w:rPr>
          <w:sz w:val="20"/>
          <w:szCs w:val="20"/>
          <w:color w:val="auto"/>
        </w:rPr>
      </w:pPr>
    </w:p>
    <w:p>
      <w:pPr>
        <w:ind w:firstLine="713"/>
        <w:spacing w:after="0" w:line="263"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14. </w:t>
      </w:r>
      <w:r>
        <w:rPr>
          <w:rFonts w:ascii="Times New Roman" w:cs="Times New Roman" w:eastAsia="Times New Roman" w:hAnsi="Times New Roman"/>
          <w:sz w:val="20"/>
          <w:szCs w:val="20"/>
          <w:b w:val="1"/>
          <w:bCs w:val="1"/>
          <w:i w:val="1"/>
          <w:iCs w:val="1"/>
          <w:color w:val="auto"/>
        </w:rPr>
        <w:t>Principal Accountant Fees and Services</w:t>
      </w:r>
    </w:p>
    <w:p>
      <w:pPr>
        <w:spacing w:after="0" w:line="214" w:lineRule="exact"/>
        <w:rPr>
          <w:sz w:val="20"/>
          <w:szCs w:val="20"/>
          <w:color w:val="auto"/>
        </w:rPr>
      </w:pPr>
    </w:p>
    <w:p>
      <w:pPr>
        <w:ind w:firstLine="713"/>
        <w:spacing w:after="0" w:line="263"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for our 2023 Annual Meeting, which will be filed with the SEC within 120 days after the end of the fiscal year ended December 31, 2022, and is incorporated herein by reference thereto.</w:t>
      </w:r>
    </w:p>
    <w:p>
      <w:pPr>
        <w:sectPr>
          <w:pgSz w:w="11880" w:h="15480" w:orient="portrait"/>
          <w:cols w:equalWidth="0" w:num="1">
            <w:col w:w="10080"/>
          </w:cols>
          <w:pgMar w:left="860" w:top="6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080"/>
          </w:cols>
          <w:pgMar w:left="860" w:top="675" w:right="940" w:bottom="0" w:gutter="0" w:footer="0" w:header="0"/>
          <w:type w:val="continuous"/>
        </w:sectPr>
      </w:pPr>
    </w:p>
    <w:bookmarkStart w:id="95" w:name="page96"/>
    <w:bookmarkEnd w:id="95"/>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15. </w:t>
      </w:r>
      <w:r>
        <w:rPr>
          <w:rFonts w:ascii="Times New Roman" w:cs="Times New Roman" w:eastAsia="Times New Roman" w:hAnsi="Times New Roman"/>
          <w:sz w:val="20"/>
          <w:szCs w:val="20"/>
          <w:b w:val="1"/>
          <w:bCs w:val="1"/>
          <w:i w:val="1"/>
          <w:iCs w:val="1"/>
          <w:color w:val="auto"/>
        </w:rPr>
        <w:t>Exhibits and Financial Statement Schedules</w:t>
      </w:r>
    </w:p>
    <w:p>
      <w:pPr>
        <w:spacing w:after="0" w:line="250" w:lineRule="exact"/>
        <w:rPr>
          <w:sz w:val="20"/>
          <w:szCs w:val="20"/>
          <w:color w:val="auto"/>
        </w:rPr>
      </w:pPr>
    </w:p>
    <w:p>
      <w:pPr>
        <w:ind w:left="680" w:hanging="322"/>
        <w:spacing w:after="0"/>
        <w:tabs>
          <w:tab w:leader="none" w:pos="68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(1)  </w:t>
      </w:r>
      <w:r>
        <w:rPr>
          <w:rFonts w:ascii="Times New Roman" w:cs="Times New Roman" w:eastAsia="Times New Roman" w:hAnsi="Times New Roman"/>
          <w:sz w:val="20"/>
          <w:szCs w:val="20"/>
          <w:b w:val="1"/>
          <w:bCs w:val="1"/>
          <w:i w:val="1"/>
          <w:iCs w:val="1"/>
          <w:color w:val="auto"/>
        </w:rPr>
        <w:t>Financial Statements</w:t>
      </w:r>
    </w:p>
    <w:p>
      <w:pPr>
        <w:spacing w:after="0" w:line="2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“Index to the Consolidated Financial Statements” set forth on Page F-1.</w:t>
      </w:r>
    </w:p>
    <w:p>
      <w:pPr>
        <w:spacing w:after="0" w:line="242" w:lineRule="exact"/>
        <w:rPr>
          <w:sz w:val="20"/>
          <w:szCs w:val="20"/>
          <w:color w:val="auto"/>
        </w:rPr>
      </w:pPr>
    </w:p>
    <w:p>
      <w:pPr>
        <w:ind w:left="1420" w:hanging="706"/>
        <w:spacing w:after="0"/>
        <w:tabs>
          <w:tab w:leader="none" w:pos="142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Financial Statement Schedules</w:t>
      </w:r>
    </w:p>
    <w:p>
      <w:pPr>
        <w:spacing w:after="0" w:line="248" w:lineRule="exact"/>
        <w:rPr>
          <w:sz w:val="20"/>
          <w:szCs w:val="20"/>
          <w:color w:val="auto"/>
        </w:rPr>
      </w:pPr>
    </w:p>
    <w:p>
      <w:pPr>
        <w:ind w:right="860" w:firstLine="713"/>
        <w:spacing w:after="0" w:line="278" w:lineRule="auto"/>
        <w:rPr>
          <w:sz w:val="20"/>
          <w:szCs w:val="20"/>
          <w:color w:val="auto"/>
        </w:rPr>
      </w:pPr>
      <w:r>
        <w:rPr>
          <w:rFonts w:ascii="Times New Roman" w:cs="Times New Roman" w:eastAsia="Times New Roman" w:hAnsi="Times New Roman"/>
          <w:sz w:val="20"/>
          <w:szCs w:val="20"/>
          <w:color w:val="auto"/>
        </w:rPr>
        <w:t>All schedules are omitted because they are either not applicable or the required information is shown in the Consolidated Financial Statements or notes thereto.</w:t>
      </w:r>
    </w:p>
    <w:p>
      <w:pPr>
        <w:spacing w:after="0" w:line="177" w:lineRule="exact"/>
        <w:rPr>
          <w:sz w:val="20"/>
          <w:szCs w:val="20"/>
          <w:color w:val="auto"/>
        </w:rPr>
      </w:pPr>
    </w:p>
    <w:p>
      <w:pPr>
        <w:ind w:left="1420" w:hanging="706"/>
        <w:spacing w:after="0"/>
        <w:tabs>
          <w:tab w:leader="none" w:pos="142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Exhibits</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Exhibit</w:t>
      </w:r>
    </w:p>
    <w:p>
      <w:pPr>
        <w:ind w:left="60"/>
        <w:spacing w:after="0"/>
        <w:tabs>
          <w:tab w:leader="none" w:pos="5320"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28575</wp:posOffset>
                </wp:positionV>
                <wp:extent cx="67881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8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2.25pt" to="53.5pt,2.25pt" o:allowincell="f" strokecolor="#000000" strokeweight="0.99pt"/>
            </w:pict>
          </mc:Fallback>
        </mc:AlternateContent>
        <mc:AlternateContent>
          <mc:Choice Requires="wps">
            <w:drawing>
              <wp:anchor simplePos="0" relativeHeight="251657728" behindDoc="1" locked="0" layoutInCell="0" allowOverlap="1">
                <wp:simplePos x="0" y="0"/>
                <wp:positionH relativeFrom="column">
                  <wp:posOffset>971550</wp:posOffset>
                </wp:positionH>
                <wp:positionV relativeFrom="paragraph">
                  <wp:posOffset>28575</wp:posOffset>
                </wp:positionV>
                <wp:extent cx="545973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5973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5pt,2.25pt" to="506.4pt,2.25pt" o:allowincell="f" strokecolor="#000000" strokeweight="0.99pt"/>
            </w:pict>
          </mc:Fallback>
        </mc:AlternateContent>
      </w:r>
    </w:p>
    <w:p>
      <w:pPr>
        <w:spacing w:after="0" w:line="38" w:lineRule="exact"/>
        <w:rPr>
          <w:sz w:val="20"/>
          <w:szCs w:val="20"/>
          <w:color w:val="auto"/>
        </w:rPr>
      </w:pPr>
    </w:p>
    <w:p>
      <w:pPr>
        <w:ind w:left="1200" w:right="180" w:hanging="1529"/>
        <w:spacing w:after="0" w:line="222" w:lineRule="auto"/>
        <w:tabs>
          <w:tab w:leader="none" w:pos="11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 Simplification Agreement dated as of July 11, 2016, by and among PAA GP Holdings LLC, Plains GP Holdings, L.P., Plains All American GP LLC, Plains AAP, L.P., PAA GP LLC and Plains All American Pipeline, L.P. (incorporated by reference to Exhibit 2.1 to our Current Report on Form 8-K filed July 14, 2016).</w:t>
      </w:r>
    </w:p>
    <w:p>
      <w:pPr>
        <w:spacing w:after="0" w:line="159" w:lineRule="exact"/>
        <w:rPr>
          <w:sz w:val="20"/>
          <w:szCs w:val="20"/>
          <w:color w:val="auto"/>
        </w:rPr>
      </w:pPr>
    </w:p>
    <w:p>
      <w:pPr>
        <w:ind w:left="1200" w:hanging="1529"/>
        <w:spacing w:after="0" w:line="219" w:lineRule="auto"/>
        <w:tabs>
          <w:tab w:leader="none" w:pos="11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 Agreement and Plan of Merger dated as of July 12, 2021 by and among Plains Pipeline, L.P., Plains Marketing, L.P., Oryx Midstream Holdings LLC, Middle Cadence Holdings LLC, POP HoldCo LLC, Oryx Wink Oil Marketing LLC, Oryx Permian Oil Marketing LLC, Plains Oryx Permian Basin LLC, Plains Oryx Permian Basin Marketing LLC and Plains Oryx Permian Basin Pipeline LLC (incorporated by reference to Exhibit 2.1 to our Current Report on Form 8-K filed July 13, 2021).</w:t>
      </w:r>
    </w:p>
    <w:p>
      <w:pPr>
        <w:spacing w:after="0" w:line="154" w:lineRule="exact"/>
        <w:rPr>
          <w:sz w:val="20"/>
          <w:szCs w:val="20"/>
          <w:color w:val="auto"/>
        </w:rPr>
      </w:pPr>
    </w:p>
    <w:p>
      <w:pPr>
        <w:ind w:left="1200" w:right="40" w:hanging="1529"/>
        <w:spacing w:after="0" w:line="227" w:lineRule="auto"/>
        <w:tabs>
          <w:tab w:leader="none" w:pos="11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 Seventh Amended and Restated Agreement of Limited Partnership of Plains All American Pipeline, L.P. dated as of October 10, 2017 (incorporated by reference to Exhibit 3.1 to our Current Report on Form 8-K filed October 12, 2017).</w:t>
      </w:r>
    </w:p>
    <w:p>
      <w:pPr>
        <w:spacing w:after="0" w:line="164" w:lineRule="exact"/>
        <w:rPr>
          <w:sz w:val="20"/>
          <w:szCs w:val="20"/>
          <w:color w:val="auto"/>
        </w:rPr>
      </w:pPr>
    </w:p>
    <w:p>
      <w:pPr>
        <w:jc w:val="both"/>
        <w:ind w:left="1200" w:right="400" w:hanging="1529"/>
        <w:spacing w:after="0" w:line="227" w:lineRule="auto"/>
        <w:tabs>
          <w:tab w:leader="none" w:pos="11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 Third Amended and Restated Agreement of Limited Partnership of Plains Marketing, L.P. dated as of April 1, 2004 (incorporated by reference to Exhibit 3.2 to our Quarterly Report on Form 10-Q for the quarter ended March 31, 2004).</w:t>
      </w:r>
    </w:p>
    <w:p>
      <w:pPr>
        <w:spacing w:after="0" w:line="164" w:lineRule="exact"/>
        <w:rPr>
          <w:sz w:val="20"/>
          <w:szCs w:val="20"/>
          <w:color w:val="auto"/>
        </w:rPr>
      </w:pPr>
    </w:p>
    <w:p>
      <w:pPr>
        <w:jc w:val="both"/>
        <w:ind w:left="1200" w:right="220" w:hanging="1529"/>
        <w:spacing w:after="0" w:line="227" w:lineRule="auto"/>
        <w:tabs>
          <w:tab w:leader="none" w:pos="11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 Amendment No. 1 dated December 31, 2010 to the Third Amended and Restated Agreement of Limited Partnership of Plains Marketing, L.P. (incorporated by reference to Exhibit 3.9 to our Annual Report on Form 10-K for the year ended December 31, 2010).</w:t>
      </w:r>
    </w:p>
    <w:p>
      <w:pPr>
        <w:spacing w:after="0" w:line="164" w:lineRule="exact"/>
        <w:rPr>
          <w:sz w:val="20"/>
          <w:szCs w:val="20"/>
          <w:color w:val="auto"/>
        </w:rPr>
      </w:pPr>
    </w:p>
    <w:p>
      <w:pPr>
        <w:ind w:left="1200" w:right="140" w:hanging="1529"/>
        <w:spacing w:after="0" w:line="227" w:lineRule="auto"/>
        <w:tabs>
          <w:tab w:leader="none" w:pos="11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color w:val="auto"/>
        </w:rPr>
        <w:t>— Amendment No. 2 dated January 1, 2011 to the Third Amended and Restated Agreement of Limited Partnership of Plains Marketing, L.P. (incorporated by reference to Exhibit 3.10 to our Annual Report on Form 10-K for the year ended December 31, 2010).</w:t>
      </w:r>
    </w:p>
    <w:p>
      <w:pPr>
        <w:spacing w:after="0" w:line="164" w:lineRule="exact"/>
        <w:rPr>
          <w:sz w:val="20"/>
          <w:szCs w:val="20"/>
          <w:color w:val="auto"/>
        </w:rPr>
      </w:pPr>
    </w:p>
    <w:p>
      <w:pPr>
        <w:ind w:left="1200" w:right="240" w:hanging="1529"/>
        <w:spacing w:after="0" w:line="227" w:lineRule="auto"/>
        <w:tabs>
          <w:tab w:leader="none" w:pos="11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20"/>
          <w:szCs w:val="20"/>
          <w:color w:val="auto"/>
        </w:rPr>
        <w:t>— Amendment No. 3 dated June 30, 2011 to the Third Amended and Restated Agreement of Limited Partnership of Plains Marketing, L.P. (incorporated by reference to Exhibit 3.7 to our Annual Report on Form 10-K for the year ended December 31, 2013).</w:t>
      </w:r>
    </w:p>
    <w:p>
      <w:pPr>
        <w:spacing w:after="0" w:line="164" w:lineRule="exact"/>
        <w:rPr>
          <w:sz w:val="20"/>
          <w:szCs w:val="20"/>
          <w:color w:val="auto"/>
        </w:rPr>
      </w:pPr>
    </w:p>
    <w:p>
      <w:pPr>
        <w:ind w:left="1200" w:right="300" w:hanging="1529"/>
        <w:spacing w:after="0" w:line="227" w:lineRule="auto"/>
        <w:tabs>
          <w:tab w:leader="none" w:pos="11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color w:val="auto"/>
        </w:rPr>
        <w:t>— Amendment No. 4 dated January 1, 2013 to the Third Amended and Restated Agreement of Limited Partnership of Plains Marketing, L.P (incorporated by reference to Exhibit 3.8 to our Annual Report on Form 10-K for the year ended December 31, 2013).</w:t>
      </w:r>
    </w:p>
    <w:p>
      <w:pPr>
        <w:spacing w:after="0" w:line="164" w:lineRule="exact"/>
        <w:rPr>
          <w:sz w:val="20"/>
          <w:szCs w:val="20"/>
          <w:color w:val="auto"/>
        </w:rPr>
      </w:pPr>
    </w:p>
    <w:p>
      <w:pPr>
        <w:jc w:val="both"/>
        <w:ind w:left="1200" w:right="240" w:hanging="1529"/>
        <w:spacing w:after="0" w:line="227" w:lineRule="auto"/>
        <w:tabs>
          <w:tab w:leader="none" w:pos="11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color w:val="auto"/>
        </w:rPr>
        <w:t>— Amendment No. 5 dated December 1, 2019 to the Third Amended and Restated Agreement of Limited Partnership of Plains Marketing, L.P. (incorporated by reference to Exhibit 3.7 to our Annual Report on Form 10-K for the year ended December 31, 2019.)</w:t>
      </w:r>
    </w:p>
    <w:p>
      <w:pPr>
        <w:spacing w:after="0" w:line="164" w:lineRule="exact"/>
        <w:rPr>
          <w:sz w:val="20"/>
          <w:szCs w:val="20"/>
          <w:color w:val="auto"/>
        </w:rPr>
      </w:pPr>
    </w:p>
    <w:p>
      <w:pPr>
        <w:ind w:left="1200" w:right="460" w:hanging="1529"/>
        <w:spacing w:after="0" w:line="227" w:lineRule="auto"/>
        <w:tabs>
          <w:tab w:leader="none" w:pos="118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20"/>
          <w:szCs w:val="20"/>
          <w:color w:val="auto"/>
        </w:rPr>
        <w:t>— Third Amended and Restated Agreement of Limited Partnership of Plains Pipeline, L.P. dated as of April 1, 2004 (incorporated by reference to Exhibit 3.3 to our Quarterly Report on Form 10-Q for the quarter ended March 31, 2004).</w:t>
      </w:r>
    </w:p>
    <w:p>
      <w:pPr>
        <w:spacing w:after="0" w:line="164" w:lineRule="exact"/>
        <w:rPr>
          <w:sz w:val="20"/>
          <w:szCs w:val="20"/>
          <w:color w:val="auto"/>
        </w:rPr>
      </w:pPr>
    </w:p>
    <w:p>
      <w:pPr>
        <w:ind w:left="1200" w:right="320" w:hanging="1529"/>
        <w:spacing w:after="0" w:line="227" w:lineRule="auto"/>
        <w:tabs>
          <w:tab w:leader="none" w:pos="118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20"/>
          <w:szCs w:val="20"/>
          <w:color w:val="auto"/>
        </w:rPr>
        <w:t>— Amendment No. 1 dated January 1, 2013 to the Third Amended and Restated Agreement of Limited Partnership of Plains Pipeline, L.P. (incorporated by reference to Exhibit 3.10 to our Annual Report on Form 10-K for the year ended December 31, 2013).</w:t>
      </w:r>
    </w:p>
    <w:p>
      <w:pPr>
        <w:sectPr>
          <w:pgSz w:w="11880" w:h="15480" w:orient="portrait"/>
          <w:cols w:equalWidth="0" w:num="1">
            <w:col w:w="10040"/>
          </w:cols>
          <w:pgMar w:left="860" w:top="67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040"/>
          </w:cols>
          <w:pgMar w:left="860" w:top="676" w:right="980" w:bottom="0" w:gutter="0" w:footer="0" w:header="0"/>
          <w:type w:val="continuous"/>
        </w:sectPr>
      </w:pPr>
    </w:p>
    <w:bookmarkStart w:id="96" w:name="page97"/>
    <w:bookmarkEnd w:id="96"/>
    <w:p>
      <w:pPr>
        <w:jc w:val="both"/>
        <w:ind w:left="1140" w:right="20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3.10</w:t>
      </w:r>
      <w:r>
        <w:rPr>
          <w:sz w:val="20"/>
          <w:szCs w:val="20"/>
          <w:color w:val="auto"/>
        </w:rPr>
        <w:tab/>
      </w:r>
      <w:r>
        <w:rPr>
          <w:rFonts w:ascii="Times New Roman" w:cs="Times New Roman" w:eastAsia="Times New Roman" w:hAnsi="Times New Roman"/>
          <w:sz w:val="20"/>
          <w:szCs w:val="20"/>
          <w:color w:val="auto"/>
        </w:rPr>
        <w:t>— Seventh Amended and Restated Limited Liability Company Agreement of Plains All American GP LLC dated November 15, 2016 (incorporated by reference to Exhibit 3.3 to our Current Report on Form 8-K filed November 21, 2016).</w:t>
      </w:r>
    </w:p>
    <w:p>
      <w:pPr>
        <w:spacing w:after="0" w:line="132" w:lineRule="exact"/>
        <w:rPr>
          <w:sz w:val="20"/>
          <w:szCs w:val="20"/>
          <w:color w:val="auto"/>
        </w:rPr>
      </w:pPr>
    </w:p>
    <w:p>
      <w:pPr>
        <w:spacing w:after="0"/>
        <w:tabs>
          <w:tab w:leader="none" w:pos="1120" w:val="left"/>
          <w:tab w:leader="none" w:pos="150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Eighth Amended and Restated Limited Partnership Agreement of Plains AAP, L.P. dated November 15,</w:t>
      </w:r>
    </w:p>
    <w:p>
      <w:pPr>
        <w:ind w:left="1520"/>
        <w:spacing w:after="0" w:line="206" w:lineRule="auto"/>
        <w:rPr>
          <w:sz w:val="20"/>
          <w:szCs w:val="20"/>
          <w:color w:val="auto"/>
        </w:rPr>
      </w:pPr>
      <w:r>
        <w:rPr>
          <w:rFonts w:ascii="Times New Roman" w:cs="Times New Roman" w:eastAsia="Times New Roman" w:hAnsi="Times New Roman"/>
          <w:sz w:val="20"/>
          <w:szCs w:val="20"/>
          <w:color w:val="auto"/>
        </w:rPr>
        <w:t>2016 (incorporated by reference to Exhibit 3.4 to our Current Report on Form 8-K filed November 21,</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color w:val="auto"/>
        </w:rPr>
        <w:t>2016).</w:t>
      </w:r>
    </w:p>
    <w:p>
      <w:pPr>
        <w:spacing w:after="0" w:line="191" w:lineRule="exact"/>
        <w:rPr>
          <w:sz w:val="20"/>
          <w:szCs w:val="20"/>
          <w:color w:val="auto"/>
        </w:rPr>
      </w:pPr>
    </w:p>
    <w:p>
      <w:pPr>
        <w:ind w:left="114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color w:val="auto"/>
        </w:rPr>
        <w:t>— Amendment No. 1 dated September 26, 2018 to the Eighth Amended and Restated Limited Partnership Agreement of Plains AAP, L.P. (incorporated by reference to Exhibit 3.1 to our Current Report on Form 8-K filed October 2, 2018).</w:t>
      </w:r>
    </w:p>
    <w:p>
      <w:pPr>
        <w:spacing w:after="0" w:line="164" w:lineRule="exact"/>
        <w:rPr>
          <w:sz w:val="20"/>
          <w:szCs w:val="20"/>
          <w:color w:val="auto"/>
        </w:rPr>
      </w:pPr>
    </w:p>
    <w:p>
      <w:pPr>
        <w:ind w:left="114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20"/>
          <w:szCs w:val="20"/>
          <w:color w:val="auto"/>
        </w:rPr>
        <w:t>— Amendment No. 2 dated May 23, 2019 to the Eighth Amended and Restated Limited Partnership Agreement of Plains AAP, L.P. (incorporated by reference to Exhibit 3.1 to our Current Report on Form 8-K filed May 30, 2019).</w:t>
      </w:r>
    </w:p>
    <w:p>
      <w:pPr>
        <w:spacing w:after="0" w:line="164" w:lineRule="exact"/>
        <w:rPr>
          <w:sz w:val="20"/>
          <w:szCs w:val="20"/>
          <w:color w:val="auto"/>
        </w:rPr>
      </w:pPr>
    </w:p>
    <w:p>
      <w:pPr>
        <w:ind w:left="1140" w:right="18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20"/>
          <w:szCs w:val="20"/>
          <w:color w:val="auto"/>
        </w:rPr>
        <w:t>— Certificate of Incorporation of PAA Finance Corp. (f/k/a Pacific Energy Finance Corporation, successor-by-merger to PAA Finance Corp.) (incorporated by reference to Exhibit 3.10 to our Annual Report on Form 10-K for the year ended December 31, 2006).</w:t>
      </w:r>
    </w:p>
    <w:p>
      <w:pPr>
        <w:spacing w:after="0" w:line="164" w:lineRule="exact"/>
        <w:rPr>
          <w:sz w:val="20"/>
          <w:szCs w:val="20"/>
          <w:color w:val="auto"/>
        </w:rPr>
      </w:pPr>
    </w:p>
    <w:p>
      <w:pPr>
        <w:ind w:left="1140" w:right="4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20"/>
          <w:szCs w:val="20"/>
          <w:color w:val="auto"/>
        </w:rPr>
        <w:t>— Bylaws of PAA Finance Corp. (f/k/a Pacific Energy Finance Corporation, successor-by-merger to PAA Finance Corp.) (incorporated by reference to Exhibit 3.11 to our Annual Report on Form 10-K for the year ended December 31, 2006).</w:t>
      </w:r>
    </w:p>
    <w:p>
      <w:pPr>
        <w:spacing w:after="0" w:line="164" w:lineRule="exact"/>
        <w:rPr>
          <w:sz w:val="20"/>
          <w:szCs w:val="20"/>
          <w:color w:val="auto"/>
        </w:rPr>
      </w:pPr>
    </w:p>
    <w:p>
      <w:pPr>
        <w:jc w:val="center"/>
        <w:ind w:right="540"/>
        <w:spacing w:after="0" w:line="238" w:lineRule="auto"/>
        <w:rPr>
          <w:sz w:val="20"/>
          <w:szCs w:val="20"/>
          <w:color w:val="auto"/>
        </w:rPr>
      </w:pPr>
      <w:r>
        <w:rPr>
          <w:rFonts w:ascii="Times New Roman" w:cs="Times New Roman" w:eastAsia="Times New Roman" w:hAnsi="Times New Roman"/>
          <w:sz w:val="20"/>
          <w:szCs w:val="20"/>
          <w:color w:val="auto"/>
        </w:rPr>
        <w:t>3.16        —  Limited Liability Company Agreement of PAA GP LLC dated December 28, 2007 (incorporated by reference to Exhibit 3.3 to our Current Report on Form 8-K filed January 4, 2008).</w:t>
      </w:r>
    </w:p>
    <w:p>
      <w:pPr>
        <w:spacing w:after="0" w:line="153" w:lineRule="exact"/>
        <w:rPr>
          <w:sz w:val="20"/>
          <w:szCs w:val="20"/>
          <w:color w:val="auto"/>
        </w:rPr>
      </w:pPr>
    </w:p>
    <w:p>
      <w:pPr>
        <w:ind w:left="1140" w:right="60" w:hanging="1529"/>
        <w:spacing w:after="0" w:line="238" w:lineRule="auto"/>
        <w:tabs>
          <w:tab w:leader="none" w:pos="1120" w:val="left"/>
        </w:tabs>
        <w:rPr>
          <w:sz w:val="20"/>
          <w:szCs w:val="20"/>
          <w:color w:val="auto"/>
        </w:rPr>
      </w:pPr>
      <w:r>
        <w:rPr>
          <w:rFonts w:ascii="Times New Roman" w:cs="Times New Roman" w:eastAsia="Times New Roman" w:hAnsi="Times New Roman"/>
          <w:sz w:val="20"/>
          <w:szCs w:val="20"/>
          <w:color w:val="auto"/>
        </w:rPr>
        <w:t>3.17</w:t>
      </w:r>
      <w:r>
        <w:rPr>
          <w:sz w:val="20"/>
          <w:szCs w:val="20"/>
          <w:color w:val="auto"/>
        </w:rPr>
        <w:tab/>
      </w:r>
      <w:r>
        <w:rPr>
          <w:rFonts w:ascii="Times New Roman" w:cs="Times New Roman" w:eastAsia="Times New Roman" w:hAnsi="Times New Roman"/>
          <w:sz w:val="20"/>
          <w:szCs w:val="20"/>
          <w:color w:val="auto"/>
        </w:rPr>
        <w:t>— Certificate of Limited Partnership of Plains GP Holdings, L.P. (incorporated by reference to Exhibit 3.1 to PAGP’s Registration Statement on Form S-1 (333-190227) filed July 29, 2013).</w:t>
      </w:r>
    </w:p>
    <w:p>
      <w:pPr>
        <w:spacing w:after="0" w:line="153" w:lineRule="exact"/>
        <w:rPr>
          <w:sz w:val="20"/>
          <w:szCs w:val="20"/>
          <w:color w:val="auto"/>
        </w:rPr>
      </w:pPr>
    </w:p>
    <w:p>
      <w:pPr>
        <w:ind w:left="1140" w:right="8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20"/>
          <w:szCs w:val="20"/>
          <w:color w:val="auto"/>
        </w:rPr>
        <w:t>— Second Amended and Restated Agreement of Limited Partnership of Plains GP Holdings, L.P. dated as of November 15, 2016 (incorporated by reference to Exhibit 3.2 to PAGP’s Current Report on Form 8-K filed November 21, 2016).</w:t>
      </w:r>
    </w:p>
    <w:p>
      <w:pPr>
        <w:spacing w:after="0" w:line="164" w:lineRule="exact"/>
        <w:rPr>
          <w:sz w:val="20"/>
          <w:szCs w:val="20"/>
          <w:color w:val="auto"/>
        </w:rPr>
      </w:pPr>
    </w:p>
    <w:p>
      <w:pPr>
        <w:ind w:left="1140" w:right="48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3.19</w:t>
      </w:r>
      <w:r>
        <w:rPr>
          <w:sz w:val="20"/>
          <w:szCs w:val="20"/>
          <w:color w:val="auto"/>
        </w:rPr>
        <w:tab/>
      </w:r>
      <w:r>
        <w:rPr>
          <w:rFonts w:ascii="Times New Roman" w:cs="Times New Roman" w:eastAsia="Times New Roman" w:hAnsi="Times New Roman"/>
          <w:sz w:val="20"/>
          <w:szCs w:val="20"/>
          <w:color w:val="auto"/>
        </w:rPr>
        <w:t>— Amendment No. 1 dated April 6, 2020 to the Second Amended and Restated Agreement of Limited Partnership of Plains GP Holdings, L.P. (incorporated by reference to Exhibit 3.1 to PAGP’s Current Report on Form 8-K filed April 9, 2020).</w:t>
      </w:r>
    </w:p>
    <w:p>
      <w:pPr>
        <w:spacing w:after="0" w:line="164" w:lineRule="exact"/>
        <w:rPr>
          <w:sz w:val="20"/>
          <w:szCs w:val="20"/>
          <w:color w:val="auto"/>
        </w:rPr>
      </w:pPr>
    </w:p>
    <w:p>
      <w:pPr>
        <w:ind w:left="1140" w:right="220" w:hanging="1529"/>
        <w:spacing w:after="0" w:line="238" w:lineRule="auto"/>
        <w:tabs>
          <w:tab w:leader="none" w:pos="1120" w:val="left"/>
        </w:tabs>
        <w:rPr>
          <w:sz w:val="20"/>
          <w:szCs w:val="20"/>
          <w:color w:val="auto"/>
        </w:rPr>
      </w:pPr>
      <w:r>
        <w:rPr>
          <w:rFonts w:ascii="Times New Roman" w:cs="Times New Roman" w:eastAsia="Times New Roman" w:hAnsi="Times New Roman"/>
          <w:sz w:val="20"/>
          <w:szCs w:val="20"/>
          <w:color w:val="auto"/>
        </w:rPr>
        <w:t>3.20</w:t>
      </w:r>
      <w:r>
        <w:rPr>
          <w:sz w:val="20"/>
          <w:szCs w:val="20"/>
          <w:color w:val="auto"/>
        </w:rPr>
        <w:tab/>
      </w:r>
      <w:r>
        <w:rPr>
          <w:rFonts w:ascii="Times New Roman" w:cs="Times New Roman" w:eastAsia="Times New Roman" w:hAnsi="Times New Roman"/>
          <w:sz w:val="20"/>
          <w:szCs w:val="20"/>
          <w:color w:val="auto"/>
        </w:rPr>
        <w:t>— Certificate of Formation of PAA GP Holdings LLC (incorporated by reference to Exhibit 3.3 to PAGP’s Registration Statement on Form S-1 (333-190227) filed July 29, 2013).</w:t>
      </w:r>
    </w:p>
    <w:p>
      <w:pPr>
        <w:spacing w:after="0" w:line="153" w:lineRule="exact"/>
        <w:rPr>
          <w:sz w:val="20"/>
          <w:szCs w:val="20"/>
          <w:color w:val="auto"/>
        </w:rPr>
      </w:pPr>
    </w:p>
    <w:p>
      <w:pPr>
        <w:ind w:left="1140" w:right="16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color w:val="auto"/>
        </w:rPr>
        <w:t>— Fourth Amended and Restated Limited Liability Company Agreement of PAA GP Holdings LLC dated effective as of August 19, 2021 (incorporated by reference to Exhibit 3.21 to our Annual Report on Form 10-K for the year ended December 31, 2021).</w:t>
      </w:r>
    </w:p>
    <w:p>
      <w:pPr>
        <w:spacing w:after="0" w:line="164" w:lineRule="exact"/>
        <w:rPr>
          <w:sz w:val="20"/>
          <w:szCs w:val="20"/>
          <w:color w:val="auto"/>
        </w:rPr>
      </w:pPr>
    </w:p>
    <w:p>
      <w:pPr>
        <w:ind w:left="114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 Indenture dated September 25, 2002 among Plains All American Pipeline, L.P., PAA Finance Corp. and Wachovia Bank, National Association, as trustee (incorporated by reference to Exhibit 4.1 to our Quarterly Report on Form 10-Q for the quarter ended September 30, 2002).</w:t>
      </w:r>
    </w:p>
    <w:p>
      <w:pPr>
        <w:spacing w:after="0" w:line="164" w:lineRule="exact"/>
        <w:rPr>
          <w:sz w:val="20"/>
          <w:szCs w:val="20"/>
          <w:color w:val="auto"/>
        </w:rPr>
      </w:pPr>
    </w:p>
    <w:p>
      <w:pPr>
        <w:ind w:left="1140" w:right="140" w:hanging="1529"/>
        <w:spacing w:after="0" w:line="222" w:lineRule="auto"/>
        <w:tabs>
          <w:tab w:leader="none" w:pos="11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 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p>
    <w:p>
      <w:pPr>
        <w:spacing w:after="0" w:line="159" w:lineRule="exact"/>
        <w:rPr>
          <w:sz w:val="20"/>
          <w:szCs w:val="20"/>
          <w:color w:val="auto"/>
        </w:rPr>
      </w:pPr>
    </w:p>
    <w:p>
      <w:pPr>
        <w:ind w:left="1140" w:right="180" w:hanging="1529"/>
        <w:spacing w:after="0" w:line="222" w:lineRule="auto"/>
        <w:tabs>
          <w:tab w:leader="none" w:pos="112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 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p>
    <w:p>
      <w:pPr>
        <w:spacing w:after="0" w:line="159" w:lineRule="exact"/>
        <w:rPr>
          <w:sz w:val="20"/>
          <w:szCs w:val="20"/>
          <w:color w:val="auto"/>
        </w:rPr>
      </w:pPr>
    </w:p>
    <w:p>
      <w:pPr>
        <w:ind w:left="1140" w:right="4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 Twenty-First Supplemental Indenture (5.15% Senior Notes due 2042) dated March 22, 2012 among Plains All American Pipeline, L.P., PAA Finance Corp. and U.S. Bank National Association, as trustee (incorporated by reference to Exhibit 4.3 to our Current Report on Form 8-K filed March 26, 2012).</w:t>
      </w:r>
    </w:p>
    <w:p>
      <w:pPr>
        <w:spacing w:after="0" w:line="164" w:lineRule="exact"/>
        <w:rPr>
          <w:sz w:val="20"/>
          <w:szCs w:val="20"/>
          <w:color w:val="auto"/>
        </w:rPr>
      </w:pPr>
    </w:p>
    <w:p>
      <w:pPr>
        <w:ind w:left="1140" w:right="20" w:hanging="1529"/>
        <w:spacing w:after="0" w:line="222" w:lineRule="auto"/>
        <w:tabs>
          <w:tab w:leader="none" w:pos="112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color w:val="auto"/>
        </w:rPr>
        <w:t>— Twenty-Second Supplemental Indenture (2.85% Senior Notes due 2023) dated December 10, 2012, by and among Plains All American Pipeline, L.P., PAA Finance Corp. and U.S. Bank National Association, as trustee (incorporated by reference to Exhibit 4.1 to our Current Report on Form 8-K filed December 12, 2012).</w:t>
      </w:r>
    </w:p>
    <w:p>
      <w:pPr>
        <w:sectPr>
          <w:pgSz w:w="11880" w:h="15480" w:orient="portrait"/>
          <w:cols w:equalWidth="0" w:num="1">
            <w:col w:w="10000"/>
          </w:cols>
          <w:pgMar w:left="920" w:top="757" w:right="96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000"/>
          </w:cols>
          <w:pgMar w:left="920" w:top="757" w:right="960" w:bottom="0" w:gutter="0" w:footer="0" w:header="0"/>
          <w:type w:val="continuous"/>
        </w:sectPr>
      </w:pPr>
    </w:p>
    <w:bookmarkStart w:id="97" w:name="page98"/>
    <w:bookmarkEnd w:id="97"/>
    <w:p>
      <w:pPr>
        <w:ind w:left="1140" w:right="180" w:hanging="1529"/>
        <w:spacing w:after="0" w:line="222" w:lineRule="auto"/>
        <w:tabs>
          <w:tab w:leader="none" w:pos="112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 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p>
    <w:p>
      <w:pPr>
        <w:spacing w:after="0" w:line="159" w:lineRule="exact"/>
        <w:rPr>
          <w:sz w:val="20"/>
          <w:szCs w:val="20"/>
          <w:color w:val="auto"/>
        </w:rPr>
      </w:pPr>
    </w:p>
    <w:p>
      <w:pPr>
        <w:ind w:left="1140" w:right="320" w:hanging="1529"/>
        <w:spacing w:after="0" w:line="222" w:lineRule="auto"/>
        <w:tabs>
          <w:tab w:leader="none" w:pos="112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20"/>
          <w:szCs w:val="20"/>
          <w:color w:val="auto"/>
        </w:rPr>
        <w:t>— Twenty-Fourth Supplemental Indenture (3.85% Senior Notes due 2023) dated August 15, 2013, by and among Plains All American Pipeline, L.P., PAA Finance Corp. and U.S. Bank National Association, as trustee (incorporated by reference to Exhibit 4.1 to our Current Report on Form 8-K filed August 15, 2013).</w:t>
      </w:r>
    </w:p>
    <w:p>
      <w:pPr>
        <w:spacing w:after="0" w:line="159" w:lineRule="exact"/>
        <w:rPr>
          <w:sz w:val="20"/>
          <w:szCs w:val="20"/>
          <w:color w:val="auto"/>
        </w:rPr>
      </w:pPr>
    </w:p>
    <w:p>
      <w:pPr>
        <w:ind w:left="1140" w:right="4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20"/>
          <w:szCs w:val="20"/>
          <w:color w:val="auto"/>
        </w:rPr>
        <w:t>— 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p>
    <w:p>
      <w:pPr>
        <w:spacing w:after="0" w:line="164" w:lineRule="exact"/>
        <w:rPr>
          <w:sz w:val="20"/>
          <w:szCs w:val="20"/>
          <w:color w:val="auto"/>
        </w:rPr>
      </w:pPr>
    </w:p>
    <w:p>
      <w:pPr>
        <w:jc w:val="both"/>
        <w:ind w:left="1140" w:right="240" w:hanging="1529"/>
        <w:spacing w:after="0" w:line="222" w:lineRule="auto"/>
        <w:tabs>
          <w:tab w:leader="none" w:pos="112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color w:val="auto"/>
        </w:rPr>
        <w:t>— 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p>
    <w:p>
      <w:pPr>
        <w:spacing w:after="0" w:line="159" w:lineRule="exact"/>
        <w:rPr>
          <w:sz w:val="20"/>
          <w:szCs w:val="20"/>
          <w:color w:val="auto"/>
        </w:rPr>
      </w:pPr>
    </w:p>
    <w:p>
      <w:pPr>
        <w:ind w:left="1140" w:right="180" w:hanging="1529"/>
        <w:spacing w:after="0" w:line="222" w:lineRule="auto"/>
        <w:tabs>
          <w:tab w:leader="none" w:pos="112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20"/>
          <w:szCs w:val="20"/>
          <w:color w:val="auto"/>
        </w:rPr>
        <w:t>— 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p>
    <w:p>
      <w:pPr>
        <w:spacing w:after="0" w:line="159" w:lineRule="exact"/>
        <w:rPr>
          <w:sz w:val="20"/>
          <w:szCs w:val="20"/>
          <w:color w:val="auto"/>
        </w:rPr>
      </w:pPr>
    </w:p>
    <w:p>
      <w:pPr>
        <w:ind w:left="1140" w:right="320" w:hanging="1529"/>
        <w:spacing w:after="0" w:line="222" w:lineRule="auto"/>
        <w:tabs>
          <w:tab w:leader="none" w:pos="112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20"/>
          <w:szCs w:val="20"/>
          <w:color w:val="auto"/>
        </w:rPr>
        <w:t>— Twenty-Ninth Supplemental Indenture (4.65% Senior Notes due 2025) dated August 24, 2015, by and among Plains All American Pipeline, L.P., PAA Finance Corp. and U.S. Bank National Association, as trustee (incorporated by reference to Exhibit 4.1 to our Current Report on Form 8-K filed August 26, 2015).</w:t>
      </w:r>
    </w:p>
    <w:p>
      <w:pPr>
        <w:spacing w:after="0" w:line="159" w:lineRule="exact"/>
        <w:rPr>
          <w:sz w:val="20"/>
          <w:szCs w:val="20"/>
          <w:color w:val="auto"/>
        </w:rPr>
      </w:pPr>
    </w:p>
    <w:p>
      <w:pPr>
        <w:ind w:left="1140" w:right="260" w:hanging="1529"/>
        <w:spacing w:after="0" w:line="222" w:lineRule="auto"/>
        <w:tabs>
          <w:tab w:leader="none" w:pos="112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20"/>
          <w:szCs w:val="20"/>
          <w:color w:val="auto"/>
        </w:rPr>
        <w:t>— Thirtieth Supplemental Indenture (4.50% Senior Notes due 2026) dated November 22, 2016, by and among Plains All American Pipeline, L.P., PAA Finance Corp. and U.S. Bank National Association, as trustee (incorporated by reference to Exhibit 4.1 to our Current Report on Form 8-K filed November 29, 2016).</w:t>
      </w:r>
    </w:p>
    <w:p>
      <w:pPr>
        <w:spacing w:after="0" w:line="159" w:lineRule="exact"/>
        <w:rPr>
          <w:sz w:val="20"/>
          <w:szCs w:val="20"/>
          <w:color w:val="auto"/>
        </w:rPr>
      </w:pPr>
    </w:p>
    <w:p>
      <w:pPr>
        <w:jc w:val="both"/>
        <w:ind w:left="1140" w:right="240" w:hanging="1529"/>
        <w:spacing w:after="0" w:line="222" w:lineRule="auto"/>
        <w:tabs>
          <w:tab w:leader="none" w:pos="112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20"/>
          <w:szCs w:val="20"/>
          <w:color w:val="auto"/>
        </w:rPr>
        <w:t>— Thirty-First Supplemental Indenture (3.55% Senior Notes due 2029) dated September 16, 2019, by and among Plains All American Pipeline, L.P., PAA Finance Corp. and U.S. Bank National Association, as trustee (incorporated by reference to Exhibit 4.1 to our Current Report on Form 8-K filed September 17, 2019).</w:t>
      </w:r>
    </w:p>
    <w:p>
      <w:pPr>
        <w:spacing w:after="0" w:line="159" w:lineRule="exact"/>
        <w:rPr>
          <w:sz w:val="20"/>
          <w:szCs w:val="20"/>
          <w:color w:val="auto"/>
        </w:rPr>
      </w:pPr>
    </w:p>
    <w:p>
      <w:pPr>
        <w:ind w:left="1140" w:hanging="1529"/>
        <w:spacing w:after="0" w:line="234" w:lineRule="auto"/>
        <w:tabs>
          <w:tab w:leader="none" w:pos="112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20"/>
          <w:szCs w:val="20"/>
          <w:color w:val="auto"/>
        </w:rPr>
        <w:t>— Thirty-Second Supplemental Indenture (3.80% Senior Notes due 2030) dated June 11, 2020, by and among Plains All American Pipeline, L.P., PAA Finance Corp. and U.S. Bank National Association, as trustee (incorporated by reference to Exhibit 4.1 to our Current Report on Form 8-K filed June 11, 2020).</w:t>
      </w:r>
    </w:p>
    <w:p>
      <w:pPr>
        <w:spacing w:after="0" w:line="144" w:lineRule="exact"/>
        <w:rPr>
          <w:sz w:val="20"/>
          <w:szCs w:val="20"/>
          <w:color w:val="auto"/>
        </w:rPr>
      </w:pPr>
    </w:p>
    <w:p>
      <w:pPr>
        <w:ind w:left="1140" w:right="12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20"/>
          <w:szCs w:val="20"/>
          <w:color w:val="auto"/>
        </w:rPr>
        <w:t>— Registration Rights Agreement dated September 3, 2009 by and between Plains All American Pipeline, L.P. and Vulcan Gas Storage LLC (incorporated by reference to Exhibit 4.1 to our Registration Statement on Form S-3, File No. 333-162477).</w:t>
      </w:r>
    </w:p>
    <w:p>
      <w:pPr>
        <w:spacing w:after="0" w:line="164" w:lineRule="exact"/>
        <w:rPr>
          <w:sz w:val="20"/>
          <w:szCs w:val="20"/>
          <w:color w:val="auto"/>
        </w:rPr>
      </w:pPr>
    </w:p>
    <w:p>
      <w:pPr>
        <w:jc w:val="both"/>
        <w:ind w:left="114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20"/>
          <w:szCs w:val="20"/>
          <w:color w:val="auto"/>
        </w:rPr>
        <w:t>— Registration Rights Agreement dated as of January 28, 2016 among Plains All American Pipeline, L.P. and the Purchasers named therein (incorporated by reference to Exhibit 4.1 to our Current Report on Form 8-K filed February 2, 2016).</w:t>
      </w:r>
    </w:p>
    <w:p>
      <w:pPr>
        <w:spacing w:after="0" w:line="164" w:lineRule="exact"/>
        <w:rPr>
          <w:sz w:val="20"/>
          <w:szCs w:val="20"/>
          <w:color w:val="auto"/>
        </w:rPr>
      </w:pPr>
    </w:p>
    <w:p>
      <w:pPr>
        <w:ind w:left="1140" w:right="12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20"/>
          <w:szCs w:val="20"/>
          <w:color w:val="auto"/>
        </w:rPr>
        <w:t>— Registration Rights Agreement by and among Plains All American Pipeline, L.P. and the Holders defined therein, dated November 15, 2016 (incorporated by reference to Exhibit 10.4 to our Current Report on Form 8-K filed November 21, 2016).</w:t>
      </w:r>
    </w:p>
    <w:p>
      <w:pPr>
        <w:spacing w:after="0" w:line="164" w:lineRule="exact"/>
        <w:rPr>
          <w:sz w:val="20"/>
          <w:szCs w:val="20"/>
          <w:color w:val="auto"/>
        </w:rPr>
      </w:pPr>
    </w:p>
    <w:p>
      <w:pPr>
        <w:spacing w:after="0"/>
        <w:tabs>
          <w:tab w:leader="none" w:pos="1120" w:val="left"/>
          <w:tab w:leader="none" w:pos="1500" w:val="left"/>
        </w:tabs>
        <w:rPr>
          <w:sz w:val="20"/>
          <w:szCs w:val="20"/>
          <w:color w:val="auto"/>
        </w:rPr>
      </w:pPr>
      <w:r>
        <w:rPr>
          <w:rFonts w:ascii="Times New Roman" w:cs="Times New Roman" w:eastAsia="Times New Roman" w:hAnsi="Times New Roman"/>
          <w:sz w:val="20"/>
          <w:szCs w:val="20"/>
          <w:color w:val="auto"/>
        </w:rPr>
        <w:t>4.18 †</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Description of Our Securities.</w:t>
      </w:r>
    </w:p>
    <w:p>
      <w:pPr>
        <w:spacing w:after="0" w:line="186" w:lineRule="exact"/>
        <w:rPr>
          <w:sz w:val="20"/>
          <w:szCs w:val="20"/>
          <w:color w:val="auto"/>
        </w:rPr>
      </w:pPr>
    </w:p>
    <w:p>
      <w:pPr>
        <w:ind w:left="1140" w:right="80" w:hanging="1529"/>
        <w:spacing w:after="0" w:line="217" w:lineRule="auto"/>
        <w:tabs>
          <w:tab w:leader="none" w:pos="11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 Credit Agreement dated as of August 20, 2021,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26, 2021).</w:t>
      </w:r>
    </w:p>
    <w:p>
      <w:pPr>
        <w:sectPr>
          <w:pgSz w:w="11880" w:h="15480" w:orient="portrait"/>
          <w:cols w:equalWidth="0" w:num="1">
            <w:col w:w="10020"/>
          </w:cols>
          <w:pgMar w:left="920" w:top="75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020"/>
          </w:cols>
          <w:pgMar w:left="920" w:top="757" w:right="94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First Amendment to Credit Agreement dated as of August 22, 2022, among Plains All American Pipeline,</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L.P. and Plains Midstream Canada ULC, as Borrowers; certain subsidiaries of Plains All American</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Pipeline, L.P. from time to time party thereto, as Designated Borrowers; Bank of America, N.A., as</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Administrative Agent and Swing Line Lender; Bank of America, N.A., Citibank, N.A., JPMorgan Chase</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Bank, N.A. and Wells Fargo Bank, National Association, as L/C Issuers; and the other Lenders party</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thereto (incorporated by reference to Exhibit 10.1 to our Current Report on Form 8-K filed August 25,</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2022).</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Fourth Amended and Restated Credit Agreement dated as of August 20, 2021, among Plains Marketing,</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L.P. and Plains Midstream Canada ULC, as Borrowers; Plains All American Pipeline, L.P., as guarantor;</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Bank of America, N.A., as Administrative Agent and Swing Line Lender; Bank of America, N.A.,</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w w:val="99"/>
              </w:rPr>
              <w:t>Citibank, N.A., JPMorgan Chase Bank, N.A. and Wells Fargo Bank, National Association, as L/C Issuers;</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and the other Lenders party thereto (incorporated by reference to Exhibit 10.2 to our Current Report on</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Form 8-K filed August 26, 2021).</w:t>
            </w:r>
          </w:p>
        </w:tc>
      </w:tr>
      <w:tr>
        <w:trPr>
          <w:trHeight w:val="44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  First Amendment to Fourth Amended and Restated Credit Agreement dated as of August 22, 2022, among</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Plains Marketing, L.P. and Plains Midstream Canada ULC, as Borrowers; Plains All American Pipeline,</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L.P., as guarantor; Bank of America, N.A., as Administrative Agent and Swing Line Lender; Bank of</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w w:val="98"/>
              </w:rPr>
              <w:t>America, N.A., Citibank, N.A., JPMorgan Chase Bank, N.A. and Wells Fargo Bank, National Association,</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as L/C Issuers; and the other Lenders party thereto (incorporated by reference to Exhibit 10.2 to our</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Current Report on Form 8-K filed August 25, 2022).</w:t>
            </w:r>
          </w:p>
        </w:tc>
      </w:tr>
      <w:tr>
        <w:trPr>
          <w:trHeight w:val="38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  Contribution and Assumption Agreement dated December 28, 2007, by and between Plains AAP, L.P. and</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PAA GP LLC (incorporated by reference to Exhibit 10.2 to our Current Report on Form 8-K filed</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January 4, 2008).</w:t>
            </w:r>
          </w:p>
        </w:tc>
      </w:tr>
      <w:tr>
        <w:trPr>
          <w:trHeight w:val="3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Omnibus Agreement by and among PAA GP Holdings LLC, Plains GP Holdings, L.P., Plains All</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American GP LLC, Plains AAP, L.P., PAA GP LLC, and Plains All American Pipeline, L.P., dated</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November 15, 2016 (incorporated by reference to Exhibit 10.1 to our Current Report on Form 8-K filed</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November 21, 2016).</w:t>
            </w:r>
          </w:p>
        </w:tc>
      </w:tr>
      <w:tr>
        <w:trPr>
          <w:trHeight w:val="35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Amended and Restated Administrative Agreement by and among PAA GP Holdings LLC, Plains GP</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Holdings, L.P., Plains All American GP LLC, Plains AAP, L.P., PAA GP LLC, and Plains All American</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w w:val="99"/>
              </w:rPr>
              <w:t>Pipeline, L.P., dated November 15, 2016 (incorporated by reference to Exhibit 10.2 to our Current Report</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on Form 8-K filed November 21, 2016).</w:t>
            </w:r>
          </w:p>
        </w:tc>
      </w:tr>
      <w:tr>
        <w:trPr>
          <w:trHeight w:val="35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Amended and Restated Employment Agreement between Plains All American GP LLC and Greg L.</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w w:val="98"/>
              </w:rPr>
              <w:t>Armstrong dated as of June 30, 2001 (incorporated by reference to Exhibit 10.1 to our Quarterly Report on</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Form 10-Q for the quarter ended September 30, 2001).</w:t>
            </w:r>
          </w:p>
        </w:tc>
      </w:tr>
      <w:tr>
        <w:trPr>
          <w:trHeight w:val="3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First Amendment to Amended and Restated Employment Agreement dated December 4, 2008 between</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Plains All American GP LLC and Greg L. Armstrong (incorporated by reference to Exhibit 10.49 to our</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Annual Report on Form 10-K for the year ended December 31, 2008).</w:t>
            </w:r>
          </w:p>
        </w:tc>
      </w:tr>
      <w:tr>
        <w:trPr>
          <w:trHeight w:val="3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Waiver Agreement dated as of December 23, 2010 between Plains All American GP LLC and Greg L.</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Armstrong (incorporated by reference to Exhibit 10.31 to our Annual Report on Form 10-K for the year</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ended December 31, 2010).</w:t>
            </w:r>
          </w:p>
        </w:tc>
      </w:tr>
      <w:tr>
        <w:trPr>
          <w:trHeight w:val="3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Waiver Agreement dated October 21, 2013 to the Amended and Restated Employment Agreement dated</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June 30, 2001 of Greg L. Armstrong (incorporated by reference to Exhibit 10.2 to our Current Report on</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Form 8-K filed October 25, 2013).</w:t>
            </w:r>
          </w:p>
        </w:tc>
      </w:tr>
      <w:tr>
        <w:trPr>
          <w:trHeight w:val="3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Second Amended and Restated Employment Agreement dated effective October 1, 2018 between Plains</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w w:val="99"/>
              </w:rPr>
              <w:t>All American GP LLC and Greg L. Armstrong (incorporated by reference to Exhibit 10.6 to our Quarterly</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Report on Form 10-Q for the quarter ended September 30, 2018).</w:t>
            </w:r>
          </w:p>
        </w:tc>
      </w:tr>
      <w:tr>
        <w:trPr>
          <w:trHeight w:val="3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Third Amended and Restated Employment Agreement dated effective January 1, 2020 between Plains All</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American GP LLC and Greg L. Armstrong (incorporated by reference to Exhibit 10.31 to our Annual</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Report on Form 10-K for the year ended December 31, 2019.</w:t>
            </w:r>
          </w:p>
        </w:tc>
      </w:tr>
      <w:tr>
        <w:trPr>
          <w:trHeight w:val="3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Amendment No. 1 to Third Amended and Restated Employment Agreement dated effective December 31,</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w w:val="99"/>
              </w:rPr>
              <w:t>2021 between Plains All American GP LLC and Greg L. Armstrong (incorporated by reference to Exhibit</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10.12 to our Annual Report on Form 10-K for the year ended December 31, 2021).</w:t>
            </w:r>
          </w:p>
        </w:tc>
      </w:tr>
      <w:tr>
        <w:trPr>
          <w:trHeight w:val="3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9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Amended and Restated Employment Agreement between Plains All American GP LLC and Harry N.</w:t>
            </w:r>
          </w:p>
        </w:tc>
      </w:tr>
      <w:tr>
        <w:trPr>
          <w:trHeight w:val="198"/>
        </w:trPr>
        <w:tc>
          <w:tcPr>
            <w:tcW w:w="880" w:type="dxa"/>
            <w:vAlign w:val="bottom"/>
          </w:tcPr>
          <w:p>
            <w:pPr>
              <w:spacing w:after="0"/>
              <w:rPr>
                <w:sz w:val="17"/>
                <w:szCs w:val="17"/>
                <w:color w:val="auto"/>
              </w:rPr>
            </w:pPr>
          </w:p>
        </w:tc>
        <w:tc>
          <w:tcPr>
            <w:tcW w:w="9100" w:type="dxa"/>
            <w:vAlign w:val="bottom"/>
          </w:tcPr>
          <w:p>
            <w:pPr>
              <w:ind w:left="640"/>
              <w:spacing w:after="0" w:line="198" w:lineRule="exact"/>
              <w:rPr>
                <w:sz w:val="20"/>
                <w:szCs w:val="20"/>
                <w:color w:val="auto"/>
              </w:rPr>
            </w:pPr>
            <w:r>
              <w:rPr>
                <w:rFonts w:ascii="Times New Roman" w:cs="Times New Roman" w:eastAsia="Times New Roman" w:hAnsi="Times New Roman"/>
                <w:sz w:val="20"/>
                <w:szCs w:val="20"/>
                <w:color w:val="auto"/>
              </w:rPr>
              <w:t>Pefanis dated as of June 30, 2001 (incorporated by reference to Exhibit 10.2 to our Quarterly Report on</w:t>
            </w:r>
          </w:p>
        </w:tc>
      </w:tr>
      <w:tr>
        <w:trPr>
          <w:trHeight w:val="259"/>
        </w:trPr>
        <w:tc>
          <w:tcPr>
            <w:tcW w:w="880" w:type="dxa"/>
            <w:vAlign w:val="bottom"/>
          </w:tcPr>
          <w:p>
            <w:pPr>
              <w:spacing w:after="0"/>
              <w:rPr>
                <w:sz w:val="22"/>
                <w:szCs w:val="22"/>
                <w:color w:val="auto"/>
              </w:rPr>
            </w:pPr>
          </w:p>
        </w:tc>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Form 10-Q for the quarter ended September 30, 2001).</w:t>
            </w:r>
          </w:p>
        </w:tc>
      </w:tr>
    </w:tbl>
    <w:p>
      <w:pPr>
        <w:spacing w:after="0" w:line="200" w:lineRule="exact"/>
        <w:rPr>
          <w:sz w:val="20"/>
          <w:szCs w:val="20"/>
          <w:color w:val="auto"/>
        </w:rPr>
      </w:pPr>
    </w:p>
    <w:p>
      <w:pPr>
        <w:sectPr>
          <w:pgSz w:w="11880" w:h="15480" w:orient="portrait"/>
          <w:cols w:equalWidth="0" w:num="1">
            <w:col w:w="9980"/>
          </w:cols>
          <w:pgMar w:left="920" w:top="727" w:right="980" w:bottom="0" w:gutter="0" w:footer="0" w:header="0"/>
        </w:sectPr>
      </w:pP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9980"/>
          </w:cols>
          <w:pgMar w:left="920" w:top="727" w:right="980" w:bottom="0" w:gutter="0" w:footer="0" w:header="0"/>
          <w:type w:val="continuous"/>
        </w:sectPr>
      </w:pPr>
    </w:p>
    <w:bookmarkStart w:id="99" w:name="page100"/>
    <w:bookmarkEnd w:id="99"/>
    <w:p>
      <w:pPr>
        <w:ind w:left="1140" w:right="28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 First Amendment to Amended and Restated Employment Agreement dated December 4, 2008 between Plains All American GP LLC and Harry N. Pefanis (incorporated by reference to Exhibit 10.50 to our Annual Report on Form 10-K for the year ended December 31, 2008).</w:t>
      </w:r>
    </w:p>
    <w:p>
      <w:pPr>
        <w:spacing w:after="0" w:line="164" w:lineRule="exact"/>
        <w:rPr>
          <w:sz w:val="20"/>
          <w:szCs w:val="20"/>
          <w:color w:val="auto"/>
        </w:rPr>
      </w:pPr>
    </w:p>
    <w:p>
      <w:pPr>
        <w:ind w:left="1140" w:right="54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 Amendment No. 2 dated August 15, 2019 to Harry Pefanis Amended and Restated Employment Agreement (incorporated by reference to Exhibit 10.1 to our Quarterly Report on Form 10-Q for the quarter ended September 30, 2019).</w:t>
      </w:r>
    </w:p>
    <w:p>
      <w:pPr>
        <w:spacing w:after="0" w:line="134" w:lineRule="exact"/>
        <w:rPr>
          <w:sz w:val="20"/>
          <w:szCs w:val="20"/>
          <w:color w:val="auto"/>
        </w:rPr>
      </w:pPr>
    </w:p>
    <w:p>
      <w:pPr>
        <w:ind w:left="114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 Waiver Agreement dated as of December 23, 2010 between Plains All American GP LLC and Harry N. Pefanis (incorporated by reference to Exhibit 10.32 to our Annual Report on Form 10-K for the year ended December 31, 2010).</w:t>
      </w:r>
    </w:p>
    <w:p>
      <w:pPr>
        <w:spacing w:after="0" w:line="164" w:lineRule="exact"/>
        <w:rPr>
          <w:sz w:val="20"/>
          <w:szCs w:val="20"/>
          <w:color w:val="auto"/>
        </w:rPr>
      </w:pPr>
    </w:p>
    <w:p>
      <w:pPr>
        <w:ind w:left="1140" w:right="18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 Waiver Agreement dated October 21, 2013 to the Amended and Restated Employment Agreement dated June 30, 2001 of Harry N. Pefanis (incorporated by reference to Exhibit 10.3 to our Current Report on Form 8-K filed October 25, 2013).</w:t>
      </w:r>
    </w:p>
    <w:p>
      <w:pPr>
        <w:spacing w:after="0" w:line="164" w:lineRule="exact"/>
        <w:rPr>
          <w:sz w:val="20"/>
          <w:szCs w:val="20"/>
          <w:color w:val="auto"/>
        </w:rPr>
      </w:pPr>
    </w:p>
    <w:p>
      <w:pPr>
        <w:ind w:left="1140" w:right="30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 Employment Agreement between Plains All American GP LLC and Willie Chiang dated July 10, 2015 (incorporated by reference to Exhibit 10.53 to our Annual Report on Form 10-K for the year ended December 31, 2015).</w:t>
      </w:r>
    </w:p>
    <w:p>
      <w:pPr>
        <w:spacing w:after="0" w:line="164" w:lineRule="exact"/>
        <w:rPr>
          <w:sz w:val="20"/>
          <w:szCs w:val="20"/>
          <w:color w:val="auto"/>
        </w:rPr>
      </w:pPr>
    </w:p>
    <w:p>
      <w:pPr>
        <w:ind w:left="1140" w:right="16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 Amended and Restated Employment Agreement dated effective October 1, 2018 between Plains All American GP LLC and Willie Chiang (incorporated by reference to Exhibit 10.7 to our Quarterly Report on Form 10-Q for the quarter ended September 30, 2018).</w:t>
      </w:r>
    </w:p>
    <w:p>
      <w:pPr>
        <w:spacing w:after="0" w:line="164" w:lineRule="exact"/>
        <w:rPr>
          <w:sz w:val="20"/>
          <w:szCs w:val="20"/>
          <w:color w:val="auto"/>
        </w:rPr>
      </w:pPr>
    </w:p>
    <w:p>
      <w:pPr>
        <w:jc w:val="both"/>
        <w:ind w:left="1140" w:right="8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 First Amendment to Plains AAP, L.P. Class B Restricted Units Agreement dated August 25, 2016 (Willie Chiang) (incorporated by reference to Exhibit 10.8 to our Quarterly Report on Form 10-Q for the quarter ended September 30, 2016).</w:t>
      </w:r>
    </w:p>
    <w:p>
      <w:pPr>
        <w:spacing w:after="0" w:line="164" w:lineRule="exact"/>
        <w:rPr>
          <w:sz w:val="20"/>
          <w:szCs w:val="20"/>
          <w:color w:val="auto"/>
        </w:rPr>
      </w:pPr>
    </w:p>
    <w:p>
      <w:pPr>
        <w:ind w:left="1140" w:right="16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 Second Amendment dated March 22, 2018 to Plains AAP, L.P. Class B Restricted Units Agreement (Willie Chiang) (incorporated by reference to Exhibit 10.1 to our Quarterly Report on Form 10-Q for the quarter ended March 31, 2018).</w:t>
      </w:r>
    </w:p>
    <w:p>
      <w:pPr>
        <w:spacing w:after="0" w:line="164" w:lineRule="exact"/>
        <w:rPr>
          <w:sz w:val="20"/>
          <w:szCs w:val="20"/>
          <w:color w:val="auto"/>
        </w:rPr>
      </w:pPr>
    </w:p>
    <w:p>
      <w:pPr>
        <w:ind w:left="1140" w:right="60" w:hanging="1529"/>
        <w:spacing w:after="0" w:line="238" w:lineRule="auto"/>
        <w:tabs>
          <w:tab w:leader="none" w:pos="112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 LTIP Grant Letter dated August 16, 2018 (Willie Chiang) incorporated by reference to Exhibit 10.8 to our Quarterly Report on Form 10-Q for the quarter ended September 30, 2018).</w:t>
      </w:r>
    </w:p>
    <w:p>
      <w:pPr>
        <w:spacing w:after="0" w:line="153" w:lineRule="exact"/>
        <w:rPr>
          <w:sz w:val="20"/>
          <w:szCs w:val="20"/>
          <w:color w:val="auto"/>
        </w:rPr>
      </w:pPr>
    </w:p>
    <w:p>
      <w:pPr>
        <w:ind w:left="1140" w:right="560" w:hanging="1529"/>
        <w:spacing w:after="0" w:line="238" w:lineRule="auto"/>
        <w:tabs>
          <w:tab w:leader="none" w:pos="112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auto"/>
        </w:rPr>
        <w:t>— Plains All American 2021 Long-Term Incentive Plan (incorporated by reference to Exhibit A to our Definitive Proxy Statement filed on April 12, 2021).</w:t>
      </w:r>
    </w:p>
    <w:p>
      <w:pPr>
        <w:spacing w:after="0" w:line="153" w:lineRule="exact"/>
        <w:rPr>
          <w:sz w:val="20"/>
          <w:szCs w:val="20"/>
          <w:color w:val="auto"/>
        </w:rPr>
      </w:pPr>
    </w:p>
    <w:p>
      <w:pPr>
        <w:ind w:left="1140" w:right="560" w:hanging="1529"/>
        <w:spacing w:after="0" w:line="238" w:lineRule="auto"/>
        <w:tabs>
          <w:tab w:leader="none" w:pos="112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 Plains All American 2013 Long-Term Incentive Plan (incorporated by reference to Exhibit A to our Definitive Proxy Statement filed on October 3, 2013).</w:t>
      </w:r>
    </w:p>
    <w:p>
      <w:pPr>
        <w:spacing w:after="0" w:line="153" w:lineRule="exact"/>
        <w:rPr>
          <w:sz w:val="20"/>
          <w:szCs w:val="20"/>
          <w:color w:val="auto"/>
        </w:rPr>
      </w:pPr>
    </w:p>
    <w:p>
      <w:pPr>
        <w:jc w:val="center"/>
        <w:ind w:right="120"/>
        <w:spacing w:after="0" w:line="238" w:lineRule="auto"/>
        <w:rPr>
          <w:sz w:val="20"/>
          <w:szCs w:val="20"/>
          <w:color w:val="auto"/>
        </w:rPr>
      </w:pPr>
      <w:r>
        <w:rPr>
          <w:rFonts w:ascii="Times New Roman" w:cs="Times New Roman" w:eastAsia="Times New Roman" w:hAnsi="Times New Roman"/>
          <w:sz w:val="20"/>
          <w:szCs w:val="20"/>
          <w:color w:val="auto"/>
        </w:rPr>
        <w:t>10.27**     —  Plains All American PNG Successor Long-Term Incentive Plan (incorporated by reference to Exhibit 4.4 to our Registration Statement on Form S-8 (333-193139) filed December 31, 2013).</w:t>
      </w:r>
    </w:p>
    <w:p>
      <w:pPr>
        <w:spacing w:after="0" w:line="153" w:lineRule="exact"/>
        <w:rPr>
          <w:sz w:val="20"/>
          <w:szCs w:val="20"/>
          <w:color w:val="auto"/>
        </w:rPr>
      </w:pPr>
    </w:p>
    <w:p>
      <w:pPr>
        <w:ind w:left="1140" w:hanging="1529"/>
        <w:spacing w:after="0" w:line="238" w:lineRule="auto"/>
        <w:tabs>
          <w:tab w:leader="none" w:pos="112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auto"/>
        </w:rPr>
        <w:t>— PAA Natural Gas Storage, L.P. 2010 Long-Term Incentive Plan (incorporated by reference to Exhibit 10.2 to PNG’s Current Report on Form 8-K filed May 11, 2010).</w:t>
      </w:r>
    </w:p>
    <w:p>
      <w:pPr>
        <w:spacing w:after="0" w:line="153" w:lineRule="exact"/>
        <w:rPr>
          <w:sz w:val="20"/>
          <w:szCs w:val="20"/>
          <w:color w:val="auto"/>
        </w:rPr>
      </w:pPr>
    </w:p>
    <w:p>
      <w:pPr>
        <w:ind w:left="1140" w:right="60" w:hanging="1529"/>
        <w:spacing w:after="0" w:line="238" w:lineRule="auto"/>
        <w:tabs>
          <w:tab w:leader="none" w:pos="112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color w:val="auto"/>
        </w:rPr>
        <w:t>— Plains GP Holdings, L.P. Long Term Incentive Plan (incorporated by reference to Exhibit 10.3 to PAGP’s Current Report on Form 8-K filed October 25, 2013).</w:t>
      </w:r>
    </w:p>
    <w:p>
      <w:pPr>
        <w:spacing w:after="0" w:line="153" w:lineRule="exact"/>
        <w:rPr>
          <w:sz w:val="20"/>
          <w:szCs w:val="20"/>
          <w:color w:val="auto"/>
        </w:rPr>
      </w:pPr>
    </w:p>
    <w:p>
      <w:pPr>
        <w:ind w:left="1140" w:right="120" w:hanging="1529"/>
        <w:spacing w:after="0" w:line="238" w:lineRule="auto"/>
        <w:tabs>
          <w:tab w:leader="none" w:pos="112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auto"/>
        </w:rPr>
        <w:t>— Form of Plains AAP, L.P. Class B Restricted Units Agreement (incorporated by reference to Exhibit 10.1 to our Current Report on Form 8-K filed January 4, 2008).</w:t>
      </w:r>
    </w:p>
    <w:p>
      <w:pPr>
        <w:spacing w:after="0" w:line="153" w:lineRule="exact"/>
        <w:rPr>
          <w:sz w:val="20"/>
          <w:szCs w:val="20"/>
          <w:color w:val="auto"/>
        </w:rPr>
      </w:pPr>
    </w:p>
    <w:p>
      <w:pPr>
        <w:ind w:left="1140" w:right="60" w:hanging="1529"/>
        <w:spacing w:after="0" w:line="238" w:lineRule="auto"/>
        <w:tabs>
          <w:tab w:leader="none" w:pos="112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color w:val="auto"/>
        </w:rPr>
        <w:t>— Form of Amendment to the Plains AAP, L.P. Class B Restricted Units Agreement dated October 18, 2013 (incorporated by reference to Exhibit 10.4 to our Current Report on Form 8-K filed October 25, 2013).</w:t>
      </w:r>
    </w:p>
    <w:p>
      <w:pPr>
        <w:spacing w:after="0" w:line="153" w:lineRule="exact"/>
        <w:rPr>
          <w:sz w:val="20"/>
          <w:szCs w:val="20"/>
          <w:color w:val="auto"/>
        </w:rPr>
      </w:pPr>
    </w:p>
    <w:p>
      <w:pPr>
        <w:jc w:val="both"/>
        <w:ind w:left="1140" w:right="34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color w:val="auto"/>
        </w:rPr>
        <w:t>— Form of Amendment to Plains AAP, L.P. Class B Restricted Units Agreement dated August 25, 2016 (incorporated by reference to Exhibit 10.6 to our Quarterly Report on Form 10-Q for the quarter ended September 30, 2016 filed November 8, 2016).</w:t>
      </w:r>
    </w:p>
    <w:p>
      <w:pPr>
        <w:spacing w:after="0" w:line="164" w:lineRule="exact"/>
        <w:rPr>
          <w:sz w:val="20"/>
          <w:szCs w:val="20"/>
          <w:color w:val="auto"/>
        </w:rPr>
      </w:pPr>
    </w:p>
    <w:p>
      <w:pPr>
        <w:ind w:left="1140" w:hanging="1529"/>
        <w:spacing w:after="0" w:line="227" w:lineRule="auto"/>
        <w:tabs>
          <w:tab w:leader="none" w:pos="112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color w:val="auto"/>
        </w:rPr>
        <w:t>— Form of First Amendment dated March 22, 2018 to Amended and Restated Plains AAP, L.P. Class B Restricted Units Agreement dated August 25, 2016 (Officers) (incorporated by reference to Exhibit 10.2 to our Quarterly Report on Form 10-Q for the quarter ended March 31, 2018).</w:t>
      </w:r>
    </w:p>
    <w:p>
      <w:pPr>
        <w:spacing w:after="0" w:line="164" w:lineRule="exact"/>
        <w:rPr>
          <w:sz w:val="20"/>
          <w:szCs w:val="20"/>
          <w:color w:val="auto"/>
        </w:rPr>
      </w:pPr>
    </w:p>
    <w:p>
      <w:pPr>
        <w:ind w:left="1140" w:right="80" w:hanging="1529"/>
        <w:spacing w:after="0" w:line="238" w:lineRule="auto"/>
        <w:tabs>
          <w:tab w:leader="none" w:pos="112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color w:val="auto"/>
        </w:rPr>
        <w:t>— Form of LTIP Grant Letter dated August 15, 2019 (Officers) (incorporated by reference to Exhibit 10.2 to our Quarterly Report on Form 10-Q for the quarter ended September 30, 2019).</w:t>
      </w:r>
    </w:p>
    <w:p>
      <w:pPr>
        <w:sectPr>
          <w:pgSz w:w="11880" w:h="15480" w:orient="portrait"/>
          <w:cols w:equalWidth="0" w:num="1">
            <w:col w:w="9980"/>
          </w:cols>
          <w:pgMar w:left="920" w:top="75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ectPr>
          <w:pgSz w:w="11880" w:h="15480" w:orient="portrait"/>
          <w:cols w:equalWidth="0" w:num="1">
            <w:col w:w="9980"/>
          </w:cols>
          <w:pgMar w:left="920" w:top="757" w:right="980" w:bottom="0" w:gutter="0" w:footer="0" w:header="0"/>
          <w:type w:val="continuous"/>
        </w:sectPr>
      </w:pPr>
    </w:p>
    <w:bookmarkStart w:id="100" w:name="page101"/>
    <w:bookmarkEnd w:id="100"/>
    <w:tbl>
      <w:tblPr>
        <w:tblLayout w:type="fixed"/>
        <w:tblInd w:w="59"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10.35**</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  Form of LTIP Grant Letter dated August 15, 2019 (Directors) (incorporated by reference to Exhibit 10.3 to</w:t>
            </w:r>
          </w:p>
        </w:tc>
      </w:tr>
      <w:tr>
        <w:trPr>
          <w:trHeight w:val="259"/>
        </w:trPr>
        <w:tc>
          <w:tcPr>
            <w:tcW w:w="980" w:type="dxa"/>
            <w:vAlign w:val="bottom"/>
          </w:tcPr>
          <w:p>
            <w:pPr>
              <w:spacing w:after="0"/>
              <w:rPr>
                <w:sz w:val="22"/>
                <w:szCs w:val="22"/>
                <w:color w:val="auto"/>
              </w:rPr>
            </w:pPr>
          </w:p>
        </w:tc>
        <w:tc>
          <w:tcPr>
            <w:tcW w:w="9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our Quarterly Report on Form 10-Q for the quarter ended September 30, 2019).</w:t>
            </w:r>
          </w:p>
        </w:tc>
      </w:tr>
      <w:tr>
        <w:trPr>
          <w:trHeight w:val="343"/>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10.36**</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Director LTIP Grant Letter (January 2020) (incorporated by reference to Exhibit 10.72 to our Annual</w:t>
            </w:r>
          </w:p>
        </w:tc>
      </w:tr>
      <w:tr>
        <w:trPr>
          <w:trHeight w:val="259"/>
        </w:trPr>
        <w:tc>
          <w:tcPr>
            <w:tcW w:w="980" w:type="dxa"/>
            <w:vAlign w:val="bottom"/>
          </w:tcPr>
          <w:p>
            <w:pPr>
              <w:spacing w:after="0"/>
              <w:rPr>
                <w:sz w:val="22"/>
                <w:szCs w:val="22"/>
                <w:color w:val="auto"/>
              </w:rPr>
            </w:pPr>
          </w:p>
        </w:tc>
        <w:tc>
          <w:tcPr>
            <w:tcW w:w="9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Report on Form 10-K for the year ended December 31, 2019).</w:t>
            </w:r>
          </w:p>
        </w:tc>
      </w:tr>
      <w:tr>
        <w:trPr>
          <w:trHeight w:val="34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10.37**</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Form of LTIP Grant Letter dated August 13, 2020 (Officers) (incorporated by reference to Exhibit 10.1 to</w:t>
            </w:r>
          </w:p>
        </w:tc>
      </w:tr>
      <w:tr>
        <w:trPr>
          <w:trHeight w:val="259"/>
        </w:trPr>
        <w:tc>
          <w:tcPr>
            <w:tcW w:w="980" w:type="dxa"/>
            <w:vAlign w:val="bottom"/>
          </w:tcPr>
          <w:p>
            <w:pPr>
              <w:spacing w:after="0"/>
              <w:rPr>
                <w:sz w:val="22"/>
                <w:szCs w:val="22"/>
                <w:color w:val="auto"/>
              </w:rPr>
            </w:pPr>
          </w:p>
        </w:tc>
        <w:tc>
          <w:tcPr>
            <w:tcW w:w="9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our Quarterly Report on Form 10-Q for the quarter ended September 30, 2020).</w:t>
            </w:r>
          </w:p>
        </w:tc>
      </w:tr>
      <w:tr>
        <w:trPr>
          <w:trHeight w:val="34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10.38**</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  Form of LTIP Grant Letter dated August 13, 2020 (Directors) (incorporated by reference to Exhibit 10.1 to</w:t>
            </w:r>
          </w:p>
        </w:tc>
      </w:tr>
      <w:tr>
        <w:trPr>
          <w:trHeight w:val="259"/>
        </w:trPr>
        <w:tc>
          <w:tcPr>
            <w:tcW w:w="980" w:type="dxa"/>
            <w:vAlign w:val="bottom"/>
          </w:tcPr>
          <w:p>
            <w:pPr>
              <w:spacing w:after="0"/>
              <w:rPr>
                <w:sz w:val="22"/>
                <w:szCs w:val="22"/>
                <w:color w:val="auto"/>
              </w:rPr>
            </w:pPr>
          </w:p>
        </w:tc>
        <w:tc>
          <w:tcPr>
            <w:tcW w:w="9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our Quarterly Report on Form 10-Q for the quarter ended September 30, 2020).</w:t>
            </w:r>
          </w:p>
        </w:tc>
      </w:tr>
      <w:tr>
        <w:trPr>
          <w:trHeight w:val="341"/>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10.39**</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Form of Special Retention LTIP Grant Letter dated November 20, 2019 (incorporated by reference to</w:t>
            </w:r>
          </w:p>
        </w:tc>
      </w:tr>
      <w:tr>
        <w:trPr>
          <w:trHeight w:val="259"/>
        </w:trPr>
        <w:tc>
          <w:tcPr>
            <w:tcW w:w="980" w:type="dxa"/>
            <w:vAlign w:val="bottom"/>
          </w:tcPr>
          <w:p>
            <w:pPr>
              <w:spacing w:after="0"/>
              <w:rPr>
                <w:sz w:val="22"/>
                <w:szCs w:val="22"/>
                <w:color w:val="auto"/>
              </w:rPr>
            </w:pPr>
          </w:p>
        </w:tc>
        <w:tc>
          <w:tcPr>
            <w:tcW w:w="9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Exhibit 10.53 to our Annual Report on Form 10-K for the year ended December 31, 2020).</w:t>
            </w: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10.40**</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Form of LTIP Grant Letter dated August 19, 2021 (Named Executive Officers) (incorporated by reference</w:t>
            </w:r>
          </w:p>
        </w:tc>
      </w:tr>
      <w:tr>
        <w:trPr>
          <w:trHeight w:val="259"/>
        </w:trPr>
        <w:tc>
          <w:tcPr>
            <w:tcW w:w="980" w:type="dxa"/>
            <w:vAlign w:val="bottom"/>
          </w:tcPr>
          <w:p>
            <w:pPr>
              <w:spacing w:after="0"/>
              <w:rPr>
                <w:sz w:val="22"/>
                <w:szCs w:val="22"/>
                <w:color w:val="auto"/>
              </w:rPr>
            </w:pPr>
          </w:p>
        </w:tc>
        <w:tc>
          <w:tcPr>
            <w:tcW w:w="9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to Exhibit 10.3 to our Quarterly Report on Form 10-Q for the quarter ended September 30, 2021).</w:t>
            </w: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10.41**</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  Form of LTIP Grant Letter dated August 19, 2021 (Directors) (incorporated by reference to Exhibit 10.4 to</w:t>
            </w:r>
          </w:p>
        </w:tc>
      </w:tr>
      <w:tr>
        <w:trPr>
          <w:trHeight w:val="259"/>
        </w:trPr>
        <w:tc>
          <w:tcPr>
            <w:tcW w:w="980" w:type="dxa"/>
            <w:vAlign w:val="bottom"/>
          </w:tcPr>
          <w:p>
            <w:pPr>
              <w:spacing w:after="0"/>
              <w:rPr>
                <w:sz w:val="22"/>
                <w:szCs w:val="22"/>
                <w:color w:val="auto"/>
              </w:rPr>
            </w:pPr>
          </w:p>
        </w:tc>
        <w:tc>
          <w:tcPr>
            <w:tcW w:w="9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our Quarterly Report on Form 10-Q for the quarter ended September 30, 2021).</w:t>
            </w: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10.42**</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Form of Amended and Restated Special Retention LTIP Grant Letter Dated February 24, 2022</w:t>
            </w:r>
          </w:p>
        </w:tc>
      </w:tr>
      <w:tr>
        <w:trPr>
          <w:trHeight w:val="198"/>
        </w:trPr>
        <w:tc>
          <w:tcPr>
            <w:tcW w:w="980" w:type="dxa"/>
            <w:vAlign w:val="bottom"/>
          </w:tcPr>
          <w:p>
            <w:pPr>
              <w:spacing w:after="0"/>
              <w:rPr>
                <w:sz w:val="17"/>
                <w:szCs w:val="17"/>
                <w:color w:val="auto"/>
              </w:rPr>
            </w:pPr>
          </w:p>
        </w:tc>
        <w:tc>
          <w:tcPr>
            <w:tcW w:w="9020" w:type="dxa"/>
            <w:vAlign w:val="bottom"/>
          </w:tcPr>
          <w:p>
            <w:pPr>
              <w:ind w:left="540"/>
              <w:spacing w:after="0" w:line="198" w:lineRule="exact"/>
              <w:rPr>
                <w:sz w:val="20"/>
                <w:szCs w:val="20"/>
                <w:color w:val="auto"/>
              </w:rPr>
            </w:pPr>
            <w:r>
              <w:rPr>
                <w:rFonts w:ascii="Times New Roman" w:cs="Times New Roman" w:eastAsia="Times New Roman" w:hAnsi="Times New Roman"/>
                <w:sz w:val="20"/>
                <w:szCs w:val="20"/>
                <w:color w:val="auto"/>
              </w:rPr>
              <w:t>(incorporated by reference to Exhibit 10.1 to our Quarterly Report on Form 10-Q for the quarter ended</w:t>
            </w:r>
          </w:p>
        </w:tc>
      </w:tr>
      <w:tr>
        <w:trPr>
          <w:trHeight w:val="259"/>
        </w:trPr>
        <w:tc>
          <w:tcPr>
            <w:tcW w:w="980" w:type="dxa"/>
            <w:vAlign w:val="bottom"/>
          </w:tcPr>
          <w:p>
            <w:pPr>
              <w:spacing w:after="0"/>
              <w:rPr>
                <w:sz w:val="22"/>
                <w:szCs w:val="22"/>
                <w:color w:val="auto"/>
              </w:rPr>
            </w:pPr>
          </w:p>
        </w:tc>
        <w:tc>
          <w:tcPr>
            <w:tcW w:w="9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March 31, 2022).</w:t>
            </w:r>
          </w:p>
        </w:tc>
      </w:tr>
      <w:tr>
        <w:trPr>
          <w:trHeight w:val="37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10.43**</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Form of LTIP Grant Letter dated August 18, 2022 (Named Executive Officers) (incorporated by reference</w:t>
            </w:r>
          </w:p>
        </w:tc>
      </w:tr>
      <w:tr>
        <w:trPr>
          <w:trHeight w:val="259"/>
        </w:trPr>
        <w:tc>
          <w:tcPr>
            <w:tcW w:w="980" w:type="dxa"/>
            <w:vAlign w:val="bottom"/>
          </w:tcPr>
          <w:p>
            <w:pPr>
              <w:spacing w:after="0"/>
              <w:rPr>
                <w:sz w:val="22"/>
                <w:szCs w:val="22"/>
                <w:color w:val="auto"/>
              </w:rPr>
            </w:pPr>
          </w:p>
        </w:tc>
        <w:tc>
          <w:tcPr>
            <w:tcW w:w="9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to Exhibit 10.4 to our Quarterly Report on Form 10-Q for the quarter ended September 30, 2022).</w:t>
            </w:r>
          </w:p>
        </w:tc>
      </w:tr>
      <w:tr>
        <w:trPr>
          <w:trHeight w:val="40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10.44**</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  Form of LTIP Grant Letter dated August 18, 2022 (Directors) (incorporated by reference to Exhibit 10.5 to</w:t>
            </w:r>
          </w:p>
        </w:tc>
      </w:tr>
      <w:tr>
        <w:trPr>
          <w:trHeight w:val="259"/>
        </w:trPr>
        <w:tc>
          <w:tcPr>
            <w:tcW w:w="980" w:type="dxa"/>
            <w:vAlign w:val="bottom"/>
          </w:tcPr>
          <w:p>
            <w:pPr>
              <w:spacing w:after="0"/>
              <w:rPr>
                <w:sz w:val="22"/>
                <w:szCs w:val="22"/>
                <w:color w:val="auto"/>
              </w:rPr>
            </w:pPr>
          </w:p>
        </w:tc>
        <w:tc>
          <w:tcPr>
            <w:tcW w:w="9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our Quarterly Report on Form 10-Q for the quarter ended September 30, 2022).</w:t>
            </w:r>
          </w:p>
        </w:tc>
      </w:tr>
      <w:tr>
        <w:trPr>
          <w:trHeight w:val="54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21.1 †</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List of Subsidiaries of Plains All American Pipeline, L.P.</w:t>
            </w:r>
          </w:p>
        </w:tc>
      </w:tr>
      <w:tr>
        <w:trPr>
          <w:trHeight w:val="41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23.1 †</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Consent of PricewaterhouseCoopers LLP.</w:t>
            </w:r>
          </w:p>
        </w:tc>
      </w:tr>
      <w:tr>
        <w:trPr>
          <w:trHeight w:val="41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31.1 †</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Certification of Principal Executive Officer pursuant to Exchange Act Rules 13a-14(a) and 15d-14(a).</w:t>
            </w:r>
          </w:p>
        </w:tc>
      </w:tr>
      <w:tr>
        <w:trPr>
          <w:trHeight w:val="41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31.2 †</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Certification of Principal Financial Officer pursuant to Exchange Act Rules 13a-14(a) and 15d-14(a).</w:t>
            </w:r>
          </w:p>
        </w:tc>
      </w:tr>
      <w:tr>
        <w:trPr>
          <w:trHeight w:val="41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32.1 ††</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Certification of Principal Executive Officer pursuant to 18 U.S.C. 1350.</w:t>
            </w:r>
          </w:p>
        </w:tc>
      </w:tr>
      <w:tr>
        <w:trPr>
          <w:trHeight w:val="41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32.2 ††</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Certification of Principal Financial Officer pursuant to 18 U.S.C. 1350.</w:t>
            </w:r>
          </w:p>
        </w:tc>
      </w:tr>
      <w:tr>
        <w:trPr>
          <w:trHeight w:val="343"/>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 INS†</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XBRL Instance Document - the instance document does not appear in the Interactive Data File because its</w:t>
            </w:r>
          </w:p>
        </w:tc>
      </w:tr>
      <w:tr>
        <w:trPr>
          <w:trHeight w:val="259"/>
        </w:trPr>
        <w:tc>
          <w:tcPr>
            <w:tcW w:w="980" w:type="dxa"/>
            <w:vAlign w:val="bottom"/>
          </w:tcPr>
          <w:p>
            <w:pPr>
              <w:spacing w:after="0"/>
              <w:rPr>
                <w:sz w:val="22"/>
                <w:szCs w:val="22"/>
                <w:color w:val="auto"/>
              </w:rPr>
            </w:pPr>
          </w:p>
        </w:tc>
        <w:tc>
          <w:tcPr>
            <w:tcW w:w="9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XBRL tags are embedded within the Inline XBRL document.</w:t>
            </w:r>
          </w:p>
        </w:tc>
      </w:tr>
      <w:tr>
        <w:trPr>
          <w:trHeight w:val="40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Inline XBRL Taxonomy Extension Schema Document</w:t>
            </w:r>
          </w:p>
        </w:tc>
      </w:tr>
      <w:tr>
        <w:trPr>
          <w:trHeight w:val="41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Inline XBRL Taxonomy Extension Calculation Linkbase Document</w:t>
            </w:r>
          </w:p>
        </w:tc>
      </w:tr>
      <w:tr>
        <w:trPr>
          <w:trHeight w:val="41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Inline XBRL Taxonomy Extension Definition Linkbase Document</w:t>
            </w:r>
          </w:p>
        </w:tc>
      </w:tr>
      <w:tr>
        <w:trPr>
          <w:trHeight w:val="41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Inline XBRL Taxonomy Extension Label Linkbase Document</w:t>
            </w:r>
          </w:p>
        </w:tc>
      </w:tr>
      <w:tr>
        <w:trPr>
          <w:trHeight w:val="41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Inline XBRL Taxonomy Extension Presentation Linkbase Document</w:t>
            </w:r>
          </w:p>
        </w:tc>
      </w:tr>
      <w:tr>
        <w:trPr>
          <w:trHeight w:val="41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125730</wp:posOffset>
                </wp:positionV>
                <wp:extent cx="222504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9pt" to="175.2pt,9.9pt" o:allowincell="f" strokecolor="#000000" strokeweight="0.99pt"/>
            </w:pict>
          </mc:Fallback>
        </mc:AlternateContent>
      </w:r>
    </w:p>
    <w:p>
      <w:pPr>
        <w:spacing w:after="0" w:line="334" w:lineRule="exact"/>
        <w:rPr>
          <w:sz w:val="20"/>
          <w:szCs w:val="20"/>
          <w:color w:val="auto"/>
        </w:rPr>
      </w:pPr>
    </w:p>
    <w:p>
      <w:pPr>
        <w:ind w:left="359" w:hanging="359"/>
        <w:spacing w:after="0"/>
        <w:tabs>
          <w:tab w:leader="none" w:pos="359"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Filed herewith.</w:t>
      </w:r>
    </w:p>
    <w:p>
      <w:pPr>
        <w:spacing w:after="0" w:line="126" w:lineRule="exact"/>
        <w:rPr>
          <w:sz w:val="20"/>
          <w:szCs w:val="20"/>
          <w:color w:val="auto"/>
        </w:rPr>
      </w:pPr>
    </w:p>
    <w:p>
      <w:pPr>
        <w:ind w:left="359" w:hanging="359"/>
        <w:spacing w:after="0"/>
        <w:tabs>
          <w:tab w:leader="none" w:pos="359"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Furnished herewith.</w:t>
      </w:r>
    </w:p>
    <w:p>
      <w:pPr>
        <w:spacing w:after="0" w:line="126" w:lineRule="exact"/>
        <w:rPr>
          <w:sz w:val="20"/>
          <w:szCs w:val="20"/>
          <w:color w:val="auto"/>
        </w:rPr>
      </w:pPr>
    </w:p>
    <w:p>
      <w:pPr>
        <w:ind w:left="719" w:right="180" w:hanging="719"/>
        <w:spacing w:after="0" w:line="278" w:lineRule="auto"/>
        <w:tabs>
          <w:tab w:leader="none" w:pos="71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schedules have been omitted pursuant to Item 601(b)(2) of Regulation S-K. A copy of any omitted schedule will be furnished supplementally to the SEC upon request.</w:t>
      </w:r>
    </w:p>
    <w:p>
      <w:pPr>
        <w:sectPr>
          <w:pgSz w:w="11880" w:h="15480" w:orient="portrait"/>
          <w:cols w:equalWidth="0" w:num="1">
            <w:col w:w="10059"/>
          </w:cols>
          <w:pgMar w:left="861" w:top="727" w:right="960" w:bottom="0" w:gutter="0" w:footer="0" w:header="0"/>
        </w:sectPr>
      </w:pPr>
    </w:p>
    <w:p>
      <w:pPr>
        <w:spacing w:after="0" w:line="329"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18"/>
          <w:szCs w:val="18"/>
          <w:color w:val="auto"/>
        </w:rPr>
        <w:t>101</w:t>
      </w:r>
    </w:p>
    <w:p>
      <w:pPr>
        <w:sectPr>
          <w:pgSz w:w="11880" w:h="15480" w:orient="portrait"/>
          <w:cols w:equalWidth="0" w:num="1">
            <w:col w:w="10059"/>
          </w:cols>
          <w:pgMar w:left="861" w:top="727" w:right="960" w:bottom="0" w:gutter="0" w:footer="0" w:header="0"/>
          <w:type w:val="continuous"/>
        </w:sectPr>
      </w:pPr>
    </w:p>
    <w:bookmarkStart w:id="101" w:name="page102"/>
    <w:bookmarkEnd w:id="101"/>
    <w:p>
      <w:pPr>
        <w:ind w:left="720" w:hanging="719"/>
        <w:spacing w:after="0"/>
        <w:tabs>
          <w:tab w:leader="none" w:pos="72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compensatory plan or arrangement.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16. </w:t>
      </w:r>
      <w:r>
        <w:rPr>
          <w:rFonts w:ascii="Times New Roman" w:cs="Times New Roman" w:eastAsia="Times New Roman" w:hAnsi="Times New Roman"/>
          <w:sz w:val="20"/>
          <w:szCs w:val="20"/>
          <w:b w:val="1"/>
          <w:bCs w:val="1"/>
          <w:i w:val="1"/>
          <w:iCs w:val="1"/>
          <w:color w:val="auto"/>
        </w:rPr>
        <w:t>Form 10-K Summary</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580"/>
          </w:cols>
          <w:pgMar w:left="860" w:top="68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102</w:t>
      </w:r>
    </w:p>
    <w:p>
      <w:pPr>
        <w:sectPr>
          <w:pgSz w:w="11880" w:h="15480" w:orient="portrait"/>
          <w:cols w:equalWidth="0" w:num="1">
            <w:col w:w="9580"/>
          </w:cols>
          <w:pgMar w:left="860" w:top="683" w:right="1440" w:bottom="0" w:gutter="0" w:footer="0" w:header="0"/>
          <w:type w:val="continuous"/>
        </w:sectPr>
      </w:pPr>
    </w:p>
    <w:bookmarkStart w:id="102" w:name="page103"/>
    <w:bookmarkEnd w:id="102"/>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2" w:lineRule="exact"/>
        <w:rPr>
          <w:sz w:val="20"/>
          <w:szCs w:val="20"/>
          <w:color w:val="auto"/>
        </w:rPr>
      </w:pPr>
    </w:p>
    <w:p>
      <w:pPr>
        <w:ind w:right="300" w:firstLine="713"/>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PLAINS ALL AMERICAN PIPELINE, L.P.</w:t>
      </w:r>
    </w:p>
    <w:p>
      <w:pPr>
        <w:spacing w:after="0" w:line="31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By:  PAA GP LLC,</w:t>
      </w:r>
    </w:p>
    <w:p>
      <w:pPr>
        <w:spacing w:after="0" w:line="6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its general partner</w:t>
      </w:r>
    </w:p>
    <w:p>
      <w:pPr>
        <w:spacing w:after="0" w:line="35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By:  Plains AAP, L.P.,</w:t>
      </w:r>
    </w:p>
    <w:p>
      <w:pPr>
        <w:spacing w:after="0" w:line="6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its sole member</w:t>
      </w:r>
    </w:p>
    <w:p>
      <w:pPr>
        <w:spacing w:after="0" w:line="35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By:  PLAINS ALL AMERICAN GP LLC,</w:t>
      </w:r>
    </w:p>
    <w:p>
      <w:pPr>
        <w:spacing w:after="0" w:line="6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its general partner</w:t>
      </w:r>
    </w:p>
    <w:p>
      <w:pPr>
        <w:spacing w:after="0" w:line="35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By:  /s/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3461385</wp:posOffset>
                </wp:positionH>
                <wp:positionV relativeFrom="paragraph">
                  <wp:posOffset>34290</wp:posOffset>
                </wp:positionV>
                <wp:extent cx="297942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942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55pt,2.7pt" to="507.15pt,2.7pt" o:allowincell="f" strokecolor="#000000" strokeweight="0.99pt"/>
            </w:pict>
          </mc:Fallback>
        </mc:AlternateContent>
      </w:r>
    </w:p>
    <w:p>
      <w:pPr>
        <w:spacing w:after="0" w:line="4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Willie Chiang,</w:t>
      </w:r>
    </w:p>
    <w:p>
      <w:pPr>
        <w:spacing w:after="0" w:line="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Chief Executive Officer of Plains All</w:t>
      </w: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American GP LLC</w:t>
      </w:r>
    </w:p>
    <w:p>
      <w:pPr>
        <w:spacing w:after="0" w:line="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(Principal Executive Officer)</w:t>
      </w:r>
    </w:p>
    <w:p>
      <w:pPr>
        <w:spacing w:after="0" w:line="3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February 28, 2023</w:t>
      </w:r>
    </w:p>
    <w:p>
      <w:pPr>
        <w:spacing w:after="0" w:line="34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By:  /s/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3461385</wp:posOffset>
                </wp:positionH>
                <wp:positionV relativeFrom="paragraph">
                  <wp:posOffset>34290</wp:posOffset>
                </wp:positionV>
                <wp:extent cx="297942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942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55pt,2.7pt" to="507.15pt,2.7pt" o:allowincell="f" strokecolor="#000000" strokeweight="0.99pt"/>
            </w:pict>
          </mc:Fallback>
        </mc:AlternateContent>
      </w:r>
    </w:p>
    <w:p>
      <w:pPr>
        <w:spacing w:after="0" w:line="4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Al Swanson,</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Executive Vice President and Chief Financial Officer of</w:t>
      </w: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Plains All American GP LLC</w:t>
      </w:r>
    </w:p>
    <w:p>
      <w:pPr>
        <w:spacing w:after="0" w:line="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(Principal Financial Officer)</w:t>
      </w:r>
    </w:p>
    <w:p>
      <w:pPr>
        <w:spacing w:after="0" w:line="3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February 28, 2023</w:t>
      </w:r>
    </w:p>
    <w:p>
      <w:pPr>
        <w:spacing w:after="0" w:line="34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By:  /s/ Chris Herbold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3461385</wp:posOffset>
                </wp:positionH>
                <wp:positionV relativeFrom="paragraph">
                  <wp:posOffset>34290</wp:posOffset>
                </wp:positionV>
                <wp:extent cx="297942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942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55pt,2.7pt" to="507.15pt,2.7pt" o:allowincell="f" strokecolor="#000000" strokeweight="0.99pt"/>
            </w:pict>
          </mc:Fallback>
        </mc:AlternateContent>
      </w:r>
    </w:p>
    <w:p>
      <w:pPr>
        <w:spacing w:after="0" w:line="4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Chris Herbold,</w:t>
      </w:r>
    </w:p>
    <w:p>
      <w:pPr>
        <w:spacing w:after="0" w:line="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Senior Vice President, Finance and Chief Accounting</w:t>
      </w: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Officer of Plains All American GP LLC</w:t>
      </w:r>
    </w:p>
    <w:p>
      <w:pPr>
        <w:spacing w:after="0" w:line="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i w:val="1"/>
          <w:iCs w:val="1"/>
          <w:color w:val="auto"/>
        </w:rPr>
        <w:t>(Principal Accounting Officer)</w:t>
      </w:r>
    </w:p>
    <w:p>
      <w:pPr>
        <w:spacing w:after="0" w:line="3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February 28, 2023</w:t>
      </w:r>
    </w:p>
    <w:p>
      <w:pPr>
        <w:sectPr>
          <w:pgSz w:w="11880" w:h="15480" w:orient="portrait"/>
          <w:cols w:equalWidth="0" w:num="1">
            <w:col w:w="10100"/>
          </w:cols>
          <w:pgMar w:left="860" w:top="67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ectPr>
          <w:pgSz w:w="11880" w:h="15480" w:orient="portrait"/>
          <w:cols w:equalWidth="0" w:num="1">
            <w:col w:w="10100"/>
          </w:cols>
          <w:pgMar w:left="860" w:top="676" w:right="920" w:bottom="0" w:gutter="0" w:footer="0" w:header="0"/>
          <w:type w:val="continuous"/>
        </w:sectPr>
      </w:pPr>
    </w:p>
    <w:bookmarkStart w:id="103" w:name="page104"/>
    <w:bookmarkEnd w:id="103"/>
    <w:p>
      <w:pPr>
        <w:ind w:right="640" w:firstLine="713"/>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61" w:lineRule="exact"/>
        <w:rPr>
          <w:sz w:val="20"/>
          <w:szCs w:val="20"/>
          <w:color w:val="auto"/>
        </w:rPr>
      </w:pPr>
    </w:p>
    <w:p>
      <w:pPr>
        <w:ind w:left="60"/>
        <w:spacing w:after="0"/>
        <w:tabs>
          <w:tab w:leader="none" w:pos="5400" w:val="left"/>
          <w:tab w:leader="none" w:pos="918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5"/>
          <w:szCs w:val="15"/>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31115</wp:posOffset>
                </wp:positionV>
                <wp:extent cx="163131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45pt" to="129.25pt,2.45pt" o:allowincell="f" strokecolor="#000000" strokeweight="0.99pt"/>
            </w:pict>
          </mc:Fallback>
        </mc:AlternateContent>
        <mc:AlternateContent>
          <mc:Choice Requires="wps">
            <w:drawing>
              <wp:anchor simplePos="0" relativeHeight="251657728" behindDoc="1" locked="0" layoutInCell="0" allowOverlap="1">
                <wp:simplePos x="0" y="0"/>
                <wp:positionH relativeFrom="column">
                  <wp:posOffset>1688465</wp:posOffset>
                </wp:positionH>
                <wp:positionV relativeFrom="paragraph">
                  <wp:posOffset>31115</wp:posOffset>
                </wp:positionV>
                <wp:extent cx="369633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9633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95pt,2.45pt" to="424pt,2.45pt" o:allowincell="f" strokecolor="#000000" strokeweight="0.99pt"/>
            </w:pict>
          </mc:Fallback>
        </mc:AlternateContent>
        <mc:AlternateContent>
          <mc:Choice Requires="wps">
            <w:drawing>
              <wp:anchor simplePos="0" relativeHeight="251657728" behindDoc="1" locked="0" layoutInCell="0" allowOverlap="1">
                <wp:simplePos x="0" y="0"/>
                <wp:positionH relativeFrom="column">
                  <wp:posOffset>5431790</wp:posOffset>
                </wp:positionH>
                <wp:positionV relativeFrom="paragraph">
                  <wp:posOffset>31115</wp:posOffset>
                </wp:positionV>
                <wp:extent cx="100901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90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7pt,2.45pt" to="507.15pt,2.45pt" o:allowincell="f" strokecolor="#000000" strokeweight="0.99pt"/>
            </w:pict>
          </mc:Fallback>
        </mc:AlternateContent>
      </w:r>
    </w:p>
    <w:p>
      <w:pPr>
        <w:sectPr>
          <w:pgSz w:w="11880" w:h="15480" w:orient="portrait"/>
          <w:cols w:equalWidth="0" w:num="1">
            <w:col w:w="10060"/>
          </w:cols>
          <w:pgMar w:left="860" w:top="683" w:right="960" w:bottom="0" w:gutter="0" w:footer="0" w:header="0"/>
        </w:sectPr>
      </w:pPr>
    </w:p>
    <w:p>
      <w:pPr>
        <w:spacing w:after="0" w:line="35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26035</wp:posOffset>
                </wp:positionV>
                <wp:extent cx="163131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05pt" to="129.25pt,2.05pt" o:allowincell="f" strokecolor="#000000" strokeweight="0.99pt"/>
            </w:pict>
          </mc:Fallback>
        </mc:AlternateContent>
      </w:r>
    </w:p>
    <w:p>
      <w:pPr>
        <w:spacing w:after="0" w:line="3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Willie Chiang</w:t>
      </w:r>
    </w:p>
    <w:p>
      <w:pPr>
        <w:spacing w:after="0" w:line="333"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/s/ Harry N. Pefanis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26035</wp:posOffset>
                </wp:positionV>
                <wp:extent cx="163131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05pt" to="129.25pt,2.05pt" o:allowincell="f" strokecolor="#000000" strokeweight="0.99pt"/>
            </w:pict>
          </mc:Fallback>
        </mc:AlternateContent>
      </w:r>
    </w:p>
    <w:p>
      <w:pPr>
        <w:spacing w:after="0" w:line="3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Harry N. Pefanis</w:t>
      </w:r>
    </w:p>
    <w:p>
      <w:pPr>
        <w:spacing w:after="0" w:line="333"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26035</wp:posOffset>
                </wp:positionV>
                <wp:extent cx="163131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05pt" to="129.25pt,2.05pt" o:allowincell="f" strokecolor="#000000" strokeweight="0.99pt"/>
            </w:pict>
          </mc:Fallback>
        </mc:AlternateContent>
      </w:r>
    </w:p>
    <w:p>
      <w:pPr>
        <w:spacing w:after="0" w:line="3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Al Swanson</w:t>
      </w:r>
    </w:p>
    <w:p>
      <w:pPr>
        <w:spacing w:after="0" w:line="333"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/s/ Chris Herbold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26035</wp:posOffset>
                </wp:positionV>
                <wp:extent cx="163131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05pt" to="129.25pt,2.05pt" o:allowincell="f" strokecolor="#000000" strokeweight="0.99pt"/>
            </w:pict>
          </mc:Fallback>
        </mc:AlternateContent>
      </w:r>
    </w:p>
    <w:p>
      <w:pPr>
        <w:spacing w:after="0" w:line="34"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0"/>
          <w:szCs w:val="20"/>
          <w:color w:val="auto"/>
        </w:rPr>
        <w:t>Chris Herbold</w:t>
      </w:r>
    </w:p>
    <w:p>
      <w:pPr>
        <w:spacing w:after="0" w:line="31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0"/>
          <w:szCs w:val="20"/>
          <w:color w:val="auto"/>
        </w:rPr>
        <w:t>/s/ Greg L. Armstrong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25400</wp:posOffset>
                </wp:positionV>
                <wp:extent cx="163131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pt" to="129.25pt,2pt" o:allowincell="f" strokecolor="#000000" strokeweight="0.99pt"/>
            </w:pict>
          </mc:Fallback>
        </mc:AlternateContent>
      </w:r>
    </w:p>
    <w:p>
      <w:pPr>
        <w:spacing w:after="0" w:line="3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Greg L. Armstrong</w:t>
      </w:r>
    </w:p>
    <w:p>
      <w:pPr>
        <w:spacing w:after="0" w:line="30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/s/ Victor Burk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34290</wp:posOffset>
                </wp:positionV>
                <wp:extent cx="163131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7pt" to="129.25pt,2.7pt" o:allowincell="f" strokecolor="#000000" strokeweight="0.99pt"/>
            </w:pict>
          </mc:Fallback>
        </mc:AlternateContent>
      </w:r>
    </w:p>
    <w:p>
      <w:pPr>
        <w:spacing w:after="0" w:line="4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Victor Burk</w:t>
      </w:r>
    </w:p>
    <w:p>
      <w:pPr>
        <w:spacing w:after="0" w:line="31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/s/ Ellen R. DeSanctis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6350</wp:posOffset>
                </wp:positionV>
                <wp:extent cx="163131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0.5pt" to="129.25pt,0.5pt" o:allowincell="f" strokecolor="#000000" strokeweight="0.99pt"/>
            </w:pict>
          </mc:Fallback>
        </mc:AlternateContent>
      </w:r>
    </w:p>
    <w:p>
      <w:pPr>
        <w:spacing w:after="0" w:line="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Ellen R. DeSanctis</w:t>
      </w:r>
    </w:p>
    <w:p>
      <w:pPr>
        <w:spacing w:after="0" w:line="27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/s/ Kevin McCarthy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34290</wp:posOffset>
                </wp:positionV>
                <wp:extent cx="163131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7pt" to="129.25pt,2.7pt" o:allowincell="f" strokecolor="#000000" strokeweight="0.99pt"/>
            </w:pict>
          </mc:Fallback>
        </mc:AlternateContent>
      </w:r>
    </w:p>
    <w:p>
      <w:pPr>
        <w:spacing w:after="0" w:line="4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Kevin McCarthy</w:t>
      </w:r>
    </w:p>
    <w:p>
      <w:pPr>
        <w:spacing w:after="0" w:line="31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/s/ Gary R. Petersen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34290</wp:posOffset>
                </wp:positionV>
                <wp:extent cx="163131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7pt" to="129.25pt,2.7pt" o:allowincell="f" strokecolor="#000000" strokeweight="0.99pt"/>
            </w:pict>
          </mc:Fallback>
        </mc:AlternateContent>
      </w:r>
    </w:p>
    <w:p>
      <w:pPr>
        <w:spacing w:after="0" w:line="4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Gary R. Petersen</w:t>
      </w:r>
    </w:p>
    <w:p>
      <w:pPr>
        <w:spacing w:after="0" w:line="31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/s/ Alexandra D. Pruner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25400</wp:posOffset>
                </wp:positionV>
                <wp:extent cx="163131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pt" to="129.25pt,2pt" o:allowincell="f" strokecolor="#000000" strokeweight="0.99pt"/>
            </w:pict>
          </mc:Fallback>
        </mc:AlternateContent>
      </w:r>
    </w:p>
    <w:p>
      <w:pPr>
        <w:spacing w:after="0" w:line="3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0"/>
          <w:szCs w:val="20"/>
          <w:color w:val="auto"/>
        </w:rPr>
        <w:t>Alexandra D. Pruner</w:t>
      </w:r>
    </w:p>
    <w:p>
      <w:pPr>
        <w:spacing w:after="0" w:line="30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/s/ John T. Raymond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34290</wp:posOffset>
                </wp:positionV>
                <wp:extent cx="163131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7pt" to="129.25pt,2.7pt" o:allowincell="f" strokecolor="#000000" strokeweight="0.99pt"/>
            </w:pict>
          </mc:Fallback>
        </mc:AlternateContent>
      </w:r>
    </w:p>
    <w:p>
      <w:pPr>
        <w:spacing w:after="0" w:line="4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John T. Raymond</w:t>
      </w:r>
    </w:p>
    <w:p>
      <w:pPr>
        <w:spacing w:after="0" w:line="31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/s/ Bobby S. Shackouls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25400</wp:posOffset>
                </wp:positionV>
                <wp:extent cx="163131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pt" to="129.25pt,2pt" o:allowincell="f" strokecolor="#000000" strokeweight="0.99pt"/>
            </w:pict>
          </mc:Fallback>
        </mc:AlternateContent>
      </w:r>
    </w:p>
    <w:p>
      <w:pPr>
        <w:spacing w:after="0" w:line="3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0"/>
          <w:szCs w:val="20"/>
          <w:color w:val="auto"/>
        </w:rPr>
        <w:t>Bobby S. Shackouls</w:t>
      </w:r>
    </w:p>
    <w:p>
      <w:pPr>
        <w:spacing w:after="0" w:line="30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/s/ Christopher M. Temple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41910</wp:posOffset>
                </wp:positionV>
                <wp:extent cx="163131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3.3pt" to="129.25pt,3.3pt" o:allowincell="f" strokecolor="#000000" strokeweight="0.99pt"/>
            </w:pict>
          </mc:Fallback>
        </mc:AlternateContent>
      </w:r>
    </w:p>
    <w:p>
      <w:pPr>
        <w:spacing w:after="0" w:line="5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Christopher M. Temple</w:t>
      </w:r>
    </w:p>
    <w:p>
      <w:pPr>
        <w:spacing w:after="0" w:line="36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/s/ Lawrence M. Ziemba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34290</wp:posOffset>
                </wp:positionV>
                <wp:extent cx="163131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31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7pt" to="129.25pt,2.7pt" o:allowincell="f" strokecolor="#000000" strokeweight="0.99pt"/>
            </w:pict>
          </mc:Fallback>
        </mc:AlternateContent>
      </w:r>
    </w:p>
    <w:p>
      <w:pPr>
        <w:spacing w:after="0" w:line="4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color w:val="auto"/>
        </w:rPr>
        <w:t>Lawrence M. Ziemba</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Chairman of the Board of PAA GP Holdings LLC and Chief Executive February 28, 2023 Officer of Plains All American GP LLC (Principal Executive Officer)</w:t>
      </w:r>
    </w:p>
    <w:p>
      <w:pPr>
        <w:spacing w:after="0" w:line="358"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20"/>
          <w:szCs w:val="20"/>
          <w:color w:val="auto"/>
        </w:rPr>
        <w:t>Director of PAA GP Holdings LLC and President of Plains All</w:t>
      </w:r>
      <w:r>
        <w:rPr>
          <w:sz w:val="20"/>
          <w:szCs w:val="20"/>
          <w:color w:val="auto"/>
        </w:rPr>
        <w:tab/>
      </w:r>
      <w:r>
        <w:rPr>
          <w:rFonts w:ascii="Times New Roman" w:cs="Times New Roman" w:eastAsia="Times New Roman" w:hAnsi="Times New Roman"/>
          <w:sz w:val="19"/>
          <w:szCs w:val="19"/>
          <w:color w:val="auto"/>
        </w:rPr>
        <w:t>February 28, 2023</w:t>
      </w:r>
    </w:p>
    <w:p>
      <w:pPr>
        <w:spacing w:after="0"/>
        <w:rPr>
          <w:sz w:val="20"/>
          <w:szCs w:val="20"/>
          <w:color w:val="auto"/>
        </w:rPr>
      </w:pPr>
      <w:r>
        <w:rPr>
          <w:rFonts w:ascii="Times New Roman" w:cs="Times New Roman" w:eastAsia="Times New Roman" w:hAnsi="Times New Roman"/>
          <w:sz w:val="20"/>
          <w:szCs w:val="20"/>
          <w:color w:val="auto"/>
        </w:rPr>
        <w:t>American GP LLC</w:t>
      </w:r>
    </w:p>
    <w:p>
      <w:pPr>
        <w:spacing w:after="0" w:line="386"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20"/>
          <w:szCs w:val="20"/>
          <w:color w:val="auto"/>
        </w:rPr>
        <w:t>Executive Vice President and Chief Financial Officer of Plains All</w:t>
      </w:r>
      <w:r>
        <w:rPr>
          <w:sz w:val="20"/>
          <w:szCs w:val="20"/>
          <w:color w:val="auto"/>
        </w:rPr>
        <w:tab/>
      </w:r>
      <w:r>
        <w:rPr>
          <w:rFonts w:ascii="Times New Roman" w:cs="Times New Roman" w:eastAsia="Times New Roman" w:hAnsi="Times New Roman"/>
          <w:sz w:val="19"/>
          <w:szCs w:val="19"/>
          <w:color w:val="auto"/>
        </w:rPr>
        <w:t>February 28, 2023</w:t>
      </w:r>
    </w:p>
    <w:p>
      <w:pPr>
        <w:spacing w:after="0"/>
        <w:rPr>
          <w:sz w:val="20"/>
          <w:szCs w:val="20"/>
          <w:color w:val="auto"/>
        </w:rPr>
      </w:pPr>
      <w:r>
        <w:rPr>
          <w:rFonts w:ascii="Times New Roman" w:cs="Times New Roman" w:eastAsia="Times New Roman" w:hAnsi="Times New Roman"/>
          <w:sz w:val="20"/>
          <w:szCs w:val="20"/>
          <w:color w:val="auto"/>
        </w:rPr>
        <w:t>American GP LLC (Principal Financial Officer)</w:t>
      </w:r>
    </w:p>
    <w:p>
      <w:pPr>
        <w:spacing w:after="0" w:line="200" w:lineRule="exact"/>
        <w:rPr>
          <w:sz w:val="20"/>
          <w:szCs w:val="20"/>
          <w:color w:val="auto"/>
        </w:rPr>
      </w:pPr>
    </w:p>
    <w:p>
      <w:pPr>
        <w:spacing w:after="0" w:line="21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Senior Vice President, Finance and Chief Accounting Officer of Plains February 28, 2023 All American GP LLC (Principal Accounting Officer)</w:t>
      </w:r>
    </w:p>
    <w:p>
      <w:pPr>
        <w:spacing w:after="0" w:line="390"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20"/>
          <w:szCs w:val="20"/>
          <w:color w:val="auto"/>
        </w:rPr>
        <w:t>Director of PAA GP Holdings LLC</w:t>
      </w:r>
      <w:r>
        <w:rPr>
          <w:sz w:val="20"/>
          <w:szCs w:val="20"/>
          <w:color w:val="auto"/>
        </w:rPr>
        <w:tab/>
      </w:r>
      <w:r>
        <w:rPr>
          <w:rFonts w:ascii="Times New Roman" w:cs="Times New Roman" w:eastAsia="Times New Roman" w:hAnsi="Times New Roman"/>
          <w:sz w:val="19"/>
          <w:szCs w:val="19"/>
          <w:color w:val="auto"/>
        </w:rPr>
        <w:t>February 28, 2023</w:t>
      </w:r>
    </w:p>
    <w:p>
      <w:pPr>
        <w:spacing w:after="0" w:line="200" w:lineRule="exact"/>
        <w:rPr>
          <w:sz w:val="20"/>
          <w:szCs w:val="20"/>
          <w:color w:val="auto"/>
        </w:rPr>
      </w:pPr>
    </w:p>
    <w:p>
      <w:pPr>
        <w:spacing w:after="0" w:line="387"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20"/>
          <w:szCs w:val="20"/>
          <w:color w:val="auto"/>
        </w:rPr>
        <w:t>Director of PAA GP Holdings LLC</w:t>
      </w:r>
      <w:r>
        <w:rPr>
          <w:sz w:val="20"/>
          <w:szCs w:val="20"/>
          <w:color w:val="auto"/>
        </w:rPr>
        <w:tab/>
      </w:r>
      <w:r>
        <w:rPr>
          <w:rFonts w:ascii="Times New Roman" w:cs="Times New Roman" w:eastAsia="Times New Roman" w:hAnsi="Times New Roman"/>
          <w:sz w:val="19"/>
          <w:szCs w:val="19"/>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20"/>
          <w:szCs w:val="20"/>
          <w:color w:val="auto"/>
        </w:rPr>
        <w:t>Director of PAA GP Holdings LLC</w:t>
      </w:r>
      <w:r>
        <w:rPr>
          <w:sz w:val="20"/>
          <w:szCs w:val="20"/>
          <w:color w:val="auto"/>
        </w:rPr>
        <w:tab/>
      </w:r>
      <w:r>
        <w:rPr>
          <w:rFonts w:ascii="Times New Roman" w:cs="Times New Roman" w:eastAsia="Times New Roman" w:hAnsi="Times New Roman"/>
          <w:sz w:val="19"/>
          <w:szCs w:val="19"/>
          <w:color w:val="auto"/>
        </w:rPr>
        <w:t>February 28, 2023</w:t>
      </w:r>
    </w:p>
    <w:p>
      <w:pPr>
        <w:spacing w:after="0" w:line="200" w:lineRule="exact"/>
        <w:rPr>
          <w:sz w:val="20"/>
          <w:szCs w:val="20"/>
          <w:color w:val="auto"/>
        </w:rPr>
      </w:pPr>
    </w:p>
    <w:p>
      <w:pPr>
        <w:spacing w:after="0" w:line="327"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20"/>
          <w:szCs w:val="20"/>
          <w:color w:val="auto"/>
        </w:rPr>
        <w:t>Director of PAA GP Holdings LLC</w:t>
      </w:r>
      <w:r>
        <w:rPr>
          <w:sz w:val="20"/>
          <w:szCs w:val="20"/>
          <w:color w:val="auto"/>
        </w:rPr>
        <w:tab/>
      </w:r>
      <w:r>
        <w:rPr>
          <w:rFonts w:ascii="Times New Roman" w:cs="Times New Roman" w:eastAsia="Times New Roman" w:hAnsi="Times New Roman"/>
          <w:sz w:val="19"/>
          <w:szCs w:val="19"/>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20"/>
          <w:szCs w:val="20"/>
          <w:color w:val="auto"/>
        </w:rPr>
        <w:t>Director of PAA GP Holdings LLC</w:t>
      </w:r>
      <w:r>
        <w:rPr>
          <w:sz w:val="20"/>
          <w:szCs w:val="20"/>
          <w:color w:val="auto"/>
        </w:rPr>
        <w:tab/>
      </w:r>
      <w:r>
        <w:rPr>
          <w:rFonts w:ascii="Times New Roman" w:cs="Times New Roman" w:eastAsia="Times New Roman" w:hAnsi="Times New Roman"/>
          <w:sz w:val="19"/>
          <w:szCs w:val="19"/>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20"/>
          <w:szCs w:val="20"/>
          <w:color w:val="auto"/>
        </w:rPr>
        <w:t>Director of PAA GP Holdings LLC</w:t>
      </w:r>
      <w:r>
        <w:rPr>
          <w:sz w:val="20"/>
          <w:szCs w:val="20"/>
          <w:color w:val="auto"/>
        </w:rPr>
        <w:tab/>
      </w:r>
      <w:r>
        <w:rPr>
          <w:rFonts w:ascii="Times New Roman" w:cs="Times New Roman" w:eastAsia="Times New Roman" w:hAnsi="Times New Roman"/>
          <w:sz w:val="19"/>
          <w:szCs w:val="19"/>
          <w:color w:val="auto"/>
        </w:rPr>
        <w:t>February 28, 2023</w:t>
      </w:r>
    </w:p>
    <w:p>
      <w:pPr>
        <w:spacing w:after="0" w:line="200" w:lineRule="exact"/>
        <w:rPr>
          <w:sz w:val="20"/>
          <w:szCs w:val="20"/>
          <w:color w:val="auto"/>
        </w:rPr>
      </w:pPr>
    </w:p>
    <w:p>
      <w:pPr>
        <w:spacing w:after="0" w:line="387"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20"/>
          <w:szCs w:val="20"/>
          <w:color w:val="auto"/>
        </w:rPr>
        <w:t>Director of PAA GP Holdings LLC</w:t>
      </w:r>
      <w:r>
        <w:rPr>
          <w:sz w:val="20"/>
          <w:szCs w:val="20"/>
          <w:color w:val="auto"/>
        </w:rPr>
        <w:tab/>
      </w:r>
      <w:r>
        <w:rPr>
          <w:rFonts w:ascii="Times New Roman" w:cs="Times New Roman" w:eastAsia="Times New Roman" w:hAnsi="Times New Roman"/>
          <w:sz w:val="19"/>
          <w:szCs w:val="19"/>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20"/>
          <w:szCs w:val="20"/>
          <w:color w:val="auto"/>
        </w:rPr>
        <w:t>Director of PAA GP Holdings LLC</w:t>
      </w:r>
      <w:r>
        <w:rPr>
          <w:sz w:val="20"/>
          <w:szCs w:val="20"/>
          <w:color w:val="auto"/>
        </w:rPr>
        <w:tab/>
      </w:r>
      <w:r>
        <w:rPr>
          <w:rFonts w:ascii="Times New Roman" w:cs="Times New Roman" w:eastAsia="Times New Roman" w:hAnsi="Times New Roman"/>
          <w:sz w:val="19"/>
          <w:szCs w:val="19"/>
          <w:color w:val="auto"/>
        </w:rPr>
        <w:t>February 28, 2023</w:t>
      </w:r>
    </w:p>
    <w:p>
      <w:pPr>
        <w:spacing w:after="0" w:line="200" w:lineRule="exact"/>
        <w:rPr>
          <w:sz w:val="20"/>
          <w:szCs w:val="20"/>
          <w:color w:val="auto"/>
        </w:rPr>
      </w:pPr>
    </w:p>
    <w:p>
      <w:pPr>
        <w:spacing w:after="0" w:line="387"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20"/>
          <w:szCs w:val="20"/>
          <w:color w:val="auto"/>
        </w:rPr>
        <w:t>Director of PAA GP Holdings LLC</w:t>
      </w:r>
      <w:r>
        <w:rPr>
          <w:sz w:val="20"/>
          <w:szCs w:val="20"/>
          <w:color w:val="auto"/>
        </w:rPr>
        <w:tab/>
      </w:r>
      <w:r>
        <w:rPr>
          <w:rFonts w:ascii="Times New Roman" w:cs="Times New Roman" w:eastAsia="Times New Roman" w:hAnsi="Times New Roman"/>
          <w:sz w:val="19"/>
          <w:szCs w:val="19"/>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20"/>
          <w:szCs w:val="20"/>
          <w:color w:val="auto"/>
        </w:rPr>
        <w:t>Director of PAA GP Holdings LLC</w:t>
      </w:r>
      <w:r>
        <w:rPr>
          <w:sz w:val="20"/>
          <w:szCs w:val="20"/>
          <w:color w:val="auto"/>
        </w:rPr>
        <w:tab/>
      </w:r>
      <w:r>
        <w:rPr>
          <w:rFonts w:ascii="Times New Roman" w:cs="Times New Roman" w:eastAsia="Times New Roman" w:hAnsi="Times New Roman"/>
          <w:sz w:val="19"/>
          <w:szCs w:val="19"/>
          <w:color w:val="auto"/>
        </w:rPr>
        <w:t>February 28, 2023</w:t>
      </w:r>
    </w:p>
    <w:p>
      <w:pPr>
        <w:spacing w:after="0" w:line="496" w:lineRule="exact"/>
        <w:rPr>
          <w:sz w:val="20"/>
          <w:szCs w:val="20"/>
          <w:color w:val="auto"/>
        </w:rPr>
      </w:pPr>
    </w:p>
    <w:p>
      <w:pPr>
        <w:sectPr>
          <w:pgSz w:w="11880" w:h="15480" w:orient="portrait"/>
          <w:cols w:equalWidth="0" w:num="2">
            <w:col w:w="2360" w:space="360"/>
            <w:col w:w="7340"/>
          </w:cols>
          <w:pgMar w:left="860" w:top="683"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880" w:h="15480" w:orient="portrait"/>
          <w:cols w:equalWidth="0" w:num="1">
            <w:col w:w="10060"/>
          </w:cols>
          <w:pgMar w:left="860" w:top="683" w:right="960" w:bottom="0" w:gutter="0" w:footer="0" w:header="0"/>
          <w:type w:val="continuous"/>
        </w:sectPr>
      </w:pPr>
    </w:p>
    <w:bookmarkStart w:id="104" w:name="page105"/>
    <w:bookmarkEnd w:id="104"/>
    <w:p>
      <w:pPr>
        <w:ind w:left="216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b w:val="1"/>
          <w:bCs w:val="1"/>
          <w:color w:val="auto"/>
        </w:rPr>
        <w:t>INDEX TO THE CONSOLIDATED FINANCIAL STATEMENTS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Management’s Report on Internal Control Over Financial Reporting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238)</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2022 and 2021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2022, 2021 and 2020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Consolidated Statements of Comprehensive Income/(Loss) for the years ended December 31, 2022, 2021 and 2020</w:t>
      </w:r>
    </w:p>
    <w:p>
      <w:pPr>
        <w:spacing w:after="0" w:line="79" w:lineRule="exact"/>
        <w:rPr>
          <w:sz w:val="20"/>
          <w:szCs w:val="20"/>
          <w:color w:val="auto"/>
        </w:rPr>
      </w:pPr>
    </w:p>
    <w:p>
      <w:pPr>
        <w:ind w:left="180" w:right="340" w:hanging="177"/>
        <w:spacing w:after="0" w:line="238" w:lineRule="auto"/>
        <w:rPr>
          <w:sz w:val="20"/>
          <w:szCs w:val="20"/>
          <w:color w:val="auto"/>
        </w:rPr>
      </w:pPr>
      <w:r>
        <w:rPr>
          <w:rFonts w:ascii="Times New Roman" w:cs="Times New Roman" w:eastAsia="Times New Roman" w:hAnsi="Times New Roman"/>
          <w:sz w:val="20"/>
          <w:szCs w:val="20"/>
          <w:color w:val="auto"/>
        </w:rPr>
        <w:t>Consolidated Statements of Changes in Accumulated Other Comprehensive Income/(Loss) for the years ended December 31, 2022, 2021 and 2020</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2022, 2021 and 2020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Statements of Changes in Partners’ Capital for the years ended December 31, 2022, 2021 and 2020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 to the Consolidated Financial Statements:</w:t>
      </w:r>
    </w:p>
    <w:p>
      <w:pPr>
        <w:spacing w:after="0" w:line="67" w:lineRule="exact"/>
        <w:rPr>
          <w:sz w:val="20"/>
          <w:szCs w:val="20"/>
          <w:color w:val="auto"/>
        </w:rPr>
      </w:pPr>
    </w:p>
    <w:p>
      <w:pPr>
        <w:ind w:left="340" w:hanging="198"/>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Organization and Basis of Consolidation and Presentation</w:t>
      </w:r>
    </w:p>
    <w:p>
      <w:pPr>
        <w:spacing w:after="0" w:line="67" w:lineRule="exact"/>
        <w:rPr>
          <w:rFonts w:ascii="Times New Roman" w:cs="Times New Roman" w:eastAsia="Times New Roman" w:hAnsi="Times New Roman"/>
          <w:sz w:val="20"/>
          <w:szCs w:val="20"/>
          <w:color w:val="auto"/>
        </w:rPr>
      </w:pPr>
    </w:p>
    <w:p>
      <w:pPr>
        <w:ind w:left="340" w:hanging="198"/>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Summary of Significant Accounting Policies</w:t>
      </w:r>
    </w:p>
    <w:p>
      <w:pPr>
        <w:spacing w:after="0" w:line="67" w:lineRule="exact"/>
        <w:rPr>
          <w:rFonts w:ascii="Times New Roman" w:cs="Times New Roman" w:eastAsia="Times New Roman" w:hAnsi="Times New Roman"/>
          <w:sz w:val="20"/>
          <w:szCs w:val="20"/>
          <w:color w:val="auto"/>
        </w:rPr>
      </w:pPr>
    </w:p>
    <w:p>
      <w:pPr>
        <w:ind w:left="340" w:hanging="198"/>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and Accounts Receivable</w:t>
      </w:r>
    </w:p>
    <w:p>
      <w:pPr>
        <w:spacing w:after="0" w:line="67" w:lineRule="exact"/>
        <w:rPr>
          <w:rFonts w:ascii="Times New Roman" w:cs="Times New Roman" w:eastAsia="Times New Roman" w:hAnsi="Times New Roman"/>
          <w:sz w:val="20"/>
          <w:szCs w:val="20"/>
          <w:color w:val="auto"/>
        </w:rPr>
      </w:pPr>
    </w:p>
    <w:p>
      <w:pPr>
        <w:ind w:left="340" w:hanging="198"/>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Income/(Loss) Per Common Unit</w:t>
      </w:r>
    </w:p>
    <w:p>
      <w:pPr>
        <w:spacing w:after="0" w:line="67" w:lineRule="exact"/>
        <w:rPr>
          <w:rFonts w:ascii="Times New Roman" w:cs="Times New Roman" w:eastAsia="Times New Roman" w:hAnsi="Times New Roman"/>
          <w:sz w:val="20"/>
          <w:szCs w:val="20"/>
          <w:color w:val="auto"/>
        </w:rPr>
      </w:pPr>
    </w:p>
    <w:p>
      <w:pPr>
        <w:ind w:left="340" w:hanging="198"/>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Linefill and Long-term Inventory</w:t>
      </w:r>
    </w:p>
    <w:p>
      <w:pPr>
        <w:spacing w:after="0" w:line="67" w:lineRule="exact"/>
        <w:rPr>
          <w:rFonts w:ascii="Times New Roman" w:cs="Times New Roman" w:eastAsia="Times New Roman" w:hAnsi="Times New Roman"/>
          <w:sz w:val="20"/>
          <w:szCs w:val="20"/>
          <w:color w:val="auto"/>
        </w:rPr>
      </w:pPr>
    </w:p>
    <w:p>
      <w:pPr>
        <w:ind w:left="340" w:hanging="198"/>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w:t>
      </w:r>
    </w:p>
    <w:p>
      <w:pPr>
        <w:spacing w:after="0" w:line="67" w:lineRule="exact"/>
        <w:rPr>
          <w:rFonts w:ascii="Times New Roman" w:cs="Times New Roman" w:eastAsia="Times New Roman" w:hAnsi="Times New Roman"/>
          <w:sz w:val="20"/>
          <w:szCs w:val="20"/>
          <w:color w:val="auto"/>
        </w:rPr>
      </w:pPr>
    </w:p>
    <w:p>
      <w:pPr>
        <w:ind w:left="340" w:hanging="198"/>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Divestitures and Other Transactions</w:t>
      </w:r>
    </w:p>
    <w:p>
      <w:pPr>
        <w:spacing w:after="0" w:line="67" w:lineRule="exact"/>
        <w:rPr>
          <w:rFonts w:ascii="Times New Roman" w:cs="Times New Roman" w:eastAsia="Times New Roman" w:hAnsi="Times New Roman"/>
          <w:sz w:val="20"/>
          <w:szCs w:val="20"/>
          <w:color w:val="auto"/>
        </w:rPr>
      </w:pPr>
    </w:p>
    <w:p>
      <w:pPr>
        <w:ind w:left="340" w:hanging="198"/>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w:t>
      </w:r>
    </w:p>
    <w:p>
      <w:pPr>
        <w:spacing w:after="0" w:line="67" w:lineRule="exact"/>
        <w:rPr>
          <w:rFonts w:ascii="Times New Roman" w:cs="Times New Roman" w:eastAsia="Times New Roman" w:hAnsi="Times New Roman"/>
          <w:sz w:val="20"/>
          <w:szCs w:val="20"/>
          <w:color w:val="auto"/>
        </w:rPr>
      </w:pPr>
    </w:p>
    <w:p>
      <w:pPr>
        <w:ind w:left="340" w:hanging="198"/>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Unconsolidated Entities</w:t>
      </w:r>
    </w:p>
    <w:p>
      <w:pPr>
        <w:spacing w:after="0" w:line="67" w:lineRule="exact"/>
        <w:rPr>
          <w:rFonts w:ascii="Times New Roman" w:cs="Times New Roman" w:eastAsia="Times New Roman" w:hAnsi="Times New Roman"/>
          <w:sz w:val="20"/>
          <w:szCs w:val="20"/>
          <w:color w:val="auto"/>
        </w:rPr>
      </w:pPr>
    </w:p>
    <w:p>
      <w:pPr>
        <w:ind w:left="440" w:hanging="298"/>
        <w:spacing w:after="0"/>
        <w:tabs>
          <w:tab w:leader="none" w:pos="4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Intangible Assets, Net</w:t>
      </w:r>
    </w:p>
    <w:p>
      <w:pPr>
        <w:spacing w:after="0" w:line="67" w:lineRule="exact"/>
        <w:rPr>
          <w:rFonts w:ascii="Times New Roman" w:cs="Times New Roman" w:eastAsia="Times New Roman" w:hAnsi="Times New Roman"/>
          <w:sz w:val="20"/>
          <w:szCs w:val="20"/>
          <w:color w:val="auto"/>
        </w:rPr>
      </w:pPr>
    </w:p>
    <w:p>
      <w:pPr>
        <w:ind w:left="440" w:hanging="298"/>
        <w:spacing w:after="0"/>
        <w:tabs>
          <w:tab w:leader="none" w:pos="4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w:t>
      </w:r>
    </w:p>
    <w:p>
      <w:pPr>
        <w:spacing w:after="0" w:line="67" w:lineRule="exact"/>
        <w:rPr>
          <w:rFonts w:ascii="Times New Roman" w:cs="Times New Roman" w:eastAsia="Times New Roman" w:hAnsi="Times New Roman"/>
          <w:sz w:val="20"/>
          <w:szCs w:val="20"/>
          <w:color w:val="auto"/>
        </w:rPr>
      </w:pPr>
    </w:p>
    <w:p>
      <w:pPr>
        <w:ind w:left="440" w:hanging="298"/>
        <w:spacing w:after="0"/>
        <w:tabs>
          <w:tab w:leader="none" w:pos="4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Partners’ Capital and Distributions</w:t>
      </w:r>
    </w:p>
    <w:p>
      <w:pPr>
        <w:spacing w:after="0" w:line="67" w:lineRule="exact"/>
        <w:rPr>
          <w:rFonts w:ascii="Times New Roman" w:cs="Times New Roman" w:eastAsia="Times New Roman" w:hAnsi="Times New Roman"/>
          <w:sz w:val="20"/>
          <w:szCs w:val="20"/>
          <w:color w:val="auto"/>
        </w:rPr>
      </w:pPr>
    </w:p>
    <w:p>
      <w:pPr>
        <w:ind w:left="440" w:hanging="298"/>
        <w:spacing w:after="0"/>
        <w:tabs>
          <w:tab w:leader="none" w:pos="4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Derivatives and Risk Management Activities</w:t>
      </w:r>
    </w:p>
    <w:p>
      <w:pPr>
        <w:spacing w:after="0" w:line="67" w:lineRule="exact"/>
        <w:rPr>
          <w:rFonts w:ascii="Times New Roman" w:cs="Times New Roman" w:eastAsia="Times New Roman" w:hAnsi="Times New Roman"/>
          <w:sz w:val="20"/>
          <w:szCs w:val="20"/>
          <w:color w:val="auto"/>
        </w:rPr>
      </w:pPr>
    </w:p>
    <w:p>
      <w:pPr>
        <w:ind w:left="440" w:hanging="298"/>
        <w:spacing w:after="0"/>
        <w:tabs>
          <w:tab w:leader="none" w:pos="4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w:t>
      </w:r>
    </w:p>
    <w:p>
      <w:pPr>
        <w:spacing w:after="0" w:line="67" w:lineRule="exact"/>
        <w:rPr>
          <w:rFonts w:ascii="Times New Roman" w:cs="Times New Roman" w:eastAsia="Times New Roman" w:hAnsi="Times New Roman"/>
          <w:sz w:val="20"/>
          <w:szCs w:val="20"/>
          <w:color w:val="auto"/>
        </w:rPr>
      </w:pPr>
    </w:p>
    <w:p>
      <w:pPr>
        <w:ind w:left="440" w:hanging="298"/>
        <w:spacing w:after="0"/>
        <w:tabs>
          <w:tab w:leader="none" w:pos="4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pacing w:after="0" w:line="67" w:lineRule="exact"/>
        <w:rPr>
          <w:rFonts w:ascii="Times New Roman" w:cs="Times New Roman" w:eastAsia="Times New Roman" w:hAnsi="Times New Roman"/>
          <w:sz w:val="20"/>
          <w:szCs w:val="20"/>
          <w:color w:val="auto"/>
        </w:rPr>
      </w:pPr>
    </w:p>
    <w:p>
      <w:pPr>
        <w:ind w:left="440" w:hanging="298"/>
        <w:spacing w:after="0"/>
        <w:tabs>
          <w:tab w:leader="none" w:pos="4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Customers and Concentration of Credit Risk</w:t>
      </w:r>
    </w:p>
    <w:p>
      <w:pPr>
        <w:spacing w:after="0" w:line="67" w:lineRule="exact"/>
        <w:rPr>
          <w:rFonts w:ascii="Times New Roman" w:cs="Times New Roman" w:eastAsia="Times New Roman" w:hAnsi="Times New Roman"/>
          <w:sz w:val="20"/>
          <w:szCs w:val="20"/>
          <w:color w:val="auto"/>
        </w:rPr>
      </w:pPr>
    </w:p>
    <w:p>
      <w:pPr>
        <w:ind w:left="440" w:hanging="298"/>
        <w:spacing w:after="0"/>
        <w:tabs>
          <w:tab w:leader="none" w:pos="4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Party Transactions</w:t>
      </w:r>
    </w:p>
    <w:p>
      <w:pPr>
        <w:spacing w:after="0" w:line="67" w:lineRule="exact"/>
        <w:rPr>
          <w:rFonts w:ascii="Times New Roman" w:cs="Times New Roman" w:eastAsia="Times New Roman" w:hAnsi="Times New Roman"/>
          <w:sz w:val="20"/>
          <w:szCs w:val="20"/>
          <w:color w:val="auto"/>
        </w:rPr>
      </w:pPr>
    </w:p>
    <w:p>
      <w:pPr>
        <w:ind w:left="440" w:hanging="298"/>
        <w:spacing w:after="0"/>
        <w:tabs>
          <w:tab w:leader="none" w:pos="4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Equity-Indexed Compensation Plans</w:t>
      </w:r>
    </w:p>
    <w:p>
      <w:pPr>
        <w:spacing w:after="0" w:line="67" w:lineRule="exact"/>
        <w:rPr>
          <w:rFonts w:ascii="Times New Roman" w:cs="Times New Roman" w:eastAsia="Times New Roman" w:hAnsi="Times New Roman"/>
          <w:sz w:val="20"/>
          <w:szCs w:val="20"/>
          <w:color w:val="auto"/>
        </w:rPr>
      </w:pPr>
    </w:p>
    <w:p>
      <w:pPr>
        <w:ind w:left="440" w:hanging="298"/>
        <w:spacing w:after="0"/>
        <w:tabs>
          <w:tab w:leader="none" w:pos="4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and Contingencies</w:t>
      </w:r>
    </w:p>
    <w:p>
      <w:pPr>
        <w:spacing w:after="0" w:line="67" w:lineRule="exact"/>
        <w:rPr>
          <w:rFonts w:ascii="Times New Roman" w:cs="Times New Roman" w:eastAsia="Times New Roman" w:hAnsi="Times New Roman"/>
          <w:sz w:val="20"/>
          <w:szCs w:val="20"/>
          <w:color w:val="auto"/>
        </w:rPr>
      </w:pPr>
    </w:p>
    <w:p>
      <w:pPr>
        <w:ind w:left="440" w:hanging="298"/>
        <w:spacing w:after="0"/>
        <w:tabs>
          <w:tab w:leader="none" w:pos="4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Segment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26670</wp:posOffset>
                </wp:positionV>
                <wp:extent cx="53657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57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999pt,2.1pt" to="29.15pt,2.1pt" o:allowincell="f" strokecolor="#000000" strokeweight="0.99pt"/>
            </w:pict>
          </mc:Fallback>
        </mc:AlternateContent>
      </w: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F-2</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F-3</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F-5</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F-6</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F-7</w:t>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F-7</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F-8</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F-9</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F-10</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F-10</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F-12</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F-15</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F-19</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F-20</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F-21</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F-24</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F-29</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F-29</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F-32</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F-33</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F-36</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F-40</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F-45</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F-48</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F-50</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F-51</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F-52</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F-53</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F-60</w:t>
      </w:r>
    </w:p>
    <w:p>
      <w:pPr>
        <w:spacing w:after="0" w:line="200" w:lineRule="exact"/>
        <w:rPr>
          <w:sz w:val="20"/>
          <w:szCs w:val="20"/>
          <w:color w:val="auto"/>
        </w:rPr>
      </w:pPr>
    </w:p>
    <w:p>
      <w:pPr>
        <w:sectPr>
          <w:pgSz w:w="11880" w:h="15480" w:orient="portrait"/>
          <w:cols w:equalWidth="0" w:num="2">
            <w:col w:w="9120" w:space="380"/>
            <w:col w:w="540"/>
          </w:cols>
          <w:pgMar w:left="920" w:top="67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10040"/>
          </w:cols>
          <w:pgMar w:left="920" w:top="676" w:right="920" w:bottom="0" w:gutter="0" w:footer="0" w:header="0"/>
          <w:type w:val="continuous"/>
        </w:sectPr>
      </w:pPr>
    </w:p>
    <w:bookmarkStart w:id="105" w:name="page106"/>
    <w:bookmarkEnd w:id="105"/>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52" w:lineRule="exact"/>
        <w:rPr>
          <w:sz w:val="20"/>
          <w:szCs w:val="20"/>
          <w:color w:val="auto"/>
        </w:rPr>
      </w:pPr>
    </w:p>
    <w:p>
      <w:pPr>
        <w:ind w:right="280" w:firstLine="713"/>
        <w:spacing w:after="0" w:line="258" w:lineRule="auto"/>
        <w:rPr>
          <w:sz w:val="20"/>
          <w:szCs w:val="20"/>
          <w:color w:val="auto"/>
        </w:rPr>
      </w:pPr>
      <w:r>
        <w:rPr>
          <w:rFonts w:ascii="Times New Roman" w:cs="Times New Roman" w:eastAsia="Times New Roman" w:hAnsi="Times New Roman"/>
          <w:sz w:val="20"/>
          <w:szCs w:val="20"/>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99" w:lineRule="exact"/>
        <w:rPr>
          <w:sz w:val="20"/>
          <w:szCs w:val="20"/>
          <w:color w:val="auto"/>
        </w:rPr>
      </w:pPr>
    </w:p>
    <w:p>
      <w:pPr>
        <w:ind w:right="120" w:firstLine="713"/>
        <w:spacing w:after="0" w:line="269" w:lineRule="auto"/>
        <w:rPr>
          <w:sz w:val="20"/>
          <w:szCs w:val="20"/>
          <w:color w:val="auto"/>
        </w:rPr>
      </w:pPr>
      <w:r>
        <w:rPr>
          <w:rFonts w:ascii="Times New Roman" w:cs="Times New Roman" w:eastAsia="Times New Roman" w:hAnsi="Times New Roman"/>
          <w:sz w:val="19"/>
          <w:szCs w:val="19"/>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94"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20"/>
          <w:szCs w:val="20"/>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2022.</w:t>
      </w:r>
    </w:p>
    <w:p>
      <w:pPr>
        <w:spacing w:after="0" w:line="199" w:lineRule="exact"/>
        <w:rPr>
          <w:sz w:val="20"/>
          <w:szCs w:val="20"/>
          <w:color w:val="auto"/>
        </w:rPr>
      </w:pPr>
    </w:p>
    <w:p>
      <w:pPr>
        <w:jc w:val="both"/>
        <w:ind w:right="400" w:firstLine="713"/>
        <w:spacing w:after="0" w:line="263" w:lineRule="auto"/>
        <w:rPr>
          <w:sz w:val="20"/>
          <w:szCs w:val="20"/>
          <w:color w:val="auto"/>
        </w:rPr>
      </w:pPr>
      <w:r>
        <w:rPr>
          <w:rFonts w:ascii="Times New Roman" w:cs="Times New Roman" w:eastAsia="Times New Roman" w:hAnsi="Times New Roman"/>
          <w:sz w:val="20"/>
          <w:szCs w:val="20"/>
          <w:color w:val="auto"/>
        </w:rPr>
        <w:t>The effectiveness of the Partnership’s internal control over financial reporting as of December 31, 2022 has been audited by PricewaterhouseCoopers LLP, an independent registered public accounting firm, as stated in their report which appears on Page F-3.</w:t>
      </w:r>
    </w:p>
    <w:p>
      <w:pPr>
        <w:spacing w:after="0" w:line="26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3314700</wp:posOffset>
                </wp:positionH>
                <wp:positionV relativeFrom="paragraph">
                  <wp:posOffset>34290</wp:posOffset>
                </wp:positionV>
                <wp:extent cx="313118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3118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pt,2.7pt" to="507.55pt,2.7pt" o:allowincell="f" strokecolor="#000000" strokeweight="0.99pt"/>
            </w:pict>
          </mc:Fallback>
        </mc:AlternateContent>
      </w:r>
    </w:p>
    <w:p>
      <w:pPr>
        <w:spacing w:after="0" w:line="4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Willie Chiang</w:t>
      </w:r>
    </w:p>
    <w:p>
      <w:pPr>
        <w:spacing w:after="0" w:line="6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b w:val="1"/>
          <w:bCs w:val="1"/>
          <w:i w:val="1"/>
          <w:iCs w:val="1"/>
          <w:color w:val="auto"/>
        </w:rPr>
        <w:t>Chief Executive Officer of Plains All American GP LLC</w:t>
      </w:r>
    </w:p>
    <w:p>
      <w:pPr>
        <w:spacing w:after="0" w:line="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b w:val="1"/>
          <w:bCs w:val="1"/>
          <w:i w:val="1"/>
          <w:iCs w:val="1"/>
          <w:color w:val="auto"/>
        </w:rPr>
        <w:t>(Principal Executive Officer)</w:t>
      </w:r>
    </w:p>
    <w:p>
      <w:pPr>
        <w:spacing w:after="0" w:line="3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3314700</wp:posOffset>
                </wp:positionH>
                <wp:positionV relativeFrom="paragraph">
                  <wp:posOffset>34290</wp:posOffset>
                </wp:positionV>
                <wp:extent cx="313118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3118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pt,2.7pt" to="507.55pt,2.7pt" o:allowincell="f" strokecolor="#000000" strokeweight="0.99pt"/>
            </w:pict>
          </mc:Fallback>
        </mc:AlternateContent>
      </w:r>
    </w:p>
    <w:p>
      <w:pPr>
        <w:spacing w:after="0" w:line="4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Al Swanson</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b w:val="1"/>
          <w:bCs w:val="1"/>
          <w:i w:val="1"/>
          <w:iCs w:val="1"/>
          <w:color w:val="auto"/>
        </w:rPr>
        <w:t>Executive Vice President and Chief Financial Officer of</w:t>
      </w:r>
    </w:p>
    <w:p>
      <w:pPr>
        <w:ind w:left="5280"/>
        <w:spacing w:after="0"/>
        <w:rPr>
          <w:sz w:val="20"/>
          <w:szCs w:val="20"/>
          <w:color w:val="auto"/>
        </w:rPr>
      </w:pPr>
      <w:r>
        <w:rPr>
          <w:rFonts w:ascii="Times New Roman" w:cs="Times New Roman" w:eastAsia="Times New Roman" w:hAnsi="Times New Roman"/>
          <w:sz w:val="20"/>
          <w:szCs w:val="20"/>
          <w:b w:val="1"/>
          <w:bCs w:val="1"/>
          <w:i w:val="1"/>
          <w:iCs w:val="1"/>
          <w:color w:val="auto"/>
        </w:rPr>
        <w:t>Plains All American GP LLC</w:t>
      </w:r>
    </w:p>
    <w:p>
      <w:pPr>
        <w:spacing w:after="0" w:line="6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b w:val="1"/>
          <w:bCs w:val="1"/>
          <w:i w:val="1"/>
          <w:iCs w:val="1"/>
          <w:color w:val="auto"/>
        </w:rPr>
        <w:t>(Principal Financial Officer)</w:t>
      </w: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February 28, 2023</w:t>
      </w:r>
    </w:p>
    <w:p>
      <w:pPr>
        <w:sectPr>
          <w:pgSz w:w="11880" w:h="15480" w:orient="portrait"/>
          <w:cols w:equalWidth="0" w:num="1">
            <w:col w:w="10080"/>
          </w:cols>
          <w:pgMar w:left="86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10080"/>
          </w:cols>
          <w:pgMar w:left="860" w:top="676" w:right="940" w:bottom="0" w:gutter="0" w:footer="0" w:header="0"/>
          <w:type w:val="continuous"/>
        </w:sectPr>
      </w:pPr>
    </w:p>
    <w:bookmarkStart w:id="106" w:name="page107"/>
    <w:bookmarkEnd w:id="106"/>
    <w:p>
      <w:pPr>
        <w:ind w:left="2680"/>
        <w:spacing w:after="0"/>
        <w:rPr>
          <w:sz w:val="20"/>
          <w:szCs w:val="20"/>
          <w:color w:val="auto"/>
        </w:rPr>
      </w:pPr>
      <w:r>
        <w:rPr>
          <w:rFonts w:ascii="Times New Roman" w:cs="Times New Roman" w:eastAsia="Times New Roman" w:hAnsi="Times New Roman"/>
          <w:sz w:val="20"/>
          <w:szCs w:val="20"/>
          <w:b w:val="1"/>
          <w:bCs w:val="1"/>
          <w:i w:val="1"/>
          <w:iCs w:val="1"/>
          <w:color w:val="auto"/>
        </w:rPr>
        <w:t>Report of Independent Registered Public Accounting Firm</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of PAA GP Holdings LLC and Unitholders of Plains All American Pipeline, 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5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Plains All American Pipeline, L.P. and its subsidiaries (the “Partnership”) as of December 31, 2022 and 2021, and the related consolidated statements of operations, of comprehensive income (loss), of changes in accumulated other comprehensive income (loss), of changes in partners' capital and of cash flows for each of the three years in the period ended December 31, 2022, including the related notes (collectively referred to as the “consolidated financial statements”). We also have audited the Partnership's internal control over financial reporting as of December 31, 2022, based on criteria established in </w:t>
      </w:r>
      <w:r>
        <w:rPr>
          <w:rFonts w:ascii="Times New Roman" w:cs="Times New Roman" w:eastAsia="Times New Roman" w:hAnsi="Times New Roman"/>
          <w:sz w:val="20"/>
          <w:szCs w:val="20"/>
          <w:b w:val="1"/>
          <w:bCs w:val="1"/>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(COSO).</w:t>
      </w:r>
    </w:p>
    <w:p>
      <w:pPr>
        <w:spacing w:after="0" w:line="2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Partnership as of December 31, 2022 and 2021, and the results of its operations and its cash flows for each of the three years in the period ended December 31, 2022 in conformity with accounting principles generally accepted in the United States of America. Also in our opinion, the Partnership maintained, in all material respects, effective internal control over financial reporting as of December 31, 2022, based on criteria established in </w:t>
      </w:r>
      <w:r>
        <w:rPr>
          <w:rFonts w:ascii="Times New Roman" w:cs="Times New Roman" w:eastAsia="Times New Roman" w:hAnsi="Times New Roman"/>
          <w:sz w:val="20"/>
          <w:szCs w:val="20"/>
          <w:b w:val="1"/>
          <w:bCs w:val="1"/>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5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5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10140"/>
          </w:cols>
          <w:pgMar w:left="860"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10140"/>
          </w:cols>
          <w:pgMar w:left="860" w:top="675" w:right="880" w:bottom="0" w:gutter="0" w:footer="0" w:header="0"/>
          <w:type w:val="continuous"/>
        </w:sectPr>
      </w:pPr>
    </w:p>
    <w:bookmarkStart w:id="107" w:name="page108"/>
    <w:bookmarkEnd w:id="107"/>
    <w:p>
      <w:pPr>
        <w:jc w:val="both"/>
        <w:ind w:right="460"/>
        <w:spacing w:after="0" w:line="283"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5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the Preferred Distribution Rate Reset Option</w:t>
      </w:r>
    </w:p>
    <w:p>
      <w:pPr>
        <w:spacing w:after="0" w:line="2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As described in Note 13 to the consolidated financial statements, the Preferred Distribution Rate Reset Option of the Partnership’s Series A preferred units is an embedded derivative that is bifurcated from the related host contract and recorded at fair value. The fair value, as of December 31, 2022, was $189 million, and is recorded in other long-term liabilities and deferred credits. Management determines the fair value based on a Monte Carlo valuation model that estimates the fair value of the Series A preferred units with and without the Preferred Distribution Rate Reset Option. This model relies on assumptions for forecasts for the ten-year U.S. Treasury rate, the Partnership’s common unit price, and default probabilities which impact timing estimates as to when the option will be exercised.</w:t>
      </w:r>
    </w:p>
    <w:p>
      <w:pPr>
        <w:spacing w:after="0" w:line="2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fair value of the Preferred Distribution Rate Reset Option is a critical audit matter are the significant judgment by management when developing the fair value estimate of the Preferred Distribution Rate Reset Option using the Monte Carlo valuation model. This in turn led to a high degree of auditor judgment, subjectivity, and effort in performing procedures and evaluating the Monte Carlo valuation model and management’s significant assumption related to forecasts for the ten-year U.S. Treasury rate. Also, the audit effort involved the use of professionals with specialized skill and knowledge.</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fair value of the Preferred Distribution Rate Reset Option, including the appropriateness of the Monte Carlo valuation model, the significant assumption, and data used in developing the fair value estimate. These procedures also included, among others</w:t>
      </w:r>
    </w:p>
    <w:p>
      <w:pPr>
        <w:ind w:right="80" w:firstLine="1"/>
        <w:spacing w:after="0" w:line="254" w:lineRule="auto"/>
        <w:tabs>
          <w:tab w:leader="none" w:pos="23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testing the completeness and accuracy of the contractual information from the Series A preferred unit agreement that is used in the valuation model, (ii) evaluating the reasonableness of, and testing the accuracy of, inputs used to estimate the fair value of the Preferred Distribution Rate Reset Option, and (iii) the involvement of professionals with specialized skill and knowledge to assist in evaluating the reasonableness of management’s estimate by developing (a) an independent Monte Carlo valuation model and (b) an independent range of fair values using independently developed forecasts for the ten-year U.S. Treasury rate and comparing the independent range of fair values to management’s estimate.</w:t>
      </w: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Houston, Texas</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February 28, 2023</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We have served as the Partnership’s auditor since 1998.</w:t>
      </w:r>
    </w:p>
    <w:p>
      <w:pPr>
        <w:sectPr>
          <w:pgSz w:w="11880" w:h="15480" w:orient="portrait"/>
          <w:cols w:equalWidth="0" w:num="1">
            <w:col w:w="10160"/>
          </w:cols>
          <w:pgMar w:left="860" w:top="68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10160"/>
          </w:cols>
          <w:pgMar w:left="860" w:top="683" w:right="860" w:bottom="0" w:gutter="0" w:footer="0" w:header="0"/>
          <w:type w:val="continuous"/>
        </w:sectPr>
      </w:pPr>
    </w:p>
    <w:bookmarkStart w:id="108" w:name="page109"/>
    <w:bookmarkEnd w:id="108"/>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PLAINS ALL AMERICAN PIPELINE, L.P. AND SUBSIDIARIES CONSOLIDATED BALANCE SHEETS (in millions, except unit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92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3"/>
        </w:trPr>
        <w:tc>
          <w:tcPr>
            <w:tcW w:w="7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r>
      <w:tr>
        <w:trPr>
          <w:trHeight w:val="223"/>
        </w:trPr>
        <w:tc>
          <w:tcPr>
            <w:tcW w:w="7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2"/>
        </w:trPr>
        <w:tc>
          <w:tcPr>
            <w:tcW w:w="7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r>
      <w:tr>
        <w:trPr>
          <w:trHeight w:val="252"/>
        </w:trPr>
        <w:tc>
          <w:tcPr>
            <w:tcW w:w="7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w:t>
            </w:r>
          </w:p>
        </w:tc>
      </w:tr>
      <w:tr>
        <w:trPr>
          <w:trHeight w:val="252"/>
        </w:trPr>
        <w:tc>
          <w:tcPr>
            <w:tcW w:w="7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Trade accounts receivable and other receivables, net</w:t>
            </w: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3,907</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4,705</w:t>
            </w:r>
          </w:p>
        </w:tc>
      </w:tr>
      <w:tr>
        <w:trPr>
          <w:trHeight w:val="252"/>
        </w:trPr>
        <w:tc>
          <w:tcPr>
            <w:tcW w:w="7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Inventory</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w:t>
            </w:r>
          </w:p>
        </w:tc>
      </w:tr>
      <w:tr>
        <w:trPr>
          <w:trHeight w:val="263"/>
        </w:trPr>
        <w:tc>
          <w:tcPr>
            <w:tcW w:w="79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 current assets</w:t>
            </w:r>
          </w:p>
        </w:tc>
        <w:tc>
          <w:tcPr>
            <w:tcW w:w="260" w:type="dxa"/>
            <w:vAlign w:val="bottom"/>
            <w:tcBorders>
              <w:bottom w:val="single" w:sz="8" w:color="auto"/>
            </w:tcBorders>
            <w:shd w:val="clear" w:color="auto" w:fill="E6E6E6"/>
          </w:tcPr>
          <w:p>
            <w:pPr>
              <w:spacing w:after="0"/>
              <w:rPr>
                <w:sz w:val="22"/>
                <w:szCs w:val="22"/>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8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200</w:t>
            </w:r>
          </w:p>
        </w:tc>
      </w:tr>
      <w:tr>
        <w:trPr>
          <w:trHeight w:val="212"/>
        </w:trPr>
        <w:tc>
          <w:tcPr>
            <w:tcW w:w="7920" w:type="dxa"/>
            <w:vAlign w:val="bottom"/>
            <w:tcBorders>
              <w:bottom w:val="single" w:sz="8" w:color="E6E6E6"/>
            </w:tcBorders>
          </w:tcPr>
          <w:p>
            <w:pPr>
              <w:ind w:left="180"/>
              <w:spacing w:after="0" w:line="212" w:lineRule="exact"/>
              <w:rPr>
                <w:sz w:val="20"/>
                <w:szCs w:val="20"/>
                <w:color w:val="auto"/>
              </w:rPr>
            </w:pPr>
            <w:r>
              <w:rPr>
                <w:rFonts w:ascii="Times New Roman" w:cs="Times New Roman" w:eastAsia="Times New Roman" w:hAnsi="Times New Roman"/>
                <w:sz w:val="20"/>
                <w:szCs w:val="20"/>
                <w:color w:val="auto"/>
              </w:rPr>
              <w:t>Total current assets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5,355</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6,137</w:t>
            </w:r>
          </w:p>
        </w:tc>
      </w:tr>
      <w:tr>
        <w:trPr>
          <w:trHeight w:val="183"/>
        </w:trPr>
        <w:tc>
          <w:tcPr>
            <w:tcW w:w="79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2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20" w:type="dxa"/>
            <w:vAlign w:val="bottom"/>
            <w:shd w:val="clear" w:color="auto" w:fill="E6E6E6"/>
          </w:tcPr>
          <w:p>
            <w:pPr>
              <w:spacing w:after="0"/>
              <w:rPr>
                <w:sz w:val="15"/>
                <w:szCs w:val="15"/>
                <w:color w:val="auto"/>
              </w:rPr>
            </w:pPr>
          </w:p>
        </w:tc>
      </w:tr>
      <w:tr>
        <w:trPr>
          <w:trHeight w:val="252"/>
        </w:trPr>
        <w:tc>
          <w:tcPr>
            <w:tcW w:w="7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PROPERTY AND EQUIPMENT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20,020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19,257</w:t>
            </w:r>
          </w:p>
        </w:tc>
      </w:tr>
      <w:tr>
        <w:trPr>
          <w:trHeight w:val="263"/>
        </w:trPr>
        <w:tc>
          <w:tcPr>
            <w:tcW w:w="79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Accumulated depreciation</w:t>
            </w:r>
          </w:p>
        </w:tc>
        <w:tc>
          <w:tcPr>
            <w:tcW w:w="260" w:type="dxa"/>
            <w:vAlign w:val="bottom"/>
            <w:tcBorders>
              <w:bottom w:val="single" w:sz="8" w:color="auto"/>
            </w:tcBorders>
            <w:shd w:val="clear" w:color="auto" w:fill="E6E6E6"/>
          </w:tcPr>
          <w:p>
            <w:pPr>
              <w:spacing w:after="0"/>
              <w:rPr>
                <w:sz w:val="22"/>
                <w:szCs w:val="22"/>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(4,770)</w:t>
            </w:r>
          </w:p>
        </w:tc>
        <w:tc>
          <w:tcPr>
            <w:tcW w:w="8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(4,354)</w:t>
            </w:r>
          </w:p>
        </w:tc>
      </w:tr>
      <w:tr>
        <w:trPr>
          <w:trHeight w:val="212"/>
        </w:trPr>
        <w:tc>
          <w:tcPr>
            <w:tcW w:w="7920" w:type="dxa"/>
            <w:vAlign w:val="bottom"/>
            <w:tcBorders>
              <w:bottom w:val="single" w:sz="8" w:color="E6E6E6"/>
            </w:tcBorders>
          </w:tcPr>
          <w:p>
            <w:pPr>
              <w:ind w:left="180"/>
              <w:spacing w:after="0" w:line="212" w:lineRule="exact"/>
              <w:rPr>
                <w:sz w:val="20"/>
                <w:szCs w:val="20"/>
                <w:color w:val="auto"/>
              </w:rPr>
            </w:pPr>
            <w:r>
              <w:rPr>
                <w:rFonts w:ascii="Times New Roman" w:cs="Times New Roman" w:eastAsia="Times New Roman" w:hAnsi="Times New Roman"/>
                <w:sz w:val="20"/>
                <w:szCs w:val="20"/>
                <w:color w:val="auto"/>
              </w:rPr>
              <w:t>Property and equipment, net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15,250</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14,903</w:t>
            </w:r>
          </w:p>
        </w:tc>
      </w:tr>
      <w:tr>
        <w:trPr>
          <w:trHeight w:val="183"/>
        </w:trPr>
        <w:tc>
          <w:tcPr>
            <w:tcW w:w="79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2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20" w:type="dxa"/>
            <w:vAlign w:val="bottom"/>
            <w:shd w:val="clear" w:color="auto" w:fill="E6E6E6"/>
          </w:tcPr>
          <w:p>
            <w:pPr>
              <w:spacing w:after="0"/>
              <w:rPr>
                <w:sz w:val="15"/>
                <w:szCs w:val="15"/>
                <w:color w:val="auto"/>
              </w:rPr>
            </w:pPr>
          </w:p>
        </w:tc>
      </w:tr>
      <w:tr>
        <w:trPr>
          <w:trHeight w:val="252"/>
        </w:trPr>
        <w:tc>
          <w:tcPr>
            <w:tcW w:w="7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OTHER ASSETS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2"/>
        </w:trPr>
        <w:tc>
          <w:tcPr>
            <w:tcW w:w="7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Investments in unconsolidated entities</w:t>
            </w: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3,084</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3,805</w:t>
            </w:r>
          </w:p>
        </w:tc>
      </w:tr>
      <w:tr>
        <w:trPr>
          <w:trHeight w:val="252"/>
        </w:trPr>
        <w:tc>
          <w:tcPr>
            <w:tcW w:w="7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Intangible assets, net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w:t>
            </w:r>
          </w:p>
        </w:tc>
      </w:tr>
      <w:tr>
        <w:trPr>
          <w:trHeight w:val="252"/>
        </w:trPr>
        <w:tc>
          <w:tcPr>
            <w:tcW w:w="7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Linefill</w:t>
            </w: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961</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907</w:t>
            </w:r>
          </w:p>
        </w:tc>
      </w:tr>
      <w:tr>
        <w:trPr>
          <w:trHeight w:val="252"/>
        </w:trPr>
        <w:tc>
          <w:tcPr>
            <w:tcW w:w="7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Long-term operating lease right-of-use assets, net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w:t>
            </w:r>
          </w:p>
        </w:tc>
      </w:tr>
      <w:tr>
        <w:trPr>
          <w:trHeight w:val="252"/>
        </w:trPr>
        <w:tc>
          <w:tcPr>
            <w:tcW w:w="7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Long-term inventory</w:t>
            </w: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253</w:t>
            </w:r>
          </w:p>
        </w:tc>
      </w:tr>
      <w:tr>
        <w:trPr>
          <w:trHeight w:val="243"/>
        </w:trPr>
        <w:tc>
          <w:tcPr>
            <w:tcW w:w="79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Other long-term assets, net</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8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w:t>
            </w:r>
          </w:p>
        </w:tc>
      </w:tr>
      <w:tr>
        <w:trPr>
          <w:trHeight w:val="252"/>
        </w:trPr>
        <w:tc>
          <w:tcPr>
            <w:tcW w:w="7920" w:type="dxa"/>
            <w:vAlign w:val="bottom"/>
            <w:tcBorders>
              <w:bottom w:val="single" w:sz="8" w:color="E6E6E6"/>
            </w:tcBorders>
            <w:shd w:val="clear" w:color="auto" w:fill="E6E6E6"/>
          </w:tcPr>
          <w:p>
            <w:pPr>
              <w:ind w:left="180"/>
              <w:spacing w:after="0" w:line="212" w:lineRule="exact"/>
              <w:rPr>
                <w:sz w:val="20"/>
                <w:szCs w:val="20"/>
                <w:color w:val="auto"/>
              </w:rPr>
            </w:pPr>
            <w:r>
              <w:rPr>
                <w:rFonts w:ascii="Times New Roman" w:cs="Times New Roman" w:eastAsia="Times New Roman" w:hAnsi="Times New Roman"/>
                <w:sz w:val="20"/>
                <w:szCs w:val="20"/>
                <w:color w:val="auto"/>
              </w:rPr>
              <w:t>Total assets</w:t>
            </w:r>
          </w:p>
        </w:tc>
        <w:tc>
          <w:tcPr>
            <w:tcW w:w="260" w:type="dxa"/>
            <w:vAlign w:val="bottom"/>
            <w:tcBorders>
              <w:bottom w:val="single" w:sz="8" w:color="auto"/>
            </w:tcBorders>
            <w:shd w:val="clear" w:color="auto" w:fill="E6E6E6"/>
          </w:tcPr>
          <w:p>
            <w:pPr>
              <w:ind w:left="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6E6E6"/>
          </w:tcPr>
          <w:p>
            <w:pPr>
              <w:jc w:val="right"/>
              <w:spacing w:after="0" w:line="212" w:lineRule="exact"/>
              <w:rPr>
                <w:sz w:val="20"/>
                <w:szCs w:val="20"/>
                <w:color w:val="auto"/>
              </w:rPr>
            </w:pPr>
            <w:r>
              <w:rPr>
                <w:rFonts w:ascii="Times New Roman" w:cs="Times New Roman" w:eastAsia="Times New Roman" w:hAnsi="Times New Roman"/>
                <w:sz w:val="20"/>
                <w:szCs w:val="20"/>
                <w:color w:val="auto"/>
              </w:rPr>
              <w:t>27,892</w:t>
            </w:r>
          </w:p>
        </w:tc>
        <w:tc>
          <w:tcPr>
            <w:tcW w:w="8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ind w:left="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6E6E6"/>
          </w:tcPr>
          <w:p>
            <w:pPr>
              <w:jc w:val="right"/>
              <w:spacing w:after="0" w:line="212" w:lineRule="exact"/>
              <w:rPr>
                <w:sz w:val="20"/>
                <w:szCs w:val="20"/>
                <w:color w:val="auto"/>
              </w:rPr>
            </w:pPr>
            <w:r>
              <w:rPr>
                <w:rFonts w:ascii="Times New Roman" w:cs="Times New Roman" w:eastAsia="Times New Roman" w:hAnsi="Times New Roman"/>
                <w:sz w:val="20"/>
                <w:szCs w:val="20"/>
                <w:color w:val="auto"/>
              </w:rPr>
              <w:t>28,609</w:t>
            </w:r>
          </w:p>
        </w:tc>
      </w:tr>
      <w:tr>
        <w:trPr>
          <w:trHeight w:val="163"/>
        </w:trPr>
        <w:tc>
          <w:tcPr>
            <w:tcW w:w="7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52"/>
        </w:trPr>
        <w:tc>
          <w:tcPr>
            <w:tcW w:w="7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LIABILITIES AND PARTNERS’ CAPITAL</w:t>
            </w: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r>
      <w:tr>
        <w:trPr>
          <w:trHeight w:val="193"/>
        </w:trPr>
        <w:tc>
          <w:tcPr>
            <w:tcW w:w="7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2"/>
        </w:trPr>
        <w:tc>
          <w:tcPr>
            <w:tcW w:w="7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r>
      <w:tr>
        <w:trPr>
          <w:trHeight w:val="252"/>
        </w:trPr>
        <w:tc>
          <w:tcPr>
            <w:tcW w:w="7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Trade accounts payable</w:t>
            </w:r>
          </w:p>
        </w:tc>
        <w:tc>
          <w:tcPr>
            <w:tcW w:w="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4,044</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4,810</w:t>
            </w:r>
          </w:p>
        </w:tc>
      </w:tr>
      <w:tr>
        <w:trPr>
          <w:trHeight w:val="252"/>
        </w:trPr>
        <w:tc>
          <w:tcPr>
            <w:tcW w:w="7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Short-term debt</w:t>
            </w: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822</w:t>
            </w:r>
          </w:p>
        </w:tc>
      </w:tr>
      <w:tr>
        <w:trPr>
          <w:trHeight w:val="243"/>
        </w:trPr>
        <w:tc>
          <w:tcPr>
            <w:tcW w:w="79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w:t>
            </w:r>
          </w:p>
        </w:tc>
        <w:tc>
          <w:tcPr>
            <w:tcW w:w="8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w:t>
            </w:r>
          </w:p>
        </w:tc>
      </w:tr>
      <w:tr>
        <w:trPr>
          <w:trHeight w:val="232"/>
        </w:trPr>
        <w:tc>
          <w:tcPr>
            <w:tcW w:w="792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60" w:type="dxa"/>
            <w:vAlign w:val="bottom"/>
            <w:tcBorders>
              <w:bottom w:val="single" w:sz="8" w:color="auto"/>
            </w:tcBorders>
            <w:shd w:val="clear" w:color="auto" w:fill="E6E6E6"/>
          </w:tcPr>
          <w:p>
            <w:pPr>
              <w:spacing w:after="0"/>
              <w:rPr>
                <w:sz w:val="20"/>
                <w:szCs w:val="20"/>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5,891</w:t>
            </w:r>
          </w:p>
        </w:tc>
        <w:tc>
          <w:tcPr>
            <w:tcW w:w="80" w:type="dxa"/>
            <w:vAlign w:val="bottom"/>
            <w:tcBorders>
              <w:bottom w:val="single" w:sz="8" w:color="E6E6E6"/>
            </w:tcBorders>
            <w:shd w:val="clear" w:color="auto" w:fill="E6E6E6"/>
          </w:tcPr>
          <w:p>
            <w:pPr>
              <w:spacing w:after="0"/>
              <w:rPr>
                <w:sz w:val="20"/>
                <w:szCs w:val="20"/>
                <w:color w:val="auto"/>
              </w:rPr>
            </w:pPr>
          </w:p>
        </w:tc>
        <w:tc>
          <w:tcPr>
            <w:tcW w:w="260" w:type="dxa"/>
            <w:vAlign w:val="bottom"/>
            <w:tcBorders>
              <w:bottom w:val="single" w:sz="8" w:color="auto"/>
            </w:tcBorders>
            <w:shd w:val="clear" w:color="auto" w:fill="E6E6E6"/>
          </w:tcPr>
          <w:p>
            <w:pPr>
              <w:spacing w:after="0"/>
              <w:rPr>
                <w:sz w:val="20"/>
                <w:szCs w:val="20"/>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6,232</w:t>
            </w:r>
          </w:p>
        </w:tc>
      </w:tr>
      <w:tr>
        <w:trPr>
          <w:trHeight w:val="183"/>
        </w:trPr>
        <w:tc>
          <w:tcPr>
            <w:tcW w:w="7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2"/>
        </w:trPr>
        <w:tc>
          <w:tcPr>
            <w:tcW w:w="7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LONG-TERM LIABILITIES</w:t>
            </w: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r>
      <w:tr>
        <w:trPr>
          <w:trHeight w:val="252"/>
        </w:trPr>
        <w:tc>
          <w:tcPr>
            <w:tcW w:w="7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Senior notes, net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8,329</w:t>
            </w:r>
          </w:p>
        </w:tc>
      </w:tr>
      <w:tr>
        <w:trPr>
          <w:trHeight w:val="252"/>
        </w:trPr>
        <w:tc>
          <w:tcPr>
            <w:tcW w:w="7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 long-term debt, net</w:t>
            </w: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2"/>
        </w:trPr>
        <w:tc>
          <w:tcPr>
            <w:tcW w:w="7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Long-term operating lease liabilities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w:t>
            </w:r>
          </w:p>
        </w:tc>
      </w:tr>
      <w:tr>
        <w:trPr>
          <w:trHeight w:val="263"/>
        </w:trPr>
        <w:tc>
          <w:tcPr>
            <w:tcW w:w="79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 long-term liabilities and deferred credits</w:t>
            </w:r>
          </w:p>
        </w:tc>
        <w:tc>
          <w:tcPr>
            <w:tcW w:w="260" w:type="dxa"/>
            <w:vAlign w:val="bottom"/>
            <w:tcBorders>
              <w:bottom w:val="single" w:sz="8" w:color="auto"/>
            </w:tcBorders>
            <w:shd w:val="clear" w:color="auto" w:fill="E6E6E6"/>
          </w:tcPr>
          <w:p>
            <w:pPr>
              <w:spacing w:after="0"/>
              <w:rPr>
                <w:sz w:val="22"/>
                <w:szCs w:val="22"/>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1,081</w:t>
            </w:r>
          </w:p>
        </w:tc>
        <w:tc>
          <w:tcPr>
            <w:tcW w:w="8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830</w:t>
            </w:r>
          </w:p>
        </w:tc>
      </w:tr>
      <w:tr>
        <w:trPr>
          <w:trHeight w:val="212"/>
        </w:trPr>
        <w:tc>
          <w:tcPr>
            <w:tcW w:w="7920" w:type="dxa"/>
            <w:vAlign w:val="bottom"/>
            <w:tcBorders>
              <w:bottom w:val="single" w:sz="8" w:color="E6E6E6"/>
            </w:tcBorders>
          </w:tcPr>
          <w:p>
            <w:pPr>
              <w:ind w:left="180"/>
              <w:spacing w:after="0" w:line="212" w:lineRule="exact"/>
              <w:rPr>
                <w:sz w:val="20"/>
                <w:szCs w:val="20"/>
                <w:color w:val="auto"/>
              </w:rPr>
            </w:pPr>
            <w:r>
              <w:rPr>
                <w:rFonts w:ascii="Times New Roman" w:cs="Times New Roman" w:eastAsia="Times New Roman" w:hAnsi="Times New Roman"/>
                <w:sz w:val="20"/>
                <w:szCs w:val="20"/>
                <w:color w:val="auto"/>
              </w:rPr>
              <w:t>Total long-term liabilities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8,676</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9,567</w:t>
            </w:r>
          </w:p>
        </w:tc>
      </w:tr>
      <w:tr>
        <w:trPr>
          <w:trHeight w:val="183"/>
        </w:trPr>
        <w:tc>
          <w:tcPr>
            <w:tcW w:w="79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2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20" w:type="dxa"/>
            <w:vAlign w:val="bottom"/>
            <w:shd w:val="clear" w:color="auto" w:fill="E6E6E6"/>
          </w:tcPr>
          <w:p>
            <w:pPr>
              <w:spacing w:after="0"/>
              <w:rPr>
                <w:sz w:val="15"/>
                <w:szCs w:val="15"/>
                <w:color w:val="auto"/>
              </w:rPr>
            </w:pPr>
          </w:p>
        </w:tc>
      </w:tr>
      <w:tr>
        <w:trPr>
          <w:trHeight w:val="252"/>
        </w:trPr>
        <w:tc>
          <w:tcPr>
            <w:tcW w:w="7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COMMITMENTS AND CONTINGENCIES (NOTE 19)</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93"/>
        </w:trPr>
        <w:tc>
          <w:tcPr>
            <w:tcW w:w="792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8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820" w:type="dxa"/>
            <w:vAlign w:val="bottom"/>
            <w:shd w:val="clear" w:color="auto" w:fill="E6E6E6"/>
          </w:tcPr>
          <w:p>
            <w:pPr>
              <w:spacing w:after="0"/>
              <w:rPr>
                <w:sz w:val="16"/>
                <w:szCs w:val="16"/>
                <w:color w:val="auto"/>
              </w:rPr>
            </w:pPr>
          </w:p>
        </w:tc>
      </w:tr>
      <w:tr>
        <w:trPr>
          <w:trHeight w:val="252"/>
        </w:trPr>
        <w:tc>
          <w:tcPr>
            <w:tcW w:w="7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PARTNERS’ CAPITAL</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2"/>
        </w:trPr>
        <w:tc>
          <w:tcPr>
            <w:tcW w:w="7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Series A preferred unitholders (71,090,468 and 71,090,468 units outstanding, respectively)</w:t>
            </w: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1,505</w:t>
            </w:r>
          </w:p>
        </w:tc>
      </w:tr>
      <w:tr>
        <w:trPr>
          <w:trHeight w:val="252"/>
        </w:trPr>
        <w:tc>
          <w:tcPr>
            <w:tcW w:w="7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Series B preferred unitholders (800,000 and 800,000 units outstanding, respectively)</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w:t>
            </w:r>
          </w:p>
        </w:tc>
      </w:tr>
      <w:tr>
        <w:trPr>
          <w:trHeight w:val="263"/>
        </w:trPr>
        <w:tc>
          <w:tcPr>
            <w:tcW w:w="79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Common unitholders (698,354,498 and 704,991,540 units outstanding, respectively)</w:t>
            </w:r>
          </w:p>
        </w:tc>
        <w:tc>
          <w:tcPr>
            <w:tcW w:w="260" w:type="dxa"/>
            <w:vAlign w:val="bottom"/>
            <w:tcBorders>
              <w:bottom w:val="single" w:sz="8" w:color="auto"/>
            </w:tcBorders>
            <w:shd w:val="clear" w:color="auto" w:fill="E6E6E6"/>
          </w:tcPr>
          <w:p>
            <w:pPr>
              <w:spacing w:after="0"/>
              <w:rPr>
                <w:sz w:val="22"/>
                <w:szCs w:val="22"/>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7,765</w:t>
            </w:r>
          </w:p>
        </w:tc>
        <w:tc>
          <w:tcPr>
            <w:tcW w:w="8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7,680</w:t>
            </w:r>
          </w:p>
        </w:tc>
      </w:tr>
      <w:tr>
        <w:trPr>
          <w:trHeight w:val="246"/>
        </w:trPr>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partners’ capital excluding noncontrolling interests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9,972</w:t>
            </w:r>
          </w:p>
        </w:tc>
      </w:tr>
      <w:tr>
        <w:trPr>
          <w:trHeight w:val="269"/>
        </w:trPr>
        <w:tc>
          <w:tcPr>
            <w:tcW w:w="79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Noncontrolling interests</w:t>
            </w:r>
          </w:p>
        </w:tc>
        <w:tc>
          <w:tcPr>
            <w:tcW w:w="26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3,268</w:t>
            </w:r>
          </w:p>
        </w:tc>
        <w:tc>
          <w:tcPr>
            <w:tcW w:w="8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2,838</w:t>
            </w:r>
          </w:p>
        </w:tc>
      </w:tr>
      <w:tr>
        <w:trPr>
          <w:trHeight w:val="212"/>
        </w:trPr>
        <w:tc>
          <w:tcPr>
            <w:tcW w:w="7920" w:type="dxa"/>
            <w:vAlign w:val="bottom"/>
            <w:tcBorders>
              <w:bottom w:val="single" w:sz="8" w:color="E6E6E6"/>
            </w:tcBorders>
          </w:tcPr>
          <w:p>
            <w:pPr>
              <w:ind w:left="180"/>
              <w:spacing w:after="0" w:line="212" w:lineRule="exact"/>
              <w:rPr>
                <w:sz w:val="20"/>
                <w:szCs w:val="20"/>
                <w:color w:val="auto"/>
              </w:rPr>
            </w:pPr>
            <w:r>
              <w:rPr>
                <w:rFonts w:ascii="Times New Roman" w:cs="Times New Roman" w:eastAsia="Times New Roman" w:hAnsi="Times New Roman"/>
                <w:sz w:val="20"/>
                <w:szCs w:val="20"/>
                <w:color w:val="auto"/>
              </w:rPr>
              <w:t>Total partners’ capital</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13,325</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12,810</w:t>
            </w:r>
          </w:p>
        </w:tc>
      </w:tr>
      <w:tr>
        <w:trPr>
          <w:trHeight w:val="252"/>
        </w:trPr>
        <w:tc>
          <w:tcPr>
            <w:tcW w:w="7920" w:type="dxa"/>
            <w:vAlign w:val="bottom"/>
            <w:tcBorders>
              <w:bottom w:val="single" w:sz="8" w:color="E6E6E6"/>
            </w:tcBorders>
            <w:shd w:val="clear" w:color="auto" w:fill="E6E6E6"/>
          </w:tcPr>
          <w:p>
            <w:pPr>
              <w:ind w:left="180"/>
              <w:spacing w:after="0" w:line="212" w:lineRule="exact"/>
              <w:rPr>
                <w:sz w:val="20"/>
                <w:szCs w:val="20"/>
                <w:color w:val="auto"/>
              </w:rPr>
            </w:pPr>
            <w:r>
              <w:rPr>
                <w:rFonts w:ascii="Times New Roman" w:cs="Times New Roman" w:eastAsia="Times New Roman" w:hAnsi="Times New Roman"/>
                <w:sz w:val="20"/>
                <w:szCs w:val="20"/>
                <w:color w:val="auto"/>
              </w:rPr>
              <w:t>Total liabilities and partners’ capital</w:t>
            </w:r>
          </w:p>
        </w:tc>
        <w:tc>
          <w:tcPr>
            <w:tcW w:w="260" w:type="dxa"/>
            <w:vAlign w:val="bottom"/>
            <w:tcBorders>
              <w:bottom w:val="single" w:sz="8" w:color="auto"/>
            </w:tcBorders>
            <w:shd w:val="clear" w:color="auto" w:fill="E6E6E6"/>
          </w:tcPr>
          <w:p>
            <w:pPr>
              <w:ind w:left="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6E6E6"/>
          </w:tcPr>
          <w:p>
            <w:pPr>
              <w:jc w:val="right"/>
              <w:spacing w:after="0" w:line="212" w:lineRule="exact"/>
              <w:rPr>
                <w:sz w:val="20"/>
                <w:szCs w:val="20"/>
                <w:color w:val="auto"/>
              </w:rPr>
            </w:pPr>
            <w:r>
              <w:rPr>
                <w:rFonts w:ascii="Times New Roman" w:cs="Times New Roman" w:eastAsia="Times New Roman" w:hAnsi="Times New Roman"/>
                <w:sz w:val="20"/>
                <w:szCs w:val="20"/>
                <w:color w:val="auto"/>
              </w:rPr>
              <w:t>27,892</w:t>
            </w:r>
          </w:p>
        </w:tc>
        <w:tc>
          <w:tcPr>
            <w:tcW w:w="8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ind w:left="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6E6E6"/>
          </w:tcPr>
          <w:p>
            <w:pPr>
              <w:jc w:val="right"/>
              <w:spacing w:after="0" w:line="212" w:lineRule="exact"/>
              <w:rPr>
                <w:sz w:val="20"/>
                <w:szCs w:val="20"/>
                <w:color w:val="auto"/>
              </w:rPr>
            </w:pPr>
            <w:r>
              <w:rPr>
                <w:rFonts w:ascii="Times New Roman" w:cs="Times New Roman" w:eastAsia="Times New Roman" w:hAnsi="Times New Roman"/>
                <w:sz w:val="20"/>
                <w:szCs w:val="20"/>
                <w:color w:val="auto"/>
              </w:rPr>
              <w:t>28,609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-7313930</wp:posOffset>
            </wp:positionV>
            <wp:extent cx="1461770" cy="50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5">
                      <a:extLst>
                        <a:ext uri="{28A0092B-C50C-407E-A947-70E740481C1C}"/>
                      </a:extLst>
                    </a:blip>
                    <a:srcRect/>
                    <a:stretch>
                      <a:fillRect/>
                    </a:stretch>
                  </pic:blipFill>
                  <pic:spPr bwMode="auto">
                    <a:xfrm>
                      <a:off x="0" y="0"/>
                      <a:ext cx="14617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-6210300</wp:posOffset>
            </wp:positionV>
            <wp:extent cx="1474470" cy="50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6">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-6050280</wp:posOffset>
            </wp:positionV>
            <wp:extent cx="1474470" cy="501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7">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-5607050</wp:posOffset>
            </wp:positionV>
            <wp:extent cx="1474470" cy="501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8">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-5446395</wp:posOffset>
            </wp:positionV>
            <wp:extent cx="1474470" cy="501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9">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-4201795</wp:posOffset>
            </wp:positionV>
            <wp:extent cx="1474470" cy="50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0">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-4053840</wp:posOffset>
            </wp:positionV>
            <wp:extent cx="1474470" cy="755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1">
                      <a:extLst>
                        <a:ext uri="{28A0092B-C50C-407E-A947-70E740481C1C}"/>
                      </a:extLst>
                    </a:blip>
                    <a:srcRect/>
                    <a:stretch>
                      <a:fillRect/>
                    </a:stretch>
                  </pic:blipFill>
                  <pic:spPr bwMode="auto">
                    <a:xfrm>
                      <a:off x="0" y="0"/>
                      <a:ext cx="1474470" cy="755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-2994660</wp:posOffset>
            </wp:positionV>
            <wp:extent cx="1474470" cy="501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2">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-2834640</wp:posOffset>
            </wp:positionV>
            <wp:extent cx="1474470" cy="501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3">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-1910715</wp:posOffset>
            </wp:positionV>
            <wp:extent cx="1474470" cy="501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4">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-1750060</wp:posOffset>
            </wp:positionV>
            <wp:extent cx="1474470" cy="501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5">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-703580</wp:posOffset>
            </wp:positionV>
            <wp:extent cx="1474470" cy="501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6">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-363855</wp:posOffset>
            </wp:positionV>
            <wp:extent cx="1474470" cy="501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7">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-203835</wp:posOffset>
            </wp:positionV>
            <wp:extent cx="1474470" cy="501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8">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-55880</wp:posOffset>
            </wp:positionV>
            <wp:extent cx="1474470" cy="755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9">
                      <a:extLst>
                        <a:ext uri="{28A0092B-C50C-407E-A947-70E740481C1C}"/>
                      </a:extLst>
                    </a:blip>
                    <a:srcRect/>
                    <a:stretch>
                      <a:fillRect/>
                    </a:stretch>
                  </pic:blipFill>
                  <pic:spPr bwMode="auto">
                    <a:xfrm>
                      <a:off x="0" y="0"/>
                      <a:ext cx="1474470" cy="7556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160"/>
          </w:cols>
          <w:pgMar w:left="860" w:top="91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10160"/>
          </w:cols>
          <w:pgMar w:left="860" w:top="914" w:right="860" w:bottom="0" w:gutter="0" w:footer="0" w:header="0"/>
          <w:type w:val="continuous"/>
        </w:sectPr>
      </w:pPr>
    </w:p>
    <w:bookmarkStart w:id="109" w:name="page110"/>
    <w:bookmarkEnd w:id="109"/>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PLAINS ALL AMERICAN PIPELINE, L.P. AND SUBSIDIARIES CONSOLIDATED STATEMENTS OF OPERATIONS (in millions, except per unit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20" w:type="dxa"/>
            <w:vAlign w:val="bottom"/>
            <w:tcBorders>
              <w:bottom w:val="single" w:sz="8" w:color="E6E6E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72"/>
        </w:trPr>
        <w:tc>
          <w:tcPr>
            <w:tcW w:w="6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76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Product sales revenues</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55,948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40,883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22,058</w:t>
            </w:r>
          </w:p>
        </w:tc>
        <w:tc>
          <w:tcPr>
            <w:tcW w:w="0" w:type="dxa"/>
            <w:vAlign w:val="bottom"/>
          </w:tcPr>
          <w:p>
            <w:pPr>
              <w:spacing w:after="0"/>
              <w:rPr>
                <w:sz w:val="1"/>
                <w:szCs w:val="1"/>
                <w:color w:val="auto"/>
              </w:rPr>
            </w:pPr>
          </w:p>
        </w:tc>
      </w:tr>
      <w:tr>
        <w:trPr>
          <w:trHeight w:val="293"/>
        </w:trPr>
        <w:tc>
          <w:tcPr>
            <w:tcW w:w="67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Services revenues</w:t>
            </w: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1,394</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1,195</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1,232</w:t>
            </w:r>
          </w:p>
        </w:tc>
        <w:tc>
          <w:tcPr>
            <w:tcW w:w="0" w:type="dxa"/>
            <w:vAlign w:val="bottom"/>
          </w:tcPr>
          <w:p>
            <w:pPr>
              <w:spacing w:after="0"/>
              <w:rPr>
                <w:sz w:val="1"/>
                <w:szCs w:val="1"/>
                <w:color w:val="auto"/>
              </w:rPr>
            </w:pPr>
          </w:p>
        </w:tc>
      </w:tr>
      <w:tr>
        <w:trPr>
          <w:trHeight w:val="281"/>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revenues</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57,342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42,078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23,290</w:t>
            </w:r>
          </w:p>
        </w:tc>
        <w:tc>
          <w:tcPr>
            <w:tcW w:w="0" w:type="dxa"/>
            <w:vAlign w:val="bottom"/>
          </w:tcPr>
          <w:p>
            <w:pPr>
              <w:spacing w:after="0"/>
              <w:rPr>
                <w:sz w:val="1"/>
                <w:szCs w:val="1"/>
                <w:color w:val="auto"/>
              </w:rPr>
            </w:pPr>
          </w:p>
        </w:tc>
      </w:tr>
      <w:tr>
        <w:trPr>
          <w:trHeight w:val="259"/>
        </w:trPr>
        <w:tc>
          <w:tcPr>
            <w:tcW w:w="672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COSTS AND EXPENSES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Purchases and related costs</w:t>
            </w: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53,176</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38,504</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20,431</w:t>
            </w:r>
          </w:p>
        </w:tc>
        <w:tc>
          <w:tcPr>
            <w:tcW w:w="0" w:type="dxa"/>
            <w:vAlign w:val="bottom"/>
          </w:tcPr>
          <w:p>
            <w:pPr>
              <w:spacing w:after="0"/>
              <w:rPr>
                <w:sz w:val="1"/>
                <w:szCs w:val="1"/>
                <w:color w:val="auto"/>
              </w:rPr>
            </w:pPr>
          </w:p>
        </w:tc>
      </w:tr>
      <w:tr>
        <w:trPr>
          <w:trHeight w:val="291"/>
        </w:trPr>
        <w:tc>
          <w:tcPr>
            <w:tcW w:w="6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Field operating costs</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w:t>
            </w:r>
          </w:p>
        </w:tc>
        <w:tc>
          <w:tcPr>
            <w:tcW w:w="0" w:type="dxa"/>
            <w:vAlign w:val="bottom"/>
          </w:tcPr>
          <w:p>
            <w:pPr>
              <w:spacing w:after="0"/>
              <w:rPr>
                <w:sz w:val="1"/>
                <w:szCs w:val="1"/>
                <w:color w:val="auto"/>
              </w:rPr>
            </w:pPr>
          </w:p>
        </w:tc>
      </w:tr>
      <w:tr>
        <w:trPr>
          <w:trHeight w:val="303"/>
        </w:trPr>
        <w:tc>
          <w:tcPr>
            <w:tcW w:w="6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0" w:type="dxa"/>
            <w:vAlign w:val="bottom"/>
          </w:tcPr>
          <w:p>
            <w:pPr>
              <w:spacing w:after="0"/>
              <w:rPr>
                <w:sz w:val="1"/>
                <w:szCs w:val="1"/>
                <w:color w:val="auto"/>
              </w:rPr>
            </w:pPr>
          </w:p>
        </w:tc>
      </w:tr>
      <w:tr>
        <w:trPr>
          <w:trHeight w:val="291"/>
        </w:trPr>
        <w:tc>
          <w:tcPr>
            <w:tcW w:w="6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w:t>
            </w:r>
          </w:p>
        </w:tc>
        <w:tc>
          <w:tcPr>
            <w:tcW w:w="0" w:type="dxa"/>
            <w:vAlign w:val="bottom"/>
          </w:tcPr>
          <w:p>
            <w:pPr>
              <w:spacing w:after="0"/>
              <w:rPr>
                <w:sz w:val="1"/>
                <w:szCs w:val="1"/>
                <w:color w:val="auto"/>
              </w:rPr>
            </w:pPr>
          </w:p>
        </w:tc>
      </w:tr>
      <w:tr>
        <w:trPr>
          <w:trHeight w:val="303"/>
        </w:trPr>
        <w:tc>
          <w:tcPr>
            <w:tcW w:w="6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(Gains)/losses on asset sales and asset impairments, net (Note 6, Note 7)</w:t>
            </w: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719</w:t>
            </w:r>
          </w:p>
        </w:tc>
        <w:tc>
          <w:tcPr>
            <w:tcW w:w="0" w:type="dxa"/>
            <w:vAlign w:val="bottom"/>
          </w:tcPr>
          <w:p>
            <w:pPr>
              <w:spacing w:after="0"/>
              <w:rPr>
                <w:sz w:val="1"/>
                <w:szCs w:val="1"/>
                <w:color w:val="auto"/>
              </w:rPr>
            </w:pPr>
          </w:p>
        </w:tc>
      </w:tr>
      <w:tr>
        <w:trPr>
          <w:trHeight w:val="287"/>
        </w:trPr>
        <w:tc>
          <w:tcPr>
            <w:tcW w:w="6720" w:type="dxa"/>
            <w:vAlign w:val="bottom"/>
            <w:tcBorders>
              <w:bottom w:val="single" w:sz="8" w:color="E6E6E6"/>
            </w:tcBorders>
          </w:tcPr>
          <w:p>
            <w:pPr>
              <w:ind w:left="80"/>
              <w:spacing w:after="0"/>
              <w:rPr>
                <w:sz w:val="20"/>
                <w:szCs w:val="20"/>
                <w:color w:val="auto"/>
              </w:rPr>
            </w:pPr>
            <w:r>
              <w:rPr>
                <w:rFonts w:ascii="Times New Roman" w:cs="Times New Roman" w:eastAsia="Times New Roman" w:hAnsi="Times New Roman"/>
                <w:sz w:val="20"/>
                <w:szCs w:val="20"/>
                <w:color w:val="auto"/>
              </w:rPr>
              <w:t>Goodwill impairment loss (Note 8)</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2,515</w:t>
            </w:r>
          </w:p>
        </w:tc>
        <w:tc>
          <w:tcPr>
            <w:tcW w:w="0" w:type="dxa"/>
            <w:vAlign w:val="bottom"/>
          </w:tcPr>
          <w:p>
            <w:pPr>
              <w:spacing w:after="0"/>
              <w:rPr>
                <w:sz w:val="1"/>
                <w:szCs w:val="1"/>
                <w:color w:val="auto"/>
              </w:rPr>
            </w:pPr>
          </w:p>
        </w:tc>
      </w:tr>
      <w:tr>
        <w:trPr>
          <w:trHeight w:val="287"/>
        </w:trPr>
        <w:tc>
          <w:tcPr>
            <w:tcW w:w="67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Total costs and expenses</w:t>
            </w: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56,050</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41,227</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25,665</w:t>
            </w:r>
          </w:p>
        </w:tc>
        <w:tc>
          <w:tcPr>
            <w:tcW w:w="0" w:type="dxa"/>
            <w:vAlign w:val="bottom"/>
          </w:tcPr>
          <w:p>
            <w:pPr>
              <w:spacing w:after="0"/>
              <w:rPr>
                <w:sz w:val="1"/>
                <w:szCs w:val="1"/>
                <w:color w:val="auto"/>
              </w:rPr>
            </w:pPr>
          </w:p>
        </w:tc>
      </w:tr>
      <w:tr>
        <w:trPr>
          <w:trHeight w:val="282"/>
        </w:trPr>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INCOME/(LOSS)</w:t>
            </w: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1,292</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851</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(2,375)</w:t>
            </w:r>
          </w:p>
        </w:tc>
        <w:tc>
          <w:tcPr>
            <w:tcW w:w="0" w:type="dxa"/>
            <w:vAlign w:val="bottom"/>
          </w:tcPr>
          <w:p>
            <w:pPr>
              <w:spacing w:after="0"/>
              <w:rPr>
                <w:sz w:val="1"/>
                <w:szCs w:val="1"/>
                <w:color w:val="auto"/>
              </w:rPr>
            </w:pPr>
          </w:p>
        </w:tc>
      </w:tr>
      <w:tr>
        <w:trPr>
          <w:trHeight w:val="252"/>
        </w:trPr>
        <w:tc>
          <w:tcPr>
            <w:tcW w:w="6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OTHER INCOME/(EXPENSE)</w:t>
            </w: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Equity earnings in unconsolidated entities</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0" w:type="dxa"/>
            <w:vAlign w:val="bottom"/>
          </w:tcPr>
          <w:p>
            <w:pPr>
              <w:spacing w:after="0"/>
              <w:rPr>
                <w:sz w:val="1"/>
                <w:szCs w:val="1"/>
                <w:color w:val="auto"/>
              </w:rPr>
            </w:pPr>
          </w:p>
        </w:tc>
      </w:tr>
      <w:tr>
        <w:trPr>
          <w:trHeight w:val="226"/>
        </w:trPr>
        <w:tc>
          <w:tcPr>
            <w:tcW w:w="6720" w:type="dxa"/>
            <w:vAlign w:val="bottom"/>
            <w:shd w:val="clear" w:color="auto" w:fill="E6E6E6"/>
          </w:tcPr>
          <w:p>
            <w:pPr>
              <w:ind w:left="60"/>
              <w:spacing w:after="0" w:line="226" w:lineRule="exact"/>
              <w:rPr>
                <w:sz w:val="20"/>
                <w:szCs w:val="20"/>
                <w:color w:val="auto"/>
              </w:rPr>
            </w:pPr>
            <w:r>
              <w:rPr>
                <w:rFonts w:ascii="Times New Roman" w:cs="Times New Roman" w:eastAsia="Times New Roman" w:hAnsi="Times New Roman"/>
                <w:sz w:val="20"/>
                <w:szCs w:val="20"/>
                <w:color w:val="auto"/>
                <w:w w:val="99"/>
              </w:rPr>
              <w:t>Gains (losses) on/(impairment of) investments in unconsolidated entities, net (Note</w:t>
            </w:r>
          </w:p>
        </w:tc>
        <w:tc>
          <w:tcPr>
            <w:tcW w:w="260" w:type="dxa"/>
            <w:vAlign w:val="bottom"/>
            <w:shd w:val="clear" w:color="auto" w:fill="E6E6E6"/>
          </w:tcPr>
          <w:p>
            <w:pPr>
              <w:spacing w:after="0"/>
              <w:rPr>
                <w:sz w:val="19"/>
                <w:szCs w:val="19"/>
                <w:color w:val="auto"/>
              </w:rPr>
            </w:pPr>
          </w:p>
        </w:tc>
        <w:tc>
          <w:tcPr>
            <w:tcW w:w="8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7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0" w:type="dxa"/>
            <w:vAlign w:val="bottom"/>
          </w:tcPr>
          <w:p>
            <w:pPr>
              <w:spacing w:after="0"/>
              <w:rPr>
                <w:sz w:val="1"/>
                <w:szCs w:val="1"/>
                <w:color w:val="auto"/>
              </w:rPr>
            </w:pPr>
          </w:p>
        </w:tc>
      </w:tr>
      <w:tr>
        <w:trPr>
          <w:trHeight w:val="270"/>
        </w:trPr>
        <w:tc>
          <w:tcPr>
            <w:tcW w:w="6720" w:type="dxa"/>
            <w:vAlign w:val="bottom"/>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7, Note 9)</w:t>
            </w:r>
          </w:p>
        </w:tc>
        <w:tc>
          <w:tcPr>
            <w:tcW w:w="260" w:type="dxa"/>
            <w:vAlign w:val="bottom"/>
            <w:shd w:val="clear" w:color="auto" w:fill="E6E6E6"/>
          </w:tcPr>
          <w:p>
            <w:pPr>
              <w:spacing w:after="0"/>
              <w:rPr>
                <w:sz w:val="23"/>
                <w:szCs w:val="23"/>
                <w:color w:val="auto"/>
              </w:rPr>
            </w:pPr>
          </w:p>
        </w:tc>
        <w:tc>
          <w:tcPr>
            <w:tcW w:w="8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8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 expense (net of capitalized interest of $5, $18 and $24, respectively)</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0" w:type="dxa"/>
            <w:vAlign w:val="bottom"/>
          </w:tcPr>
          <w:p>
            <w:pPr>
              <w:spacing w:after="0"/>
              <w:rPr>
                <w:sz w:val="1"/>
                <w:szCs w:val="1"/>
                <w:color w:val="auto"/>
              </w:rPr>
            </w:pPr>
          </w:p>
        </w:tc>
      </w:tr>
      <w:tr>
        <w:trPr>
          <w:trHeight w:val="293"/>
        </w:trPr>
        <w:tc>
          <w:tcPr>
            <w:tcW w:w="67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 income/(expense), net</w:t>
            </w: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72"/>
        </w:trPr>
        <w:tc>
          <w:tcPr>
            <w:tcW w:w="6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INCOME/(LOSS) BEFORE TAX</w:t>
            </w: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1,417</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721</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(2,599)</w:t>
            </w:r>
          </w:p>
        </w:tc>
        <w:tc>
          <w:tcPr>
            <w:tcW w:w="0" w:type="dxa"/>
            <w:vAlign w:val="bottom"/>
          </w:tcPr>
          <w:p>
            <w:pPr>
              <w:spacing w:after="0"/>
              <w:rPr>
                <w:sz w:val="1"/>
                <w:szCs w:val="1"/>
                <w:color w:val="auto"/>
              </w:rPr>
            </w:pPr>
          </w:p>
        </w:tc>
      </w:tr>
      <w:tr>
        <w:trPr>
          <w:trHeight w:val="291"/>
        </w:trPr>
        <w:tc>
          <w:tcPr>
            <w:tcW w:w="6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Current income tax expense</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93"/>
        </w:trPr>
        <w:tc>
          <w:tcPr>
            <w:tcW w:w="67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Deferred income tax (expense)/benefit</w:t>
            </w: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72"/>
        </w:trPr>
        <w:tc>
          <w:tcPr>
            <w:tcW w:w="6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INCOME/(LOSS)</w:t>
            </w: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(2,580)</w:t>
            </w:r>
          </w:p>
        </w:tc>
        <w:tc>
          <w:tcPr>
            <w:tcW w:w="0" w:type="dxa"/>
            <w:vAlign w:val="bottom"/>
          </w:tcPr>
          <w:p>
            <w:pPr>
              <w:spacing w:after="0"/>
              <w:rPr>
                <w:sz w:val="1"/>
                <w:szCs w:val="1"/>
                <w:color w:val="auto"/>
              </w:rPr>
            </w:pPr>
          </w:p>
        </w:tc>
      </w:tr>
      <w:tr>
        <w:trPr>
          <w:trHeight w:val="287"/>
        </w:trPr>
        <w:tc>
          <w:tcPr>
            <w:tcW w:w="672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Net income attributable to noncontrolling interests</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8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97"/>
        </w:trPr>
        <w:tc>
          <w:tcPr>
            <w:tcW w:w="6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INCOME/(LOSS) ATTRIBUTABLE TO PAA</w:t>
            </w:r>
          </w:p>
        </w:tc>
        <w:tc>
          <w:tcPr>
            <w:tcW w:w="260" w:type="dxa"/>
            <w:vAlign w:val="bottom"/>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34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(2,590)</w:t>
            </w:r>
          </w:p>
        </w:tc>
        <w:tc>
          <w:tcPr>
            <w:tcW w:w="0" w:type="dxa"/>
            <w:vAlign w:val="bottom"/>
          </w:tcPr>
          <w:p>
            <w:pPr>
              <w:spacing w:after="0"/>
              <w:rPr>
                <w:sz w:val="1"/>
                <w:szCs w:val="1"/>
                <w:color w:val="auto"/>
              </w:rPr>
            </w:pPr>
          </w:p>
        </w:tc>
      </w:tr>
      <w:tr>
        <w:trPr>
          <w:trHeight w:val="223"/>
        </w:trPr>
        <w:tc>
          <w:tcPr>
            <w:tcW w:w="6720" w:type="dxa"/>
            <w:vAlign w:val="bottom"/>
            <w:tcBorders>
              <w:top w:val="single" w:sz="8" w:color="E6E6E6"/>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E6E6E6"/>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E6E6E6"/>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6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INCOME/(LOSS) PER COMMON UNIT (NOTE 4):</w:t>
            </w: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income/(loss) allocated to common unitholders — Basic and Diluted</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(2,790)</w:t>
            </w:r>
          </w:p>
        </w:tc>
        <w:tc>
          <w:tcPr>
            <w:tcW w:w="0" w:type="dxa"/>
            <w:vAlign w:val="bottom"/>
          </w:tcPr>
          <w:p>
            <w:pPr>
              <w:spacing w:after="0"/>
              <w:rPr>
                <w:sz w:val="1"/>
                <w:szCs w:val="1"/>
                <w:color w:val="auto"/>
              </w:rPr>
            </w:pPr>
          </w:p>
        </w:tc>
      </w:tr>
      <w:tr>
        <w:trPr>
          <w:trHeight w:val="303"/>
        </w:trPr>
        <w:tc>
          <w:tcPr>
            <w:tcW w:w="67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Basic and diluted weighted average common units outstanding</w:t>
            </w: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701</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716</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728</w:t>
            </w:r>
          </w:p>
        </w:tc>
        <w:tc>
          <w:tcPr>
            <w:tcW w:w="0" w:type="dxa"/>
            <w:vAlign w:val="bottom"/>
          </w:tcPr>
          <w:p>
            <w:pPr>
              <w:spacing w:after="0"/>
              <w:rPr>
                <w:sz w:val="1"/>
                <w:szCs w:val="1"/>
                <w:color w:val="auto"/>
              </w:rPr>
            </w:pPr>
          </w:p>
        </w:tc>
      </w:tr>
      <w:tr>
        <w:trPr>
          <w:trHeight w:val="267"/>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Basic and diluted net income/(loss) per common unit</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-6427470</wp:posOffset>
            </wp:positionV>
            <wp:extent cx="2209800" cy="501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0">
                      <a:extLst>
                        <a:ext uri="{28A0092B-C50C-407E-A947-70E740481C1C}"/>
                      </a:extLst>
                    </a:blip>
                    <a:srcRect/>
                    <a:stretch>
                      <a:fillRect/>
                    </a:stretch>
                  </pic:blipFill>
                  <pic:spPr bwMode="auto">
                    <a:xfrm>
                      <a:off x="0" y="0"/>
                      <a:ext cx="2209800" cy="5016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-5871210</wp:posOffset>
            </wp:positionV>
            <wp:extent cx="2209800" cy="501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1">
                      <a:extLst>
                        <a:ext uri="{28A0092B-C50C-407E-A947-70E740481C1C}"/>
                      </a:extLst>
                    </a:blip>
                    <a:srcRect/>
                    <a:stretch>
                      <a:fillRect/>
                    </a:stretch>
                  </pic:blipFill>
                  <pic:spPr bwMode="auto">
                    <a:xfrm>
                      <a:off x="0" y="0"/>
                      <a:ext cx="2209800" cy="5016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-4211320</wp:posOffset>
            </wp:positionV>
            <wp:extent cx="2209800"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2">
                      <a:extLst>
                        <a:ext uri="{28A0092B-C50C-407E-A947-70E740481C1C}"/>
                      </a:extLst>
                    </a:blip>
                    <a:srcRect/>
                    <a:stretch>
                      <a:fillRect/>
                    </a:stretch>
                  </pic:blipFill>
                  <pic:spPr bwMode="auto">
                    <a:xfrm>
                      <a:off x="0" y="0"/>
                      <a:ext cx="2209800" cy="5016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-2438400</wp:posOffset>
            </wp:positionV>
            <wp:extent cx="2209800" cy="501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3">
                      <a:extLst>
                        <a:ext uri="{28A0092B-C50C-407E-A947-70E740481C1C}"/>
                      </a:extLst>
                    </a:blip>
                    <a:srcRect/>
                    <a:stretch>
                      <a:fillRect/>
                    </a:stretch>
                  </pic:blipFill>
                  <pic:spPr bwMode="auto">
                    <a:xfrm>
                      <a:off x="0" y="0"/>
                      <a:ext cx="2209800" cy="5016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-1693545</wp:posOffset>
            </wp:positionV>
            <wp:extent cx="2209800" cy="50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4">
                      <a:extLst>
                        <a:ext uri="{28A0092B-C50C-407E-A947-70E740481C1C}"/>
                      </a:extLst>
                    </a:blip>
                    <a:srcRect/>
                    <a:stretch>
                      <a:fillRect/>
                    </a:stretch>
                  </pic:blipFill>
                  <pic:spPr bwMode="auto">
                    <a:xfrm>
                      <a:off x="0" y="0"/>
                      <a:ext cx="2209800" cy="5016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-1137285</wp:posOffset>
            </wp:positionV>
            <wp:extent cx="2209800" cy="501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5">
                      <a:extLst>
                        <a:ext uri="{28A0092B-C50C-407E-A947-70E740481C1C}"/>
                      </a:extLst>
                    </a:blip>
                    <a:srcRect/>
                    <a:stretch>
                      <a:fillRect/>
                    </a:stretch>
                  </pic:blipFill>
                  <pic:spPr bwMode="auto">
                    <a:xfrm>
                      <a:off x="0" y="0"/>
                      <a:ext cx="2209800" cy="5016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-961390</wp:posOffset>
            </wp:positionV>
            <wp:extent cx="2209800" cy="755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6">
                      <a:extLst>
                        <a:ext uri="{28A0092B-C50C-407E-A947-70E740481C1C}"/>
                      </a:extLst>
                    </a:blip>
                    <a:srcRect/>
                    <a:stretch>
                      <a:fillRect/>
                    </a:stretch>
                  </pic:blipFill>
                  <pic:spPr bwMode="auto">
                    <a:xfrm>
                      <a:off x="0" y="0"/>
                      <a:ext cx="2209800" cy="7556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-55880</wp:posOffset>
            </wp:positionV>
            <wp:extent cx="1474470" cy="755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7">
                      <a:extLst>
                        <a:ext uri="{28A0092B-C50C-407E-A947-70E740481C1C}"/>
                      </a:extLst>
                    </a:blip>
                    <a:srcRect/>
                    <a:stretch>
                      <a:fillRect/>
                    </a:stretch>
                  </pic:blipFill>
                  <pic:spPr bwMode="auto">
                    <a:xfrm>
                      <a:off x="0" y="0"/>
                      <a:ext cx="1474470" cy="7556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120"/>
          </w:cols>
          <w:pgMar w:left="880" w:top="67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10120"/>
          </w:cols>
          <w:pgMar w:left="880" w:top="676" w:right="880" w:bottom="0" w:gutter="0" w:footer="0" w:header="0"/>
          <w:type w:val="continuous"/>
        </w:sectPr>
      </w:pPr>
    </w:p>
    <w:bookmarkStart w:id="110" w:name="page111"/>
    <w:bookmarkEnd w:id="110"/>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PLAINS ALL AMERICAN PIPELINE, L.P. AND SUBSIDIARIES CONSOLIDATED STATEMENTS OF COMPREHENSIVE INCOME/(LOSS)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r>
      <w:tr>
        <w:trPr>
          <w:trHeight w:val="232"/>
        </w:trPr>
        <w:tc>
          <w:tcPr>
            <w:tcW w:w="6720" w:type="dxa"/>
            <w:vAlign w:val="bottom"/>
            <w:tcBorders>
              <w:bottom w:val="single" w:sz="8" w:color="E6E6E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6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Net income/(loss)</w:t>
            </w:r>
          </w:p>
        </w:tc>
        <w:tc>
          <w:tcPr>
            <w:tcW w:w="260" w:type="dxa"/>
            <w:vAlign w:val="bottom"/>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340" w:type="dxa"/>
            <w:vAlign w:val="bottom"/>
            <w:gridSpan w:val="2"/>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4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(2,580)</w:t>
            </w:r>
          </w:p>
        </w:tc>
      </w:tr>
      <w:tr>
        <w:trPr>
          <w:trHeight w:val="287"/>
        </w:trPr>
        <w:tc>
          <w:tcPr>
            <w:tcW w:w="67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Other comprehensive income/(loss)</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7"/>
        </w:trPr>
        <w:tc>
          <w:tcPr>
            <w:tcW w:w="6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Comprehensive income/(loss)</w:t>
            </w: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1,127</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713</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(2,565)</w:t>
            </w:r>
          </w:p>
        </w:tc>
      </w:tr>
      <w:tr>
        <w:trPr>
          <w:trHeight w:val="287"/>
        </w:trPr>
        <w:tc>
          <w:tcPr>
            <w:tcW w:w="672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Comprehensive income attributable to noncontrolling interests</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8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97"/>
        </w:trPr>
        <w:tc>
          <w:tcPr>
            <w:tcW w:w="67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Comprehensive income/(loss) attributable to PAA</w:t>
            </w:r>
          </w:p>
        </w:tc>
        <w:tc>
          <w:tcPr>
            <w:tcW w:w="260" w:type="dxa"/>
            <w:vAlign w:val="bottom"/>
            <w:tcBorders>
              <w:bottom w:val="single" w:sz="8" w:color="auto"/>
            </w:tcBorders>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936</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658</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-986155</wp:posOffset>
            </wp:positionV>
            <wp:extent cx="2209800" cy="501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8">
                      <a:extLst>
                        <a:ext uri="{28A0092B-C50C-407E-A947-70E740481C1C}"/>
                      </a:extLst>
                    </a:blip>
                    <a:srcRect/>
                    <a:stretch>
                      <a:fillRect/>
                    </a:stretch>
                  </pic:blipFill>
                  <pic:spPr bwMode="auto">
                    <a:xfrm>
                      <a:off x="0" y="0"/>
                      <a:ext cx="2209800" cy="5016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-608965</wp:posOffset>
            </wp:positionV>
            <wp:extent cx="2209800" cy="501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9">
                      <a:extLst>
                        <a:ext uri="{28A0092B-C50C-407E-A947-70E740481C1C}"/>
                      </a:extLst>
                    </a:blip>
                    <a:srcRect/>
                    <a:stretch>
                      <a:fillRect/>
                    </a:stretch>
                  </pic:blipFill>
                  <pic:spPr bwMode="auto">
                    <a:xfrm>
                      <a:off x="0" y="0"/>
                      <a:ext cx="2209800" cy="5016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-231775</wp:posOffset>
            </wp:positionV>
            <wp:extent cx="2209800" cy="501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0">
                      <a:extLst>
                        <a:ext uri="{28A0092B-C50C-407E-A947-70E740481C1C}"/>
                      </a:extLst>
                    </a:blip>
                    <a:srcRect/>
                    <a:stretch>
                      <a:fillRect/>
                    </a:stretch>
                  </pic:blipFill>
                  <pic:spPr bwMode="auto">
                    <a:xfrm>
                      <a:off x="0" y="0"/>
                      <a:ext cx="2209800" cy="5016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-55880</wp:posOffset>
            </wp:positionV>
            <wp:extent cx="2209800" cy="755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1">
                      <a:extLst>
                        <a:ext uri="{28A0092B-C50C-407E-A947-70E740481C1C}"/>
                      </a:extLst>
                    </a:blip>
                    <a:srcRect/>
                    <a:stretch>
                      <a:fillRect/>
                    </a:stretch>
                  </pic:blipFill>
                  <pic:spPr bwMode="auto">
                    <a:xfrm>
                      <a:off x="0" y="0"/>
                      <a:ext cx="2209800" cy="75565"/>
                    </a:xfrm>
                    <a:prstGeom prst="rect">
                      <a:avLst/>
                    </a:prstGeom>
                    <a:noFill/>
                  </pic:spPr>
                </pic:pic>
              </a:graphicData>
            </a:graphic>
          </wp:anchor>
        </w:drawing>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38"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0"/>
          <w:szCs w:val="20"/>
          <w:b w:val="1"/>
          <w:bCs w:val="1"/>
          <w:color w:val="auto"/>
        </w:rPr>
        <w:t>PLAINS ALL AMERICAN PIPELINE, L.P. AND SUBSIDIARIES CONSOLIDATED STATEMENTS OF CHANGES IN ACCUMULATED OTHER COMPREHENSIVE INCOME/(LOSS) (in millions)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540" w:type="dxa"/>
            <w:vAlign w:val="bottom"/>
            <w:tcBorders>
              <w:bottom w:val="single" w:sz="8" w:color="E6E6E6"/>
            </w:tcBorders>
          </w:tcPr>
          <w:p>
            <w:pPr>
              <w:spacing w:after="0"/>
              <w:rPr>
                <w:sz w:val="18"/>
                <w:szCs w:val="18"/>
                <w:color w:val="auto"/>
              </w:rPr>
            </w:pPr>
          </w:p>
        </w:tc>
        <w:tc>
          <w:tcPr>
            <w:tcW w:w="108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5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Balance at December 31, 2019</w:t>
            </w: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460" w:type="dxa"/>
            <w:vAlign w:val="bottom"/>
            <w:gridSpan w:val="5"/>
            <w:shd w:val="clear" w:color="auto" w:fill="E6E6E6"/>
          </w:tcPr>
          <w:p>
            <w:pPr>
              <w:jc w:val="right"/>
              <w:ind w:right="154"/>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(674)</w:t>
            </w:r>
          </w:p>
        </w:tc>
        <w:tc>
          <w:tcPr>
            <w:tcW w:w="840" w:type="dxa"/>
            <w:vAlign w:val="bottom"/>
            <w:gridSpan w:val="4"/>
            <w:shd w:val="clear" w:color="auto" w:fill="E6E6E6"/>
          </w:tcPr>
          <w:p>
            <w:pPr>
              <w:jc w:val="right"/>
              <w:ind w:right="53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4"/>
            <w:shd w:val="clear" w:color="auto" w:fill="E6E6E6"/>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(933)</w:t>
            </w:r>
          </w:p>
        </w:tc>
        <w:tc>
          <w:tcPr>
            <w:tcW w:w="0" w:type="dxa"/>
            <w:vAlign w:val="bottom"/>
          </w:tcPr>
          <w:p>
            <w:pPr>
              <w:spacing w:after="0"/>
              <w:rPr>
                <w:sz w:val="1"/>
                <w:szCs w:val="1"/>
                <w:color w:val="auto"/>
              </w:rPr>
            </w:pPr>
          </w:p>
        </w:tc>
      </w:tr>
      <w:tr>
        <w:trPr>
          <w:trHeight w:val="267"/>
        </w:trPr>
        <w:tc>
          <w:tcPr>
            <w:tcW w:w="5540" w:type="dxa"/>
            <w:vAlign w:val="bottom"/>
            <w:tcBorders>
              <w:top w:val="single" w:sz="8" w:color="E6E6E6"/>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0" w:type="dxa"/>
            <w:vAlign w:val="bottom"/>
            <w:tcBorders>
              <w:top w:val="single" w:sz="8" w:color="E6E6E6"/>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Reclassification adjustments</w:t>
            </w: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91"/>
        </w:trPr>
        <w:tc>
          <w:tcPr>
            <w:tcW w:w="5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Unrealized loss on hedges</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303"/>
        </w:trPr>
        <w:tc>
          <w:tcPr>
            <w:tcW w:w="55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Currency translation adjustments</w:t>
            </w: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87"/>
        </w:trPr>
        <w:tc>
          <w:tcPr>
            <w:tcW w:w="554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96"/>
        </w:trPr>
        <w:tc>
          <w:tcPr>
            <w:tcW w:w="554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2020 Activity</w:t>
            </w: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78"/>
        </w:trPr>
        <w:tc>
          <w:tcPr>
            <w:tcW w:w="5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at December 31, 2020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460" w:type="dxa"/>
            <w:vAlign w:val="bottom"/>
            <w:gridSpan w:val="5"/>
          </w:tcPr>
          <w:p>
            <w:pPr>
              <w:jc w:val="right"/>
              <w:ind w:right="154"/>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840" w:type="dxa"/>
            <w:vAlign w:val="bottom"/>
            <w:gridSpan w:val="4"/>
          </w:tcPr>
          <w:p>
            <w:pPr>
              <w:jc w:val="right"/>
              <w:ind w:right="53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20" w:type="dxa"/>
            <w:vAlign w:val="bottom"/>
            <w:gridSpan w:val="4"/>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0" w:type="dxa"/>
            <w:vAlign w:val="bottom"/>
          </w:tcPr>
          <w:p>
            <w:pPr>
              <w:spacing w:after="0"/>
              <w:rPr>
                <w:sz w:val="1"/>
                <w:szCs w:val="1"/>
                <w:color w:val="auto"/>
              </w:rPr>
            </w:pPr>
          </w:p>
        </w:tc>
      </w:tr>
      <w:tr>
        <w:trPr>
          <w:trHeight w:val="267"/>
        </w:trPr>
        <w:tc>
          <w:tcPr>
            <w:tcW w:w="5540" w:type="dxa"/>
            <w:vAlign w:val="bottom"/>
            <w:tcBorders>
              <w:top w:val="single" w:sz="8" w:color="E6E6E6"/>
            </w:tcBorders>
            <w:shd w:val="clear" w:color="auto" w:fill="E6E6E6"/>
          </w:tcPr>
          <w:p>
            <w:pPr>
              <w:spacing w:after="0"/>
              <w:rPr>
                <w:sz w:val="23"/>
                <w:szCs w:val="23"/>
                <w:color w:val="auto"/>
              </w:rPr>
            </w:pPr>
          </w:p>
        </w:tc>
        <w:tc>
          <w:tcPr>
            <w:tcW w:w="160" w:type="dxa"/>
            <w:vAlign w:val="bottom"/>
            <w:tcBorders>
              <w:top w:val="single" w:sz="8" w:color="auto"/>
            </w:tcBorders>
            <w:shd w:val="clear" w:color="auto" w:fill="E6E6E6"/>
          </w:tcPr>
          <w:p>
            <w:pPr>
              <w:spacing w:after="0"/>
              <w:rPr>
                <w:sz w:val="23"/>
                <w:szCs w:val="23"/>
                <w:color w:val="auto"/>
              </w:rPr>
            </w:pPr>
          </w:p>
        </w:tc>
        <w:tc>
          <w:tcPr>
            <w:tcW w:w="9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340" w:type="dxa"/>
            <w:vAlign w:val="bottom"/>
            <w:tcBorders>
              <w:top w:val="single" w:sz="8" w:color="auto"/>
            </w:tcBorders>
            <w:shd w:val="clear" w:color="auto" w:fill="E6E6E6"/>
          </w:tcPr>
          <w:p>
            <w:pPr>
              <w:spacing w:after="0"/>
              <w:rPr>
                <w:sz w:val="23"/>
                <w:szCs w:val="23"/>
                <w:color w:val="auto"/>
              </w:rPr>
            </w:pPr>
          </w:p>
        </w:tc>
        <w:tc>
          <w:tcPr>
            <w:tcW w:w="7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740" w:type="dxa"/>
            <w:vAlign w:val="bottom"/>
            <w:tcBorders>
              <w:top w:val="single" w:sz="8" w:color="auto"/>
            </w:tcBorders>
            <w:shd w:val="clear" w:color="auto" w:fill="E6E6E6"/>
          </w:tcPr>
          <w:p>
            <w:pPr>
              <w:spacing w:after="0"/>
              <w:rPr>
                <w:sz w:val="23"/>
                <w:szCs w:val="23"/>
                <w:color w:val="auto"/>
              </w:rPr>
            </w:pPr>
          </w:p>
        </w:tc>
        <w:tc>
          <w:tcPr>
            <w:tcW w:w="3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220" w:type="dxa"/>
            <w:vAlign w:val="bottom"/>
            <w:tcBorders>
              <w:top w:val="single" w:sz="8" w:color="auto"/>
            </w:tcBorders>
            <w:shd w:val="clear" w:color="auto" w:fill="E6E6E6"/>
          </w:tcPr>
          <w:p>
            <w:pPr>
              <w:spacing w:after="0"/>
              <w:rPr>
                <w:sz w:val="23"/>
                <w:szCs w:val="23"/>
                <w:color w:val="auto"/>
              </w:rPr>
            </w:pPr>
          </w:p>
        </w:tc>
        <w:tc>
          <w:tcPr>
            <w:tcW w:w="82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Reclassification adjustments</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303"/>
        </w:trPr>
        <w:tc>
          <w:tcPr>
            <w:tcW w:w="55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Unrealized gain on hedges</w:t>
            </w: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87"/>
        </w:trPr>
        <w:tc>
          <w:tcPr>
            <w:tcW w:w="554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Currency translation adjustments</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96"/>
        </w:trPr>
        <w:tc>
          <w:tcPr>
            <w:tcW w:w="554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2021 Activity</w:t>
            </w: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78"/>
        </w:trPr>
        <w:tc>
          <w:tcPr>
            <w:tcW w:w="5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at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460" w:type="dxa"/>
            <w:vAlign w:val="bottom"/>
            <w:gridSpan w:val="5"/>
          </w:tcPr>
          <w:p>
            <w:pPr>
              <w:jc w:val="right"/>
              <w:ind w:right="154"/>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w:t>
            </w:r>
          </w:p>
        </w:tc>
        <w:tc>
          <w:tcPr>
            <w:tcW w:w="840" w:type="dxa"/>
            <w:vAlign w:val="bottom"/>
            <w:gridSpan w:val="4"/>
          </w:tcPr>
          <w:p>
            <w:pPr>
              <w:jc w:val="right"/>
              <w:ind w:right="53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20" w:type="dxa"/>
            <w:vAlign w:val="bottom"/>
            <w:gridSpan w:val="4"/>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w:t>
            </w:r>
          </w:p>
        </w:tc>
        <w:tc>
          <w:tcPr>
            <w:tcW w:w="0" w:type="dxa"/>
            <w:vAlign w:val="bottom"/>
          </w:tcPr>
          <w:p>
            <w:pPr>
              <w:spacing w:after="0"/>
              <w:rPr>
                <w:sz w:val="1"/>
                <w:szCs w:val="1"/>
                <w:color w:val="auto"/>
              </w:rPr>
            </w:pPr>
          </w:p>
        </w:tc>
      </w:tr>
      <w:tr>
        <w:trPr>
          <w:trHeight w:val="267"/>
        </w:trPr>
        <w:tc>
          <w:tcPr>
            <w:tcW w:w="5540" w:type="dxa"/>
            <w:vAlign w:val="bottom"/>
            <w:tcBorders>
              <w:top w:val="single" w:sz="8" w:color="E6E6E6"/>
            </w:tcBorders>
            <w:shd w:val="clear" w:color="auto" w:fill="E6E6E6"/>
          </w:tcPr>
          <w:p>
            <w:pPr>
              <w:spacing w:after="0"/>
              <w:rPr>
                <w:sz w:val="23"/>
                <w:szCs w:val="23"/>
                <w:color w:val="auto"/>
              </w:rPr>
            </w:pPr>
          </w:p>
        </w:tc>
        <w:tc>
          <w:tcPr>
            <w:tcW w:w="160" w:type="dxa"/>
            <w:vAlign w:val="bottom"/>
            <w:tcBorders>
              <w:top w:val="single" w:sz="8" w:color="auto"/>
            </w:tcBorders>
            <w:shd w:val="clear" w:color="auto" w:fill="E6E6E6"/>
          </w:tcPr>
          <w:p>
            <w:pPr>
              <w:spacing w:after="0"/>
              <w:rPr>
                <w:sz w:val="23"/>
                <w:szCs w:val="23"/>
                <w:color w:val="auto"/>
              </w:rPr>
            </w:pPr>
          </w:p>
        </w:tc>
        <w:tc>
          <w:tcPr>
            <w:tcW w:w="9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340" w:type="dxa"/>
            <w:vAlign w:val="bottom"/>
            <w:tcBorders>
              <w:top w:val="single" w:sz="8" w:color="auto"/>
            </w:tcBorders>
            <w:shd w:val="clear" w:color="auto" w:fill="E6E6E6"/>
          </w:tcPr>
          <w:p>
            <w:pPr>
              <w:spacing w:after="0"/>
              <w:rPr>
                <w:sz w:val="23"/>
                <w:szCs w:val="23"/>
                <w:color w:val="auto"/>
              </w:rPr>
            </w:pPr>
          </w:p>
        </w:tc>
        <w:tc>
          <w:tcPr>
            <w:tcW w:w="7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740" w:type="dxa"/>
            <w:vAlign w:val="bottom"/>
            <w:tcBorders>
              <w:top w:val="single" w:sz="8" w:color="auto"/>
            </w:tcBorders>
            <w:shd w:val="clear" w:color="auto" w:fill="E6E6E6"/>
          </w:tcPr>
          <w:p>
            <w:pPr>
              <w:spacing w:after="0"/>
              <w:rPr>
                <w:sz w:val="23"/>
                <w:szCs w:val="23"/>
                <w:color w:val="auto"/>
              </w:rPr>
            </w:pPr>
          </w:p>
        </w:tc>
        <w:tc>
          <w:tcPr>
            <w:tcW w:w="3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220" w:type="dxa"/>
            <w:vAlign w:val="bottom"/>
            <w:tcBorders>
              <w:top w:val="single" w:sz="8" w:color="auto"/>
            </w:tcBorders>
            <w:shd w:val="clear" w:color="auto" w:fill="E6E6E6"/>
          </w:tcPr>
          <w:p>
            <w:pPr>
              <w:spacing w:after="0"/>
              <w:rPr>
                <w:sz w:val="23"/>
                <w:szCs w:val="23"/>
                <w:color w:val="auto"/>
              </w:rPr>
            </w:pPr>
          </w:p>
        </w:tc>
        <w:tc>
          <w:tcPr>
            <w:tcW w:w="82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Reclassification adjustments</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303"/>
        </w:trPr>
        <w:tc>
          <w:tcPr>
            <w:tcW w:w="55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Unrealized gain on hedges</w:t>
            </w: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91"/>
        </w:trPr>
        <w:tc>
          <w:tcPr>
            <w:tcW w:w="5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Currency translation adjustments</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0" w:type="dxa"/>
            <w:vAlign w:val="bottom"/>
          </w:tcPr>
          <w:p>
            <w:pPr>
              <w:spacing w:after="0"/>
              <w:rPr>
                <w:sz w:val="1"/>
                <w:szCs w:val="1"/>
                <w:color w:val="auto"/>
              </w:rPr>
            </w:pPr>
          </w:p>
        </w:tc>
      </w:tr>
      <w:tr>
        <w:trPr>
          <w:trHeight w:val="312"/>
        </w:trPr>
        <w:tc>
          <w:tcPr>
            <w:tcW w:w="554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8"/>
        </w:trPr>
        <w:tc>
          <w:tcPr>
            <w:tcW w:w="554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2022 Activity</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97"/>
        </w:trPr>
        <w:tc>
          <w:tcPr>
            <w:tcW w:w="554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120" w:type="dxa"/>
            <w:vAlign w:val="bottom"/>
            <w:tcBorders>
              <w:bottom w:val="single" w:sz="8" w:color="E6E6E6"/>
            </w:tcBorders>
            <w:gridSpan w:val="4"/>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54"/>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100" w:type="dxa"/>
            <w:vAlign w:val="bottom"/>
            <w:tcBorders>
              <w:bottom w:val="single" w:sz="8" w:color="E6E6E6"/>
            </w:tcBorders>
            <w:gridSpan w:val="3"/>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jc w:val="right"/>
              <w:ind w:right="531"/>
              <w:spacing w:after="0"/>
              <w:rPr>
                <w:sz w:val="20"/>
                <w:szCs w:val="20"/>
                <w:color w:val="auto"/>
              </w:rPr>
            </w:pPr>
            <w:r>
              <w:rPr>
                <w:rFonts w:ascii="Times New Roman" w:cs="Times New Roman" w:eastAsia="Times New Roman" w:hAnsi="Times New Roman"/>
                <w:sz w:val="20"/>
                <w:szCs w:val="20"/>
                <w:color w:val="auto"/>
                <w:w w:val="99"/>
              </w:rPr>
              <w:t>$</w:t>
            </w:r>
          </w:p>
        </w:tc>
        <w:tc>
          <w:tcPr>
            <w:tcW w:w="3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bottom w:val="single" w:sz="8" w:color="E6E6E6"/>
            </w:tcBorders>
            <w:gridSpan w:val="3"/>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3498850</wp:posOffset>
            </wp:positionH>
            <wp:positionV relativeFrom="paragraph">
              <wp:posOffset>-4003675</wp:posOffset>
            </wp:positionV>
            <wp:extent cx="2945130" cy="501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2">
                      <a:extLst>
                        <a:ext uri="{28A0092B-C50C-407E-A947-70E740481C1C}"/>
                      </a:extLst>
                    </a:blip>
                    <a:srcRect/>
                    <a:stretch>
                      <a:fillRect/>
                    </a:stretch>
                  </pic:blipFill>
                  <pic:spPr bwMode="auto">
                    <a:xfrm>
                      <a:off x="0" y="0"/>
                      <a:ext cx="2945130" cy="5016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-3827780</wp:posOffset>
            </wp:positionV>
            <wp:extent cx="2945130" cy="755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3">
                      <a:extLst>
                        <a:ext uri="{28A0092B-C50C-407E-A947-70E740481C1C}"/>
                      </a:extLst>
                    </a:blip>
                    <a:srcRect/>
                    <a:stretch>
                      <a:fillRect/>
                    </a:stretch>
                  </pic:blipFill>
                  <pic:spPr bwMode="auto">
                    <a:xfrm>
                      <a:off x="0" y="0"/>
                      <a:ext cx="2945130" cy="7556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-2872105</wp:posOffset>
            </wp:positionV>
            <wp:extent cx="2945130" cy="501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4">
                      <a:extLst>
                        <a:ext uri="{28A0092B-C50C-407E-A947-70E740481C1C}"/>
                      </a:extLst>
                    </a:blip>
                    <a:srcRect/>
                    <a:stretch>
                      <a:fillRect/>
                    </a:stretch>
                  </pic:blipFill>
                  <pic:spPr bwMode="auto">
                    <a:xfrm>
                      <a:off x="0" y="0"/>
                      <a:ext cx="2945130" cy="5016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-2683510</wp:posOffset>
            </wp:positionV>
            <wp:extent cx="2945130" cy="501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5">
                      <a:extLst>
                        <a:ext uri="{28A0092B-C50C-407E-A947-70E740481C1C}"/>
                      </a:extLst>
                    </a:blip>
                    <a:srcRect/>
                    <a:stretch>
                      <a:fillRect/>
                    </a:stretch>
                  </pic:blipFill>
                  <pic:spPr bwMode="auto">
                    <a:xfrm>
                      <a:off x="0" y="0"/>
                      <a:ext cx="2945130" cy="5016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-2507615</wp:posOffset>
            </wp:positionV>
            <wp:extent cx="2945130" cy="755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6">
                      <a:extLst>
                        <a:ext uri="{28A0092B-C50C-407E-A947-70E740481C1C}"/>
                      </a:extLst>
                    </a:blip>
                    <a:srcRect/>
                    <a:stretch>
                      <a:fillRect/>
                    </a:stretch>
                  </pic:blipFill>
                  <pic:spPr bwMode="auto">
                    <a:xfrm>
                      <a:off x="0" y="0"/>
                      <a:ext cx="2945130" cy="7556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-1740535</wp:posOffset>
            </wp:positionV>
            <wp:extent cx="2945130" cy="501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7">
                      <a:extLst>
                        <a:ext uri="{28A0092B-C50C-407E-A947-70E740481C1C}"/>
                      </a:extLst>
                    </a:blip>
                    <a:srcRect/>
                    <a:stretch>
                      <a:fillRect/>
                    </a:stretch>
                  </pic:blipFill>
                  <pic:spPr bwMode="auto">
                    <a:xfrm>
                      <a:off x="0" y="0"/>
                      <a:ext cx="2945130" cy="5016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-1551940</wp:posOffset>
            </wp:positionV>
            <wp:extent cx="2945130" cy="501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8">
                      <a:extLst>
                        <a:ext uri="{28A0092B-C50C-407E-A947-70E740481C1C}"/>
                      </a:extLst>
                    </a:blip>
                    <a:srcRect/>
                    <a:stretch>
                      <a:fillRect/>
                    </a:stretch>
                  </pic:blipFill>
                  <pic:spPr bwMode="auto">
                    <a:xfrm>
                      <a:off x="0" y="0"/>
                      <a:ext cx="2945130" cy="5016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-1376045</wp:posOffset>
            </wp:positionV>
            <wp:extent cx="2945130" cy="755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9">
                      <a:extLst>
                        <a:ext uri="{28A0092B-C50C-407E-A947-70E740481C1C}"/>
                      </a:extLst>
                    </a:blip>
                    <a:srcRect/>
                    <a:stretch>
                      <a:fillRect/>
                    </a:stretch>
                  </pic:blipFill>
                  <pic:spPr bwMode="auto">
                    <a:xfrm>
                      <a:off x="0" y="0"/>
                      <a:ext cx="2945130" cy="7556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-420370</wp:posOffset>
            </wp:positionV>
            <wp:extent cx="2945130" cy="501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0">
                      <a:extLst>
                        <a:ext uri="{28A0092B-C50C-407E-A947-70E740481C1C}"/>
                      </a:extLst>
                    </a:blip>
                    <a:srcRect/>
                    <a:stretch>
                      <a:fillRect/>
                    </a:stretch>
                  </pic:blipFill>
                  <pic:spPr bwMode="auto">
                    <a:xfrm>
                      <a:off x="0" y="0"/>
                      <a:ext cx="2945130" cy="5016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-231775</wp:posOffset>
            </wp:positionV>
            <wp:extent cx="2945130" cy="501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1">
                      <a:extLst>
                        <a:ext uri="{28A0092B-C50C-407E-A947-70E740481C1C}"/>
                      </a:extLst>
                    </a:blip>
                    <a:srcRect/>
                    <a:stretch>
                      <a:fillRect/>
                    </a:stretch>
                  </pic:blipFill>
                  <pic:spPr bwMode="auto">
                    <a:xfrm>
                      <a:off x="0" y="0"/>
                      <a:ext cx="2945130" cy="5016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-55880</wp:posOffset>
            </wp:positionV>
            <wp:extent cx="2945130" cy="755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2">
                      <a:extLst>
                        <a:ext uri="{28A0092B-C50C-407E-A947-70E740481C1C}"/>
                      </a:extLst>
                    </a:blip>
                    <a:srcRect/>
                    <a:stretch>
                      <a:fillRect/>
                    </a:stretch>
                  </pic:blipFill>
                  <pic:spPr bwMode="auto">
                    <a:xfrm>
                      <a:off x="0" y="0"/>
                      <a:ext cx="2945130" cy="7556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120"/>
          </w:cols>
          <w:pgMar w:left="880" w:top="67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10120"/>
          </w:cols>
          <w:pgMar w:left="880" w:top="676" w:right="880" w:bottom="0" w:gutter="0" w:footer="0" w:header="0"/>
          <w:type w:val="continuous"/>
        </w:sectPr>
      </w:pPr>
    </w:p>
    <w:bookmarkStart w:id="111" w:name="page112"/>
    <w:bookmarkEnd w:id="111"/>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PLAINS ALL AMERICAN PIPELINE, L.P. AND SUBSIDIARIES CONSOLIDATED STATEMENTS OF CASH FLOWS (in millions)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80" w:type="dxa"/>
            <w:vAlign w:val="bottom"/>
            <w:tcBorders>
              <w:bottom w:val="single" w:sz="8" w:color="auto"/>
            </w:tcBorders>
          </w:tcPr>
          <w:p>
            <w:pPr>
              <w:spacing w:after="0"/>
              <w:rPr>
                <w:sz w:val="18"/>
                <w:szCs w:val="18"/>
                <w:color w:val="auto"/>
              </w:rPr>
            </w:pPr>
          </w:p>
        </w:tc>
      </w:tr>
      <w:tr>
        <w:trPr>
          <w:trHeight w:val="232"/>
        </w:trPr>
        <w:tc>
          <w:tcPr>
            <w:tcW w:w="702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1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4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r>
      <w:tr>
        <w:trPr>
          <w:trHeight w:val="223"/>
        </w:trPr>
        <w:tc>
          <w:tcPr>
            <w:tcW w:w="7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income/(loss)</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4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(2,580)</w:t>
            </w: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color w:val="auto"/>
              </w:rPr>
              <w:t>Reconciliation of net income/(loss) to net cash provided by operating activities:</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r>
      <w:tr>
        <w:trPr>
          <w:trHeight w:val="223"/>
        </w:trPr>
        <w:tc>
          <w:tcPr>
            <w:tcW w:w="70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(Gains)/losses on asset sales and asset impairments, net (Note 6, Note 7)</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719</w:t>
            </w: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Goodwill impairment loss (Note 8)</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2,515</w:t>
            </w:r>
          </w:p>
        </w:tc>
      </w:tr>
      <w:tr>
        <w:trPr>
          <w:trHeight w:val="223"/>
        </w:trPr>
        <w:tc>
          <w:tcPr>
            <w:tcW w:w="70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Inventory valuation adjustments (Note 5)</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23"/>
        </w:trPr>
        <w:tc>
          <w:tcPr>
            <w:tcW w:w="70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(Gains)/losses on sales of linefill</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70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(Gain)/loss on foreign currency revaluation</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Settlement of terminated interest rate hedging instruments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3"/>
        </w:trPr>
        <w:tc>
          <w:tcPr>
            <w:tcW w:w="70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Change in fair value of Preferred Distribution Rate Reset Option (Note 13)</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23"/>
        </w:trPr>
        <w:tc>
          <w:tcPr>
            <w:tcW w:w="70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(Gains) losses on/impairment of investments in unconsolidated entities, net (Note 7, Note 9)</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23"/>
        </w:trPr>
        <w:tc>
          <w:tcPr>
            <w:tcW w:w="70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3"/>
        </w:trPr>
        <w:tc>
          <w:tcPr>
            <w:tcW w:w="7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70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7"/>
                <w:szCs w:val="17"/>
                <w:color w:val="auto"/>
              </w:rPr>
              <w:t>Trade accounts receivable and other</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(2,179)</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1,432</w:t>
            </w: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33"/>
        </w:trPr>
        <w:tc>
          <w:tcPr>
            <w:tcW w:w="7020" w:type="dxa"/>
            <w:vAlign w:val="bottom"/>
            <w:tcBorders>
              <w:bottom w:val="single" w:sz="8" w:color="E6E6E6"/>
            </w:tcBorders>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Trade accounts payable and other</w:t>
            </w:r>
          </w:p>
        </w:tc>
        <w:tc>
          <w:tcPr>
            <w:tcW w:w="240" w:type="dxa"/>
            <w:vAlign w:val="bottom"/>
            <w:tcBorders>
              <w:bottom w:val="single" w:sz="8" w:color="auto"/>
            </w:tcBorders>
            <w:shd w:val="clear" w:color="auto" w:fill="E6E6E6"/>
          </w:tcPr>
          <w:p>
            <w:pPr>
              <w:spacing w:after="0"/>
              <w:rPr>
                <w:sz w:val="20"/>
                <w:szCs w:val="20"/>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60" w:type="dxa"/>
            <w:vAlign w:val="bottom"/>
            <w:tcBorders>
              <w:bottom w:val="single" w:sz="8" w:color="E6E6E6"/>
            </w:tcBorders>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spacing w:after="0"/>
              <w:rPr>
                <w:sz w:val="20"/>
                <w:szCs w:val="20"/>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1,970</w:t>
            </w:r>
          </w:p>
        </w:tc>
        <w:tc>
          <w:tcPr>
            <w:tcW w:w="8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spacing w:after="0"/>
              <w:rPr>
                <w:sz w:val="20"/>
                <w:szCs w:val="20"/>
                <w:color w:val="auto"/>
              </w:rPr>
            </w:pPr>
          </w:p>
        </w:tc>
        <w:tc>
          <w:tcPr>
            <w:tcW w:w="6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(1,286)</w:t>
            </w:r>
          </w:p>
        </w:tc>
      </w:tr>
      <w:tr>
        <w:trPr>
          <w:trHeight w:val="193"/>
        </w:trPr>
        <w:tc>
          <w:tcPr>
            <w:tcW w:w="7020" w:type="dxa"/>
            <w:vAlign w:val="bottom"/>
          </w:tcPr>
          <w:p>
            <w:pPr>
              <w:ind w:left="420"/>
              <w:spacing w:after="0" w:line="193" w:lineRule="exact"/>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2,408</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1,996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1,514</w:t>
            </w: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r>
      <w:tr>
        <w:trPr>
          <w:trHeight w:val="223"/>
        </w:trPr>
        <w:tc>
          <w:tcPr>
            <w:tcW w:w="7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Cash paid in connection with acquisitions, net of cash acquired (Note 7)</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color w:val="auto"/>
              </w:rPr>
              <w:t>Investments in unconsolidated entities (Note 9)</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23"/>
        </w:trPr>
        <w:tc>
          <w:tcPr>
            <w:tcW w:w="7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Additions to property, equipment and other</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color w:val="auto"/>
              </w:rPr>
              <w:t>Proceeds from sales of assets (Note 7)</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429</w:t>
            </w:r>
          </w:p>
        </w:tc>
      </w:tr>
      <w:tr>
        <w:trPr>
          <w:trHeight w:val="223"/>
        </w:trPr>
        <w:tc>
          <w:tcPr>
            <w:tcW w:w="7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Cash received from sales of linefill</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color w:val="auto"/>
              </w:rPr>
              <w:t>Cash paid for purchases of linefill</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3"/>
        </w:trPr>
        <w:tc>
          <w:tcPr>
            <w:tcW w:w="70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3"/>
        </w:trPr>
        <w:tc>
          <w:tcPr>
            <w:tcW w:w="7020" w:type="dxa"/>
            <w:vAlign w:val="bottom"/>
            <w:shd w:val="clear" w:color="auto" w:fill="E6E6E6"/>
          </w:tcPr>
          <w:p>
            <w:pPr>
              <w:ind w:left="420"/>
              <w:spacing w:after="0"/>
              <w:rPr>
                <w:sz w:val="20"/>
                <w:szCs w:val="20"/>
                <w:color w:val="auto"/>
              </w:rPr>
            </w:pPr>
            <w:r>
              <w:rPr>
                <w:rFonts w:ascii="Times New Roman" w:cs="Times New Roman" w:eastAsia="Times New Roman" w:hAnsi="Times New Roman"/>
                <w:sz w:val="17"/>
                <w:szCs w:val="17"/>
                <w:color w:val="auto"/>
              </w:rPr>
              <w:t>Net cash provided by/(used in) investing activities</w:t>
            </w:r>
          </w:p>
        </w:tc>
        <w:tc>
          <w:tcPr>
            <w:tcW w:w="24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8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(1,093)</w:t>
            </w:r>
          </w:p>
        </w:tc>
      </w:tr>
      <w:tr>
        <w:trPr>
          <w:trHeight w:val="223"/>
        </w:trPr>
        <w:tc>
          <w:tcPr>
            <w:tcW w:w="70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color w:val="auto"/>
              </w:rPr>
              <w:t>Net borrowings/(repayments) under commercial paper program (Note 11)</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456</w:t>
            </w:r>
          </w:p>
        </w:tc>
      </w:tr>
      <w:tr>
        <w:trPr>
          <w:trHeight w:val="223"/>
        </w:trPr>
        <w:tc>
          <w:tcPr>
            <w:tcW w:w="7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borrowings/(repayments) under senior secured hedged inventory facility (Note 11)</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color w:val="auto"/>
              </w:rPr>
              <w:t>Repayment of GO Zone term loans (Note 11)</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Proceeds from the issuance of senior notes (Note 11)</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w:t>
            </w: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color w:val="auto"/>
              </w:rPr>
              <w:t>Repayments of senior notes (Note 11)</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(617)</w:t>
            </w:r>
          </w:p>
        </w:tc>
      </w:tr>
      <w:tr>
        <w:trPr>
          <w:trHeight w:val="223"/>
        </w:trPr>
        <w:tc>
          <w:tcPr>
            <w:tcW w:w="7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Repurchase of common units (Note 12)</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color w:val="auto"/>
              </w:rPr>
              <w:t>Distributions paid to Series A preferred unitholders (Note 12)</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23"/>
        </w:trPr>
        <w:tc>
          <w:tcPr>
            <w:tcW w:w="7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Distributions paid to Series B preferred unitholders (Note 12)</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color w:val="auto"/>
              </w:rPr>
              <w:t>Distributions paid to common unitholders (Note 12)</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(655)</w:t>
            </w:r>
          </w:p>
        </w:tc>
      </w:tr>
      <w:tr>
        <w:trPr>
          <w:trHeight w:val="223"/>
        </w:trPr>
        <w:tc>
          <w:tcPr>
            <w:tcW w:w="7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Distributions paid to noncontrolling interests (Note 12)</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color w:val="auto"/>
              </w:rPr>
              <w:t>Contributions from noncontrolling interests (Note 12)</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3"/>
        </w:trPr>
        <w:tc>
          <w:tcPr>
            <w:tcW w:w="70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8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3"/>
        </w:trPr>
        <w:tc>
          <w:tcPr>
            <w:tcW w:w="7020" w:type="dxa"/>
            <w:vAlign w:val="bottom"/>
            <w:shd w:val="clear" w:color="auto" w:fill="E6E6E6"/>
          </w:tcPr>
          <w:p>
            <w:pPr>
              <w:ind w:left="4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4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(1,984)</w:t>
            </w:r>
          </w:p>
        </w:tc>
        <w:tc>
          <w:tcPr>
            <w:tcW w:w="8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23"/>
        </w:trPr>
        <w:tc>
          <w:tcPr>
            <w:tcW w:w="7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Effect of translation adjustment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color w:val="auto"/>
              </w:rPr>
              <w:t>Net increase/(decrease) in cash and cash equivalents and restricted cash</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3"/>
        </w:trPr>
        <w:tc>
          <w:tcPr>
            <w:tcW w:w="70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2"/>
        </w:trPr>
        <w:tc>
          <w:tcPr>
            <w:tcW w:w="7020" w:type="dxa"/>
            <w:vAlign w:val="bottom"/>
            <w:tcBorders>
              <w:bottom w:val="single" w:sz="8" w:color="E6E6E6"/>
            </w:tcBorders>
            <w:shd w:val="clear" w:color="auto" w:fill="E6E6E6"/>
          </w:tcPr>
          <w:p>
            <w:pPr>
              <w:ind w:left="60"/>
              <w:spacing w:after="0" w:line="183" w:lineRule="exact"/>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240" w:type="dxa"/>
            <w:vAlign w:val="bottom"/>
            <w:tcBorders>
              <w:bottom w:val="single" w:sz="8" w:color="auto"/>
            </w:tcBorders>
            <w:shd w:val="clear" w:color="auto" w:fill="E6E6E6"/>
          </w:tcPr>
          <w:p>
            <w:pPr>
              <w:jc w:val="right"/>
              <w:ind w:right="14"/>
              <w:spacing w:after="0" w:line="183"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7"/>
                <w:szCs w:val="17"/>
                <w:color w:val="auto"/>
              </w:rPr>
              <w:t>401</w:t>
            </w:r>
          </w:p>
        </w:tc>
        <w:tc>
          <w:tcPr>
            <w:tcW w:w="60" w:type="dxa"/>
            <w:vAlign w:val="bottom"/>
            <w:tcBorders>
              <w:bottom w:val="single" w:sz="8" w:color="E6E6E6"/>
            </w:tcBorders>
            <w:shd w:val="clear" w:color="auto" w:fill="E6E6E6"/>
          </w:tcPr>
          <w:p>
            <w:pPr>
              <w:spacing w:after="0"/>
              <w:rPr>
                <w:sz w:val="19"/>
                <w:szCs w:val="19"/>
                <w:color w:val="auto"/>
              </w:rPr>
            </w:pPr>
          </w:p>
        </w:tc>
        <w:tc>
          <w:tcPr>
            <w:tcW w:w="240" w:type="dxa"/>
            <w:vAlign w:val="bottom"/>
            <w:tcBorders>
              <w:bottom w:val="single" w:sz="8" w:color="auto"/>
            </w:tcBorders>
            <w:shd w:val="clear" w:color="auto" w:fill="E6E6E6"/>
          </w:tcPr>
          <w:p>
            <w:pPr>
              <w:jc w:val="right"/>
              <w:ind w:right="14"/>
              <w:spacing w:after="0" w:line="183"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7"/>
                <w:szCs w:val="17"/>
                <w:color w:val="auto"/>
              </w:rPr>
              <w:t>453</w:t>
            </w:r>
          </w:p>
        </w:tc>
        <w:tc>
          <w:tcPr>
            <w:tcW w:w="80" w:type="dxa"/>
            <w:vAlign w:val="bottom"/>
            <w:tcBorders>
              <w:bottom w:val="single" w:sz="8" w:color="E6E6E6"/>
            </w:tcBorders>
            <w:shd w:val="clear" w:color="auto" w:fill="E6E6E6"/>
          </w:tcPr>
          <w:p>
            <w:pPr>
              <w:spacing w:after="0"/>
              <w:rPr>
                <w:sz w:val="19"/>
                <w:szCs w:val="19"/>
                <w:color w:val="auto"/>
              </w:rPr>
            </w:pPr>
          </w:p>
        </w:tc>
        <w:tc>
          <w:tcPr>
            <w:tcW w:w="320" w:type="dxa"/>
            <w:vAlign w:val="bottom"/>
            <w:tcBorders>
              <w:bottom w:val="single" w:sz="8" w:color="auto"/>
            </w:tcBorders>
            <w:shd w:val="clear" w:color="auto" w:fill="E6E6E6"/>
          </w:tcPr>
          <w:p>
            <w:pPr>
              <w:jc w:val="right"/>
              <w:ind w:right="94"/>
              <w:spacing w:after="0" w:line="183"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7"/>
                <w:szCs w:val="17"/>
                <w:color w:val="auto"/>
              </w:rPr>
              <w:t>60</w:t>
            </w:r>
          </w:p>
        </w:tc>
      </w:tr>
      <w:tr>
        <w:trPr>
          <w:trHeight w:val="134"/>
        </w:trPr>
        <w:tc>
          <w:tcPr>
            <w:tcW w:w="7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23"/>
        </w:trPr>
        <w:tc>
          <w:tcPr>
            <w:tcW w:w="70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7"/>
                <w:szCs w:val="17"/>
                <w:color w:val="auto"/>
              </w:rPr>
              <w:t>Cash paid for:</w:t>
            </w: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net of amounts capitalized</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4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23"/>
        </w:trPr>
        <w:tc>
          <w:tcPr>
            <w:tcW w:w="70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Income taxes, net of amounts refunded</w:t>
            </w:r>
          </w:p>
        </w:tc>
        <w:tc>
          <w:tcPr>
            <w:tcW w:w="240" w:type="dxa"/>
            <w:vAlign w:val="bottom"/>
            <w:shd w:val="clear" w:color="auto" w:fill="E6E6E6"/>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300" w:type="dxa"/>
            <w:vAlign w:val="bottom"/>
            <w:gridSpan w:val="2"/>
            <w:shd w:val="clear" w:color="auto" w:fill="E6E6E6"/>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400" w:type="dxa"/>
            <w:vAlign w:val="bottom"/>
            <w:gridSpan w:val="2"/>
            <w:shd w:val="clear" w:color="auto" w:fill="E6E6E6"/>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-7483475</wp:posOffset>
            </wp:positionV>
            <wp:extent cx="2040255" cy="501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3">
                      <a:extLst>
                        <a:ext uri="{28A0092B-C50C-407E-A947-70E740481C1C}"/>
                      </a:extLst>
                    </a:blip>
                    <a:srcRect/>
                    <a:stretch>
                      <a:fillRect/>
                    </a:stretch>
                  </pic:blipFill>
                  <pic:spPr bwMode="auto">
                    <a:xfrm>
                      <a:off x="0" y="0"/>
                      <a:ext cx="2040255" cy="5016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-4512945</wp:posOffset>
            </wp:positionV>
            <wp:extent cx="2040255" cy="501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4">
                      <a:extLst>
                        <a:ext uri="{28A0092B-C50C-407E-A947-70E740481C1C}"/>
                      </a:extLst>
                    </a:blip>
                    <a:srcRect/>
                    <a:stretch>
                      <a:fillRect/>
                    </a:stretch>
                  </pic:blipFill>
                  <pic:spPr bwMode="auto">
                    <a:xfrm>
                      <a:off x="0" y="0"/>
                      <a:ext cx="2040255" cy="5016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-3239770</wp:posOffset>
            </wp:positionV>
            <wp:extent cx="2040255" cy="501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5">
                      <a:extLst>
                        <a:ext uri="{28A0092B-C50C-407E-A947-70E740481C1C}"/>
                      </a:extLst>
                    </a:blip>
                    <a:srcRect/>
                    <a:stretch>
                      <a:fillRect/>
                    </a:stretch>
                  </pic:blipFill>
                  <pic:spPr bwMode="auto">
                    <a:xfrm>
                      <a:off x="0" y="0"/>
                      <a:ext cx="2040255" cy="5016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-1259840</wp:posOffset>
            </wp:positionV>
            <wp:extent cx="2040255" cy="501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6">
                      <a:extLst>
                        <a:ext uri="{28A0092B-C50C-407E-A947-70E740481C1C}"/>
                      </a:extLst>
                    </a:blip>
                    <a:srcRect/>
                    <a:stretch>
                      <a:fillRect/>
                    </a:stretch>
                  </pic:blipFill>
                  <pic:spPr bwMode="auto">
                    <a:xfrm>
                      <a:off x="0" y="0"/>
                      <a:ext cx="2040255" cy="5016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-694055</wp:posOffset>
            </wp:positionV>
            <wp:extent cx="2040255" cy="501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7">
                      <a:extLst>
                        <a:ext uri="{28A0092B-C50C-407E-A947-70E740481C1C}"/>
                      </a:extLst>
                    </a:blip>
                    <a:srcRect/>
                    <a:stretch>
                      <a:fillRect/>
                    </a:stretch>
                  </pic:blipFill>
                  <pic:spPr bwMode="auto">
                    <a:xfrm>
                      <a:off x="0" y="0"/>
                      <a:ext cx="2040255" cy="5016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-565150</wp:posOffset>
            </wp:positionV>
            <wp:extent cx="2040255" cy="755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8">
                      <a:extLst>
                        <a:ext uri="{28A0092B-C50C-407E-A947-70E740481C1C}"/>
                      </a:extLst>
                    </a:blip>
                    <a:srcRect/>
                    <a:stretch>
                      <a:fillRect/>
                    </a:stretch>
                  </pic:blipFill>
                  <pic:spPr bwMode="auto">
                    <a:xfrm>
                      <a:off x="0" y="0"/>
                      <a:ext cx="2040255" cy="7556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160"/>
          </w:cols>
          <w:pgMar w:left="860" w:top="67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10160"/>
          </w:cols>
          <w:pgMar w:left="860" w:top="676" w:right="860" w:bottom="0" w:gutter="0" w:footer="0" w:header="0"/>
          <w:type w:val="continuous"/>
        </w:sectPr>
      </w:pPr>
    </w:p>
    <w:bookmarkStart w:id="112" w:name="page113"/>
    <w:bookmarkEnd w:id="112"/>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PLAINS ALL AMERICAN PIPELINE, L.P. AND SUBSIDIARIES CONSOLIDATED STATEMENTS OF CHANGES IN PARTNERS’ CAPITAL (in millions)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Limited Partners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8"/>
              </w:rPr>
              <w:t>Partners’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gridSpan w:val="6"/>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23"/>
              <w:spacing w:after="0" w:line="158"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vMerge w:val="restart"/>
          </w:tcPr>
          <w:p>
            <w:pPr>
              <w:jc w:val="center"/>
              <w:ind w:right="103"/>
              <w:spacing w:after="0" w:line="158" w:lineRule="exact"/>
              <w:rPr>
                <w:sz w:val="20"/>
                <w:szCs w:val="20"/>
                <w:color w:val="auto"/>
              </w:rPr>
            </w:pPr>
            <w:r>
              <w:rPr>
                <w:rFonts w:ascii="Times New Roman" w:cs="Times New Roman" w:eastAsia="Times New Roman" w:hAnsi="Times New Roman"/>
                <w:sz w:val="16"/>
                <w:szCs w:val="16"/>
                <w:b w:val="1"/>
                <w:bCs w:val="1"/>
                <w:color w:val="auto"/>
                <w:w w:val="97"/>
              </w:rPr>
              <w:t>Excluding</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restart"/>
          </w:tcPr>
          <w:p>
            <w:pPr>
              <w:jc w:val="center"/>
              <w:ind w:right="83"/>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14"/>
        </w:trPr>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gridSpan w:val="6"/>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Preferred Unitholders</w:t>
            </w:r>
          </w:p>
        </w:tc>
        <w:tc>
          <w:tcPr>
            <w:tcW w:w="8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6"/>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102"/>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restart"/>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Noncontrolling</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restart"/>
          </w:tcPr>
          <w:p>
            <w:pPr>
              <w:jc w:val="right"/>
              <w:ind w:right="2"/>
              <w:spacing w:after="0" w:line="158"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center"/>
              <w:ind w:right="83"/>
              <w:spacing w:after="0" w:line="158" w:lineRule="exact"/>
              <w:rPr>
                <w:sz w:val="20"/>
                <w:szCs w:val="20"/>
                <w:color w:val="auto"/>
              </w:rPr>
            </w:pPr>
            <w:r>
              <w:rPr>
                <w:rFonts w:ascii="Times New Roman" w:cs="Times New Roman" w:eastAsia="Times New Roman" w:hAnsi="Times New Roman"/>
                <w:sz w:val="16"/>
                <w:szCs w:val="16"/>
                <w:b w:val="1"/>
                <w:bCs w:val="1"/>
                <w:color w:val="auto"/>
                <w:w w:val="98"/>
              </w:rPr>
              <w:t>Partners’</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0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vMerge w:val="continue"/>
          </w:tcPr>
          <w:p>
            <w:pPr>
              <w:spacing w:after="0"/>
              <w:rPr>
                <w:sz w:val="18"/>
                <w:szCs w:val="18"/>
                <w:color w:val="auto"/>
              </w:rPr>
            </w:pPr>
          </w:p>
        </w:tc>
        <w:tc>
          <w:tcPr>
            <w:tcW w:w="102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Unitholders</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0" w:type="dxa"/>
            <w:vAlign w:val="bottom"/>
          </w:tcPr>
          <w:p>
            <w:pPr>
              <w:spacing w:after="0"/>
              <w:rPr>
                <w:sz w:val="1"/>
                <w:szCs w:val="1"/>
                <w:color w:val="auto"/>
              </w:rPr>
            </w:pPr>
          </w:p>
        </w:tc>
      </w:tr>
      <w:tr>
        <w:trPr>
          <w:trHeight w:val="297"/>
        </w:trPr>
        <w:tc>
          <w:tcPr>
            <w:tcW w:w="33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Balance at December 31, 2019</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28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10,770</w:t>
            </w:r>
          </w:p>
        </w:tc>
        <w:tc>
          <w:tcPr>
            <w:tcW w:w="28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13,062</w:t>
            </w:r>
          </w:p>
        </w:tc>
        <w:tc>
          <w:tcPr>
            <w:tcW w:w="30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2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13,195</w:t>
            </w:r>
          </w:p>
        </w:tc>
        <w:tc>
          <w:tcPr>
            <w:tcW w:w="0" w:type="dxa"/>
            <w:vAlign w:val="bottom"/>
          </w:tcPr>
          <w:p>
            <w:pPr>
              <w:spacing w:after="0"/>
              <w:rPr>
                <w:sz w:val="1"/>
                <w:szCs w:val="1"/>
                <w:color w:val="auto"/>
              </w:rPr>
            </w:pPr>
          </w:p>
        </w:tc>
      </w:tr>
      <w:tr>
        <w:trPr>
          <w:trHeight w:val="223"/>
        </w:trPr>
        <w:tc>
          <w:tcPr>
            <w:tcW w:w="3300" w:type="dxa"/>
            <w:vAlign w:val="bottom"/>
            <w:tcBorders>
              <w:top w:val="single" w:sz="8" w:color="E6E6E6"/>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E6E6E6"/>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E6E6E6"/>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Borders>
              <w:top w:val="single" w:sz="8" w:color="E6E6E6"/>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Borders>
              <w:top w:val="single" w:sz="8" w:color="E6E6E6"/>
            </w:tcBorders>
          </w:tcPr>
          <w:p>
            <w:pPr>
              <w:spacing w:after="0"/>
              <w:rPr>
                <w:sz w:val="19"/>
                <w:szCs w:val="19"/>
                <w:color w:val="auto"/>
              </w:rPr>
            </w:pPr>
          </w:p>
        </w:tc>
        <w:tc>
          <w:tcPr>
            <w:tcW w:w="20" w:type="dxa"/>
            <w:vAlign w:val="bottom"/>
            <w:tcBorders>
              <w:top w:val="single" w:sz="8" w:color="E6E6E6"/>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3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Net income/(loss)</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(2,788)</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(2,590)</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(2,580)</w:t>
            </w:r>
          </w:p>
        </w:tc>
        <w:tc>
          <w:tcPr>
            <w:tcW w:w="0" w:type="dxa"/>
            <w:vAlign w:val="bottom"/>
          </w:tcPr>
          <w:p>
            <w:pPr>
              <w:spacing w:after="0"/>
              <w:rPr>
                <w:sz w:val="1"/>
                <w:szCs w:val="1"/>
                <w:color w:val="auto"/>
              </w:rPr>
            </w:pPr>
          </w:p>
        </w:tc>
      </w:tr>
      <w:tr>
        <w:trPr>
          <w:trHeight w:val="291"/>
        </w:trPr>
        <w:tc>
          <w:tcPr>
            <w:tcW w:w="3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Distributions (Note 12)</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w:t>
            </w:r>
          </w:p>
        </w:tc>
        <w:tc>
          <w:tcPr>
            <w:tcW w:w="0" w:type="dxa"/>
            <w:vAlign w:val="bottom"/>
          </w:tcPr>
          <w:p>
            <w:pPr>
              <w:spacing w:after="0"/>
              <w:rPr>
                <w:sz w:val="1"/>
                <w:szCs w:val="1"/>
                <w:color w:val="auto"/>
              </w:rPr>
            </w:pPr>
          </w:p>
        </w:tc>
      </w:tr>
      <w:tr>
        <w:trPr>
          <w:trHeight w:val="303"/>
        </w:trPr>
        <w:tc>
          <w:tcPr>
            <w:tcW w:w="33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91"/>
        </w:trPr>
        <w:tc>
          <w:tcPr>
            <w:tcW w:w="3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Equity-indexed compensation expense</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303"/>
        </w:trPr>
        <w:tc>
          <w:tcPr>
            <w:tcW w:w="33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Repurchase of common units (Note 12)</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11"/>
        </w:trPr>
        <w:tc>
          <w:tcPr>
            <w:tcW w:w="3300" w:type="dxa"/>
            <w:vAlign w:val="bottom"/>
          </w:tcPr>
          <w:p>
            <w:pPr>
              <w:ind w:left="60"/>
              <w:spacing w:after="0" w:line="211" w:lineRule="exact"/>
              <w:rPr>
                <w:sz w:val="20"/>
                <w:szCs w:val="20"/>
                <w:color w:val="auto"/>
              </w:rPr>
            </w:pPr>
            <w:r>
              <w:rPr>
                <w:rFonts w:ascii="Times New Roman" w:cs="Times New Roman" w:eastAsia="Times New Roman" w:hAnsi="Times New Roman"/>
                <w:sz w:val="20"/>
                <w:szCs w:val="20"/>
                <w:color w:val="auto"/>
              </w:rPr>
              <w:t>Contributions from noncontrolling</w:t>
            </w:r>
          </w:p>
        </w:tc>
        <w:tc>
          <w:tcPr>
            <w:tcW w:w="2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72"/>
        </w:trPr>
        <w:tc>
          <w:tcPr>
            <w:tcW w:w="3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interests (Note 12)</w:t>
            </w:r>
          </w:p>
        </w:tc>
        <w:tc>
          <w:tcPr>
            <w:tcW w:w="20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330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78"/>
        </w:trPr>
        <w:tc>
          <w:tcPr>
            <w:tcW w:w="3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Balance at December 31, 2020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7,301</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9,593</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9,738</w:t>
            </w:r>
          </w:p>
        </w:tc>
        <w:tc>
          <w:tcPr>
            <w:tcW w:w="0" w:type="dxa"/>
            <w:vAlign w:val="bottom"/>
          </w:tcPr>
          <w:p>
            <w:pPr>
              <w:spacing w:after="0"/>
              <w:rPr>
                <w:sz w:val="1"/>
                <w:szCs w:val="1"/>
                <w:color w:val="auto"/>
              </w:rPr>
            </w:pPr>
          </w:p>
        </w:tc>
      </w:tr>
      <w:tr>
        <w:trPr>
          <w:trHeight w:val="223"/>
        </w:trPr>
        <w:tc>
          <w:tcPr>
            <w:tcW w:w="330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auto"/>
            </w:tcBorders>
            <w:shd w:val="clear" w:color="auto" w:fill="E6E6E6"/>
          </w:tcPr>
          <w:p>
            <w:pPr>
              <w:spacing w:after="0"/>
              <w:rPr>
                <w:sz w:val="19"/>
                <w:szCs w:val="19"/>
                <w:color w:val="auto"/>
              </w:rPr>
            </w:pPr>
          </w:p>
        </w:tc>
        <w:tc>
          <w:tcPr>
            <w:tcW w:w="82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spacing w:after="0"/>
              <w:rPr>
                <w:sz w:val="19"/>
                <w:szCs w:val="19"/>
                <w:color w:val="auto"/>
              </w:rPr>
            </w:pPr>
          </w:p>
        </w:tc>
        <w:tc>
          <w:tcPr>
            <w:tcW w:w="82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84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spacing w:after="0"/>
              <w:rPr>
                <w:sz w:val="19"/>
                <w:szCs w:val="19"/>
                <w:color w:val="auto"/>
              </w:rPr>
            </w:pPr>
          </w:p>
        </w:tc>
        <w:tc>
          <w:tcPr>
            <w:tcW w:w="100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980" w:type="dxa"/>
            <w:vAlign w:val="bottom"/>
            <w:tcBorders>
              <w:top w:val="single" w:sz="8" w:color="auto"/>
            </w:tcBorders>
            <w:shd w:val="clear" w:color="auto" w:fill="E6E6E6"/>
          </w:tcPr>
          <w:p>
            <w:pPr>
              <w:spacing w:after="0"/>
              <w:rPr>
                <w:sz w:val="19"/>
                <w:szCs w:val="19"/>
                <w:color w:val="auto"/>
              </w:rPr>
            </w:pPr>
          </w:p>
        </w:tc>
        <w:tc>
          <w:tcPr>
            <w:tcW w:w="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0" w:type="dxa"/>
            <w:vAlign w:val="bottom"/>
          </w:tcPr>
          <w:p>
            <w:pPr>
              <w:spacing w:after="0"/>
              <w:rPr>
                <w:sz w:val="1"/>
                <w:szCs w:val="1"/>
                <w:color w:val="auto"/>
              </w:rPr>
            </w:pPr>
          </w:p>
        </w:tc>
      </w:tr>
      <w:tr>
        <w:trPr>
          <w:trHeight w:val="303"/>
        </w:trPr>
        <w:tc>
          <w:tcPr>
            <w:tcW w:w="33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Distributions (Note 12)</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(715)</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(729)</w:t>
            </w:r>
          </w:p>
        </w:tc>
        <w:tc>
          <w:tcPr>
            <w:tcW w:w="0" w:type="dxa"/>
            <w:vAlign w:val="bottom"/>
          </w:tcPr>
          <w:p>
            <w:pPr>
              <w:spacing w:after="0"/>
              <w:rPr>
                <w:sz w:val="1"/>
                <w:szCs w:val="1"/>
                <w:color w:val="auto"/>
              </w:rPr>
            </w:pPr>
          </w:p>
        </w:tc>
      </w:tr>
      <w:tr>
        <w:trPr>
          <w:trHeight w:val="291"/>
        </w:trPr>
        <w:tc>
          <w:tcPr>
            <w:tcW w:w="3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303"/>
        </w:trPr>
        <w:tc>
          <w:tcPr>
            <w:tcW w:w="33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Equity-indexed compensation expense</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91"/>
        </w:trPr>
        <w:tc>
          <w:tcPr>
            <w:tcW w:w="3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Repurchase of common units (Note 12)</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0" w:type="dxa"/>
            <w:vAlign w:val="bottom"/>
          </w:tcPr>
          <w:p>
            <w:pPr>
              <w:spacing w:after="0"/>
              <w:rPr>
                <w:sz w:val="1"/>
                <w:szCs w:val="1"/>
                <w:color w:val="auto"/>
              </w:rPr>
            </w:pPr>
          </w:p>
        </w:tc>
      </w:tr>
      <w:tr>
        <w:trPr>
          <w:trHeight w:val="218"/>
        </w:trPr>
        <w:tc>
          <w:tcPr>
            <w:tcW w:w="3300" w:type="dxa"/>
            <w:vAlign w:val="bottom"/>
            <w:shd w:val="clear" w:color="auto" w:fill="E6E6E6"/>
          </w:tcPr>
          <w:p>
            <w:pPr>
              <w:ind w:left="60"/>
              <w:spacing w:after="0" w:line="218" w:lineRule="exact"/>
              <w:rPr>
                <w:sz w:val="20"/>
                <w:szCs w:val="20"/>
                <w:color w:val="auto"/>
              </w:rPr>
            </w:pPr>
            <w:r>
              <w:rPr>
                <w:rFonts w:ascii="Times New Roman" w:cs="Times New Roman" w:eastAsia="Times New Roman" w:hAnsi="Times New Roman"/>
                <w:sz w:val="20"/>
                <w:szCs w:val="20"/>
                <w:color w:val="auto"/>
              </w:rPr>
              <w:t>Contributions from noncontrolling</w:t>
            </w:r>
          </w:p>
        </w:tc>
        <w:tc>
          <w:tcPr>
            <w:tcW w:w="200" w:type="dxa"/>
            <w:vAlign w:val="bottom"/>
            <w:shd w:val="clear" w:color="auto" w:fill="E6E6E6"/>
          </w:tcPr>
          <w:p>
            <w:pPr>
              <w:spacing w:after="0"/>
              <w:rPr>
                <w:sz w:val="18"/>
                <w:szCs w:val="18"/>
                <w:color w:val="auto"/>
              </w:rPr>
            </w:pPr>
          </w:p>
        </w:tc>
        <w:tc>
          <w:tcPr>
            <w:tcW w:w="8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0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18"/>
                <w:szCs w:val="18"/>
                <w:color w:val="auto"/>
              </w:rPr>
            </w:pPr>
          </w:p>
        </w:tc>
        <w:tc>
          <w:tcPr>
            <w:tcW w:w="8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79"/>
        </w:trPr>
        <w:tc>
          <w:tcPr>
            <w:tcW w:w="3300" w:type="dxa"/>
            <w:vAlign w:val="bottom"/>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interests (Note 12)</w:t>
            </w:r>
          </w:p>
        </w:tc>
        <w:tc>
          <w:tcPr>
            <w:tcW w:w="200" w:type="dxa"/>
            <w:vAlign w:val="bottom"/>
            <w:shd w:val="clear" w:color="auto" w:fill="E6E6E6"/>
          </w:tcPr>
          <w:p>
            <w:pPr>
              <w:spacing w:after="0"/>
              <w:rPr>
                <w:sz w:val="24"/>
                <w:szCs w:val="24"/>
                <w:color w:val="auto"/>
              </w:rPr>
            </w:pPr>
          </w:p>
        </w:tc>
        <w:tc>
          <w:tcPr>
            <w:tcW w:w="820" w:type="dxa"/>
            <w:vAlign w:val="bottom"/>
            <w:vMerge w:val="continue"/>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00" w:type="dxa"/>
            <w:vAlign w:val="bottom"/>
            <w:gridSpan w:val="2"/>
            <w:vMerge w:val="continue"/>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840" w:type="dxa"/>
            <w:vAlign w:val="bottom"/>
            <w:vMerge w:val="continue"/>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vMerge w:val="continue"/>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80" w:type="dxa"/>
            <w:vAlign w:val="bottom"/>
            <w:vMerge w:val="continue"/>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860" w:type="dxa"/>
            <w:vAlign w:val="bottom"/>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60"/>
              <w:spacing w:after="0" w:line="211" w:lineRule="exact"/>
              <w:rPr>
                <w:sz w:val="20"/>
                <w:szCs w:val="20"/>
                <w:color w:val="auto"/>
              </w:rPr>
            </w:pPr>
            <w:r>
              <w:rPr>
                <w:rFonts w:ascii="Times New Roman" w:cs="Times New Roman" w:eastAsia="Times New Roman" w:hAnsi="Times New Roman"/>
                <w:sz w:val="20"/>
                <w:szCs w:val="20"/>
                <w:color w:val="auto"/>
              </w:rPr>
              <w:t>Plains Oryx Permian Basin LLC joint</w:t>
            </w:r>
          </w:p>
        </w:tc>
        <w:tc>
          <w:tcPr>
            <w:tcW w:w="2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2,651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3,256</w:t>
            </w:r>
          </w:p>
        </w:tc>
        <w:tc>
          <w:tcPr>
            <w:tcW w:w="0" w:type="dxa"/>
            <w:vAlign w:val="bottom"/>
          </w:tcPr>
          <w:p>
            <w:pPr>
              <w:spacing w:after="0"/>
              <w:rPr>
                <w:sz w:val="1"/>
                <w:szCs w:val="1"/>
                <w:color w:val="auto"/>
              </w:rPr>
            </w:pPr>
          </w:p>
        </w:tc>
      </w:tr>
      <w:tr>
        <w:trPr>
          <w:trHeight w:val="272"/>
        </w:trPr>
        <w:tc>
          <w:tcPr>
            <w:tcW w:w="3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venture formation (Note 7)</w:t>
            </w:r>
          </w:p>
        </w:tc>
        <w:tc>
          <w:tcPr>
            <w:tcW w:w="20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330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78"/>
        </w:trPr>
        <w:tc>
          <w:tcPr>
            <w:tcW w:w="3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Balance at December 31, 2021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7,680</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9,972</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2,838</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12,810</w:t>
            </w:r>
          </w:p>
        </w:tc>
        <w:tc>
          <w:tcPr>
            <w:tcW w:w="0" w:type="dxa"/>
            <w:vAlign w:val="bottom"/>
          </w:tcPr>
          <w:p>
            <w:pPr>
              <w:spacing w:after="0"/>
              <w:rPr>
                <w:sz w:val="1"/>
                <w:szCs w:val="1"/>
                <w:color w:val="auto"/>
              </w:rPr>
            </w:pPr>
          </w:p>
        </w:tc>
      </w:tr>
      <w:tr>
        <w:trPr>
          <w:trHeight w:val="223"/>
        </w:trPr>
        <w:tc>
          <w:tcPr>
            <w:tcW w:w="330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auto"/>
            </w:tcBorders>
            <w:shd w:val="clear" w:color="auto" w:fill="E6E6E6"/>
          </w:tcPr>
          <w:p>
            <w:pPr>
              <w:spacing w:after="0"/>
              <w:rPr>
                <w:sz w:val="19"/>
                <w:szCs w:val="19"/>
                <w:color w:val="auto"/>
              </w:rPr>
            </w:pPr>
          </w:p>
        </w:tc>
        <w:tc>
          <w:tcPr>
            <w:tcW w:w="82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spacing w:after="0"/>
              <w:rPr>
                <w:sz w:val="19"/>
                <w:szCs w:val="19"/>
                <w:color w:val="auto"/>
              </w:rPr>
            </w:pPr>
          </w:p>
        </w:tc>
        <w:tc>
          <w:tcPr>
            <w:tcW w:w="82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84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spacing w:after="0"/>
              <w:rPr>
                <w:sz w:val="19"/>
                <w:szCs w:val="19"/>
                <w:color w:val="auto"/>
              </w:rPr>
            </w:pPr>
          </w:p>
        </w:tc>
        <w:tc>
          <w:tcPr>
            <w:tcW w:w="1000" w:type="dxa"/>
            <w:vAlign w:val="bottom"/>
            <w:tcBorders>
              <w:top w:val="single" w:sz="8" w:color="auto"/>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980" w:type="dxa"/>
            <w:vAlign w:val="bottom"/>
            <w:tcBorders>
              <w:top w:val="single" w:sz="8" w:color="auto"/>
            </w:tcBorders>
            <w:shd w:val="clear" w:color="auto" w:fill="E6E6E6"/>
          </w:tcPr>
          <w:p>
            <w:pPr>
              <w:spacing w:after="0"/>
              <w:rPr>
                <w:sz w:val="19"/>
                <w:szCs w:val="19"/>
                <w:color w:val="auto"/>
              </w:rPr>
            </w:pPr>
          </w:p>
        </w:tc>
        <w:tc>
          <w:tcPr>
            <w:tcW w:w="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0" w:type="dxa"/>
            <w:vAlign w:val="bottom"/>
          </w:tcPr>
          <w:p>
            <w:pPr>
              <w:spacing w:after="0"/>
              <w:rPr>
                <w:sz w:val="1"/>
                <w:szCs w:val="1"/>
                <w:color w:val="auto"/>
              </w:rPr>
            </w:pPr>
          </w:p>
        </w:tc>
      </w:tr>
      <w:tr>
        <w:trPr>
          <w:trHeight w:val="303"/>
        </w:trPr>
        <w:tc>
          <w:tcPr>
            <w:tcW w:w="33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Distributions (Note 12)</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(1,083)</w:t>
            </w:r>
          </w:p>
        </w:tc>
        <w:tc>
          <w:tcPr>
            <w:tcW w:w="0" w:type="dxa"/>
            <w:vAlign w:val="bottom"/>
          </w:tcPr>
          <w:p>
            <w:pPr>
              <w:spacing w:after="0"/>
              <w:rPr>
                <w:sz w:val="1"/>
                <w:szCs w:val="1"/>
                <w:color w:val="auto"/>
              </w:rPr>
            </w:pPr>
          </w:p>
        </w:tc>
      </w:tr>
      <w:tr>
        <w:trPr>
          <w:trHeight w:val="291"/>
        </w:trPr>
        <w:tc>
          <w:tcPr>
            <w:tcW w:w="3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comprehensive loss</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303"/>
        </w:trPr>
        <w:tc>
          <w:tcPr>
            <w:tcW w:w="33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Equity-indexed compensation expense</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91"/>
        </w:trPr>
        <w:tc>
          <w:tcPr>
            <w:tcW w:w="3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Repurchase of common units (Note 12)</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18"/>
        </w:trPr>
        <w:tc>
          <w:tcPr>
            <w:tcW w:w="3300" w:type="dxa"/>
            <w:vAlign w:val="bottom"/>
            <w:shd w:val="clear" w:color="auto" w:fill="E6E6E6"/>
          </w:tcPr>
          <w:p>
            <w:pPr>
              <w:ind w:left="60"/>
              <w:spacing w:after="0" w:line="218" w:lineRule="exact"/>
              <w:rPr>
                <w:sz w:val="20"/>
                <w:szCs w:val="20"/>
                <w:color w:val="auto"/>
              </w:rPr>
            </w:pPr>
            <w:r>
              <w:rPr>
                <w:rFonts w:ascii="Times New Roman" w:cs="Times New Roman" w:eastAsia="Times New Roman" w:hAnsi="Times New Roman"/>
                <w:sz w:val="20"/>
                <w:szCs w:val="20"/>
                <w:color w:val="auto"/>
              </w:rPr>
              <w:t>Contributions from noncontrolling</w:t>
            </w:r>
          </w:p>
        </w:tc>
        <w:tc>
          <w:tcPr>
            <w:tcW w:w="200" w:type="dxa"/>
            <w:vAlign w:val="bottom"/>
            <w:shd w:val="clear" w:color="auto" w:fill="E6E6E6"/>
          </w:tcPr>
          <w:p>
            <w:pPr>
              <w:spacing w:after="0"/>
              <w:rPr>
                <w:sz w:val="18"/>
                <w:szCs w:val="18"/>
                <w:color w:val="auto"/>
              </w:rPr>
            </w:pPr>
          </w:p>
        </w:tc>
        <w:tc>
          <w:tcPr>
            <w:tcW w:w="8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0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18"/>
                <w:szCs w:val="18"/>
                <w:color w:val="auto"/>
              </w:rPr>
            </w:pPr>
          </w:p>
        </w:tc>
        <w:tc>
          <w:tcPr>
            <w:tcW w:w="8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79"/>
        </w:trPr>
        <w:tc>
          <w:tcPr>
            <w:tcW w:w="3300" w:type="dxa"/>
            <w:vAlign w:val="bottom"/>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interests (Note 12)</w:t>
            </w:r>
          </w:p>
        </w:tc>
        <w:tc>
          <w:tcPr>
            <w:tcW w:w="200" w:type="dxa"/>
            <w:vAlign w:val="bottom"/>
            <w:shd w:val="clear" w:color="auto" w:fill="E6E6E6"/>
          </w:tcPr>
          <w:p>
            <w:pPr>
              <w:spacing w:after="0"/>
              <w:rPr>
                <w:sz w:val="24"/>
                <w:szCs w:val="24"/>
                <w:color w:val="auto"/>
              </w:rPr>
            </w:pPr>
          </w:p>
        </w:tc>
        <w:tc>
          <w:tcPr>
            <w:tcW w:w="820" w:type="dxa"/>
            <w:vAlign w:val="bottom"/>
            <w:vMerge w:val="continue"/>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00" w:type="dxa"/>
            <w:vAlign w:val="bottom"/>
            <w:gridSpan w:val="2"/>
            <w:vMerge w:val="continue"/>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840" w:type="dxa"/>
            <w:vAlign w:val="bottom"/>
            <w:vMerge w:val="continue"/>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vMerge w:val="continue"/>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80" w:type="dxa"/>
            <w:vAlign w:val="bottom"/>
            <w:vMerge w:val="continue"/>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860" w:type="dxa"/>
            <w:vAlign w:val="bottom"/>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60"/>
              <w:spacing w:after="0" w:line="211" w:lineRule="exact"/>
              <w:rPr>
                <w:sz w:val="20"/>
                <w:szCs w:val="20"/>
                <w:color w:val="auto"/>
              </w:rPr>
            </w:pPr>
            <w:r>
              <w:rPr>
                <w:rFonts w:ascii="Times New Roman" w:cs="Times New Roman" w:eastAsia="Times New Roman" w:hAnsi="Times New Roman"/>
                <w:sz w:val="20"/>
                <w:szCs w:val="20"/>
                <w:color w:val="auto"/>
              </w:rPr>
              <w:t>Plains Oryx Permian Basin LLC joint</w:t>
            </w:r>
          </w:p>
        </w:tc>
        <w:tc>
          <w:tcPr>
            <w:tcW w:w="2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72"/>
        </w:trPr>
        <w:tc>
          <w:tcPr>
            <w:tcW w:w="3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venture formation (Note 7)</w:t>
            </w:r>
          </w:p>
        </w:tc>
        <w:tc>
          <w:tcPr>
            <w:tcW w:w="20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E6E6E6"/>
          </w:tcPr>
          <w:p>
            <w:pPr>
              <w:ind w:left="60"/>
              <w:spacing w:after="0" w:line="218" w:lineRule="exact"/>
              <w:rPr>
                <w:sz w:val="20"/>
                <w:szCs w:val="20"/>
                <w:color w:val="auto"/>
              </w:rPr>
            </w:pPr>
            <w:r>
              <w:rPr>
                <w:rFonts w:ascii="Times New Roman" w:cs="Times New Roman" w:eastAsia="Times New Roman" w:hAnsi="Times New Roman"/>
                <w:sz w:val="20"/>
                <w:szCs w:val="20"/>
                <w:color w:val="auto"/>
              </w:rPr>
              <w:t>Cactus II Pipeline LLC transaction</w:t>
            </w:r>
          </w:p>
        </w:tc>
        <w:tc>
          <w:tcPr>
            <w:tcW w:w="200" w:type="dxa"/>
            <w:vAlign w:val="bottom"/>
            <w:shd w:val="clear" w:color="auto" w:fill="E6E6E6"/>
          </w:tcPr>
          <w:p>
            <w:pPr>
              <w:spacing w:after="0"/>
              <w:rPr>
                <w:sz w:val="18"/>
                <w:szCs w:val="18"/>
                <w:color w:val="auto"/>
              </w:rPr>
            </w:pPr>
          </w:p>
        </w:tc>
        <w:tc>
          <w:tcPr>
            <w:tcW w:w="8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0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18"/>
                <w:szCs w:val="18"/>
                <w:color w:val="auto"/>
              </w:rPr>
            </w:pPr>
          </w:p>
        </w:tc>
        <w:tc>
          <w:tcPr>
            <w:tcW w:w="8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0" w:type="dxa"/>
            <w:vAlign w:val="bottom"/>
          </w:tcPr>
          <w:p>
            <w:pPr>
              <w:spacing w:after="0"/>
              <w:rPr>
                <w:sz w:val="1"/>
                <w:szCs w:val="1"/>
                <w:color w:val="auto"/>
              </w:rPr>
            </w:pPr>
          </w:p>
        </w:tc>
      </w:tr>
      <w:tr>
        <w:trPr>
          <w:trHeight w:val="279"/>
        </w:trPr>
        <w:tc>
          <w:tcPr>
            <w:tcW w:w="3300" w:type="dxa"/>
            <w:vAlign w:val="bottom"/>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(Note 7)</w:t>
            </w:r>
          </w:p>
        </w:tc>
        <w:tc>
          <w:tcPr>
            <w:tcW w:w="200" w:type="dxa"/>
            <w:vAlign w:val="bottom"/>
            <w:shd w:val="clear" w:color="auto" w:fill="E6E6E6"/>
          </w:tcPr>
          <w:p>
            <w:pPr>
              <w:spacing w:after="0"/>
              <w:rPr>
                <w:sz w:val="24"/>
                <w:szCs w:val="24"/>
                <w:color w:val="auto"/>
              </w:rPr>
            </w:pPr>
          </w:p>
        </w:tc>
        <w:tc>
          <w:tcPr>
            <w:tcW w:w="820" w:type="dxa"/>
            <w:vAlign w:val="bottom"/>
            <w:vMerge w:val="continue"/>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00" w:type="dxa"/>
            <w:vAlign w:val="bottom"/>
            <w:gridSpan w:val="2"/>
            <w:vMerge w:val="continue"/>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840" w:type="dxa"/>
            <w:vAlign w:val="bottom"/>
            <w:vMerge w:val="continue"/>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vMerge w:val="continue"/>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80" w:type="dxa"/>
            <w:vAlign w:val="bottom"/>
            <w:vMerge w:val="continue"/>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860" w:type="dxa"/>
            <w:vAlign w:val="bottom"/>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30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97"/>
        </w:trPr>
        <w:tc>
          <w:tcPr>
            <w:tcW w:w="330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120" w:type="dxa"/>
            <w:vAlign w:val="bottom"/>
            <w:tcBorders>
              <w:bottom w:val="single" w:sz="8" w:color="E6E6E6"/>
            </w:tcBorders>
            <w:gridSpan w:val="3"/>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7,765</w:t>
            </w:r>
          </w:p>
        </w:tc>
        <w:tc>
          <w:tcPr>
            <w:tcW w:w="120" w:type="dxa"/>
            <w:vAlign w:val="bottom"/>
            <w:tcBorders>
              <w:bottom w:val="single" w:sz="8" w:color="E6E6E6"/>
            </w:tcBorders>
            <w:gridSpan w:val="3"/>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10,057</w:t>
            </w:r>
          </w:p>
        </w:tc>
        <w:tc>
          <w:tcPr>
            <w:tcW w:w="120" w:type="dxa"/>
            <w:vAlign w:val="bottom"/>
            <w:tcBorders>
              <w:bottom w:val="single" w:sz="8" w:color="E6E6E6"/>
            </w:tcBorders>
            <w:gridSpan w:val="3"/>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3,268</w:t>
            </w:r>
          </w:p>
        </w:tc>
        <w:tc>
          <w:tcPr>
            <w:tcW w:w="100" w:type="dxa"/>
            <w:vAlign w:val="bottom"/>
            <w:tcBorders>
              <w:bottom w:val="single" w:sz="8" w:color="E6E6E6"/>
            </w:tcBorders>
            <w:gridSpan w:val="3"/>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-6540500</wp:posOffset>
            </wp:positionV>
            <wp:extent cx="4406900" cy="501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19">
                      <a:extLst>
                        <a:ext uri="{28A0092B-C50C-407E-A947-70E740481C1C}"/>
                      </a:extLst>
                    </a:blip>
                    <a:srcRect/>
                    <a:stretch>
                      <a:fillRect/>
                    </a:stretch>
                  </pic:blipFill>
                  <pic:spPr bwMode="auto">
                    <a:xfrm>
                      <a:off x="0" y="0"/>
                      <a:ext cx="4406900" cy="5016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-6364605</wp:posOffset>
            </wp:positionV>
            <wp:extent cx="4406900" cy="755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0">
                      <a:extLst>
                        <a:ext uri="{28A0092B-C50C-407E-A947-70E740481C1C}"/>
                      </a:extLst>
                    </a:blip>
                    <a:srcRect/>
                    <a:stretch>
                      <a:fillRect/>
                    </a:stretch>
                  </pic:blipFill>
                  <pic:spPr bwMode="auto">
                    <a:xfrm>
                      <a:off x="0" y="0"/>
                      <a:ext cx="4406900" cy="7556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-4748530</wp:posOffset>
            </wp:positionV>
            <wp:extent cx="4406900" cy="501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1">
                      <a:extLst>
                        <a:ext uri="{28A0092B-C50C-407E-A947-70E740481C1C}"/>
                      </a:extLst>
                    </a:blip>
                    <a:srcRect/>
                    <a:stretch>
                      <a:fillRect/>
                    </a:stretch>
                  </pic:blipFill>
                  <pic:spPr bwMode="auto">
                    <a:xfrm>
                      <a:off x="0" y="0"/>
                      <a:ext cx="4406900" cy="5016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-4572635</wp:posOffset>
            </wp:positionV>
            <wp:extent cx="4406900" cy="755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2">
                      <a:extLst>
                        <a:ext uri="{28A0092B-C50C-407E-A947-70E740481C1C}"/>
                      </a:extLst>
                    </a:blip>
                    <a:srcRect/>
                    <a:stretch>
                      <a:fillRect/>
                    </a:stretch>
                  </pic:blipFill>
                  <pic:spPr bwMode="auto">
                    <a:xfrm>
                      <a:off x="0" y="0"/>
                      <a:ext cx="4406900" cy="7556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-2646045</wp:posOffset>
            </wp:positionV>
            <wp:extent cx="4406900" cy="501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23">
                      <a:extLst>
                        <a:ext uri="{28A0092B-C50C-407E-A947-70E740481C1C}"/>
                      </a:extLst>
                    </a:blip>
                    <a:srcRect/>
                    <a:stretch>
                      <a:fillRect/>
                    </a:stretch>
                  </pic:blipFill>
                  <pic:spPr bwMode="auto">
                    <a:xfrm>
                      <a:off x="0" y="0"/>
                      <a:ext cx="4406900" cy="5016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-2470150</wp:posOffset>
            </wp:positionV>
            <wp:extent cx="4406900" cy="755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4">
                      <a:extLst>
                        <a:ext uri="{28A0092B-C50C-407E-A947-70E740481C1C}"/>
                      </a:extLst>
                    </a:blip>
                    <a:srcRect/>
                    <a:stretch>
                      <a:fillRect/>
                    </a:stretch>
                  </pic:blipFill>
                  <pic:spPr bwMode="auto">
                    <a:xfrm>
                      <a:off x="0" y="0"/>
                      <a:ext cx="4406900" cy="7556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-231775</wp:posOffset>
            </wp:positionV>
            <wp:extent cx="4406900" cy="501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5">
                      <a:extLst>
                        <a:ext uri="{28A0092B-C50C-407E-A947-70E740481C1C}"/>
                      </a:extLst>
                    </a:blip>
                    <a:srcRect/>
                    <a:stretch>
                      <a:fillRect/>
                    </a:stretch>
                  </pic:blipFill>
                  <pic:spPr bwMode="auto">
                    <a:xfrm>
                      <a:off x="0" y="0"/>
                      <a:ext cx="4406900" cy="5016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-55880</wp:posOffset>
            </wp:positionV>
            <wp:extent cx="4406900" cy="755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26">
                      <a:extLst>
                        <a:ext uri="{28A0092B-C50C-407E-A947-70E740481C1C}"/>
                      </a:extLst>
                    </a:blip>
                    <a:srcRect/>
                    <a:stretch>
                      <a:fillRect/>
                    </a:stretch>
                  </pic:blipFill>
                  <pic:spPr bwMode="auto">
                    <a:xfrm>
                      <a:off x="0" y="0"/>
                      <a:ext cx="4406900" cy="7556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160"/>
          </w:cols>
          <w:pgMar w:left="860" w:top="67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10160"/>
          </w:cols>
          <w:pgMar w:left="860" w:top="676" w:right="860" w:bottom="0" w:gutter="0" w:footer="0" w:header="0"/>
          <w:type w:val="continuous"/>
        </w:sectPr>
      </w:pPr>
    </w:p>
    <w:bookmarkStart w:id="113" w:name="page114"/>
    <w:bookmarkEnd w:id="113"/>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367" w:lineRule="exact"/>
        <w:rPr>
          <w:sz w:val="20"/>
          <w:szCs w:val="20"/>
          <w:color w:val="auto"/>
        </w:rPr>
      </w:pPr>
    </w:p>
    <w:p>
      <w:pPr>
        <w:ind w:right="4500"/>
        <w:spacing w:after="0" w:line="499" w:lineRule="auto"/>
        <w:rPr>
          <w:sz w:val="20"/>
          <w:szCs w:val="20"/>
          <w:color w:val="auto"/>
        </w:rPr>
      </w:pPr>
      <w:r>
        <w:rPr>
          <w:rFonts w:ascii="Times New Roman" w:cs="Times New Roman" w:eastAsia="Times New Roman" w:hAnsi="Times New Roman"/>
          <w:sz w:val="20"/>
          <w:szCs w:val="20"/>
          <w:b w:val="1"/>
          <w:bCs w:val="1"/>
          <w:color w:val="auto"/>
        </w:rPr>
        <w:t xml:space="preserve">Note 1—Organization and Basis of Consolidation and Presentation </w:t>
      </w:r>
      <w:r>
        <w:rPr>
          <w:rFonts w:ascii="Times New Roman" w:cs="Times New Roman" w:eastAsia="Times New Roman" w:hAnsi="Times New Roman"/>
          <w:sz w:val="20"/>
          <w:szCs w:val="20"/>
          <w:b w:val="1"/>
          <w:bCs w:val="1"/>
          <w:i w:val="1"/>
          <w:iCs w:val="1"/>
          <w:color w:val="auto"/>
        </w:rPr>
        <w:t>Organization</w:t>
      </w:r>
    </w:p>
    <w:p>
      <w:pPr>
        <w:spacing w:after="0" w:line="1" w:lineRule="exact"/>
        <w:rPr>
          <w:sz w:val="20"/>
          <w:szCs w:val="20"/>
          <w:color w:val="auto"/>
        </w:rPr>
      </w:pPr>
    </w:p>
    <w:p>
      <w:pPr>
        <w:ind w:right="80" w:firstLine="713"/>
        <w:spacing w:after="0" w:line="283" w:lineRule="auto"/>
        <w:rPr>
          <w:sz w:val="20"/>
          <w:szCs w:val="20"/>
          <w:color w:val="auto"/>
        </w:rPr>
      </w:pPr>
      <w:r>
        <w:rPr>
          <w:rFonts w:ascii="Times New Roman" w:cs="Times New Roman" w:eastAsia="Times New Roman" w:hAnsi="Times New Roman"/>
          <w:sz w:val="19"/>
          <w:szCs w:val="19"/>
          <w:color w:val="auto"/>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spacing w:after="0" w:line="178" w:lineRule="exact"/>
        <w:rPr>
          <w:sz w:val="20"/>
          <w:szCs w:val="20"/>
          <w:color w:val="auto"/>
        </w:rPr>
      </w:pPr>
    </w:p>
    <w:p>
      <w:pPr>
        <w:ind w:right="40" w:firstLine="713"/>
        <w:spacing w:after="0" w:line="253" w:lineRule="auto"/>
        <w:rPr>
          <w:sz w:val="20"/>
          <w:szCs w:val="20"/>
          <w:color w:val="auto"/>
        </w:rPr>
      </w:pPr>
      <w:r>
        <w:rPr>
          <w:rFonts w:ascii="Times New Roman" w:cs="Times New Roman" w:eastAsia="Times New Roman" w:hAnsi="Times New Roman"/>
          <w:sz w:val="20"/>
          <w:szCs w:val="20"/>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20 for further discussion of our operating segments.</w:t>
      </w:r>
    </w:p>
    <w:p>
      <w:pPr>
        <w:spacing w:after="0" w:line="204" w:lineRule="exact"/>
        <w:rPr>
          <w:sz w:val="20"/>
          <w:szCs w:val="20"/>
          <w:color w:val="auto"/>
        </w:rPr>
      </w:pPr>
    </w:p>
    <w:p>
      <w:pPr>
        <w:ind w:right="40" w:firstLine="713"/>
        <w:spacing w:after="0" w:line="253" w:lineRule="auto"/>
        <w:rPr>
          <w:sz w:val="20"/>
          <w:szCs w:val="20"/>
          <w:color w:val="auto"/>
        </w:rPr>
      </w:pPr>
      <w:r>
        <w:rPr>
          <w:rFonts w:ascii="Times New Roman" w:cs="Times New Roman" w:eastAsia="Times New Roman" w:hAnsi="Times New Roman"/>
          <w:sz w:val="20"/>
          <w:szCs w:val="20"/>
          <w:color w:val="auto"/>
        </w:rPr>
        <w:t>Our non-economic general partner interest is held by PAA GP LLC (“PAA GP”), a Delaware limited liability company, whose sole member is Plains AAP, L.P. (“AAP”), a Delaware limited partnership. In addition to its ownership of PAA GP, as of December 31, 2022, AAP also owned a limited partner interest in us through its ownership of approximately 241.0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December 31, 2022, owned an approximate 81% limited partner interest in AAP. PAA GP Holdings LLC (“PAGP GP”) is the general partner of PAGP.</w:t>
      </w:r>
    </w:p>
    <w:p>
      <w:pPr>
        <w:spacing w:after="0" w:line="204" w:lineRule="exact"/>
        <w:rPr>
          <w:sz w:val="20"/>
          <w:szCs w:val="20"/>
          <w:color w:val="auto"/>
        </w:rPr>
      </w:pPr>
    </w:p>
    <w:p>
      <w:pPr>
        <w:ind w:right="180" w:firstLine="713"/>
        <w:spacing w:after="0" w:line="258" w:lineRule="auto"/>
        <w:rPr>
          <w:sz w:val="20"/>
          <w:szCs w:val="20"/>
          <w:color w:val="auto"/>
        </w:rPr>
      </w:pPr>
      <w:r>
        <w:rPr>
          <w:rFonts w:ascii="Times New Roman" w:cs="Times New Roman" w:eastAsia="Times New Roman" w:hAnsi="Times New Roman"/>
          <w:sz w:val="20"/>
          <w:szCs w:val="20"/>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199" w:lineRule="exact"/>
        <w:rPr>
          <w:sz w:val="20"/>
          <w:szCs w:val="20"/>
          <w:color w:val="auto"/>
        </w:rPr>
      </w:pPr>
    </w:p>
    <w:p>
      <w:pPr>
        <w:ind w:firstLine="713"/>
        <w:spacing w:after="0" w:line="263" w:lineRule="auto"/>
        <w:rPr>
          <w:sz w:val="20"/>
          <w:szCs w:val="20"/>
          <w:color w:val="auto"/>
        </w:rPr>
      </w:pPr>
      <w:r>
        <w:rPr>
          <w:rFonts w:ascii="Times New Roman" w:cs="Times New Roman" w:eastAsia="Times New Roman" w:hAnsi="Times New Roman"/>
          <w:sz w:val="20"/>
          <w:szCs w:val="20"/>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ectPr>
          <w:pgSz w:w="11880" w:h="15480" w:orient="portrait"/>
          <w:cols w:equalWidth="0" w:num="1">
            <w:col w:w="10140"/>
          </w:cols>
          <w:pgMar w:left="860" w:top="43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F-10</w:t>
      </w:r>
    </w:p>
    <w:p>
      <w:pPr>
        <w:sectPr>
          <w:pgSz w:w="11880" w:h="15480" w:orient="portrait"/>
          <w:cols w:equalWidth="0" w:num="1">
            <w:col w:w="10140"/>
          </w:cols>
          <w:pgMar w:left="860" w:top="435" w:right="880" w:bottom="0" w:gutter="0" w:footer="0" w:header="0"/>
          <w:type w:val="continuous"/>
        </w:sectPr>
      </w:pPr>
    </w:p>
    <w:bookmarkStart w:id="114" w:name="page115"/>
    <w:bookmarkEnd w:id="114"/>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Definitions</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Additional defined terms are used in the following notes and shall have the meanings indicated below:</w:t>
      </w:r>
    </w:p>
    <w:p>
      <w:pPr>
        <w:spacing w:after="0" w:line="319" w:lineRule="exact"/>
        <w:rPr>
          <w:sz w:val="20"/>
          <w:szCs w:val="20"/>
          <w:color w:val="auto"/>
        </w:rPr>
      </w:pPr>
    </w:p>
    <w:tbl>
      <w:tblPr>
        <w:tblLayout w:type="fixed"/>
        <w:tblInd w:w="60" w:type="dxa"/>
        <w:tblCellMar>
          <w:top w:w="0" w:type="dxa"/>
          <w:left w:w="0" w:type="dxa"/>
          <w:bottom w:w="0" w:type="dxa"/>
          <w:right w:w="0" w:type="dxa"/>
        </w:tblCellMar>
      </w:tblPr>
      <w:tr>
        <w:trPr>
          <w:trHeight w:val="259"/>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AOCI</w:t>
            </w: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   Accumulated other comprehensive income/(loss)</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ASC</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Accounting Standards Codification</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ASU</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Accounting Standards Update</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Bcf</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Billion cubic feet</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Btu</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British thermal unit</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CAD</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Canadian dollar</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CODM</w:t>
            </w: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   Chief Operating Decision Maker</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DERs</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Distribution equivalent rights</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EBITDA</w:t>
            </w: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   Earnings before interest, taxes, depreciation and amortization</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EPA</w:t>
            </w: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   United States Environmental Protection Agency</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FASB</w:t>
            </w: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   Financial Accounting Standards Board</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GAAP</w:t>
            </w: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   Generally accepted accounting principles in the United States</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ICE</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Intercontinental Exchange</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ISDA</w:t>
            </w: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   International Swaps and Derivatives Association</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LIBOR</w:t>
            </w: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   London Interbank Offered Rate</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LTIP</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Long-term incentive plan</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Mcf</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Thousand cubic feet</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MMbls</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Million barrels</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MLP</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Master limited partnership</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NGL</w:t>
            </w: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   Natural gas liquids, including ethane, propane and butane</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NYMEX</w:t>
            </w: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   New York Mercantile Exchange</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SEC</w:t>
            </w: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   United States Securities and Exchange Commission</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TWh</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Terawatt hour</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United States</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USD</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United States dollar</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WTI</w:t>
            </w:r>
          </w:p>
        </w:tc>
        <w:tc>
          <w:tcPr>
            <w:tcW w:w="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West Texas Intermediate</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Consolidation and Presentation</w:t>
      </w:r>
    </w:p>
    <w:p>
      <w:pPr>
        <w:spacing w:after="0" w:line="253" w:lineRule="exact"/>
        <w:rPr>
          <w:sz w:val="20"/>
          <w:szCs w:val="20"/>
          <w:color w:val="auto"/>
        </w:rPr>
      </w:pPr>
    </w:p>
    <w:p>
      <w:pPr>
        <w:ind w:firstLine="713"/>
        <w:spacing w:after="0" w:line="255" w:lineRule="auto"/>
        <w:rPr>
          <w:sz w:val="20"/>
          <w:szCs w:val="20"/>
          <w:color w:val="auto"/>
        </w:rPr>
      </w:pPr>
      <w:r>
        <w:rPr>
          <w:rFonts w:ascii="Times New Roman" w:cs="Times New Roman" w:eastAsia="Times New Roman" w:hAnsi="Times New Roman"/>
          <w:sz w:val="20"/>
          <w:szCs w:val="20"/>
          <w:color w:val="auto"/>
        </w:rPr>
        <w:t>The accompanying financial statements and related notes present and discuss our consolidated financial position as of December 31, 2022 and 2021, and the consolidated results of our operations, cash flows, changes in partners’ capital, comprehensive income and changes in accumulated other comprehensive income/(loss) for the years ended December 31, 2022, 2021 and 2020. All significant intercompany balances and transactions have been eliminated in consolidation, and certain reclassifications have been made to information from previous years to conform to the current presentation.</w:t>
      </w:r>
    </w:p>
    <w:p>
      <w:pPr>
        <w:spacing w:after="0" w:line="204" w:lineRule="exact"/>
        <w:rPr>
          <w:sz w:val="20"/>
          <w:szCs w:val="20"/>
          <w:color w:val="auto"/>
        </w:rPr>
      </w:pPr>
    </w:p>
    <w:p>
      <w:pPr>
        <w:ind w:right="180" w:firstLine="713"/>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Subsequent Events</w:t>
      </w:r>
    </w:p>
    <w:p>
      <w:pPr>
        <w:spacing w:after="0" w:line="253" w:lineRule="exact"/>
        <w:rPr>
          <w:sz w:val="20"/>
          <w:szCs w:val="20"/>
          <w:color w:val="auto"/>
        </w:rPr>
      </w:pPr>
    </w:p>
    <w:p>
      <w:pPr>
        <w:ind w:right="220" w:firstLine="713"/>
        <w:spacing w:after="0" w:line="278" w:lineRule="auto"/>
        <w:rPr>
          <w:sz w:val="20"/>
          <w:szCs w:val="20"/>
          <w:color w:val="auto"/>
        </w:rPr>
      </w:pPr>
      <w:r>
        <w:rPr>
          <w:rFonts w:ascii="Times New Roman" w:cs="Times New Roman" w:eastAsia="Times New Roman" w:hAnsi="Times New Roman"/>
          <w:sz w:val="20"/>
          <w:szCs w:val="20"/>
          <w:color w:val="auto"/>
        </w:rPr>
        <w:t>Subsequent events have been evaluated through the financial statements issuance date and have been included in the following footnotes where applicable.</w:t>
      </w:r>
    </w:p>
    <w:p>
      <w:pPr>
        <w:sectPr>
          <w:pgSz w:w="11880" w:h="15480" w:orient="portrait"/>
          <w:cols w:equalWidth="0" w:num="1">
            <w:col w:w="10140"/>
          </w:cols>
          <w:pgMar w:left="860" w:top="43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10140"/>
          </w:cols>
          <w:pgMar w:left="860" w:top="435" w:right="880" w:bottom="0" w:gutter="0" w:footer="0" w:header="0"/>
          <w:type w:val="continuous"/>
        </w:sectPr>
      </w:pPr>
    </w:p>
    <w:bookmarkStart w:id="115" w:name="page116"/>
    <w:bookmarkEnd w:id="11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right="2180" w:firstLine="2228"/>
        <w:spacing w:after="0" w:line="409" w:lineRule="auto"/>
        <w:rPr>
          <w:sz w:val="20"/>
          <w:szCs w:val="20"/>
          <w:color w:val="auto"/>
        </w:rPr>
      </w:pPr>
      <w:r>
        <w:rPr>
          <w:rFonts w:ascii="Times New Roman" w:cs="Times New Roman" w:eastAsia="Times New Roman" w:hAnsi="Times New Roman"/>
          <w:sz w:val="20"/>
          <w:szCs w:val="20"/>
          <w:b w:val="1"/>
          <w:bCs w:val="1"/>
          <w:color w:val="auto"/>
        </w:rPr>
        <w:t>NOTES TO THE CONSOLIDATED FINANCIAL STATEMENTS Note 2—Summary of Significant Accounting Policies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14" w:lineRule="exact"/>
        <w:rPr>
          <w:sz w:val="20"/>
          <w:szCs w:val="20"/>
          <w:color w:val="auto"/>
        </w:rPr>
      </w:pPr>
    </w:p>
    <w:p>
      <w:pPr>
        <w:ind w:firstLine="713"/>
        <w:spacing w:after="0" w:line="261"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w:t>
      </w:r>
    </w:p>
    <w:p>
      <w:pPr>
        <w:ind w:right="720" w:firstLine="1"/>
        <w:spacing w:after="0" w:line="283" w:lineRule="auto"/>
        <w:tabs>
          <w:tab w:leader="none" w:pos="335"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Purchases and Related Costs</w:t>
      </w:r>
    </w:p>
    <w:p>
      <w:pPr>
        <w:spacing w:after="0" w:line="253" w:lineRule="exact"/>
        <w:rPr>
          <w:sz w:val="20"/>
          <w:szCs w:val="20"/>
          <w:color w:val="auto"/>
        </w:rPr>
      </w:pPr>
    </w:p>
    <w:p>
      <w:pPr>
        <w:ind w:right="60" w:firstLine="713"/>
        <w:spacing w:after="0" w:line="255" w:lineRule="auto"/>
        <w:rPr>
          <w:sz w:val="20"/>
          <w:szCs w:val="20"/>
          <w:color w:val="auto"/>
        </w:rPr>
      </w:pPr>
      <w:r>
        <w:rPr>
          <w:rFonts w:ascii="Times New Roman" w:cs="Times New Roman" w:eastAsia="Times New Roman" w:hAnsi="Times New Roman"/>
          <w:sz w:val="20"/>
          <w:szCs w:val="20"/>
          <w:color w:val="auto"/>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Field Operating Costs and General and Administrative Expenses</w:t>
      </w:r>
    </w:p>
    <w:p>
      <w:pPr>
        <w:spacing w:after="0" w:line="253" w:lineRule="exact"/>
        <w:rPr>
          <w:sz w:val="20"/>
          <w:szCs w:val="20"/>
          <w:color w:val="auto"/>
        </w:rPr>
      </w:pPr>
    </w:p>
    <w:p>
      <w:pPr>
        <w:ind w:right="140" w:firstLine="713"/>
        <w:spacing w:after="0" w:line="269" w:lineRule="auto"/>
        <w:rPr>
          <w:sz w:val="20"/>
          <w:szCs w:val="20"/>
          <w:color w:val="auto"/>
        </w:rPr>
      </w:pPr>
      <w:r>
        <w:rPr>
          <w:rFonts w:ascii="Times New Roman" w:cs="Times New Roman" w:eastAsia="Times New Roman" w:hAnsi="Times New Roman"/>
          <w:sz w:val="19"/>
          <w:szCs w:val="19"/>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Transactions/Translation</w:t>
      </w:r>
    </w:p>
    <w:p>
      <w:pPr>
        <w:spacing w:after="0" w:line="253" w:lineRule="exact"/>
        <w:rPr>
          <w:sz w:val="20"/>
          <w:szCs w:val="20"/>
          <w:color w:val="auto"/>
        </w:rPr>
      </w:pPr>
    </w:p>
    <w:p>
      <w:pPr>
        <w:ind w:right="240" w:firstLine="713"/>
        <w:spacing w:after="0" w:line="255" w:lineRule="auto"/>
        <w:rPr>
          <w:sz w:val="20"/>
          <w:szCs w:val="20"/>
          <w:color w:val="auto"/>
        </w:rPr>
      </w:pPr>
      <w:r>
        <w:rPr>
          <w:rFonts w:ascii="Times New Roman" w:cs="Times New Roman" w:eastAsia="Times New Roman" w:hAnsi="Times New Roman"/>
          <w:sz w:val="20"/>
          <w:szCs w:val="20"/>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204" w:lineRule="exact"/>
        <w:rPr>
          <w:sz w:val="20"/>
          <w:szCs w:val="20"/>
          <w:color w:val="auto"/>
        </w:rPr>
      </w:pPr>
    </w:p>
    <w:p>
      <w:pPr>
        <w:ind w:right="40" w:firstLine="713"/>
        <w:spacing w:after="0" w:line="253" w:lineRule="auto"/>
        <w:rPr>
          <w:sz w:val="20"/>
          <w:szCs w:val="20"/>
          <w:color w:val="auto"/>
        </w:rPr>
      </w:pPr>
      <w:r>
        <w:rPr>
          <w:rFonts w:ascii="Times New Roman" w:cs="Times New Roman" w:eastAsia="Times New Roman" w:hAnsi="Times New Roman"/>
          <w:sz w:val="20"/>
          <w:szCs w:val="20"/>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2022, 2021 and 2020, the revaluation of foreign currency transactions and monetary assets and liabilities resulted in the recognition of a net loss of $41 million, a net gain of $7 million and a net gain of $16 million, respectively, in our Consolidated Statements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53" w:lineRule="exact"/>
        <w:rPr>
          <w:sz w:val="20"/>
          <w:szCs w:val="20"/>
          <w:color w:val="auto"/>
        </w:rPr>
      </w:pPr>
    </w:p>
    <w:p>
      <w:pPr>
        <w:ind w:right="140" w:firstLine="713"/>
        <w:spacing w:after="0" w:line="263" w:lineRule="auto"/>
        <w:rPr>
          <w:sz w:val="20"/>
          <w:szCs w:val="20"/>
          <w:color w:val="auto"/>
        </w:rPr>
      </w:pPr>
      <w:r>
        <w:rPr>
          <w:rFonts w:ascii="Times New Roman" w:cs="Times New Roman" w:eastAsia="Times New Roman" w:hAnsi="Times New Roman"/>
          <w:sz w:val="20"/>
          <w:szCs w:val="20"/>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94" w:lineRule="exact"/>
        <w:rPr>
          <w:sz w:val="20"/>
          <w:szCs w:val="20"/>
          <w:color w:val="auto"/>
        </w:rPr>
      </w:pPr>
    </w:p>
    <w:p>
      <w:pPr>
        <w:ind w:right="240" w:firstLine="713"/>
        <w:spacing w:after="0" w:line="263" w:lineRule="auto"/>
        <w:rPr>
          <w:sz w:val="20"/>
          <w:szCs w:val="20"/>
          <w:color w:val="auto"/>
        </w:rPr>
      </w:pPr>
      <w:r>
        <w:rPr>
          <w:rFonts w:ascii="Times New Roman" w:cs="Times New Roman" w:eastAsia="Times New Roman" w:hAnsi="Times New Roman"/>
          <w:sz w:val="20"/>
          <w:szCs w:val="20"/>
          <w:color w:val="auto"/>
        </w:rPr>
        <w:t>In accordance with our policy, unless they may be covered by funds on deposit, outstanding checks are classified as trade accounts payable rather than negative cash. As of December 31, 2022 and 2021, trade accounts payable included $25 million and $19 million, respectively, of outstanding checks that were reclassified from cash and cash equivalents.</w:t>
      </w:r>
    </w:p>
    <w:p>
      <w:pPr>
        <w:sectPr>
          <w:pgSz w:w="11880" w:h="15480" w:orient="portrait"/>
          <w:cols w:equalWidth="0" w:num="1">
            <w:col w:w="10120"/>
          </w:cols>
          <w:pgMar w:left="860" w:top="43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10120"/>
          </w:cols>
          <w:pgMar w:left="860" w:top="435" w:right="900" w:bottom="0" w:gutter="0" w:footer="0" w:header="0"/>
          <w:type w:val="continuous"/>
        </w:sectPr>
      </w:pPr>
    </w:p>
    <w:bookmarkStart w:id="116" w:name="page117"/>
    <w:bookmarkEnd w:id="116"/>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214" w:lineRule="exact"/>
        <w:rPr>
          <w:sz w:val="20"/>
          <w:szCs w:val="20"/>
          <w:color w:val="auto"/>
        </w:rPr>
      </w:pPr>
    </w:p>
    <w:p>
      <w:pPr>
        <w:ind w:right="20" w:firstLine="713"/>
        <w:spacing w:after="0" w:line="263" w:lineRule="auto"/>
        <w:rPr>
          <w:sz w:val="20"/>
          <w:szCs w:val="20"/>
          <w:color w:val="auto"/>
        </w:rPr>
      </w:pPr>
      <w:r>
        <w:rPr>
          <w:rFonts w:ascii="Times New Roman" w:cs="Times New Roman" w:eastAsia="Times New Roman" w:hAnsi="Times New Roman"/>
          <w:sz w:val="20"/>
          <w:szCs w:val="20"/>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Retirement Obligations</w:t>
      </w:r>
    </w:p>
    <w:p>
      <w:pPr>
        <w:spacing w:after="0" w:line="214" w:lineRule="exact"/>
        <w:rPr>
          <w:sz w:val="20"/>
          <w:szCs w:val="20"/>
          <w:color w:val="auto"/>
        </w:rPr>
      </w:pPr>
    </w:p>
    <w:p>
      <w:pPr>
        <w:ind w:right="380" w:firstLine="713"/>
        <w:spacing w:after="0" w:line="247" w:lineRule="auto"/>
        <w:rPr>
          <w:sz w:val="20"/>
          <w:szCs w:val="20"/>
          <w:color w:val="auto"/>
        </w:rPr>
      </w:pPr>
      <w:r>
        <w:rPr>
          <w:rFonts w:ascii="Times New Roman" w:cs="Times New Roman" w:eastAsia="Times New Roman" w:hAnsi="Times New Roman"/>
          <w:sz w:val="20"/>
          <w:szCs w:val="20"/>
          <w:color w:val="auto"/>
        </w:rPr>
        <w:t>FASB guidance establishes accounting requirements for retirement obligations associated with tangible long-lived assets, including estimates related to (i) the time of the liability recognition, (ii) initial measurement of the liability,</w:t>
      </w:r>
    </w:p>
    <w:p>
      <w:pPr>
        <w:spacing w:after="0" w:line="2" w:lineRule="exact"/>
        <w:rPr>
          <w:sz w:val="20"/>
          <w:szCs w:val="20"/>
          <w:color w:val="auto"/>
        </w:rPr>
      </w:pPr>
    </w:p>
    <w:p>
      <w:pPr>
        <w:ind w:firstLine="1"/>
        <w:spacing w:after="0" w:line="263" w:lineRule="auto"/>
        <w:tabs>
          <w:tab w:leader="none" w:pos="34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94" w:lineRule="exact"/>
        <w:rPr>
          <w:sz w:val="20"/>
          <w:szCs w:val="20"/>
          <w:color w:val="auto"/>
        </w:rPr>
      </w:pPr>
    </w:p>
    <w:p>
      <w:pPr>
        <w:ind w:firstLine="713"/>
        <w:spacing w:after="0" w:line="266" w:lineRule="auto"/>
        <w:rPr>
          <w:sz w:val="20"/>
          <w:szCs w:val="20"/>
          <w:color w:val="auto"/>
        </w:rPr>
      </w:pPr>
      <w:r>
        <w:rPr>
          <w:rFonts w:ascii="Times New Roman" w:cs="Times New Roman" w:eastAsia="Times New Roman" w:hAnsi="Times New Roman"/>
          <w:sz w:val="19"/>
          <w:szCs w:val="19"/>
          <w:color w:val="auto"/>
        </w:rPr>
        <w:t>Some of our assets, primarily our pipelines, certain processing and fractionation facilities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spacing w:after="0" w:line="192" w:lineRule="exact"/>
        <w:rPr>
          <w:sz w:val="20"/>
          <w:szCs w:val="20"/>
          <w:color w:val="auto"/>
        </w:rPr>
      </w:pPr>
    </w:p>
    <w:p>
      <w:pPr>
        <w:ind w:right="120" w:firstLine="713"/>
        <w:spacing w:after="0" w:line="255" w:lineRule="auto"/>
        <w:rPr>
          <w:sz w:val="20"/>
          <w:szCs w:val="20"/>
          <w:color w:val="auto"/>
        </w:rPr>
      </w:pPr>
      <w:r>
        <w:rPr>
          <w:rFonts w:ascii="Times New Roman" w:cs="Times New Roman" w:eastAsia="Times New Roman" w:hAnsi="Times New Roman"/>
          <w:sz w:val="20"/>
          <w:szCs w:val="20"/>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2022, 2021 and 2020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3480" w:type="dxa"/>
            <w:vAlign w:val="bottom"/>
            <w:tcBorders>
              <w:bottom w:val="single" w:sz="8" w:color="E6E6E6"/>
            </w:tcBorders>
          </w:tcPr>
          <w:p>
            <w:pPr>
              <w:spacing w:after="0"/>
              <w:rPr>
                <w:sz w:val="20"/>
                <w:szCs w:val="20"/>
                <w:color w:val="auto"/>
              </w:rPr>
            </w:pPr>
          </w:p>
        </w:tc>
        <w:tc>
          <w:tcPr>
            <w:tcW w:w="3240" w:type="dxa"/>
            <w:vAlign w:val="bottom"/>
            <w:tcBorders>
              <w:bottom w:val="single" w:sz="8" w:color="E6E6E6"/>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6E6E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20" w:type="dxa"/>
            <w:vAlign w:val="bottom"/>
          </w:tcPr>
          <w:p>
            <w:pPr>
              <w:spacing w:after="0"/>
              <w:rPr>
                <w:sz w:val="24"/>
                <w:szCs w:val="24"/>
                <w:color w:val="auto"/>
              </w:rPr>
            </w:pPr>
          </w:p>
        </w:tc>
        <w:tc>
          <w:tcPr>
            <w:tcW w:w="67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Beginning balance</w:t>
            </w:r>
          </w:p>
        </w:tc>
        <w:tc>
          <w:tcPr>
            <w:tcW w:w="700" w:type="dxa"/>
            <w:vAlign w:val="bottom"/>
            <w:shd w:val="clear" w:color="auto" w:fill="E6E6E6"/>
          </w:tcPr>
          <w:p>
            <w:pPr>
              <w:jc w:val="right"/>
              <w:ind w:right="468"/>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3"/>
              </w:rPr>
              <w:t>143</w:t>
            </w:r>
          </w:p>
        </w:tc>
        <w:tc>
          <w:tcPr>
            <w:tcW w:w="340" w:type="dxa"/>
            <w:vAlign w:val="bottom"/>
            <w:gridSpan w:val="2"/>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34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91"/>
        </w:trPr>
        <w:tc>
          <w:tcPr>
            <w:tcW w:w="20" w:type="dxa"/>
            <w:vAlign w:val="bottom"/>
          </w:tcPr>
          <w:p>
            <w:pPr>
              <w:spacing w:after="0"/>
              <w:rPr>
                <w:sz w:val="24"/>
                <w:szCs w:val="24"/>
                <w:color w:val="auto"/>
              </w:rPr>
            </w:pPr>
          </w:p>
        </w:tc>
        <w:tc>
          <w:tcPr>
            <w:tcW w:w="67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Liabilities incurred</w:t>
            </w:r>
          </w:p>
        </w:tc>
        <w:tc>
          <w:tcPr>
            <w:tcW w:w="7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03"/>
        </w:trPr>
        <w:tc>
          <w:tcPr>
            <w:tcW w:w="20" w:type="dxa"/>
            <w:vAlign w:val="bottom"/>
          </w:tcPr>
          <w:p>
            <w:pPr>
              <w:spacing w:after="0"/>
              <w:rPr>
                <w:sz w:val="24"/>
                <w:szCs w:val="24"/>
                <w:color w:val="auto"/>
              </w:rPr>
            </w:pPr>
          </w:p>
        </w:tc>
        <w:tc>
          <w:tcPr>
            <w:tcW w:w="672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 xml:space="preserve">Liabilities settled </w:t>
            </w:r>
            <w:r>
              <w:rPr>
                <w:rFonts w:ascii="Times New Roman" w:cs="Times New Roman" w:eastAsia="Times New Roman" w:hAnsi="Times New Roman"/>
                <w:sz w:val="25"/>
                <w:szCs w:val="25"/>
                <w:color w:val="auto"/>
                <w:vertAlign w:val="superscript"/>
              </w:rPr>
              <w:t>(1)</w:t>
            </w:r>
          </w:p>
        </w:tc>
        <w:tc>
          <w:tcPr>
            <w:tcW w:w="700" w:type="dxa"/>
            <w:vAlign w:val="bottom"/>
            <w:shd w:val="clear" w:color="auto" w:fill="E6E6E6"/>
          </w:tcPr>
          <w:p>
            <w:pPr>
              <w:spacing w:after="0"/>
              <w:rPr>
                <w:sz w:val="24"/>
                <w:szCs w:val="24"/>
                <w:color w:val="auto"/>
              </w:rPr>
            </w:pPr>
          </w:p>
        </w:tc>
        <w:tc>
          <w:tcPr>
            <w:tcW w:w="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1"/>
        </w:trPr>
        <w:tc>
          <w:tcPr>
            <w:tcW w:w="20" w:type="dxa"/>
            <w:vAlign w:val="bottom"/>
          </w:tcPr>
          <w:p>
            <w:pPr>
              <w:spacing w:after="0"/>
              <w:rPr>
                <w:sz w:val="24"/>
                <w:szCs w:val="24"/>
                <w:color w:val="auto"/>
              </w:rPr>
            </w:pPr>
          </w:p>
        </w:tc>
        <w:tc>
          <w:tcPr>
            <w:tcW w:w="67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Accretion expense</w:t>
            </w:r>
          </w:p>
        </w:tc>
        <w:tc>
          <w:tcPr>
            <w:tcW w:w="7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93"/>
        </w:trPr>
        <w:tc>
          <w:tcPr>
            <w:tcW w:w="20" w:type="dxa"/>
            <w:vAlign w:val="bottom"/>
          </w:tcPr>
          <w:p>
            <w:pPr>
              <w:spacing w:after="0"/>
              <w:rPr>
                <w:sz w:val="24"/>
                <w:szCs w:val="24"/>
                <w:color w:val="auto"/>
              </w:rPr>
            </w:pPr>
          </w:p>
        </w:tc>
        <w:tc>
          <w:tcPr>
            <w:tcW w:w="6720" w:type="dxa"/>
            <w:vAlign w:val="bottom"/>
            <w:tcBorders>
              <w:bottom w:val="single" w:sz="8" w:color="E6E6E6"/>
            </w:tcBorders>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Revisions in estimated cash flows</w:t>
            </w:r>
          </w:p>
        </w:tc>
        <w:tc>
          <w:tcPr>
            <w:tcW w:w="700" w:type="dxa"/>
            <w:vAlign w:val="bottom"/>
            <w:tcBorders>
              <w:bottom w:val="single" w:sz="8" w:color="auto"/>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7"/>
        </w:trPr>
        <w:tc>
          <w:tcPr>
            <w:tcW w:w="20" w:type="dxa"/>
            <w:vAlign w:val="bottom"/>
          </w:tcPr>
          <w:p>
            <w:pPr>
              <w:spacing w:after="0"/>
              <w:rPr>
                <w:sz w:val="22"/>
                <w:szCs w:val="22"/>
                <w:color w:val="auto"/>
              </w:rPr>
            </w:pPr>
          </w:p>
        </w:tc>
        <w:tc>
          <w:tcPr>
            <w:tcW w:w="67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Ending balance</w:t>
            </w:r>
          </w:p>
        </w:tc>
        <w:tc>
          <w:tcPr>
            <w:tcW w:w="700" w:type="dxa"/>
            <w:vAlign w:val="bottom"/>
          </w:tcPr>
          <w:p>
            <w:pPr>
              <w:jc w:val="right"/>
              <w:ind w:right="468"/>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122</w:t>
            </w:r>
          </w:p>
        </w:tc>
        <w:tc>
          <w:tcPr>
            <w:tcW w:w="34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3480" w:type="dxa"/>
            <w:vAlign w:val="bottom"/>
            <w:tcBorders>
              <w:bottom w:val="single" w:sz="8" w:color="auto"/>
            </w:tcBorders>
          </w:tcPr>
          <w:p>
            <w:pPr>
              <w:spacing w:after="0"/>
              <w:rPr>
                <w:sz w:val="11"/>
                <w:szCs w:val="11"/>
                <w:color w:val="auto"/>
              </w:rPr>
            </w:pPr>
          </w:p>
        </w:tc>
        <w:tc>
          <w:tcPr>
            <w:tcW w:w="3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5735320</wp:posOffset>
            </wp:positionH>
            <wp:positionV relativeFrom="paragraph">
              <wp:posOffset>-1420495</wp:posOffset>
            </wp:positionV>
            <wp:extent cx="71374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7">
                      <a:extLst>
                        <a:ext uri="{28A0092B-C50C-407E-A947-70E740481C1C}"/>
                      </a:extLst>
                    </a:blip>
                    <a:srcRect/>
                    <a:stretch>
                      <a:fillRect/>
                    </a:stretch>
                  </pic:blipFill>
                  <pic:spPr bwMode="auto">
                    <a:xfrm>
                      <a:off x="0" y="0"/>
                      <a:ext cx="713740" cy="2540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-1272540</wp:posOffset>
            </wp:positionV>
            <wp:extent cx="2209800" cy="501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8">
                      <a:extLst>
                        <a:ext uri="{28A0092B-C50C-407E-A947-70E740481C1C}"/>
                      </a:extLst>
                    </a:blip>
                    <a:srcRect/>
                    <a:stretch>
                      <a:fillRect/>
                    </a:stretch>
                  </pic:blipFill>
                  <pic:spPr bwMode="auto">
                    <a:xfrm>
                      <a:off x="0" y="0"/>
                      <a:ext cx="2209800" cy="5016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-329565</wp:posOffset>
            </wp:positionV>
            <wp:extent cx="2209800" cy="501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9">
                      <a:extLst>
                        <a:ext uri="{28A0092B-C50C-407E-A947-70E740481C1C}"/>
                      </a:extLst>
                    </a:blip>
                    <a:srcRect/>
                    <a:stretch>
                      <a:fillRect/>
                    </a:stretch>
                  </pic:blipFill>
                  <pic:spPr bwMode="auto">
                    <a:xfrm>
                      <a:off x="0" y="0"/>
                      <a:ext cx="2209800" cy="50165"/>
                    </a:xfrm>
                    <a:prstGeom prst="rect">
                      <a:avLst/>
                    </a:prstGeom>
                    <a:noFill/>
                  </pic:spPr>
                </pic:pic>
              </a:graphicData>
            </a:graphic>
          </wp:anchor>
        </w:drawing>
        <w:drawing>
          <wp:anchor simplePos="0" relativeHeight="251657728" behindDoc="1" locked="0" layoutInCell="0" allowOverlap="1">
            <wp:simplePos x="0" y="0"/>
            <wp:positionH relativeFrom="column">
              <wp:posOffset>4987290</wp:posOffset>
            </wp:positionH>
            <wp:positionV relativeFrom="paragraph">
              <wp:posOffset>-153670</wp:posOffset>
            </wp:positionV>
            <wp:extent cx="1474470" cy="755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0">
                      <a:extLst>
                        <a:ext uri="{28A0092B-C50C-407E-A947-70E740481C1C}"/>
                      </a:extLst>
                    </a:blip>
                    <a:srcRect/>
                    <a:stretch>
                      <a:fillRect/>
                    </a:stretch>
                  </pic:blipFill>
                  <pic:spPr bwMode="auto">
                    <a:xfrm>
                      <a:off x="0" y="0"/>
                      <a:ext cx="1474470" cy="75565"/>
                    </a:xfrm>
                    <a:prstGeom prst="rect">
                      <a:avLst/>
                    </a:prstGeom>
                    <a:noFill/>
                  </pic:spPr>
                </pic:pic>
              </a:graphicData>
            </a:graphic>
          </wp:anchor>
        </w:drawing>
      </w:r>
    </w:p>
    <w:p>
      <w:pPr>
        <w:spacing w:after="0" w:line="66" w:lineRule="exact"/>
        <w:rPr>
          <w:sz w:val="20"/>
          <w:szCs w:val="20"/>
          <w:color w:val="auto"/>
        </w:rPr>
      </w:pPr>
    </w:p>
    <w:p>
      <w:pPr>
        <w:ind w:left="620" w:right="300" w:hanging="619"/>
        <w:spacing w:after="0" w:line="235" w:lineRule="auto"/>
        <w:tabs>
          <w:tab w:leader="none" w:pos="620" w:val="left"/>
        </w:tabs>
        <w:numPr>
          <w:ilvl w:val="0"/>
          <w:numId w:val="7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2022 amount primarily relates to the transfer of liabilities to the third party purchaser associated with the sale of Line 901 and the Sisquoc to Pentland portion of Line 903 pipeline. See Notes 7 and 19 for additional information.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14" w:lineRule="exact"/>
        <w:rPr>
          <w:sz w:val="20"/>
          <w:szCs w:val="20"/>
          <w:color w:val="auto"/>
        </w:rPr>
      </w:pPr>
    </w:p>
    <w:p>
      <w:pPr>
        <w:ind w:right="80" w:firstLine="713"/>
        <w:spacing w:after="0" w:line="252" w:lineRule="auto"/>
        <w:rPr>
          <w:sz w:val="20"/>
          <w:szCs w:val="20"/>
          <w:color w:val="auto"/>
        </w:rPr>
      </w:pPr>
      <w:r>
        <w:rPr>
          <w:rFonts w:ascii="Times New Roman" w:cs="Times New Roman" w:eastAsia="Times New Roman" w:hAnsi="Times New Roman"/>
          <w:sz w:val="20"/>
          <w:szCs w:val="20"/>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and interest rate derivatives includes adjustments for credit risk. Our credit adjustment methodology uses market observable inputs and requires judgment. There were no changes to any of our valuation techniques during the period. See Note 13 for further discussion.</w:t>
      </w:r>
    </w:p>
    <w:p>
      <w:pPr>
        <w:sectPr>
          <w:pgSz w:w="11880" w:h="15480" w:orient="portrait"/>
          <w:cols w:equalWidth="0" w:num="1">
            <w:col w:w="10140"/>
          </w:cols>
          <w:pgMar w:left="860" w:top="43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10140"/>
          </w:cols>
          <w:pgMar w:left="860" w:top="435" w:right="880" w:bottom="0" w:gutter="0" w:footer="0" w:header="0"/>
          <w:type w:val="continuous"/>
        </w:sectPr>
      </w:pPr>
    </w:p>
    <w:bookmarkStart w:id="117" w:name="page118"/>
    <w:bookmarkEnd w:id="117"/>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Significant Accounting Policies</w:t>
      </w:r>
    </w:p>
    <w:p>
      <w:pPr>
        <w:spacing w:after="0" w:line="253" w:lineRule="exact"/>
        <w:rPr>
          <w:sz w:val="20"/>
          <w:szCs w:val="20"/>
          <w:color w:val="auto"/>
        </w:rPr>
      </w:pPr>
    </w:p>
    <w:p>
      <w:pPr>
        <w:ind w:firstLine="713"/>
        <w:spacing w:after="0" w:line="247" w:lineRule="auto"/>
        <w:rPr>
          <w:sz w:val="20"/>
          <w:szCs w:val="20"/>
          <w:color w:val="auto"/>
        </w:rPr>
      </w:pPr>
      <w:r>
        <w:rPr>
          <w:rFonts w:ascii="Times New Roman" w:cs="Times New Roman" w:eastAsia="Times New Roman" w:hAnsi="Times New Roman"/>
          <w:sz w:val="20"/>
          <w:szCs w:val="20"/>
          <w:color w:val="auto"/>
        </w:rPr>
        <w:t>See the respective footnotes for our accounting policies regarding (i) revenues and accounts receivable, (ii) net income/ (loss) per common unit, (iii) inventory, linefill and long-term inventory, (iv) property and equipment, (v) acquisitions,</w:t>
      </w:r>
    </w:p>
    <w:p>
      <w:pPr>
        <w:spacing w:after="0" w:line="2" w:lineRule="exact"/>
        <w:rPr>
          <w:sz w:val="20"/>
          <w:szCs w:val="20"/>
          <w:color w:val="auto"/>
        </w:rPr>
      </w:pPr>
    </w:p>
    <w:p>
      <w:pPr>
        <w:ind w:right="320" w:firstLine="1"/>
        <w:spacing w:after="0" w:line="263" w:lineRule="auto"/>
        <w:tabs>
          <w:tab w:leader="none" w:pos="33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(vii) investments in unconsolidated entities, (viii) intangible assets, (ix) income allocation for partners’ capital presentation purposes, (x) derivatives and risk management activities, (xi) leases, (xii) income taxes, (xiii) equity-indexed compensation and (xiv) legal and environmental matters.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71" w:lineRule="exact"/>
        <w:rPr>
          <w:sz w:val="20"/>
          <w:szCs w:val="20"/>
          <w:color w:val="auto"/>
        </w:rPr>
      </w:pPr>
    </w:p>
    <w:p>
      <w:pPr>
        <w:ind w:firstLine="713"/>
        <w:spacing w:after="0" w:line="270" w:lineRule="auto"/>
        <w:rPr>
          <w:sz w:val="20"/>
          <w:szCs w:val="20"/>
          <w:color w:val="auto"/>
        </w:rPr>
      </w:pPr>
      <w:r>
        <w:rPr>
          <w:rFonts w:ascii="Times New Roman" w:cs="Times New Roman" w:eastAsia="Times New Roman" w:hAnsi="Times New Roman"/>
          <w:sz w:val="19"/>
          <w:szCs w:val="19"/>
          <w:color w:val="auto"/>
        </w:rPr>
        <w:t xml:space="preserve">In October 2021, the FASB issued ASU 2021-08, </w:t>
      </w:r>
      <w:r>
        <w:rPr>
          <w:rFonts w:ascii="Times New Roman" w:cs="Times New Roman" w:eastAsia="Times New Roman" w:hAnsi="Times New Roman"/>
          <w:sz w:val="19"/>
          <w:szCs w:val="19"/>
          <w:b w:val="1"/>
          <w:bCs w:val="1"/>
          <w:i w:val="1"/>
          <w:iCs w:val="1"/>
          <w:color w:val="auto"/>
        </w:rPr>
        <w:t>Business Combinations (Topic 805): Accounting for Contract Assets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and Contract Liabilities from Contracts with Customers</w:t>
      </w:r>
      <w:r>
        <w:rPr>
          <w:rFonts w:ascii="Times New Roman" w:cs="Times New Roman" w:eastAsia="Times New Roman" w:hAnsi="Times New Roman"/>
          <w:sz w:val="19"/>
          <w:szCs w:val="19"/>
          <w:color w:val="auto"/>
        </w:rPr>
        <w:t>. This guidance requires that an acquirer recognize and measure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contract assets and contract liabilities acquired in a business combination in accordance with Topic 606, Revenue from Contracts with Customers, as if it had originated the contracts. The guidance is effective prospectively for interim and annual periods beginning after December 15, 2022, with early adoption permitted. We adopted this guidance as of January 1, 2023, and do not anticipate that our adoption will have a material impact on our financial position, results of operations or cash flows.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In July 2021, the FASB issued ASU 2021-05, </w:t>
      </w:r>
      <w:r>
        <w:rPr>
          <w:rFonts w:ascii="Times New Roman" w:cs="Times New Roman" w:eastAsia="Times New Roman" w:hAnsi="Times New Roman"/>
          <w:sz w:val="20"/>
          <w:szCs w:val="20"/>
          <w:b w:val="1"/>
          <w:bCs w:val="1"/>
          <w:i w:val="1"/>
          <w:iCs w:val="1"/>
          <w:color w:val="auto"/>
        </w:rPr>
        <w:t>Lessors - Certain Leases with Variable Lease Payments (Topic 842)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w:t>
      </w:r>
      <w:r>
        <w:rPr>
          <w:rFonts w:ascii="Times New Roman" w:cs="Times New Roman" w:eastAsia="Times New Roman" w:hAnsi="Times New Roman"/>
          <w:sz w:val="19"/>
          <w:szCs w:val="19"/>
          <w:color w:val="auto"/>
        </w:rPr>
        <w:t>hich modifies the lease classification requirements for lessors in Topic 842, which we adopted on the effective date of January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 2019. The amendments require lessors to classify and account for a lease with variable lease payments that do not depend 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reference index or a rate as an operating lease at lease commencement if another classification (i.e., sales-type or direct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financing) would result in the recognition of a day-one loss. For entities that have adopted Topic 842, the guidance is effective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years, and for interim periods within those fiscal years, beginning after December 15, 2021, with early adoption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We have elected to early adopt the guidance on a prospective basis as of July 1, 2021. Our adoption did not have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 impact on our financial position, results of operations or cash flows.</w:t>
      </w:r>
    </w:p>
    <w:p>
      <w:pPr>
        <w:spacing w:after="0" w:line="242" w:lineRule="exact"/>
        <w:rPr>
          <w:sz w:val="20"/>
          <w:szCs w:val="20"/>
          <w:color w:val="auto"/>
        </w:rPr>
      </w:pPr>
    </w:p>
    <w:p>
      <w:pPr>
        <w:ind w:right="40" w:firstLine="713"/>
        <w:spacing w:after="0" w:line="267" w:lineRule="auto"/>
        <w:rPr>
          <w:sz w:val="20"/>
          <w:szCs w:val="20"/>
          <w:color w:val="auto"/>
        </w:rPr>
      </w:pPr>
      <w:r>
        <w:rPr>
          <w:rFonts w:ascii="Times New Roman" w:cs="Times New Roman" w:eastAsia="Times New Roman" w:hAnsi="Times New Roman"/>
          <w:sz w:val="19"/>
          <w:szCs w:val="19"/>
          <w:color w:val="auto"/>
        </w:rPr>
        <w:t xml:space="preserve">In August 2020, the FASB issued ASU 2020-06, </w:t>
      </w:r>
      <w:r>
        <w:rPr>
          <w:rFonts w:ascii="Times New Roman" w:cs="Times New Roman" w:eastAsia="Times New Roman" w:hAnsi="Times New Roman"/>
          <w:sz w:val="19"/>
          <w:szCs w:val="19"/>
          <w:b w:val="1"/>
          <w:bCs w:val="1"/>
          <w:i w:val="1"/>
          <w:iCs w:val="1"/>
          <w:color w:val="auto"/>
        </w:rPr>
        <w:t>Debt—Debt with Conversion and Other Options (Subtopic 470-20)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and Derivatives and Hedging—Contracts in Entity’s Own Equity (Subtopic 815-40): Accounting for Convertible Instruments and Contracts in an Entity’s Own Equity</w:t>
      </w:r>
      <w:r>
        <w:rPr>
          <w:rFonts w:ascii="Times New Roman" w:cs="Times New Roman" w:eastAsia="Times New Roman" w:hAnsi="Times New Roman"/>
          <w:sz w:val="19"/>
          <w:szCs w:val="19"/>
          <w:color w:val="auto"/>
        </w:rPr>
        <w:t>, which simplifies accounting for certain financial instruments with characteristics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adopted this guidance effective January 1, 2022, and our adoption did not have a material impact on our financial position, results of operations or cash flows.</w:t>
      </w:r>
    </w:p>
    <w:p>
      <w:pPr>
        <w:spacing w:after="0" w:line="194" w:lineRule="exact"/>
        <w:rPr>
          <w:sz w:val="20"/>
          <w:szCs w:val="20"/>
          <w:color w:val="auto"/>
        </w:rPr>
      </w:pPr>
    </w:p>
    <w:p>
      <w:pPr>
        <w:ind w:right="120" w:firstLine="713"/>
        <w:spacing w:after="0" w:line="253" w:lineRule="auto"/>
        <w:rPr>
          <w:sz w:val="20"/>
          <w:szCs w:val="20"/>
          <w:color w:val="auto"/>
        </w:rPr>
      </w:pPr>
      <w:r>
        <w:rPr>
          <w:rFonts w:ascii="Times New Roman" w:cs="Times New Roman" w:eastAsia="Times New Roman" w:hAnsi="Times New Roman"/>
          <w:sz w:val="20"/>
          <w:szCs w:val="20"/>
          <w:color w:val="auto"/>
        </w:rPr>
        <w:t xml:space="preserve">In March 2020, the FASB issued ASU 2020-04, </w:t>
      </w:r>
      <w:r>
        <w:rPr>
          <w:rFonts w:ascii="Times New Roman" w:cs="Times New Roman" w:eastAsia="Times New Roman" w:hAnsi="Times New Roman"/>
          <w:sz w:val="20"/>
          <w:szCs w:val="20"/>
          <w:b w:val="1"/>
          <w:bCs w:val="1"/>
          <w:i w:val="1"/>
          <w:iCs w:val="1"/>
          <w:color w:val="auto"/>
        </w:rPr>
        <w:t>Reference Rate Reform (Topic 848): Facilitation of the Effects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Reference Rate Reform on Financial Reporting</w:t>
      </w:r>
      <w:r>
        <w:rPr>
          <w:rFonts w:ascii="Times New Roman" w:cs="Times New Roman" w:eastAsia="Times New Roman" w:hAnsi="Times New Roman"/>
          <w:sz w:val="20"/>
          <w:szCs w:val="20"/>
          <w:color w:val="auto"/>
        </w:rPr>
        <w:t>, which provides optional expedients and exceptions for applying GAAP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contracts, hedging relationships and other transactions that reference LIBOR or another reference rate expected to be discontinued because of reference rate reform. This guidance was effective prospectively upon issuance through December 31, 2022. In December 2022, the FASB issued ASU 2022-06, </w:t>
      </w:r>
      <w:r>
        <w:rPr>
          <w:rFonts w:ascii="Times New Roman" w:cs="Times New Roman" w:eastAsia="Times New Roman" w:hAnsi="Times New Roman"/>
          <w:sz w:val="20"/>
          <w:szCs w:val="20"/>
          <w:b w:val="1"/>
          <w:bCs w:val="1"/>
          <w:i w:val="1"/>
          <w:iCs w:val="1"/>
          <w:color w:val="auto"/>
        </w:rPr>
        <w:t>Reference Rate Reform (Topic 848): Deferral of the Sunset Date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Topic 848, </w:t>
      </w:r>
      <w:r>
        <w:rPr>
          <w:rFonts w:ascii="Times New Roman" w:cs="Times New Roman" w:eastAsia="Times New Roman" w:hAnsi="Times New Roman"/>
          <w:sz w:val="20"/>
          <w:szCs w:val="20"/>
          <w:color w:val="auto"/>
        </w:rPr>
        <w:t>which defers the sunset date of Topic 848 from December 31, 2022 to December 31, 2024. We will continue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apply applicable expedients and exceptions to contract modifications through December 31, 2024, as applicable.</w:t>
      </w:r>
    </w:p>
    <w:p>
      <w:pPr>
        <w:spacing w:after="0" w:line="204" w:lineRule="exact"/>
        <w:rPr>
          <w:sz w:val="20"/>
          <w:szCs w:val="20"/>
          <w:color w:val="auto"/>
        </w:rPr>
      </w:pPr>
    </w:p>
    <w:p>
      <w:pPr>
        <w:ind w:right="40" w:firstLine="713"/>
        <w:spacing w:after="0" w:line="256" w:lineRule="auto"/>
        <w:rPr>
          <w:sz w:val="20"/>
          <w:szCs w:val="20"/>
          <w:color w:val="auto"/>
        </w:rPr>
      </w:pPr>
      <w:r>
        <w:rPr>
          <w:rFonts w:ascii="Times New Roman" w:cs="Times New Roman" w:eastAsia="Times New Roman" w:hAnsi="Times New Roman"/>
          <w:sz w:val="20"/>
          <w:szCs w:val="20"/>
          <w:color w:val="auto"/>
        </w:rPr>
        <w:t xml:space="preserve">In December 2019, the FASB issued ASU 2019-12, </w:t>
      </w:r>
      <w:r>
        <w:rPr>
          <w:rFonts w:ascii="Times New Roman" w:cs="Times New Roman" w:eastAsia="Times New Roman" w:hAnsi="Times New Roman"/>
          <w:sz w:val="20"/>
          <w:szCs w:val="20"/>
          <w:b w:val="1"/>
          <w:bCs w:val="1"/>
          <w:i w:val="1"/>
          <w:iCs w:val="1"/>
          <w:color w:val="auto"/>
        </w:rPr>
        <w:t>Income Taxes (Topic 740): Simplifying the Accounting for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to simplify the accounting for income taxes based on changes suggested by stakeholders as part of the FASB’s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simplification initiative. This guidance is effective for interim and annual periods beginning after December 15, 2020, with early adoption permitted. We adopted this guidance effective January 1, 2021, and our adoption did not have a material impact on our financial position, results of operations or cash flows.</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1880" w:h="15480" w:orient="portrait"/>
          <w:cols w:equalWidth="0" w:num="1">
            <w:col w:w="10160"/>
          </w:cols>
          <w:pgMar w:left="860" w:top="435" w:right="860" w:bottom="0" w:gutter="0" w:footer="0" w:header="0"/>
          <w:type w:val="continuous"/>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right="2200" w:firstLine="2228"/>
        <w:spacing w:after="0" w:line="409" w:lineRule="auto"/>
        <w:rPr>
          <w:sz w:val="20"/>
          <w:szCs w:val="20"/>
          <w:color w:val="auto"/>
        </w:rPr>
      </w:pPr>
      <w:r>
        <w:rPr>
          <w:rFonts w:ascii="Times New Roman" w:cs="Times New Roman" w:eastAsia="Times New Roman" w:hAnsi="Times New Roman"/>
          <w:sz w:val="20"/>
          <w:szCs w:val="20"/>
          <w:b w:val="1"/>
          <w:bCs w:val="1"/>
          <w:color w:val="auto"/>
        </w:rPr>
        <w:t>NOTES TO THE CONSOLIDATED FINANCIAL STATEMENTS Note 3—Revenues and Accounts Receivable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53" w:lineRule="exact"/>
        <w:rPr>
          <w:sz w:val="20"/>
          <w:szCs w:val="20"/>
          <w:color w:val="auto"/>
        </w:rPr>
      </w:pPr>
    </w:p>
    <w:p>
      <w:pPr>
        <w:ind w:right="20" w:firstLine="713"/>
        <w:spacing w:after="0" w:line="278" w:lineRule="auto"/>
        <w:rPr>
          <w:sz w:val="20"/>
          <w:szCs w:val="20"/>
          <w:color w:val="auto"/>
        </w:rPr>
      </w:pPr>
      <w:r>
        <w:rPr>
          <w:rFonts w:ascii="Times New Roman" w:cs="Times New Roman" w:eastAsia="Times New Roman" w:hAnsi="Times New Roman"/>
          <w:sz w:val="20"/>
          <w:szCs w:val="20"/>
          <w:color w:val="auto"/>
        </w:rPr>
        <w:t>We disaggregate our revenues by segment and type of activity. These categories depict how the nature, amount, timing and uncertainty of revenues and cash flows are affected by economic factors.</w:t>
      </w:r>
    </w:p>
    <w:p>
      <w:pPr>
        <w:spacing w:after="0" w:line="177" w:lineRule="exact"/>
        <w:rPr>
          <w:sz w:val="20"/>
          <w:szCs w:val="20"/>
          <w:color w:val="auto"/>
        </w:rPr>
      </w:pPr>
    </w:p>
    <w:p>
      <w:pPr>
        <w:ind w:right="260" w:firstLine="713"/>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Revenues from Contracts with Customers. </w:t>
      </w:r>
      <w:r>
        <w:rPr>
          <w:rFonts w:ascii="Times New Roman" w:cs="Times New Roman" w:eastAsia="Times New Roman" w:hAnsi="Times New Roman"/>
          <w:sz w:val="20"/>
          <w:szCs w:val="20"/>
          <w:color w:val="auto"/>
        </w:rPr>
        <w:t>The following tables present our revenues from contracts with customers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disaggregated by segment and type of activity (in millions):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548"/>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40" w:type="dxa"/>
            <w:vAlign w:val="bottom"/>
            <w:tcBorders>
              <w:bottom w:val="single" w:sz="8" w:color="auto"/>
            </w:tcBorders>
          </w:tcPr>
          <w:p>
            <w:pPr>
              <w:spacing w:after="0"/>
              <w:rPr>
                <w:sz w:val="18"/>
                <w:szCs w:val="18"/>
                <w:color w:val="auto"/>
              </w:rPr>
            </w:pPr>
          </w:p>
        </w:tc>
      </w:tr>
      <w:tr>
        <w:trPr>
          <w:trHeight w:val="232"/>
        </w:trPr>
        <w:tc>
          <w:tcPr>
            <w:tcW w:w="616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0" w:type="dxa"/>
            <w:vAlign w:val="bottom"/>
            <w:tcBorders>
              <w:bottom w:val="single" w:sz="8" w:color="E6E6E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616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b w:val="1"/>
                <w:bCs w:val="1"/>
                <w:color w:val="auto"/>
              </w:rPr>
              <w:t>Crude Oil segment revenues from contracts with customers</w:t>
            </w: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r>
      <w:tr>
        <w:trPr>
          <w:trHeight w:val="291"/>
        </w:trPr>
        <w:tc>
          <w:tcPr>
            <w:tcW w:w="6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Sales</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53,822</w:t>
            </w:r>
          </w:p>
        </w:tc>
        <w:tc>
          <w:tcPr>
            <w:tcW w:w="3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39,635</w:t>
            </w:r>
          </w:p>
        </w:tc>
        <w:tc>
          <w:tcPr>
            <w:tcW w:w="40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21,250</w:t>
            </w:r>
          </w:p>
        </w:tc>
      </w:tr>
      <w:tr>
        <w:trPr>
          <w:trHeight w:val="303"/>
        </w:trPr>
        <w:tc>
          <w:tcPr>
            <w:tcW w:w="616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Transportation</w:t>
            </w: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570</w:t>
            </w:r>
          </w:p>
        </w:tc>
      </w:tr>
      <w:tr>
        <w:trPr>
          <w:trHeight w:val="287"/>
        </w:trPr>
        <w:tc>
          <w:tcPr>
            <w:tcW w:w="616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Terminalling, Storage and Other</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w:t>
            </w:r>
          </w:p>
        </w:tc>
      </w:tr>
      <w:tr>
        <w:trPr>
          <w:trHeight w:val="297"/>
        </w:trPr>
        <w:tc>
          <w:tcPr>
            <w:tcW w:w="616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Crude Oil segment revenues from contracts with customers</w:t>
            </w:r>
          </w:p>
        </w:tc>
        <w:tc>
          <w:tcPr>
            <w:tcW w:w="320" w:type="dxa"/>
            <w:vAlign w:val="bottom"/>
            <w:tcBorders>
              <w:bottom w:val="single" w:sz="8" w:color="auto"/>
            </w:tcBorders>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54,929</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40,550</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22,327</w:t>
            </w:r>
          </w:p>
        </w:tc>
      </w:tr>
      <w:tr>
        <w:trPr>
          <w:trHeight w:val="549"/>
        </w:trPr>
        <w:tc>
          <w:tcPr>
            <w:tcW w:w="6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center"/>
              <w:ind w:left="548"/>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r>
      <w:tr>
        <w:trPr>
          <w:trHeight w:val="232"/>
        </w:trPr>
        <w:tc>
          <w:tcPr>
            <w:tcW w:w="616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0" w:type="dxa"/>
            <w:vAlign w:val="bottom"/>
            <w:tcBorders>
              <w:bottom w:val="single" w:sz="8" w:color="E6E6E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616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b w:val="1"/>
                <w:bCs w:val="1"/>
                <w:color w:val="auto"/>
              </w:rPr>
              <w:t>NGL segment revenues from contracts with customers</w:t>
            </w: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r>
      <w:tr>
        <w:trPr>
          <w:trHeight w:val="291"/>
        </w:trPr>
        <w:tc>
          <w:tcPr>
            <w:tcW w:w="6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Sales</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2,414</w:t>
            </w:r>
          </w:p>
        </w:tc>
        <w:tc>
          <w:tcPr>
            <w:tcW w:w="3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2,292</w:t>
            </w:r>
          </w:p>
        </w:tc>
        <w:tc>
          <w:tcPr>
            <w:tcW w:w="40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w:t>
            </w:r>
          </w:p>
        </w:tc>
      </w:tr>
      <w:tr>
        <w:trPr>
          <w:trHeight w:val="303"/>
        </w:trPr>
        <w:tc>
          <w:tcPr>
            <w:tcW w:w="616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Transportation</w:t>
            </w: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87"/>
        </w:trPr>
        <w:tc>
          <w:tcPr>
            <w:tcW w:w="616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Terminalling, Storage and Other</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97"/>
        </w:trPr>
        <w:tc>
          <w:tcPr>
            <w:tcW w:w="616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NGL segment revenues from contracts with customers</w:t>
            </w:r>
          </w:p>
        </w:tc>
        <w:tc>
          <w:tcPr>
            <w:tcW w:w="320" w:type="dxa"/>
            <w:vAlign w:val="bottom"/>
            <w:tcBorders>
              <w:bottom w:val="single" w:sz="8" w:color="auto"/>
            </w:tcBorders>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2,544</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2,399</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-2611755</wp:posOffset>
            </wp:positionV>
            <wp:extent cx="83629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31">
                      <a:extLst>
                        <a:ext uri="{28A0092B-C50C-407E-A947-70E740481C1C}"/>
                      </a:extLst>
                    </a:blip>
                    <a:srcRect/>
                    <a:stretch>
                      <a:fillRect/>
                    </a:stretch>
                  </pic:blipFill>
                  <pic:spPr bwMode="auto">
                    <a:xfrm>
                      <a:off x="0" y="0"/>
                      <a:ext cx="836295" cy="2540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-2463800</wp:posOffset>
            </wp:positionV>
            <wp:extent cx="2567940" cy="501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32">
                      <a:extLst>
                        <a:ext uri="{28A0092B-C50C-407E-A947-70E740481C1C}"/>
                      </a:extLst>
                    </a:blip>
                    <a:srcRect/>
                    <a:stretch>
                      <a:fillRect/>
                    </a:stretch>
                  </pic:blipFill>
                  <pic:spPr bwMode="auto">
                    <a:xfrm>
                      <a:off x="0" y="0"/>
                      <a:ext cx="2567940" cy="5016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-1709420</wp:posOffset>
            </wp:positionV>
            <wp:extent cx="2567940" cy="501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3">
                      <a:extLst>
                        <a:ext uri="{28A0092B-C50C-407E-A947-70E740481C1C}"/>
                      </a:extLst>
                    </a:blip>
                    <a:srcRect/>
                    <a:stretch>
                      <a:fillRect/>
                    </a:stretch>
                  </pic:blipFill>
                  <pic:spPr bwMode="auto">
                    <a:xfrm>
                      <a:off x="0" y="0"/>
                      <a:ext cx="2567940" cy="5016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-1533525</wp:posOffset>
            </wp:positionV>
            <wp:extent cx="2567940" cy="755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4">
                      <a:extLst>
                        <a:ext uri="{28A0092B-C50C-407E-A947-70E740481C1C}"/>
                      </a:extLst>
                    </a:blip>
                    <a:srcRect/>
                    <a:stretch>
                      <a:fillRect/>
                    </a:stretch>
                  </pic:blipFill>
                  <pic:spPr bwMode="auto">
                    <a:xfrm>
                      <a:off x="0" y="0"/>
                      <a:ext cx="2567940" cy="75565"/>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-1146810</wp:posOffset>
            </wp:positionV>
            <wp:extent cx="861060" cy="501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35">
                      <a:extLst>
                        <a:ext uri="{28A0092B-C50C-407E-A947-70E740481C1C}"/>
                      </a:extLst>
                    </a:blip>
                    <a:srcRect/>
                    <a:stretch>
                      <a:fillRect/>
                    </a:stretch>
                  </pic:blipFill>
                  <pic:spPr bwMode="auto">
                    <a:xfrm>
                      <a:off x="0" y="0"/>
                      <a:ext cx="861060" cy="5016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-986155</wp:posOffset>
            </wp:positionV>
            <wp:extent cx="2567940" cy="501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6">
                      <a:extLst>
                        <a:ext uri="{28A0092B-C50C-407E-A947-70E740481C1C}"/>
                      </a:extLst>
                    </a:blip>
                    <a:srcRect/>
                    <a:stretch>
                      <a:fillRect/>
                    </a:stretch>
                  </pic:blipFill>
                  <pic:spPr bwMode="auto">
                    <a:xfrm>
                      <a:off x="0" y="0"/>
                      <a:ext cx="2567940" cy="5016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-231775</wp:posOffset>
            </wp:positionV>
            <wp:extent cx="2567940" cy="501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7">
                      <a:extLst>
                        <a:ext uri="{28A0092B-C50C-407E-A947-70E740481C1C}"/>
                      </a:extLst>
                    </a:blip>
                    <a:srcRect/>
                    <a:stretch>
                      <a:fillRect/>
                    </a:stretch>
                  </pic:blipFill>
                  <pic:spPr bwMode="auto">
                    <a:xfrm>
                      <a:off x="0" y="0"/>
                      <a:ext cx="2567940" cy="5016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-55880</wp:posOffset>
            </wp:positionV>
            <wp:extent cx="2567940" cy="755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8">
                      <a:extLst>
                        <a:ext uri="{28A0092B-C50C-407E-A947-70E740481C1C}"/>
                      </a:extLst>
                    </a:blip>
                    <a:srcRect/>
                    <a:stretch>
                      <a:fillRect/>
                    </a:stretch>
                  </pic:blipFill>
                  <pic:spPr bwMode="auto">
                    <a:xfrm>
                      <a:off x="0" y="0"/>
                      <a:ext cx="2567940" cy="75565"/>
                    </a:xfrm>
                    <a:prstGeom prst="rect">
                      <a:avLst/>
                    </a:prstGeom>
                    <a:noFill/>
                  </pic:spPr>
                </pic:pic>
              </a:graphicData>
            </a:graphic>
          </wp:anchor>
        </w:drawing>
      </w:r>
    </w:p>
    <w:p>
      <w:pPr>
        <w:spacing w:after="0" w:line="222" w:lineRule="exact"/>
        <w:rPr>
          <w:sz w:val="20"/>
          <w:szCs w:val="20"/>
          <w:color w:val="auto"/>
        </w:rPr>
      </w:pPr>
    </w:p>
    <w:p>
      <w:pPr>
        <w:ind w:right="20" w:firstLine="713"/>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Sales Revenues. </w:t>
      </w:r>
      <w:r>
        <w:rPr>
          <w:rFonts w:ascii="Times New Roman" w:cs="Times New Roman" w:eastAsia="Times New Roman" w:hAnsi="Times New Roman"/>
          <w:sz w:val="20"/>
          <w:szCs w:val="20"/>
          <w:color w:val="auto"/>
        </w:rPr>
        <w:t>Revenues from sales of crude oil and NGL are recognized at the time title to the product sold transfers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the purchaser, which 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spacing w:after="0" w:line="195" w:lineRule="exact"/>
        <w:rPr>
          <w:sz w:val="20"/>
          <w:szCs w:val="20"/>
          <w:color w:val="auto"/>
        </w:rPr>
      </w:pPr>
    </w:p>
    <w:p>
      <w:pPr>
        <w:ind w:right="40" w:firstLine="713"/>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Transportation Revenues. </w:t>
      </w:r>
      <w:r>
        <w:rPr>
          <w:rFonts w:ascii="Times New Roman" w:cs="Times New Roman" w:eastAsia="Times New Roman" w:hAnsi="Times New Roman"/>
          <w:sz w:val="20"/>
          <w:szCs w:val="20"/>
          <w:color w:val="auto"/>
        </w:rPr>
        <w:t>Transportation revenues include revenues from transporting crude oil and NGL on pipelines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03" w:lineRule="exact"/>
        <w:rPr>
          <w:sz w:val="20"/>
          <w:szCs w:val="20"/>
          <w:color w:val="auto"/>
        </w:rPr>
      </w:pPr>
    </w:p>
    <w:p>
      <w:pPr>
        <w:ind w:right="60" w:firstLine="713"/>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Terminalling, Storage and Other Revenues. </w:t>
      </w:r>
      <w:r>
        <w:rPr>
          <w:rFonts w:ascii="Times New Roman" w:cs="Times New Roman" w:eastAsia="Times New Roman" w:hAnsi="Times New Roman"/>
          <w:sz w:val="20"/>
          <w:szCs w:val="20"/>
          <w:color w:val="auto"/>
        </w:rPr>
        <w:t>Revenues in this category include (i) fees that are generated when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receive liquids from one connecting source and deliver the applicable product to another connecting carrier, (ii) fees from storage capacity agreements, (iii) fees from loading and unloading services at our terminals and (iv) fees from natural gas and condensate processing services and from NGL fractionation and isomerization service.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 Natural gas storage related activities fees were recognized in the period the natural gas moved across our header system. Fees from NGL fractionation and isomerization services and gas processing services are recognized in the period when the services are performed.</w:t>
      </w:r>
    </w:p>
    <w:p>
      <w:pPr>
        <w:sectPr>
          <w:pgSz w:w="11880" w:h="15480" w:orient="portrait"/>
          <w:cols w:equalWidth="0" w:num="1">
            <w:col w:w="10140"/>
          </w:cols>
          <w:pgMar w:left="860" w:top="43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10140"/>
          </w:cols>
          <w:pgMar w:left="860" w:top="435" w:right="880" w:bottom="0" w:gutter="0" w:footer="0" w:header="0"/>
          <w:type w:val="continuous"/>
        </w:sectPr>
      </w:pPr>
    </w:p>
    <w:bookmarkStart w:id="119" w:name="page120"/>
    <w:bookmarkEnd w:id="119"/>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3" w:lineRule="exact"/>
        <w:rPr>
          <w:sz w:val="20"/>
          <w:szCs w:val="20"/>
          <w:color w:val="auto"/>
        </w:rPr>
      </w:pPr>
    </w:p>
    <w:p>
      <w:pPr>
        <w:ind w:right="80" w:firstLine="713"/>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Reconciliation to Total Revenues of Reportable Segments. </w:t>
      </w:r>
      <w:r>
        <w:rPr>
          <w:rFonts w:ascii="Times New Roman" w:cs="Times New Roman" w:eastAsia="Times New Roman" w:hAnsi="Times New Roman"/>
          <w:sz w:val="20"/>
          <w:szCs w:val="20"/>
          <w:color w:val="auto"/>
        </w:rPr>
        <w:t>The following disclosures only include information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regarding revenues associated with 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NGL</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87"/>
        </w:trPr>
        <w:tc>
          <w:tcPr>
            <w:tcW w:w="61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Revenues from contracts with customers</w:t>
            </w:r>
          </w:p>
        </w:tc>
        <w:tc>
          <w:tcPr>
            <w:tcW w:w="300" w:type="dxa"/>
            <w:vAlign w:val="bottom"/>
            <w:gridSpan w:val="4"/>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54,929</w:t>
            </w:r>
          </w:p>
        </w:tc>
        <w:tc>
          <w:tcPr>
            <w:tcW w:w="380" w:type="dxa"/>
            <w:vAlign w:val="bottom"/>
            <w:gridSpan w:val="3"/>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2,544</w:t>
            </w:r>
          </w:p>
        </w:tc>
        <w:tc>
          <w:tcPr>
            <w:tcW w:w="380" w:type="dxa"/>
            <w:vAlign w:val="bottom"/>
            <w:gridSpan w:val="3"/>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57,473</w:t>
            </w:r>
          </w:p>
        </w:tc>
      </w:tr>
      <w:tr>
        <w:trPr>
          <w:trHeight w:val="287"/>
        </w:trPr>
        <w:tc>
          <w:tcPr>
            <w:tcW w:w="610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Other items in revenues</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w:t>
            </w:r>
          </w:p>
        </w:tc>
      </w:tr>
      <w:tr>
        <w:trPr>
          <w:trHeight w:val="277"/>
        </w:trPr>
        <w:tc>
          <w:tcPr>
            <w:tcW w:w="61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Total revenues of reportable segments</w:t>
            </w:r>
          </w:p>
        </w:tc>
        <w:tc>
          <w:tcPr>
            <w:tcW w:w="300" w:type="dxa"/>
            <w:vAlign w:val="bottom"/>
            <w:gridSpan w:val="4"/>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55,080</w:t>
            </w:r>
          </w:p>
        </w:tc>
        <w:tc>
          <w:tcPr>
            <w:tcW w:w="380" w:type="dxa"/>
            <w:vAlign w:val="bottom"/>
            <w:gridSpan w:val="3"/>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2,761</w:t>
            </w:r>
          </w:p>
        </w:tc>
        <w:tc>
          <w:tcPr>
            <w:tcW w:w="380" w:type="dxa"/>
            <w:vAlign w:val="bottom"/>
            <w:gridSpan w:val="3"/>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57,841</w:t>
            </w:r>
          </w:p>
        </w:tc>
      </w:tr>
      <w:tr>
        <w:trPr>
          <w:trHeight w:val="277"/>
        </w:trPr>
        <w:tc>
          <w:tcPr>
            <w:tcW w:w="6100" w:type="dxa"/>
            <w:vAlign w:val="bottom"/>
            <w:tcBorders>
              <w:top w:val="single" w:sz="8" w:color="E6E6E6"/>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Intersegment revenues elimination</w:t>
            </w:r>
          </w:p>
        </w:tc>
        <w:tc>
          <w:tcPr>
            <w:tcW w:w="6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auto"/>
              <w:bottom w:val="single" w:sz="8" w:color="E6E6E6"/>
            </w:tcBorders>
          </w:tcPr>
          <w:p>
            <w:pPr>
              <w:spacing w:after="0"/>
              <w:rPr>
                <w:sz w:val="24"/>
                <w:szCs w:val="24"/>
                <w:color w:val="auto"/>
              </w:rPr>
            </w:pPr>
          </w:p>
        </w:tc>
        <w:tc>
          <w:tcPr>
            <w:tcW w:w="20" w:type="dxa"/>
            <w:vAlign w:val="bottom"/>
            <w:tcBorders>
              <w:top w:val="single" w:sz="8" w:color="auto"/>
              <w:bottom w:val="single" w:sz="8" w:color="E6E6E6"/>
            </w:tcBorders>
          </w:tcPr>
          <w:p>
            <w:pPr>
              <w:spacing w:after="0"/>
              <w:rPr>
                <w:sz w:val="24"/>
                <w:szCs w:val="24"/>
                <w:color w:val="auto"/>
              </w:rPr>
            </w:pPr>
          </w:p>
        </w:tc>
        <w:tc>
          <w:tcPr>
            <w:tcW w:w="200" w:type="dxa"/>
            <w:vAlign w:val="bottom"/>
            <w:tcBorders>
              <w:top w:val="single" w:sz="8" w:color="auto"/>
              <w:bottom w:val="single" w:sz="8" w:color="E6E6E6"/>
            </w:tcBorders>
          </w:tcPr>
          <w:p>
            <w:pPr>
              <w:spacing w:after="0"/>
              <w:rPr>
                <w:sz w:val="24"/>
                <w:szCs w:val="24"/>
                <w:color w:val="auto"/>
              </w:rPr>
            </w:pPr>
          </w:p>
        </w:tc>
        <w:tc>
          <w:tcPr>
            <w:tcW w:w="1060" w:type="dxa"/>
            <w:vAlign w:val="bottom"/>
            <w:tcBorders>
              <w:top w:val="single" w:sz="8" w:color="auto"/>
              <w:bottom w:val="single" w:sz="8" w:color="E6E6E6"/>
            </w:tcBorders>
          </w:tcPr>
          <w:p>
            <w:pPr>
              <w:spacing w:after="0"/>
              <w:rPr>
                <w:sz w:val="24"/>
                <w:szCs w:val="24"/>
                <w:color w:val="auto"/>
              </w:rPr>
            </w:pPr>
          </w:p>
        </w:tc>
        <w:tc>
          <w:tcPr>
            <w:tcW w:w="8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auto"/>
              <w:bottom w:val="single" w:sz="8" w:color="E6E6E6"/>
            </w:tcBorders>
          </w:tcPr>
          <w:p>
            <w:pPr>
              <w:spacing w:after="0"/>
              <w:rPr>
                <w:sz w:val="24"/>
                <w:szCs w:val="24"/>
                <w:color w:val="auto"/>
              </w:rPr>
            </w:pPr>
          </w:p>
        </w:tc>
        <w:tc>
          <w:tcPr>
            <w:tcW w:w="280" w:type="dxa"/>
            <w:vAlign w:val="bottom"/>
            <w:tcBorders>
              <w:top w:val="single" w:sz="8" w:color="auto"/>
              <w:bottom w:val="single" w:sz="8" w:color="E6E6E6"/>
            </w:tcBorders>
          </w:tcPr>
          <w:p>
            <w:pPr>
              <w:spacing w:after="0"/>
              <w:rPr>
                <w:sz w:val="24"/>
                <w:szCs w:val="24"/>
                <w:color w:val="auto"/>
              </w:rPr>
            </w:pPr>
          </w:p>
        </w:tc>
        <w:tc>
          <w:tcPr>
            <w:tcW w:w="960" w:type="dxa"/>
            <w:vAlign w:val="bottom"/>
            <w:tcBorders>
              <w:top w:val="single" w:sz="8" w:color="auto"/>
              <w:bottom w:val="single" w:sz="8" w:color="E6E6E6"/>
            </w:tcBorders>
          </w:tcPr>
          <w:p>
            <w:pPr>
              <w:spacing w:after="0"/>
              <w:rPr>
                <w:sz w:val="24"/>
                <w:szCs w:val="24"/>
                <w:color w:val="auto"/>
              </w:rPr>
            </w:pPr>
          </w:p>
        </w:tc>
        <w:tc>
          <w:tcPr>
            <w:tcW w:w="8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(499)</w:t>
            </w:r>
          </w:p>
        </w:tc>
      </w:tr>
      <w:tr>
        <w:trPr>
          <w:trHeight w:val="297"/>
        </w:trPr>
        <w:tc>
          <w:tcPr>
            <w:tcW w:w="61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Total revenues</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380" w:type="dxa"/>
            <w:vAlign w:val="bottom"/>
            <w:gridSpan w:val="3"/>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57,342</w:t>
            </w:r>
          </w:p>
        </w:tc>
      </w:tr>
      <w:tr>
        <w:trPr>
          <w:trHeight w:val="698"/>
        </w:trPr>
        <w:tc>
          <w:tcPr>
            <w:tcW w:w="6100" w:type="dxa"/>
            <w:vAlign w:val="bottom"/>
            <w:tcBorders>
              <w:top w:val="single" w:sz="8" w:color="E6E6E6"/>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6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auto"/>
            </w:tcBorders>
          </w:tcPr>
          <w:p>
            <w:pPr>
              <w:spacing w:after="0"/>
              <w:rPr>
                <w:sz w:val="24"/>
                <w:szCs w:val="24"/>
                <w:color w:val="auto"/>
              </w:rPr>
            </w:pPr>
          </w:p>
        </w:tc>
        <w:tc>
          <w:tcPr>
            <w:tcW w:w="200" w:type="dxa"/>
            <w:vAlign w:val="bottom"/>
            <w:tcBorders>
              <w:top w:val="single" w:sz="8" w:color="E6E6E6"/>
              <w:bottom w:val="single" w:sz="8" w:color="auto"/>
            </w:tcBorders>
          </w:tcPr>
          <w:p>
            <w:pPr>
              <w:spacing w:after="0"/>
              <w:rPr>
                <w:sz w:val="24"/>
                <w:szCs w:val="24"/>
                <w:color w:val="auto"/>
              </w:rPr>
            </w:pPr>
          </w:p>
        </w:tc>
        <w:tc>
          <w:tcPr>
            <w:tcW w:w="1060" w:type="dxa"/>
            <w:vAlign w:val="bottom"/>
            <w:tcBorders>
              <w:top w:val="single" w:sz="8" w:color="E6E6E6"/>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8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auto"/>
            </w:tcBorders>
          </w:tcPr>
          <w:p>
            <w:pPr>
              <w:spacing w:after="0"/>
              <w:rPr>
                <w:sz w:val="24"/>
                <w:szCs w:val="24"/>
                <w:color w:val="auto"/>
              </w:rPr>
            </w:pPr>
          </w:p>
        </w:tc>
        <w:tc>
          <w:tcPr>
            <w:tcW w:w="280" w:type="dxa"/>
            <w:vAlign w:val="bottom"/>
            <w:tcBorders>
              <w:top w:val="single" w:sz="8" w:color="E6E6E6"/>
              <w:bottom w:val="single" w:sz="8" w:color="auto"/>
            </w:tcBorders>
          </w:tcPr>
          <w:p>
            <w:pPr>
              <w:spacing w:after="0"/>
              <w:rPr>
                <w:sz w:val="24"/>
                <w:szCs w:val="24"/>
                <w:color w:val="auto"/>
              </w:rPr>
            </w:pPr>
          </w:p>
        </w:tc>
        <w:tc>
          <w:tcPr>
            <w:tcW w:w="960" w:type="dxa"/>
            <w:vAlign w:val="bottom"/>
            <w:tcBorders>
              <w:top w:val="single" w:sz="8" w:color="E6E6E6"/>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NGL</w:t>
            </w:r>
          </w:p>
        </w:tc>
        <w:tc>
          <w:tcPr>
            <w:tcW w:w="8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87"/>
        </w:trPr>
        <w:tc>
          <w:tcPr>
            <w:tcW w:w="61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Revenues from contracts with customers</w:t>
            </w:r>
          </w:p>
        </w:tc>
        <w:tc>
          <w:tcPr>
            <w:tcW w:w="300" w:type="dxa"/>
            <w:vAlign w:val="bottom"/>
            <w:gridSpan w:val="4"/>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40,550</w:t>
            </w:r>
          </w:p>
        </w:tc>
        <w:tc>
          <w:tcPr>
            <w:tcW w:w="380" w:type="dxa"/>
            <w:vAlign w:val="bottom"/>
            <w:gridSpan w:val="3"/>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2,399</w:t>
            </w:r>
          </w:p>
        </w:tc>
        <w:tc>
          <w:tcPr>
            <w:tcW w:w="380" w:type="dxa"/>
            <w:vAlign w:val="bottom"/>
            <w:gridSpan w:val="3"/>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42,949</w:t>
            </w:r>
          </w:p>
        </w:tc>
      </w:tr>
      <w:tr>
        <w:trPr>
          <w:trHeight w:val="287"/>
        </w:trPr>
        <w:tc>
          <w:tcPr>
            <w:tcW w:w="610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Other items in revenues</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w:t>
            </w:r>
          </w:p>
        </w:tc>
      </w:tr>
      <w:tr>
        <w:trPr>
          <w:trHeight w:val="277"/>
        </w:trPr>
        <w:tc>
          <w:tcPr>
            <w:tcW w:w="61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Total revenues of reportable segments</w:t>
            </w:r>
          </w:p>
        </w:tc>
        <w:tc>
          <w:tcPr>
            <w:tcW w:w="300" w:type="dxa"/>
            <w:vAlign w:val="bottom"/>
            <w:gridSpan w:val="4"/>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40,470</w:t>
            </w:r>
          </w:p>
        </w:tc>
        <w:tc>
          <w:tcPr>
            <w:tcW w:w="380" w:type="dxa"/>
            <w:vAlign w:val="bottom"/>
            <w:gridSpan w:val="3"/>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1,968</w:t>
            </w:r>
          </w:p>
        </w:tc>
        <w:tc>
          <w:tcPr>
            <w:tcW w:w="380" w:type="dxa"/>
            <w:vAlign w:val="bottom"/>
            <w:gridSpan w:val="3"/>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42,438</w:t>
            </w:r>
          </w:p>
        </w:tc>
      </w:tr>
      <w:tr>
        <w:trPr>
          <w:trHeight w:val="277"/>
        </w:trPr>
        <w:tc>
          <w:tcPr>
            <w:tcW w:w="6100" w:type="dxa"/>
            <w:vAlign w:val="bottom"/>
            <w:tcBorders>
              <w:top w:val="single" w:sz="8" w:color="E6E6E6"/>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Intersegment revenues elimination</w:t>
            </w:r>
          </w:p>
        </w:tc>
        <w:tc>
          <w:tcPr>
            <w:tcW w:w="6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0" w:type="dxa"/>
            <w:vAlign w:val="bottom"/>
            <w:tcBorders>
              <w:top w:val="single" w:sz="8" w:color="auto"/>
              <w:bottom w:val="single" w:sz="8" w:color="E6E6E6"/>
            </w:tcBorders>
          </w:tcPr>
          <w:p>
            <w:pPr>
              <w:spacing w:after="0"/>
              <w:rPr>
                <w:sz w:val="24"/>
                <w:szCs w:val="24"/>
                <w:color w:val="auto"/>
              </w:rPr>
            </w:pPr>
          </w:p>
        </w:tc>
        <w:tc>
          <w:tcPr>
            <w:tcW w:w="1060" w:type="dxa"/>
            <w:vAlign w:val="bottom"/>
            <w:tcBorders>
              <w:top w:val="single" w:sz="8" w:color="auto"/>
              <w:bottom w:val="single" w:sz="8" w:color="E6E6E6"/>
            </w:tcBorders>
          </w:tcPr>
          <w:p>
            <w:pPr>
              <w:spacing w:after="0"/>
              <w:rPr>
                <w:sz w:val="24"/>
                <w:szCs w:val="24"/>
                <w:color w:val="auto"/>
              </w:rPr>
            </w:pPr>
          </w:p>
        </w:tc>
        <w:tc>
          <w:tcPr>
            <w:tcW w:w="8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80" w:type="dxa"/>
            <w:vAlign w:val="bottom"/>
            <w:tcBorders>
              <w:top w:val="single" w:sz="8" w:color="auto"/>
              <w:bottom w:val="single" w:sz="8" w:color="E6E6E6"/>
            </w:tcBorders>
          </w:tcPr>
          <w:p>
            <w:pPr>
              <w:spacing w:after="0"/>
              <w:rPr>
                <w:sz w:val="24"/>
                <w:szCs w:val="24"/>
                <w:color w:val="auto"/>
              </w:rPr>
            </w:pPr>
          </w:p>
        </w:tc>
        <w:tc>
          <w:tcPr>
            <w:tcW w:w="960" w:type="dxa"/>
            <w:vAlign w:val="bottom"/>
            <w:tcBorders>
              <w:top w:val="single" w:sz="8" w:color="auto"/>
              <w:bottom w:val="single" w:sz="8" w:color="E6E6E6"/>
            </w:tcBorders>
          </w:tcPr>
          <w:p>
            <w:pPr>
              <w:spacing w:after="0"/>
              <w:rPr>
                <w:sz w:val="24"/>
                <w:szCs w:val="24"/>
                <w:color w:val="auto"/>
              </w:rPr>
            </w:pPr>
          </w:p>
        </w:tc>
        <w:tc>
          <w:tcPr>
            <w:tcW w:w="8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w:t>
            </w:r>
          </w:p>
        </w:tc>
      </w:tr>
      <w:tr>
        <w:trPr>
          <w:trHeight w:val="297"/>
        </w:trPr>
        <w:tc>
          <w:tcPr>
            <w:tcW w:w="61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Total revenues</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380" w:type="dxa"/>
            <w:vAlign w:val="bottom"/>
            <w:gridSpan w:val="3"/>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42,078</w:t>
            </w:r>
          </w:p>
        </w:tc>
      </w:tr>
      <w:tr>
        <w:trPr>
          <w:trHeight w:val="698"/>
        </w:trPr>
        <w:tc>
          <w:tcPr>
            <w:tcW w:w="6100" w:type="dxa"/>
            <w:vAlign w:val="bottom"/>
            <w:tcBorders>
              <w:top w:val="single" w:sz="8" w:color="E6E6E6"/>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6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0" w:type="dxa"/>
            <w:vAlign w:val="bottom"/>
            <w:tcBorders>
              <w:top w:val="single" w:sz="8" w:color="E6E6E6"/>
              <w:bottom w:val="single" w:sz="8" w:color="auto"/>
            </w:tcBorders>
          </w:tcPr>
          <w:p>
            <w:pPr>
              <w:spacing w:after="0"/>
              <w:rPr>
                <w:sz w:val="24"/>
                <w:szCs w:val="24"/>
                <w:color w:val="auto"/>
              </w:rPr>
            </w:pPr>
          </w:p>
        </w:tc>
        <w:tc>
          <w:tcPr>
            <w:tcW w:w="1060" w:type="dxa"/>
            <w:vAlign w:val="bottom"/>
            <w:tcBorders>
              <w:top w:val="single" w:sz="8" w:color="E6E6E6"/>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8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80" w:type="dxa"/>
            <w:vAlign w:val="bottom"/>
            <w:tcBorders>
              <w:top w:val="single" w:sz="8" w:color="E6E6E6"/>
              <w:bottom w:val="single" w:sz="8" w:color="auto"/>
            </w:tcBorders>
          </w:tcPr>
          <w:p>
            <w:pPr>
              <w:spacing w:after="0"/>
              <w:rPr>
                <w:sz w:val="24"/>
                <w:szCs w:val="24"/>
                <w:color w:val="auto"/>
              </w:rPr>
            </w:pPr>
          </w:p>
        </w:tc>
        <w:tc>
          <w:tcPr>
            <w:tcW w:w="960" w:type="dxa"/>
            <w:vAlign w:val="bottom"/>
            <w:tcBorders>
              <w:top w:val="single" w:sz="8" w:color="E6E6E6"/>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NGL</w:t>
            </w:r>
          </w:p>
        </w:tc>
        <w:tc>
          <w:tcPr>
            <w:tcW w:w="8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87"/>
        </w:trPr>
        <w:tc>
          <w:tcPr>
            <w:tcW w:w="61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Revenues from contracts with customers</w:t>
            </w:r>
          </w:p>
        </w:tc>
        <w:tc>
          <w:tcPr>
            <w:tcW w:w="300" w:type="dxa"/>
            <w:vAlign w:val="bottom"/>
            <w:gridSpan w:val="4"/>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22,327</w:t>
            </w:r>
          </w:p>
        </w:tc>
        <w:tc>
          <w:tcPr>
            <w:tcW w:w="380" w:type="dxa"/>
            <w:vAlign w:val="bottom"/>
            <w:gridSpan w:val="3"/>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1,475</w:t>
            </w:r>
          </w:p>
        </w:tc>
        <w:tc>
          <w:tcPr>
            <w:tcW w:w="380" w:type="dxa"/>
            <w:vAlign w:val="bottom"/>
            <w:gridSpan w:val="3"/>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23,802</w:t>
            </w:r>
          </w:p>
        </w:tc>
      </w:tr>
      <w:tr>
        <w:trPr>
          <w:trHeight w:val="287"/>
        </w:trPr>
        <w:tc>
          <w:tcPr>
            <w:tcW w:w="610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Other items in revenues</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w:t>
            </w:r>
          </w:p>
        </w:tc>
      </w:tr>
      <w:tr>
        <w:trPr>
          <w:trHeight w:val="277"/>
        </w:trPr>
        <w:tc>
          <w:tcPr>
            <w:tcW w:w="61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Total revenues of reportable segments</w:t>
            </w:r>
          </w:p>
        </w:tc>
        <w:tc>
          <w:tcPr>
            <w:tcW w:w="300" w:type="dxa"/>
            <w:vAlign w:val="bottom"/>
            <w:gridSpan w:val="4"/>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22,199</w:t>
            </w:r>
          </w:p>
        </w:tc>
        <w:tc>
          <w:tcPr>
            <w:tcW w:w="380" w:type="dxa"/>
            <w:vAlign w:val="bottom"/>
            <w:gridSpan w:val="3"/>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1,360</w:t>
            </w:r>
          </w:p>
        </w:tc>
        <w:tc>
          <w:tcPr>
            <w:tcW w:w="380" w:type="dxa"/>
            <w:vAlign w:val="bottom"/>
            <w:gridSpan w:val="3"/>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23,559</w:t>
            </w:r>
          </w:p>
        </w:tc>
      </w:tr>
      <w:tr>
        <w:trPr>
          <w:trHeight w:val="277"/>
        </w:trPr>
        <w:tc>
          <w:tcPr>
            <w:tcW w:w="6100" w:type="dxa"/>
            <w:vAlign w:val="bottom"/>
            <w:tcBorders>
              <w:top w:val="single" w:sz="8" w:color="E6E6E6"/>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Intersegment revenues elimination</w:t>
            </w:r>
          </w:p>
        </w:tc>
        <w:tc>
          <w:tcPr>
            <w:tcW w:w="6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0" w:type="dxa"/>
            <w:vAlign w:val="bottom"/>
            <w:tcBorders>
              <w:top w:val="single" w:sz="8" w:color="auto"/>
              <w:bottom w:val="single" w:sz="8" w:color="E6E6E6"/>
            </w:tcBorders>
          </w:tcPr>
          <w:p>
            <w:pPr>
              <w:spacing w:after="0"/>
              <w:rPr>
                <w:sz w:val="24"/>
                <w:szCs w:val="24"/>
                <w:color w:val="auto"/>
              </w:rPr>
            </w:pPr>
          </w:p>
        </w:tc>
        <w:tc>
          <w:tcPr>
            <w:tcW w:w="1060" w:type="dxa"/>
            <w:vAlign w:val="bottom"/>
            <w:tcBorders>
              <w:top w:val="single" w:sz="8" w:color="auto"/>
              <w:bottom w:val="single" w:sz="8" w:color="E6E6E6"/>
            </w:tcBorders>
          </w:tcPr>
          <w:p>
            <w:pPr>
              <w:spacing w:after="0"/>
              <w:rPr>
                <w:sz w:val="24"/>
                <w:szCs w:val="24"/>
                <w:color w:val="auto"/>
              </w:rPr>
            </w:pPr>
          </w:p>
        </w:tc>
        <w:tc>
          <w:tcPr>
            <w:tcW w:w="8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80" w:type="dxa"/>
            <w:vAlign w:val="bottom"/>
            <w:tcBorders>
              <w:top w:val="single" w:sz="8" w:color="auto"/>
              <w:bottom w:val="single" w:sz="8" w:color="E6E6E6"/>
            </w:tcBorders>
          </w:tcPr>
          <w:p>
            <w:pPr>
              <w:spacing w:after="0"/>
              <w:rPr>
                <w:sz w:val="24"/>
                <w:szCs w:val="24"/>
                <w:color w:val="auto"/>
              </w:rPr>
            </w:pPr>
          </w:p>
        </w:tc>
        <w:tc>
          <w:tcPr>
            <w:tcW w:w="960" w:type="dxa"/>
            <w:vAlign w:val="bottom"/>
            <w:tcBorders>
              <w:top w:val="single" w:sz="8" w:color="auto"/>
              <w:bottom w:val="single" w:sz="8" w:color="E6E6E6"/>
            </w:tcBorders>
          </w:tcPr>
          <w:p>
            <w:pPr>
              <w:spacing w:after="0"/>
              <w:rPr>
                <w:sz w:val="24"/>
                <w:szCs w:val="24"/>
                <w:color w:val="auto"/>
              </w:rPr>
            </w:pPr>
          </w:p>
        </w:tc>
        <w:tc>
          <w:tcPr>
            <w:tcW w:w="8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w:t>
            </w:r>
          </w:p>
        </w:tc>
      </w:tr>
      <w:tr>
        <w:trPr>
          <w:trHeight w:val="297"/>
        </w:trPr>
        <w:tc>
          <w:tcPr>
            <w:tcW w:w="610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Total revenues</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gridSpan w:val="2"/>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-3808730</wp:posOffset>
            </wp:positionV>
            <wp:extent cx="6487795" cy="501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39">
                      <a:extLst>
                        <a:ext uri="{28A0092B-C50C-407E-A947-70E740481C1C}"/>
                      </a:extLst>
                    </a:blip>
                    <a:srcRect/>
                    <a:stretch>
                      <a:fillRect/>
                    </a:stretch>
                  </pic:blipFill>
                  <pic:spPr bwMode="auto">
                    <a:xfrm>
                      <a:off x="0" y="0"/>
                      <a:ext cx="6487795" cy="5016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-3431540</wp:posOffset>
            </wp:positionV>
            <wp:extent cx="2586990" cy="501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40">
                      <a:extLst>
                        <a:ext uri="{28A0092B-C50C-407E-A947-70E740481C1C}"/>
                      </a:extLst>
                    </a:blip>
                    <a:srcRect/>
                    <a:stretch>
                      <a:fillRect/>
                    </a:stretch>
                  </pic:blipFill>
                  <pic:spPr bwMode="auto">
                    <a:xfrm>
                      <a:off x="0" y="0"/>
                      <a:ext cx="2586990" cy="5016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-3242945</wp:posOffset>
            </wp:positionV>
            <wp:extent cx="2586990" cy="501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41">
                      <a:extLst>
                        <a:ext uri="{28A0092B-C50C-407E-A947-70E740481C1C}"/>
                      </a:extLst>
                    </a:blip>
                    <a:srcRect/>
                    <a:stretch>
                      <a:fillRect/>
                    </a:stretch>
                  </pic:blipFill>
                  <pic:spPr bwMode="auto">
                    <a:xfrm>
                      <a:off x="0" y="0"/>
                      <a:ext cx="2586990" cy="5016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-3054350</wp:posOffset>
            </wp:positionV>
            <wp:extent cx="861060" cy="501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42">
                      <a:extLst>
                        <a:ext uri="{28A0092B-C50C-407E-A947-70E740481C1C}"/>
                      </a:extLst>
                    </a:blip>
                    <a:srcRect/>
                    <a:stretch>
                      <a:fillRect/>
                    </a:stretch>
                  </pic:blipFill>
                  <pic:spPr bwMode="auto">
                    <a:xfrm>
                      <a:off x="0" y="0"/>
                      <a:ext cx="861060" cy="5016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-2878455</wp:posOffset>
            </wp:positionV>
            <wp:extent cx="861060" cy="755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3">
                      <a:extLst>
                        <a:ext uri="{28A0092B-C50C-407E-A947-70E740481C1C}"/>
                      </a:extLst>
                    </a:blip>
                    <a:srcRect/>
                    <a:stretch>
                      <a:fillRect/>
                    </a:stretch>
                  </pic:blipFill>
                  <pic:spPr bwMode="auto">
                    <a:xfrm>
                      <a:off x="0" y="0"/>
                      <a:ext cx="861060" cy="7556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-2397760</wp:posOffset>
            </wp:positionV>
            <wp:extent cx="6500495" cy="501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44">
                      <a:extLst>
                        <a:ext uri="{28A0092B-C50C-407E-A947-70E740481C1C}"/>
                      </a:extLst>
                    </a:blip>
                    <a:srcRect/>
                    <a:stretch>
                      <a:fillRect/>
                    </a:stretch>
                  </pic:blipFill>
                  <pic:spPr bwMode="auto">
                    <a:xfrm>
                      <a:off x="0" y="0"/>
                      <a:ext cx="6500495" cy="5016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-2020570</wp:posOffset>
            </wp:positionV>
            <wp:extent cx="2577465" cy="501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45">
                      <a:extLst>
                        <a:ext uri="{28A0092B-C50C-407E-A947-70E740481C1C}"/>
                      </a:extLst>
                    </a:blip>
                    <a:srcRect/>
                    <a:stretch>
                      <a:fillRect/>
                    </a:stretch>
                  </pic:blipFill>
                  <pic:spPr bwMode="auto">
                    <a:xfrm>
                      <a:off x="0" y="0"/>
                      <a:ext cx="2577465" cy="5016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-1831975</wp:posOffset>
            </wp:positionV>
            <wp:extent cx="2577465" cy="501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46">
                      <a:extLst>
                        <a:ext uri="{28A0092B-C50C-407E-A947-70E740481C1C}"/>
                      </a:extLst>
                    </a:blip>
                    <a:srcRect/>
                    <a:stretch>
                      <a:fillRect/>
                    </a:stretch>
                  </pic:blipFill>
                  <pic:spPr bwMode="auto">
                    <a:xfrm>
                      <a:off x="0" y="0"/>
                      <a:ext cx="2577465" cy="5016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-1643380</wp:posOffset>
            </wp:positionV>
            <wp:extent cx="861060" cy="501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7">
                      <a:extLst>
                        <a:ext uri="{28A0092B-C50C-407E-A947-70E740481C1C}"/>
                      </a:extLst>
                    </a:blip>
                    <a:srcRect/>
                    <a:stretch>
                      <a:fillRect/>
                    </a:stretch>
                  </pic:blipFill>
                  <pic:spPr bwMode="auto">
                    <a:xfrm>
                      <a:off x="0" y="0"/>
                      <a:ext cx="861060" cy="5016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-1467485</wp:posOffset>
            </wp:positionV>
            <wp:extent cx="861060" cy="755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8">
                      <a:extLst>
                        <a:ext uri="{28A0092B-C50C-407E-A947-70E740481C1C}"/>
                      </a:extLst>
                    </a:blip>
                    <a:srcRect/>
                    <a:stretch>
                      <a:fillRect/>
                    </a:stretch>
                  </pic:blipFill>
                  <pic:spPr bwMode="auto">
                    <a:xfrm>
                      <a:off x="0" y="0"/>
                      <a:ext cx="861060" cy="7556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-986155</wp:posOffset>
            </wp:positionV>
            <wp:extent cx="6500495" cy="501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49">
                      <a:extLst>
                        <a:ext uri="{28A0092B-C50C-407E-A947-70E740481C1C}"/>
                      </a:extLst>
                    </a:blip>
                    <a:srcRect/>
                    <a:stretch>
                      <a:fillRect/>
                    </a:stretch>
                  </pic:blipFill>
                  <pic:spPr bwMode="auto">
                    <a:xfrm>
                      <a:off x="0" y="0"/>
                      <a:ext cx="6500495" cy="5016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-608965</wp:posOffset>
            </wp:positionV>
            <wp:extent cx="2577465" cy="501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50">
                      <a:extLst>
                        <a:ext uri="{28A0092B-C50C-407E-A947-70E740481C1C}"/>
                      </a:extLst>
                    </a:blip>
                    <a:srcRect/>
                    <a:stretch>
                      <a:fillRect/>
                    </a:stretch>
                  </pic:blipFill>
                  <pic:spPr bwMode="auto">
                    <a:xfrm>
                      <a:off x="0" y="0"/>
                      <a:ext cx="2577465" cy="5016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-420370</wp:posOffset>
            </wp:positionV>
            <wp:extent cx="2577465" cy="501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51">
                      <a:extLst>
                        <a:ext uri="{28A0092B-C50C-407E-A947-70E740481C1C}"/>
                      </a:extLst>
                    </a:blip>
                    <a:srcRect/>
                    <a:stretch>
                      <a:fillRect/>
                    </a:stretch>
                  </pic:blipFill>
                  <pic:spPr bwMode="auto">
                    <a:xfrm>
                      <a:off x="0" y="0"/>
                      <a:ext cx="2577465" cy="5016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-231775</wp:posOffset>
            </wp:positionV>
            <wp:extent cx="861060" cy="501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52">
                      <a:extLst>
                        <a:ext uri="{28A0092B-C50C-407E-A947-70E740481C1C}"/>
                      </a:extLst>
                    </a:blip>
                    <a:srcRect/>
                    <a:stretch>
                      <a:fillRect/>
                    </a:stretch>
                  </pic:blipFill>
                  <pic:spPr bwMode="auto">
                    <a:xfrm>
                      <a:off x="0" y="0"/>
                      <a:ext cx="861060" cy="5016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-55880</wp:posOffset>
            </wp:positionV>
            <wp:extent cx="861060" cy="755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53">
                      <a:extLst>
                        <a:ext uri="{28A0092B-C50C-407E-A947-70E740481C1C}"/>
                      </a:extLst>
                    </a:blip>
                    <a:srcRect/>
                    <a:stretch>
                      <a:fillRect/>
                    </a:stretch>
                  </pic:blipFill>
                  <pic:spPr bwMode="auto">
                    <a:xfrm>
                      <a:off x="0" y="0"/>
                      <a:ext cx="861060" cy="75565"/>
                    </a:xfrm>
                    <a:prstGeom prst="rect">
                      <a:avLst/>
                    </a:prstGeom>
                    <a:noFill/>
                  </pic:spPr>
                </pic:pic>
              </a:graphicData>
            </a:graphic>
          </wp:anchor>
        </w:drawing>
      </w:r>
    </w:p>
    <w:p>
      <w:pPr>
        <w:spacing w:after="0" w:line="222" w:lineRule="exact"/>
        <w:rPr>
          <w:sz w:val="20"/>
          <w:szCs w:val="20"/>
          <w:color w:val="auto"/>
        </w:rPr>
      </w:pPr>
    </w:p>
    <w:p>
      <w:pPr>
        <w:ind w:right="80" w:firstLine="713"/>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Minimum Volume Commitments. </w:t>
      </w:r>
      <w:r>
        <w:rPr>
          <w:rFonts w:ascii="Times New Roman" w:cs="Times New Roman" w:eastAsia="Times New Roman" w:hAnsi="Times New Roman"/>
          <w:sz w:val="20"/>
          <w:szCs w:val="20"/>
          <w:color w:val="auto"/>
        </w:rPr>
        <w:t>We have certain agreements that require counterparties to transport or throughput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minimum volume over 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10160"/>
          </w:cols>
          <w:pgMar w:left="860" w:top="435" w:right="860" w:bottom="0" w:gutter="0" w:footer="0" w:header="0"/>
          <w:type w:val="continuous"/>
        </w:sectPr>
      </w:pPr>
    </w:p>
    <w:bookmarkStart w:id="120" w:name="page121"/>
    <w:bookmarkEnd w:id="120"/>
    <w:p>
      <w:pPr>
        <w:spacing w:after="0" w:line="14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640" w:firstLine="713"/>
        <w:spacing w:after="0" w:line="263" w:lineRule="auto"/>
        <w:rPr>
          <w:sz w:val="20"/>
          <w:szCs w:val="20"/>
          <w:color w:val="auto"/>
        </w:rPr>
      </w:pPr>
      <w:r>
        <w:rPr>
          <w:rFonts w:ascii="Times New Roman" w:cs="Times New Roman" w:eastAsia="Times New Roman" w:hAnsi="Times New Roman"/>
          <w:sz w:val="20"/>
          <w:szCs w:val="20"/>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r>
      <w:tr>
        <w:trPr>
          <w:trHeight w:val="292"/>
        </w:trPr>
        <w:tc>
          <w:tcPr>
            <w:tcW w:w="3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Counterparty Deficiencies</w:t>
            </w:r>
          </w:p>
        </w:tc>
        <w:tc>
          <w:tcPr>
            <w:tcW w:w="80" w:type="dxa"/>
            <w:vAlign w:val="bottom"/>
            <w:tcBorders>
              <w:bottom w:val="single" w:sz="8" w:color="E6E6E6"/>
            </w:tcBorders>
          </w:tcPr>
          <w:p>
            <w:pPr>
              <w:spacing w:after="0"/>
              <w:rPr>
                <w:sz w:val="24"/>
                <w:szCs w:val="24"/>
                <w:color w:val="auto"/>
              </w:rPr>
            </w:pPr>
          </w:p>
        </w:tc>
        <w:tc>
          <w:tcPr>
            <w:tcW w:w="3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Financial Statement Classification</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02"/>
        </w:trPr>
        <w:tc>
          <w:tcPr>
            <w:tcW w:w="36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Billed and collected</w:t>
            </w:r>
          </w:p>
        </w:tc>
        <w:tc>
          <w:tcPr>
            <w:tcW w:w="80" w:type="dxa"/>
            <w:vAlign w:val="bottom"/>
            <w:shd w:val="clear" w:color="auto" w:fill="E6E6E6"/>
          </w:tcPr>
          <w:p>
            <w:pPr>
              <w:spacing w:after="0"/>
              <w:rPr>
                <w:sz w:val="24"/>
                <w:szCs w:val="24"/>
                <w:color w:val="auto"/>
              </w:rPr>
            </w:pPr>
          </w:p>
        </w:tc>
        <w:tc>
          <w:tcPr>
            <w:tcW w:w="37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20" w:type="dxa"/>
            <w:vAlign w:val="bottom"/>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520" w:type="dxa"/>
            <w:vAlign w:val="bottom"/>
            <w:gridSpan w:val="3"/>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302"/>
        </w:trPr>
        <w:tc>
          <w:tcPr>
            <w:tcW w:w="3660" w:type="dxa"/>
            <w:vAlign w:val="bottom"/>
            <w:tcBorders>
              <w:bottom w:val="single" w:sz="8" w:color="E6E6E6"/>
            </w:tcBorders>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Unbilled </w:t>
            </w:r>
            <w:r>
              <w:rPr>
                <w:rFonts w:ascii="Times New Roman" w:cs="Times New Roman" w:eastAsia="Times New Roman" w:hAnsi="Times New Roman"/>
                <w:sz w:val="25"/>
                <w:szCs w:val="25"/>
                <w:color w:val="auto"/>
                <w:vertAlign w:val="superscript"/>
              </w:rPr>
              <w:t>(1)</w:t>
            </w:r>
          </w:p>
        </w:tc>
        <w:tc>
          <w:tcPr>
            <w:tcW w:w="80" w:type="dxa"/>
            <w:vAlign w:val="bottom"/>
            <w:tcBorders>
              <w:bottom w:val="single" w:sz="8" w:color="E6E6E6"/>
            </w:tcBorders>
          </w:tcPr>
          <w:p>
            <w:pPr>
              <w:spacing w:after="0"/>
              <w:rPr>
                <w:sz w:val="24"/>
                <w:szCs w:val="24"/>
                <w:color w:val="auto"/>
              </w:rPr>
            </w:pPr>
          </w:p>
        </w:tc>
        <w:tc>
          <w:tcPr>
            <w:tcW w:w="3760" w:type="dxa"/>
            <w:vAlign w:val="bottom"/>
            <w:tcBorders>
              <w:bottom w:val="single" w:sz="8" w:color="E6E6E6"/>
            </w:tcBorders>
            <w:gridSpan w:val="2"/>
          </w:tcPr>
          <w:p>
            <w:pPr>
              <w:ind w:left="60"/>
              <w:spacing w:after="0"/>
              <w:rPr>
                <w:sz w:val="20"/>
                <w:szCs w:val="20"/>
                <w:color w:val="auto"/>
              </w:rPr>
            </w:pPr>
            <w:r>
              <w:rPr>
                <w:rFonts w:ascii="Times New Roman" w:cs="Times New Roman" w:eastAsia="Times New Roman" w:hAnsi="Times New Roman"/>
                <w:sz w:val="20"/>
                <w:szCs w:val="20"/>
                <w:color w:val="auto"/>
              </w:rPr>
              <w:t>N/A</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11"/>
        </w:trPr>
        <w:tc>
          <w:tcPr>
            <w:tcW w:w="366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Total</w:t>
            </w:r>
          </w:p>
        </w:tc>
        <w:tc>
          <w:tcPr>
            <w:tcW w:w="80" w:type="dxa"/>
            <w:vAlign w:val="bottom"/>
            <w:shd w:val="clear" w:color="auto" w:fill="E6E6E6"/>
          </w:tcPr>
          <w:p>
            <w:pPr>
              <w:spacing w:after="0"/>
              <w:rPr>
                <w:sz w:val="24"/>
                <w:szCs w:val="24"/>
                <w:color w:val="auto"/>
              </w:rPr>
            </w:pPr>
          </w:p>
        </w:tc>
        <w:tc>
          <w:tcPr>
            <w:tcW w:w="36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520" w:type="dxa"/>
            <w:vAlign w:val="bottom"/>
            <w:gridSpan w:val="3"/>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134"/>
        </w:trPr>
        <w:tc>
          <w:tcPr>
            <w:tcW w:w="3500" w:type="dxa"/>
            <w:vAlign w:val="bottom"/>
            <w:tcBorders>
              <w:top w:val="single" w:sz="8" w:color="E6E6E6"/>
              <w:bottom w:val="single" w:sz="8" w:color="auto"/>
            </w:tcBorders>
          </w:tcPr>
          <w:p>
            <w:pPr>
              <w:spacing w:after="0"/>
              <w:rPr>
                <w:sz w:val="11"/>
                <w:szCs w:val="11"/>
                <w:color w:val="auto"/>
              </w:rPr>
            </w:pPr>
          </w:p>
        </w:tc>
        <w:tc>
          <w:tcPr>
            <w:tcW w:w="160" w:type="dxa"/>
            <w:vAlign w:val="bottom"/>
            <w:tcBorders>
              <w:top w:val="single" w:sz="8" w:color="E6E6E6"/>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3680" w:type="dxa"/>
            <w:vAlign w:val="bottom"/>
            <w:tcBorders>
              <w:top w:val="single" w:sz="8" w:color="E6E6E6"/>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 w:type="dxa"/>
            <w:vAlign w:val="bottom"/>
            <w:tcBorders>
              <w:top w:val="single" w:sz="8" w:color="E6E6E6"/>
            </w:tcBorders>
          </w:tcPr>
          <w:p>
            <w:pPr>
              <w:spacing w:after="0"/>
              <w:rPr>
                <w:sz w:val="11"/>
                <w:szCs w:val="11"/>
                <w:color w:val="auto"/>
              </w:rPr>
            </w:pPr>
          </w:p>
        </w:tc>
        <w:tc>
          <w:tcPr>
            <w:tcW w:w="20" w:type="dxa"/>
            <w:vAlign w:val="bottom"/>
            <w:tcBorders>
              <w:top w:val="single" w:sz="8" w:color="E6E6E6"/>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-734695</wp:posOffset>
            </wp:positionV>
            <wp:extent cx="6500495" cy="501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54">
                      <a:extLst>
                        <a:ext uri="{28A0092B-C50C-407E-A947-70E740481C1C}"/>
                      </a:extLst>
                    </a:blip>
                    <a:srcRect/>
                    <a:stretch>
                      <a:fillRect/>
                    </a:stretch>
                  </pic:blipFill>
                  <pic:spPr bwMode="auto">
                    <a:xfrm>
                      <a:off x="0" y="0"/>
                      <a:ext cx="6500495" cy="5016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-339090</wp:posOffset>
            </wp:positionV>
            <wp:extent cx="1737995" cy="501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55">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-153670</wp:posOffset>
            </wp:positionV>
            <wp:extent cx="1737995" cy="755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56">
                      <a:extLst>
                        <a:ext uri="{28A0092B-C50C-407E-A947-70E740481C1C}"/>
                      </a:extLst>
                    </a:blip>
                    <a:srcRect/>
                    <a:stretch>
                      <a:fillRect/>
                    </a:stretch>
                  </pic:blipFill>
                  <pic:spPr bwMode="auto">
                    <a:xfrm>
                      <a:off x="0" y="0"/>
                      <a:ext cx="1737995" cy="75565"/>
                    </a:xfrm>
                    <a:prstGeom prst="rect">
                      <a:avLst/>
                    </a:prstGeom>
                    <a:noFill/>
                  </pic:spPr>
                </pic:pic>
              </a:graphicData>
            </a:graphic>
          </wp:anchor>
        </w:drawing>
      </w:r>
    </w:p>
    <w:p>
      <w:pPr>
        <w:spacing w:after="0" w:line="66" w:lineRule="exact"/>
        <w:rPr>
          <w:sz w:val="20"/>
          <w:szCs w:val="20"/>
          <w:color w:val="auto"/>
        </w:rPr>
      </w:pPr>
    </w:p>
    <w:p>
      <w:pPr>
        <w:ind w:left="720" w:right="80" w:hanging="719"/>
        <w:spacing w:after="0" w:line="232" w:lineRule="auto"/>
        <w:tabs>
          <w:tab w:leader="none" w:pos="720" w:val="left"/>
        </w:tabs>
        <w:numPr>
          <w:ilvl w:val="0"/>
          <w:numId w:val="8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Amounts were related to deficiencies for which the counterparties had not met their contractual minimum commitments and are not reflected in our Consolidated Financial Statements as we had not yet billed or collected such amounts.</w:t>
      </w:r>
    </w:p>
    <w:p>
      <w:pPr>
        <w:spacing w:after="0" w:line="214" w:lineRule="exact"/>
        <w:rPr>
          <w:sz w:val="20"/>
          <w:szCs w:val="20"/>
          <w:color w:val="auto"/>
        </w:rPr>
      </w:pPr>
    </w:p>
    <w:p>
      <w:pPr>
        <w:ind w:right="200" w:firstLine="713"/>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Contract Balances</w:t>
      </w:r>
      <w:r>
        <w:rPr>
          <w:rFonts w:ascii="Times New Roman" w:cs="Times New Roman" w:eastAsia="Times New Roman" w:hAnsi="Times New Roman"/>
          <w:sz w:val="20"/>
          <w:szCs w:val="20"/>
          <w:color w:val="auto"/>
        </w:rPr>
        <w:t>. Our contract balances consist of amounts received associated with services or sales for which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have not yet completed the related performance obligation. The following table presents the changes in the liability balance associated with contracts with customers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3440" w:type="dxa"/>
            <w:vAlign w:val="bottom"/>
            <w:tcBorders>
              <w:bottom w:val="single" w:sz="8" w:color="E6E6E6"/>
            </w:tcBorders>
          </w:tcPr>
          <w:p>
            <w:pPr>
              <w:spacing w:after="0"/>
              <w:rPr>
                <w:sz w:val="18"/>
                <w:szCs w:val="18"/>
                <w:color w:val="auto"/>
              </w:rPr>
            </w:pPr>
          </w:p>
        </w:tc>
        <w:tc>
          <w:tcPr>
            <w:tcW w:w="482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Contract Liabilities</w:t>
            </w:r>
          </w:p>
        </w:tc>
      </w:tr>
      <w:tr>
        <w:trPr>
          <w:trHeight w:val="282"/>
        </w:trPr>
        <w:tc>
          <w:tcPr>
            <w:tcW w:w="60" w:type="dxa"/>
            <w:vAlign w:val="bottom"/>
          </w:tcPr>
          <w:p>
            <w:pPr>
              <w:spacing w:after="0"/>
              <w:rPr>
                <w:sz w:val="24"/>
                <w:szCs w:val="24"/>
                <w:color w:val="auto"/>
              </w:rPr>
            </w:pPr>
          </w:p>
        </w:tc>
        <w:tc>
          <w:tcPr>
            <w:tcW w:w="8260" w:type="dxa"/>
            <w:vAlign w:val="bottom"/>
            <w:tcBorders>
              <w:bottom w:val="single" w:sz="8" w:color="E6E6E6"/>
            </w:tcBorders>
            <w:gridSpan w:val="2"/>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Balance at December 31, 2020</w:t>
            </w:r>
          </w:p>
        </w:tc>
        <w:tc>
          <w:tcPr>
            <w:tcW w:w="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501</w:t>
            </w:r>
          </w:p>
        </w:tc>
      </w:tr>
      <w:tr>
        <w:trPr>
          <w:trHeight w:val="252"/>
        </w:trPr>
        <w:tc>
          <w:tcPr>
            <w:tcW w:w="60" w:type="dxa"/>
            <w:vAlign w:val="bottom"/>
          </w:tcPr>
          <w:p>
            <w:pPr>
              <w:spacing w:after="0"/>
              <w:rPr>
                <w:sz w:val="21"/>
                <w:szCs w:val="21"/>
                <w:color w:val="auto"/>
              </w:rPr>
            </w:pPr>
          </w:p>
        </w:tc>
        <w:tc>
          <w:tcPr>
            <w:tcW w:w="8260" w:type="dxa"/>
            <w:vAlign w:val="bottom"/>
            <w:gridSpan w:val="2"/>
          </w:tcPr>
          <w:p>
            <w:pPr>
              <w:ind w:left="180"/>
              <w:spacing w:after="0" w:line="252" w:lineRule="exact"/>
              <w:rPr>
                <w:sz w:val="20"/>
                <w:szCs w:val="20"/>
                <w:color w:val="auto"/>
              </w:rPr>
            </w:pPr>
            <w:r>
              <w:rPr>
                <w:rFonts w:ascii="Times New Roman" w:cs="Times New Roman" w:eastAsia="Times New Roman" w:hAnsi="Times New Roman"/>
                <w:sz w:val="20"/>
                <w:szCs w:val="20"/>
                <w:color w:val="auto"/>
              </w:rPr>
              <w:t xml:space="preserve">Amounts recognized as revenue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w:t>
            </w:r>
          </w:p>
        </w:tc>
      </w:tr>
      <w:tr>
        <w:trPr>
          <w:trHeight w:val="306"/>
        </w:trPr>
        <w:tc>
          <w:tcPr>
            <w:tcW w:w="60" w:type="dxa"/>
            <w:vAlign w:val="bottom"/>
          </w:tcPr>
          <w:p>
            <w:pPr>
              <w:spacing w:after="0"/>
              <w:rPr>
                <w:sz w:val="24"/>
                <w:szCs w:val="24"/>
                <w:color w:val="auto"/>
              </w:rPr>
            </w:pPr>
          </w:p>
        </w:tc>
        <w:tc>
          <w:tcPr>
            <w:tcW w:w="8260" w:type="dxa"/>
            <w:vAlign w:val="bottom"/>
            <w:tcBorders>
              <w:bottom w:val="single" w:sz="8" w:color="E6E6E6"/>
            </w:tcBorders>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Additions</w:t>
            </w:r>
          </w:p>
        </w:tc>
        <w:tc>
          <w:tcPr>
            <w:tcW w:w="200" w:type="dxa"/>
            <w:vAlign w:val="bottom"/>
            <w:tcBorders>
              <w:bottom w:val="single" w:sz="8" w:color="auto"/>
            </w:tcBorders>
            <w:shd w:val="clear" w:color="auto" w:fill="E6E6E6"/>
          </w:tcPr>
          <w:p>
            <w:pPr>
              <w:spacing w:after="0"/>
              <w:rPr>
                <w:sz w:val="24"/>
                <w:szCs w:val="24"/>
                <w:color w:val="auto"/>
              </w:rPr>
            </w:pPr>
          </w:p>
        </w:tc>
        <w:tc>
          <w:tcPr>
            <w:tcW w:w="1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63"/>
        </w:trPr>
        <w:tc>
          <w:tcPr>
            <w:tcW w:w="60" w:type="dxa"/>
            <w:vAlign w:val="bottom"/>
          </w:tcPr>
          <w:p>
            <w:pPr>
              <w:spacing w:after="0"/>
              <w:rPr>
                <w:sz w:val="22"/>
                <w:szCs w:val="22"/>
                <w:color w:val="auto"/>
              </w:rPr>
            </w:pPr>
          </w:p>
        </w:tc>
        <w:tc>
          <w:tcPr>
            <w:tcW w:w="8260" w:type="dxa"/>
            <w:vAlign w:val="bottom"/>
            <w:tcBorders>
              <w:bottom w:val="single" w:sz="8" w:color="E6E6E6"/>
            </w:tcBorders>
            <w:gridSpan w:val="2"/>
          </w:tcPr>
          <w:p>
            <w:pPr>
              <w:ind w:left="40"/>
              <w:spacing w:after="0" w:line="224" w:lineRule="exact"/>
              <w:rPr>
                <w:sz w:val="20"/>
                <w:szCs w:val="20"/>
                <w:color w:val="auto"/>
              </w:rPr>
            </w:pPr>
            <w:r>
              <w:rPr>
                <w:rFonts w:ascii="Times New Roman" w:cs="Times New Roman" w:eastAsia="Times New Roman" w:hAnsi="Times New Roman"/>
                <w:sz w:val="20"/>
                <w:szCs w:val="20"/>
                <w:color w:val="auto"/>
              </w:rPr>
              <w:t>Balance at December 31, 2021</w:t>
            </w:r>
          </w:p>
        </w:tc>
        <w:tc>
          <w:tcPr>
            <w:tcW w:w="20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141</w:t>
            </w:r>
          </w:p>
        </w:tc>
      </w:tr>
      <w:tr>
        <w:trPr>
          <w:trHeight w:val="252"/>
        </w:trPr>
        <w:tc>
          <w:tcPr>
            <w:tcW w:w="60" w:type="dxa"/>
            <w:vAlign w:val="bottom"/>
          </w:tcPr>
          <w:p>
            <w:pPr>
              <w:spacing w:after="0"/>
              <w:rPr>
                <w:sz w:val="21"/>
                <w:szCs w:val="21"/>
                <w:color w:val="auto"/>
              </w:rPr>
            </w:pPr>
          </w:p>
        </w:tc>
        <w:tc>
          <w:tcPr>
            <w:tcW w:w="826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Amounts recognized as revenue</w:t>
            </w:r>
          </w:p>
        </w:tc>
        <w:tc>
          <w:tcPr>
            <w:tcW w:w="200" w:type="dxa"/>
            <w:vAlign w:val="bottom"/>
            <w:shd w:val="clear" w:color="auto" w:fill="E6E6E6"/>
          </w:tcPr>
          <w:p>
            <w:pPr>
              <w:spacing w:after="0"/>
              <w:rPr>
                <w:sz w:val="21"/>
                <w:szCs w:val="21"/>
                <w:color w:val="auto"/>
              </w:rPr>
            </w:pP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82"/>
        </w:trPr>
        <w:tc>
          <w:tcPr>
            <w:tcW w:w="60" w:type="dxa"/>
            <w:vAlign w:val="bottom"/>
          </w:tcPr>
          <w:p>
            <w:pPr>
              <w:spacing w:after="0"/>
              <w:rPr>
                <w:sz w:val="24"/>
                <w:szCs w:val="24"/>
                <w:color w:val="auto"/>
              </w:rPr>
            </w:pPr>
          </w:p>
        </w:tc>
        <w:tc>
          <w:tcPr>
            <w:tcW w:w="8260" w:type="dxa"/>
            <w:vAlign w:val="bottom"/>
            <w:gridSpan w:val="2"/>
          </w:tcPr>
          <w:p>
            <w:pPr>
              <w:ind w:left="180"/>
              <w:spacing w:after="0" w:line="282" w:lineRule="exact"/>
              <w:rPr>
                <w:sz w:val="20"/>
                <w:szCs w:val="20"/>
                <w:color w:val="auto"/>
              </w:rPr>
            </w:pPr>
            <w:r>
              <w:rPr>
                <w:rFonts w:ascii="Times New Roman" w:cs="Times New Roman" w:eastAsia="Times New Roman" w:hAnsi="Times New Roman"/>
                <w:sz w:val="20"/>
                <w:szCs w:val="20"/>
                <w:color w:val="auto"/>
              </w:rPr>
              <w:t xml:space="preserve">Additions </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91"/>
        </w:trPr>
        <w:tc>
          <w:tcPr>
            <w:tcW w:w="60" w:type="dxa"/>
            <w:vAlign w:val="bottom"/>
          </w:tcPr>
          <w:p>
            <w:pPr>
              <w:spacing w:after="0"/>
              <w:rPr>
                <w:sz w:val="24"/>
                <w:szCs w:val="24"/>
                <w:color w:val="auto"/>
              </w:rPr>
            </w:pPr>
          </w:p>
        </w:tc>
        <w:tc>
          <w:tcPr>
            <w:tcW w:w="8260" w:type="dxa"/>
            <w:vAlign w:val="bottom"/>
            <w:tcBorders>
              <w:bottom w:val="single" w:sz="8" w:color="E6E6E6"/>
            </w:tcBorders>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Borders>
              <w:bottom w:val="single" w:sz="8" w:color="auto"/>
            </w:tcBorders>
            <w:shd w:val="clear" w:color="auto" w:fill="E6E6E6"/>
          </w:tcPr>
          <w:p>
            <w:pPr>
              <w:spacing w:after="0"/>
              <w:rPr>
                <w:sz w:val="24"/>
                <w:szCs w:val="24"/>
                <w:color w:val="auto"/>
              </w:rPr>
            </w:pPr>
          </w:p>
        </w:tc>
        <w:tc>
          <w:tcPr>
            <w:tcW w:w="1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24"/>
        </w:trPr>
        <w:tc>
          <w:tcPr>
            <w:tcW w:w="60" w:type="dxa"/>
            <w:vAlign w:val="bottom"/>
          </w:tcPr>
          <w:p>
            <w:pPr>
              <w:spacing w:after="0"/>
              <w:rPr>
                <w:sz w:val="19"/>
                <w:szCs w:val="19"/>
                <w:color w:val="auto"/>
              </w:rPr>
            </w:pPr>
          </w:p>
        </w:tc>
        <w:tc>
          <w:tcPr>
            <w:tcW w:w="8260" w:type="dxa"/>
            <w:vAlign w:val="bottom"/>
            <w:gridSpan w:val="2"/>
          </w:tcPr>
          <w:p>
            <w:pPr>
              <w:ind w:left="40"/>
              <w:spacing w:after="0" w:line="224" w:lineRule="exact"/>
              <w:rPr>
                <w:sz w:val="20"/>
                <w:szCs w:val="20"/>
                <w:color w:val="auto"/>
              </w:rPr>
            </w:pPr>
            <w:r>
              <w:rPr>
                <w:rFonts w:ascii="Times New Roman" w:cs="Times New Roman" w:eastAsia="Times New Roman" w:hAnsi="Times New Roman"/>
                <w:sz w:val="20"/>
                <w:szCs w:val="20"/>
                <w:color w:val="auto"/>
              </w:rPr>
              <w:t>Balance at December 31, 2022</w:t>
            </w:r>
          </w:p>
        </w:tc>
        <w:tc>
          <w:tcPr>
            <w:tcW w:w="20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229</w:t>
            </w:r>
          </w:p>
        </w:tc>
      </w:tr>
      <w:tr>
        <w:trPr>
          <w:trHeight w:val="20"/>
        </w:trPr>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33"/>
        </w:trPr>
        <w:tc>
          <w:tcPr>
            <w:tcW w:w="6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4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-1583690</wp:posOffset>
            </wp:positionV>
            <wp:extent cx="1181735" cy="501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57">
                      <a:extLst>
                        <a:ext uri="{28A0092B-C50C-407E-A947-70E740481C1C}"/>
                      </a:extLst>
                    </a:blip>
                    <a:srcRect/>
                    <a:stretch>
                      <a:fillRect/>
                    </a:stretch>
                  </pic:blipFill>
                  <pic:spPr bwMode="auto">
                    <a:xfrm>
                      <a:off x="0" y="0"/>
                      <a:ext cx="1181735" cy="5016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-1416685</wp:posOffset>
            </wp:positionV>
            <wp:extent cx="1181735" cy="755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8">
                      <a:extLst>
                        <a:ext uri="{28A0092B-C50C-407E-A947-70E740481C1C}"/>
                      </a:extLst>
                    </a:blip>
                    <a:srcRect/>
                    <a:stretch>
                      <a:fillRect/>
                    </a:stretch>
                  </pic:blipFill>
                  <pic:spPr bwMode="auto">
                    <a:xfrm>
                      <a:off x="0" y="0"/>
                      <a:ext cx="1181735" cy="7556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-1036320</wp:posOffset>
            </wp:positionV>
            <wp:extent cx="1181735" cy="501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59">
                      <a:extLst>
                        <a:ext uri="{28A0092B-C50C-407E-A947-70E740481C1C}"/>
                      </a:extLst>
                    </a:blip>
                    <a:srcRect/>
                    <a:stretch>
                      <a:fillRect/>
                    </a:stretch>
                  </pic:blipFill>
                  <pic:spPr bwMode="auto">
                    <a:xfrm>
                      <a:off x="0" y="0"/>
                      <a:ext cx="1181735" cy="5016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-869950</wp:posOffset>
            </wp:positionV>
            <wp:extent cx="1181735" cy="755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60">
                      <a:extLst>
                        <a:ext uri="{28A0092B-C50C-407E-A947-70E740481C1C}"/>
                      </a:extLst>
                    </a:blip>
                    <a:srcRect/>
                    <a:stretch>
                      <a:fillRect/>
                    </a:stretch>
                  </pic:blipFill>
                  <pic:spPr bwMode="auto">
                    <a:xfrm>
                      <a:off x="0" y="0"/>
                      <a:ext cx="1181735" cy="7556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-320040</wp:posOffset>
            </wp:positionV>
            <wp:extent cx="1181735" cy="501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61">
                      <a:extLst>
                        <a:ext uri="{28A0092B-C50C-407E-A947-70E740481C1C}"/>
                      </a:extLst>
                    </a:blip>
                    <a:srcRect/>
                    <a:stretch>
                      <a:fillRect/>
                    </a:stretch>
                  </pic:blipFill>
                  <pic:spPr bwMode="auto">
                    <a:xfrm>
                      <a:off x="0" y="0"/>
                      <a:ext cx="1181735" cy="50165"/>
                    </a:xfrm>
                    <a:prstGeom prst="rect">
                      <a:avLst/>
                    </a:prstGeom>
                    <a:noFill/>
                  </pic:spPr>
                </pic:pic>
              </a:graphicData>
            </a:graphic>
          </wp:anchor>
        </w:drawing>
      </w:r>
    </w:p>
    <w:p>
      <w:pPr>
        <w:sectPr>
          <w:pgSz w:w="11880" w:h="15628" w:orient="portrait"/>
          <w:cols w:equalWidth="0" w:num="1">
            <w:col w:w="10160"/>
          </w:cols>
          <w:pgMar w:left="860" w:top="435" w:right="860" w:bottom="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0"/>
          <w:szCs w:val="20"/>
          <w:color w:val="auto"/>
        </w:rPr>
        <w:t>Includes approximately $361 million associated with crude oil sales agreements that were entered into in conjunction with storage arrangements and future inventory exchanges. Such amount was recognized as revenue in the first quarter of 2021.</w:t>
      </w:r>
    </w:p>
    <w:p>
      <w:pPr>
        <w:spacing w:after="0" w:line="16"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0"/>
          <w:szCs w:val="20"/>
          <w:color w:val="auto"/>
        </w:rPr>
        <w:t>Includes approximately $122 million associated with a gas processing agreement that was entered into in conjunction with the purchase of an additional ownership interest in certain straddle plants. Such amount is expected to be recognized as revenue over a 50-year term. See Note 7 for additional information.</w:t>
      </w:r>
    </w:p>
    <w:p>
      <w:pPr>
        <w:spacing w:after="0" w:line="191" w:lineRule="exact"/>
        <w:rPr>
          <w:sz w:val="20"/>
          <w:szCs w:val="20"/>
          <w:color w:val="auto"/>
        </w:rPr>
      </w:pPr>
    </w:p>
    <w:p>
      <w:pPr>
        <w:sectPr>
          <w:pgSz w:w="11880" w:h="15628" w:orient="portrait"/>
          <w:cols w:equalWidth="0" w:num="2">
            <w:col w:w="160" w:space="560"/>
            <w:col w:w="9440"/>
          </w:cols>
          <w:pgMar w:left="860" w:top="435" w:right="860" w:bottom="0" w:gutter="0" w:footer="0" w:header="0"/>
          <w:type w:val="continuous"/>
        </w:sectPr>
      </w:pPr>
    </w:p>
    <w:p>
      <w:pPr>
        <w:ind w:right="100" w:firstLine="713"/>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Remaining Performance Obligations</w:t>
      </w:r>
      <w:r>
        <w:rPr>
          <w:rFonts w:ascii="Times New Roman" w:cs="Times New Roman" w:eastAsia="Times New Roman" w:hAnsi="Times New Roman"/>
          <w:sz w:val="20"/>
          <w:szCs w:val="20"/>
          <w:color w:val="auto"/>
        </w:rPr>
        <w:t>. The information below includes the amount of consideration allocated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partially and wholly unsatisfied 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2022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2027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7"/>
              </w:rPr>
              <w:t>2028 and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Borders>
              <w:bottom w:val="single" w:sz="8" w:color="E6E6E6"/>
            </w:tcBorders>
          </w:tcPr>
          <w:p>
            <w:pPr>
              <w:spacing w:after="0"/>
              <w:rPr>
                <w:sz w:val="18"/>
                <w:szCs w:val="18"/>
                <w:color w:val="auto"/>
              </w:rPr>
            </w:pPr>
          </w:p>
        </w:tc>
        <w:tc>
          <w:tcPr>
            <w:tcW w:w="4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96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60" w:type="dxa"/>
            <w:vAlign w:val="bottom"/>
            <w:gridSpan w:val="2"/>
            <w:shd w:val="clear" w:color="auto" w:fill="E6E6E6"/>
          </w:tcPr>
          <w:p>
            <w:pPr>
              <w:ind w:left="40"/>
              <w:spacing w:after="0" w:line="220" w:lineRule="exact"/>
              <w:rPr>
                <w:sz w:val="20"/>
                <w:szCs w:val="20"/>
                <w:color w:val="auto"/>
              </w:rPr>
            </w:pPr>
            <w:r>
              <w:rPr>
                <w:rFonts w:ascii="Times New Roman" w:cs="Times New Roman" w:eastAsia="Times New Roman" w:hAnsi="Times New Roman"/>
                <w:sz w:val="20"/>
                <w:szCs w:val="20"/>
                <w:color w:val="auto"/>
              </w:rPr>
              <w:t>Pipeline revenues supported by minimum</w:t>
            </w:r>
          </w:p>
        </w:tc>
        <w:tc>
          <w:tcPr>
            <w:tcW w:w="24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gridSpan w:val="2"/>
            <w:shd w:val="clear" w:color="auto" w:fill="E6E6E6"/>
          </w:tcPr>
          <w:p>
            <w:pPr>
              <w:ind w:left="220"/>
              <w:spacing w:after="0" w:line="198" w:lineRule="exact"/>
              <w:rPr>
                <w:sz w:val="20"/>
                <w:szCs w:val="20"/>
                <w:color w:val="auto"/>
              </w:rPr>
            </w:pPr>
            <w:r>
              <w:rPr>
                <w:rFonts w:ascii="Times New Roman" w:cs="Times New Roman" w:eastAsia="Times New Roman" w:hAnsi="Times New Roman"/>
                <w:sz w:val="20"/>
                <w:szCs w:val="20"/>
                <w:color w:val="auto"/>
              </w:rPr>
              <w:t>volume commitments and capacity</w:t>
            </w:r>
          </w:p>
        </w:tc>
        <w:tc>
          <w:tcPr>
            <w:tcW w:w="2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32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32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32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32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4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60" w:type="dxa"/>
            <w:vAlign w:val="bottom"/>
            <w:gridSpan w:val="2"/>
            <w:shd w:val="clear" w:color="auto" w:fill="E6E6E6"/>
          </w:tcPr>
          <w:p>
            <w:pPr>
              <w:ind w:left="220"/>
              <w:spacing w:after="0" w:line="270" w:lineRule="exact"/>
              <w:rPr>
                <w:sz w:val="20"/>
                <w:szCs w:val="20"/>
                <w:color w:val="auto"/>
              </w:rPr>
            </w:pPr>
            <w:r>
              <w:rPr>
                <w:rFonts w:ascii="Times New Roman" w:cs="Times New Roman" w:eastAsia="Times New Roman" w:hAnsi="Times New Roman"/>
                <w:sz w:val="20"/>
                <w:szCs w:val="20"/>
                <w:color w:val="auto"/>
              </w:rPr>
              <w:t xml:space="preserve">agreements </w:t>
            </w:r>
            <w:r>
              <w:rPr>
                <w:rFonts w:ascii="Times New Roman" w:cs="Times New Roman" w:eastAsia="Times New Roman" w:hAnsi="Times New Roman"/>
                <w:sz w:val="25"/>
                <w:szCs w:val="25"/>
                <w:color w:val="auto"/>
                <w:vertAlign w:val="superscript"/>
              </w:rPr>
              <w:t>(1)</w:t>
            </w:r>
          </w:p>
        </w:tc>
        <w:tc>
          <w:tcPr>
            <w:tcW w:w="240" w:type="dxa"/>
            <w:vAlign w:val="bottom"/>
            <w:vMerge w:val="continue"/>
            <w:shd w:val="clear" w:color="auto" w:fill="E6E6E6"/>
          </w:tcPr>
          <w:p>
            <w:pPr>
              <w:spacing w:after="0"/>
              <w:rPr>
                <w:sz w:val="23"/>
                <w:szCs w:val="23"/>
                <w:color w:val="auto"/>
              </w:rPr>
            </w:pPr>
          </w:p>
        </w:tc>
        <w:tc>
          <w:tcPr>
            <w:tcW w:w="720" w:type="dxa"/>
            <w:vAlign w:val="bottom"/>
            <w:vMerge w:val="continue"/>
            <w:shd w:val="clear" w:color="auto" w:fill="E6E6E6"/>
          </w:tcPr>
          <w:p>
            <w:pPr>
              <w:spacing w:after="0"/>
              <w:rPr>
                <w:sz w:val="23"/>
                <w:szCs w:val="23"/>
                <w:color w:val="auto"/>
              </w:rPr>
            </w:pPr>
          </w:p>
        </w:tc>
        <w:tc>
          <w:tcPr>
            <w:tcW w:w="320" w:type="dxa"/>
            <w:vAlign w:val="bottom"/>
            <w:gridSpan w:val="2"/>
            <w:vMerge w:val="continue"/>
            <w:shd w:val="clear" w:color="auto" w:fill="E6E6E6"/>
          </w:tcPr>
          <w:p>
            <w:pPr>
              <w:spacing w:after="0"/>
              <w:rPr>
                <w:sz w:val="23"/>
                <w:szCs w:val="23"/>
                <w:color w:val="auto"/>
              </w:rPr>
            </w:pPr>
          </w:p>
        </w:tc>
        <w:tc>
          <w:tcPr>
            <w:tcW w:w="720" w:type="dxa"/>
            <w:vAlign w:val="bottom"/>
            <w:vMerge w:val="continue"/>
            <w:shd w:val="clear" w:color="auto" w:fill="E6E6E6"/>
          </w:tcPr>
          <w:p>
            <w:pPr>
              <w:spacing w:after="0"/>
              <w:rPr>
                <w:sz w:val="23"/>
                <w:szCs w:val="23"/>
                <w:color w:val="auto"/>
              </w:rPr>
            </w:pPr>
          </w:p>
        </w:tc>
        <w:tc>
          <w:tcPr>
            <w:tcW w:w="320" w:type="dxa"/>
            <w:vAlign w:val="bottom"/>
            <w:gridSpan w:val="2"/>
            <w:vMerge w:val="continue"/>
            <w:shd w:val="clear" w:color="auto" w:fill="E6E6E6"/>
          </w:tcPr>
          <w:p>
            <w:pPr>
              <w:spacing w:after="0"/>
              <w:rPr>
                <w:sz w:val="23"/>
                <w:szCs w:val="23"/>
                <w:color w:val="auto"/>
              </w:rPr>
            </w:pPr>
          </w:p>
        </w:tc>
        <w:tc>
          <w:tcPr>
            <w:tcW w:w="720" w:type="dxa"/>
            <w:vAlign w:val="bottom"/>
            <w:vMerge w:val="continue"/>
            <w:shd w:val="clear" w:color="auto" w:fill="E6E6E6"/>
          </w:tcPr>
          <w:p>
            <w:pPr>
              <w:spacing w:after="0"/>
              <w:rPr>
                <w:sz w:val="23"/>
                <w:szCs w:val="23"/>
                <w:color w:val="auto"/>
              </w:rPr>
            </w:pPr>
          </w:p>
        </w:tc>
        <w:tc>
          <w:tcPr>
            <w:tcW w:w="320" w:type="dxa"/>
            <w:vAlign w:val="bottom"/>
            <w:gridSpan w:val="2"/>
            <w:vMerge w:val="continue"/>
            <w:shd w:val="clear" w:color="auto" w:fill="E6E6E6"/>
          </w:tcPr>
          <w:p>
            <w:pPr>
              <w:spacing w:after="0"/>
              <w:rPr>
                <w:sz w:val="23"/>
                <w:szCs w:val="23"/>
                <w:color w:val="auto"/>
              </w:rPr>
            </w:pPr>
          </w:p>
        </w:tc>
        <w:tc>
          <w:tcPr>
            <w:tcW w:w="720" w:type="dxa"/>
            <w:vAlign w:val="bottom"/>
            <w:vMerge w:val="continue"/>
            <w:shd w:val="clear" w:color="auto" w:fill="E6E6E6"/>
          </w:tcPr>
          <w:p>
            <w:pPr>
              <w:spacing w:after="0"/>
              <w:rPr>
                <w:sz w:val="23"/>
                <w:szCs w:val="23"/>
                <w:color w:val="auto"/>
              </w:rPr>
            </w:pPr>
          </w:p>
        </w:tc>
        <w:tc>
          <w:tcPr>
            <w:tcW w:w="320" w:type="dxa"/>
            <w:vAlign w:val="bottom"/>
            <w:gridSpan w:val="2"/>
            <w:vMerge w:val="continue"/>
            <w:shd w:val="clear" w:color="auto" w:fill="E6E6E6"/>
          </w:tcPr>
          <w:p>
            <w:pPr>
              <w:spacing w:after="0"/>
              <w:rPr>
                <w:sz w:val="23"/>
                <w:szCs w:val="23"/>
                <w:color w:val="auto"/>
              </w:rPr>
            </w:pPr>
          </w:p>
        </w:tc>
        <w:tc>
          <w:tcPr>
            <w:tcW w:w="720" w:type="dxa"/>
            <w:vAlign w:val="bottom"/>
            <w:vMerge w:val="continue"/>
            <w:shd w:val="clear" w:color="auto" w:fill="E6E6E6"/>
          </w:tcPr>
          <w:p>
            <w:pPr>
              <w:spacing w:after="0"/>
              <w:rPr>
                <w:sz w:val="23"/>
                <w:szCs w:val="23"/>
                <w:color w:val="auto"/>
              </w:rPr>
            </w:pPr>
          </w:p>
        </w:tc>
        <w:tc>
          <w:tcPr>
            <w:tcW w:w="240" w:type="dxa"/>
            <w:vAlign w:val="bottom"/>
            <w:gridSpan w:val="2"/>
            <w:vMerge w:val="continue"/>
            <w:shd w:val="clear" w:color="auto" w:fill="E6E6E6"/>
          </w:tcPr>
          <w:p>
            <w:pPr>
              <w:spacing w:after="0"/>
              <w:rPr>
                <w:sz w:val="23"/>
                <w:szCs w:val="23"/>
                <w:color w:val="auto"/>
              </w:rPr>
            </w:pPr>
          </w:p>
        </w:tc>
        <w:tc>
          <w:tcPr>
            <w:tcW w:w="8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6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20"/>
                <w:szCs w:val="20"/>
                <w:color w:val="auto"/>
              </w:rPr>
              <w:t>Terminalling, storage and other agreement</w:t>
            </w: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704</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960" w:type="dxa"/>
            <w:vAlign w:val="bottom"/>
            <w:tcBorders>
              <w:bottom w:val="single" w:sz="8" w:color="E6E6E6"/>
            </w:tcBorders>
            <w:gridSpan w:val="2"/>
          </w:tcPr>
          <w:p>
            <w:pPr>
              <w:ind w:left="220"/>
              <w:spacing w:after="0"/>
              <w:rPr>
                <w:sz w:val="20"/>
                <w:szCs w:val="20"/>
                <w:color w:val="auto"/>
              </w:rPr>
            </w:pPr>
            <w:r>
              <w:rPr>
                <w:rFonts w:ascii="Times New Roman" w:cs="Times New Roman" w:eastAsia="Times New Roman" w:hAnsi="Times New Roman"/>
                <w:sz w:val="20"/>
                <w:szCs w:val="20"/>
                <w:color w:val="auto"/>
              </w:rPr>
              <w:t>revenues</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960" w:type="dxa"/>
            <w:vAlign w:val="bottom"/>
            <w:tcBorders>
              <w:bottom w:val="single" w:sz="8" w:color="E6E6E6"/>
            </w:tcBorders>
            <w:gridSpan w:val="2"/>
            <w:shd w:val="clear" w:color="auto" w:fill="E6E6E6"/>
          </w:tcPr>
          <w:p>
            <w:pPr>
              <w:ind w:left="400"/>
              <w:spacing w:after="0" w:line="213" w:lineRule="exact"/>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shd w:val="clear" w:color="auto" w:fill="E6E6E6"/>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E6E6E6"/>
          </w:tcPr>
          <w:p>
            <w:pPr>
              <w:jc w:val="right"/>
              <w:spacing w:after="0" w:line="213" w:lineRule="exact"/>
              <w:rPr>
                <w:sz w:val="20"/>
                <w:szCs w:val="20"/>
                <w:color w:val="auto"/>
              </w:rPr>
            </w:pPr>
            <w:r>
              <w:rPr>
                <w:rFonts w:ascii="Times New Roman" w:cs="Times New Roman" w:eastAsia="Times New Roman" w:hAnsi="Times New Roman"/>
                <w:sz w:val="20"/>
                <w:szCs w:val="20"/>
                <w:color w:val="auto"/>
              </w:rPr>
              <w:t>583</w:t>
            </w:r>
          </w:p>
        </w:tc>
        <w:tc>
          <w:tcPr>
            <w:tcW w:w="8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auto"/>
            </w:tcBorders>
            <w:shd w:val="clear" w:color="auto" w:fill="E6E6E6"/>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E6E6E6"/>
          </w:tcPr>
          <w:p>
            <w:pPr>
              <w:jc w:val="right"/>
              <w:spacing w:after="0" w:line="213" w:lineRule="exact"/>
              <w:rPr>
                <w:sz w:val="20"/>
                <w:szCs w:val="20"/>
                <w:color w:val="auto"/>
              </w:rPr>
            </w:pPr>
            <w:r>
              <w:rPr>
                <w:rFonts w:ascii="Times New Roman" w:cs="Times New Roman" w:eastAsia="Times New Roman" w:hAnsi="Times New Roman"/>
                <w:sz w:val="20"/>
                <w:szCs w:val="20"/>
                <w:color w:val="auto"/>
              </w:rPr>
              <w:t>532</w:t>
            </w:r>
          </w:p>
        </w:tc>
        <w:tc>
          <w:tcPr>
            <w:tcW w:w="8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auto"/>
            </w:tcBorders>
            <w:shd w:val="clear" w:color="auto" w:fill="E6E6E6"/>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E6E6E6"/>
          </w:tcPr>
          <w:p>
            <w:pPr>
              <w:jc w:val="right"/>
              <w:spacing w:after="0" w:line="213" w:lineRule="exact"/>
              <w:rPr>
                <w:sz w:val="20"/>
                <w:szCs w:val="20"/>
                <w:color w:val="auto"/>
              </w:rPr>
            </w:pPr>
            <w:r>
              <w:rPr>
                <w:rFonts w:ascii="Times New Roman" w:cs="Times New Roman" w:eastAsia="Times New Roman" w:hAnsi="Times New Roman"/>
                <w:sz w:val="20"/>
                <w:szCs w:val="20"/>
                <w:color w:val="auto"/>
              </w:rPr>
              <w:t>491</w:t>
            </w:r>
          </w:p>
        </w:tc>
        <w:tc>
          <w:tcPr>
            <w:tcW w:w="8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auto"/>
            </w:tcBorders>
            <w:shd w:val="clear" w:color="auto" w:fill="E6E6E6"/>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E6E6E6"/>
          </w:tcPr>
          <w:p>
            <w:pPr>
              <w:jc w:val="right"/>
              <w:spacing w:after="0" w:line="213" w:lineRule="exact"/>
              <w:rPr>
                <w:sz w:val="20"/>
                <w:szCs w:val="20"/>
                <w:color w:val="auto"/>
              </w:rPr>
            </w:pPr>
            <w:r>
              <w:rPr>
                <w:rFonts w:ascii="Times New Roman" w:cs="Times New Roman" w:eastAsia="Times New Roman" w:hAnsi="Times New Roman"/>
                <w:sz w:val="20"/>
                <w:szCs w:val="20"/>
                <w:color w:val="auto"/>
              </w:rPr>
              <w:t>224</w:t>
            </w:r>
          </w:p>
        </w:tc>
        <w:tc>
          <w:tcPr>
            <w:tcW w:w="8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auto"/>
            </w:tcBorders>
            <w:shd w:val="clear" w:color="auto" w:fill="E6E6E6"/>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E6E6E6"/>
          </w:tcPr>
          <w:p>
            <w:pPr>
              <w:jc w:val="right"/>
              <w:spacing w:after="0" w:line="213" w:lineRule="exact"/>
              <w:rPr>
                <w:sz w:val="20"/>
                <w:szCs w:val="20"/>
                <w:color w:val="auto"/>
              </w:rPr>
            </w:pPr>
            <w:r>
              <w:rPr>
                <w:rFonts w:ascii="Times New Roman" w:cs="Times New Roman" w:eastAsia="Times New Roman" w:hAnsi="Times New Roman"/>
                <w:sz w:val="20"/>
                <w:szCs w:val="20"/>
                <w:color w:val="auto"/>
              </w:rPr>
              <w:t>178</w:t>
            </w:r>
          </w:p>
        </w:tc>
        <w:tc>
          <w:tcPr>
            <w:tcW w:w="80" w:type="dxa"/>
            <w:vAlign w:val="bottom"/>
            <w:tcBorders>
              <w:bottom w:val="single" w:sz="8" w:color="E6E6E6"/>
            </w:tcBorders>
            <w:shd w:val="clear" w:color="auto" w:fill="E6E6E6"/>
          </w:tcPr>
          <w:p>
            <w:pPr>
              <w:spacing w:after="0"/>
              <w:rPr>
                <w:sz w:val="21"/>
                <w:szCs w:val="21"/>
                <w:color w:val="auto"/>
              </w:rPr>
            </w:pPr>
          </w:p>
        </w:tc>
        <w:tc>
          <w:tcPr>
            <w:tcW w:w="160" w:type="dxa"/>
            <w:vAlign w:val="bottom"/>
            <w:tcBorders>
              <w:bottom w:val="single" w:sz="8" w:color="auto"/>
            </w:tcBorders>
            <w:shd w:val="clear" w:color="auto" w:fill="E6E6E6"/>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shd w:val="clear" w:color="auto" w:fill="E6E6E6"/>
          </w:tcPr>
          <w:p>
            <w:pPr>
              <w:jc w:val="right"/>
              <w:spacing w:after="0" w:line="213" w:lineRule="exact"/>
              <w:rPr>
                <w:sz w:val="20"/>
                <w:szCs w:val="20"/>
                <w:color w:val="auto"/>
              </w:rPr>
            </w:pPr>
            <w:r>
              <w:rPr>
                <w:rFonts w:ascii="Times New Roman" w:cs="Times New Roman" w:eastAsia="Times New Roman" w:hAnsi="Times New Roman"/>
                <w:sz w:val="20"/>
                <w:szCs w:val="20"/>
                <w:color w:val="auto"/>
              </w:rPr>
              <w:t>932</w:t>
            </w: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3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-1055370</wp:posOffset>
            </wp:positionV>
            <wp:extent cx="3963670" cy="501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62">
                      <a:extLst>
                        <a:ext uri="{28A0092B-C50C-407E-A947-70E740481C1C}"/>
                      </a:extLst>
                    </a:blip>
                    <a:srcRect/>
                    <a:stretch>
                      <a:fillRect/>
                    </a:stretch>
                  </pic:blipFill>
                  <pic:spPr bwMode="auto">
                    <a:xfrm>
                      <a:off x="0" y="0"/>
                      <a:ext cx="3963670" cy="50165"/>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-300990</wp:posOffset>
            </wp:positionV>
            <wp:extent cx="3963670" cy="501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63">
                      <a:extLst>
                        <a:ext uri="{28A0092B-C50C-407E-A947-70E740481C1C}"/>
                      </a:extLst>
                    </a:blip>
                    <a:srcRect/>
                    <a:stretch>
                      <a:fillRect/>
                    </a:stretch>
                  </pic:blipFill>
                  <pic:spPr bwMode="auto">
                    <a:xfrm>
                      <a:off x="0" y="0"/>
                      <a:ext cx="3963670" cy="50165"/>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-153670</wp:posOffset>
            </wp:positionV>
            <wp:extent cx="3963670" cy="755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64">
                      <a:extLst>
                        <a:ext uri="{28A0092B-C50C-407E-A947-70E740481C1C}"/>
                      </a:extLst>
                    </a:blip>
                    <a:srcRect/>
                    <a:stretch>
                      <a:fillRect/>
                    </a:stretch>
                  </pic:blipFill>
                  <pic:spPr bwMode="auto">
                    <a:xfrm>
                      <a:off x="0" y="0"/>
                      <a:ext cx="3963670" cy="75565"/>
                    </a:xfrm>
                    <a:prstGeom prst="rect">
                      <a:avLst/>
                    </a:prstGeom>
                    <a:noFill/>
                  </pic:spPr>
                </pic:pic>
              </a:graphicData>
            </a:graphic>
          </wp:anchor>
        </w:drawing>
      </w:r>
    </w:p>
    <w:p>
      <w:pPr>
        <w:spacing w:after="0" w:line="66" w:lineRule="exact"/>
        <w:rPr>
          <w:sz w:val="20"/>
          <w:szCs w:val="20"/>
          <w:color w:val="auto"/>
        </w:rPr>
      </w:pPr>
    </w:p>
    <w:p>
      <w:pPr>
        <w:ind w:left="4900" w:right="1800" w:hanging="4899"/>
        <w:spacing w:after="0" w:line="444" w:lineRule="auto"/>
        <w:tabs>
          <w:tab w:leader="none" w:pos="721" w:val="left"/>
        </w:tabs>
        <w:numPr>
          <w:ilvl w:val="0"/>
          <w:numId w:val="8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Calculated as volumes committed under contracts multiplied by the current applicable tariff rate. F-17</w:t>
      </w:r>
    </w:p>
    <w:p>
      <w:pPr>
        <w:sectPr>
          <w:pgSz w:w="11880" w:h="15628" w:orient="portrait"/>
          <w:cols w:equalWidth="0" w:num="1">
            <w:col w:w="10160"/>
          </w:cols>
          <w:pgMar w:left="860" w:top="435" w:right="860" w:bottom="0" w:gutter="0" w:footer="0" w:header="0"/>
          <w:type w:val="continuous"/>
        </w:sectPr>
      </w:pPr>
    </w:p>
    <w:bookmarkStart w:id="121" w:name="page122"/>
    <w:bookmarkEnd w:id="121"/>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374" w:lineRule="exact"/>
        <w:rPr>
          <w:sz w:val="20"/>
          <w:szCs w:val="20"/>
          <w:color w:val="auto"/>
        </w:rPr>
      </w:pPr>
    </w:p>
    <w:p>
      <w:pPr>
        <w:ind w:right="100" w:firstLine="713"/>
        <w:spacing w:after="0" w:line="254" w:lineRule="auto"/>
        <w:rPr>
          <w:sz w:val="20"/>
          <w:szCs w:val="20"/>
          <w:color w:val="auto"/>
        </w:rPr>
      </w:pPr>
      <w:r>
        <w:rPr>
          <w:rFonts w:ascii="Times New Roman" w:cs="Times New Roman" w:eastAsia="Times New Roman" w:hAnsi="Times New Roman"/>
          <w:sz w:val="20"/>
          <w:szCs w:val="20"/>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900" w:hanging="186"/>
        <w:spacing w:after="0"/>
        <w:tabs>
          <w:tab w:leader="none" w:pos="9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volume commitments on certain of our joint venture pipeline systems;</w:t>
      </w:r>
    </w:p>
    <w:p>
      <w:pPr>
        <w:spacing w:after="0" w:line="126" w:lineRule="exact"/>
        <w:rPr>
          <w:rFonts w:ascii="Times New Roman" w:cs="Times New Roman" w:eastAsia="Times New Roman" w:hAnsi="Times New Roman"/>
          <w:sz w:val="20"/>
          <w:szCs w:val="20"/>
          <w:color w:val="auto"/>
        </w:rPr>
      </w:pPr>
    </w:p>
    <w:p>
      <w:pPr>
        <w:ind w:left="900" w:hanging="186"/>
        <w:spacing w:after="0"/>
        <w:tabs>
          <w:tab w:leader="none" w:pos="9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Acreage dedications;</w:t>
      </w:r>
    </w:p>
    <w:p>
      <w:pPr>
        <w:spacing w:after="0" w:line="126" w:lineRule="exact"/>
        <w:rPr>
          <w:rFonts w:ascii="Times New Roman" w:cs="Times New Roman" w:eastAsia="Times New Roman" w:hAnsi="Times New Roman"/>
          <w:sz w:val="20"/>
          <w:szCs w:val="20"/>
          <w:color w:val="auto"/>
        </w:rPr>
      </w:pPr>
    </w:p>
    <w:p>
      <w:pPr>
        <w:ind w:left="900" w:hanging="186"/>
        <w:spacing w:after="0"/>
        <w:tabs>
          <w:tab w:leader="none" w:pos="9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Buy/sell arrangements with future committed volumes;</w:t>
      </w:r>
    </w:p>
    <w:p>
      <w:pPr>
        <w:spacing w:after="0" w:line="126" w:lineRule="exact"/>
        <w:rPr>
          <w:rFonts w:ascii="Times New Roman" w:cs="Times New Roman" w:eastAsia="Times New Roman" w:hAnsi="Times New Roman"/>
          <w:sz w:val="20"/>
          <w:szCs w:val="20"/>
          <w:color w:val="auto"/>
        </w:rPr>
      </w:pPr>
    </w:p>
    <w:p>
      <w:pPr>
        <w:ind w:left="900" w:right="220" w:hanging="186"/>
        <w:spacing w:after="0" w:line="278" w:lineRule="auto"/>
        <w:tabs>
          <w:tab w:leader="none" w:pos="9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Short-term contracts and those with variable consideration due to the election of practical expedients, as discussed below;</w:t>
      </w:r>
    </w:p>
    <w:p>
      <w:pPr>
        <w:spacing w:after="0" w:line="58" w:lineRule="exact"/>
        <w:rPr>
          <w:rFonts w:ascii="Times New Roman" w:cs="Times New Roman" w:eastAsia="Times New Roman" w:hAnsi="Times New Roman"/>
          <w:sz w:val="20"/>
          <w:szCs w:val="20"/>
          <w:color w:val="auto"/>
        </w:rPr>
      </w:pPr>
    </w:p>
    <w:p>
      <w:pPr>
        <w:ind w:left="900" w:hanging="186"/>
        <w:spacing w:after="0"/>
        <w:tabs>
          <w:tab w:leader="none" w:pos="9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Contracts within the scope of ASC Topic 842,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and</w:t>
      </w:r>
    </w:p>
    <w:p>
      <w:pPr>
        <w:spacing w:after="0" w:line="126" w:lineRule="exact"/>
        <w:rPr>
          <w:rFonts w:ascii="Times New Roman" w:cs="Times New Roman" w:eastAsia="Times New Roman" w:hAnsi="Times New Roman"/>
          <w:sz w:val="20"/>
          <w:szCs w:val="20"/>
          <w:color w:val="auto"/>
        </w:rPr>
      </w:pPr>
    </w:p>
    <w:p>
      <w:pPr>
        <w:ind w:left="900" w:hanging="186"/>
        <w:spacing w:after="0"/>
        <w:tabs>
          <w:tab w:leader="none" w:pos="9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Contracts within the scope of ASC Topic 815, </w:t>
      </w:r>
      <w:r>
        <w:rPr>
          <w:rFonts w:ascii="Times New Roman" w:cs="Times New Roman" w:eastAsia="Times New Roman" w:hAnsi="Times New Roman"/>
          <w:sz w:val="20"/>
          <w:szCs w:val="20"/>
          <w:b w:val="1"/>
          <w:bCs w:val="1"/>
          <w:i w:val="1"/>
          <w:iCs w:val="1"/>
          <w:color w:val="auto"/>
        </w:rPr>
        <w:t>Derivatives and Hedging</w:t>
      </w:r>
      <w:r>
        <w:rPr>
          <w:rFonts w:ascii="Times New Roman" w:cs="Times New Roman" w:eastAsia="Times New Roman" w:hAnsi="Times New Roman"/>
          <w:sz w:val="20"/>
          <w:szCs w:val="20"/>
          <w:color w:val="auto"/>
        </w:rPr>
        <w:t>.</w:t>
      </w:r>
    </w:p>
    <w:p>
      <w:pPr>
        <w:spacing w:after="0" w:line="248" w:lineRule="exact"/>
        <w:rPr>
          <w:sz w:val="20"/>
          <w:szCs w:val="20"/>
          <w:color w:val="auto"/>
        </w:rPr>
      </w:pPr>
    </w:p>
    <w:p>
      <w:pPr>
        <w:ind w:right="20" w:firstLine="713"/>
        <w:spacing w:after="0" w:line="253" w:lineRule="auto"/>
        <w:rPr>
          <w:sz w:val="20"/>
          <w:szCs w:val="20"/>
          <w:color w:val="auto"/>
        </w:rPr>
      </w:pPr>
      <w:r>
        <w:rPr>
          <w:rFonts w:ascii="Times New Roman" w:cs="Times New Roman" w:eastAsia="Times New Roman" w:hAnsi="Times New Roman"/>
          <w:sz w:val="20"/>
          <w:szCs w:val="20"/>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w:t>
      </w:r>
    </w:p>
    <w:p>
      <w:pPr>
        <w:spacing w:after="0" w:line="204" w:lineRule="exact"/>
        <w:rPr>
          <w:sz w:val="20"/>
          <w:szCs w:val="20"/>
          <w:color w:val="auto"/>
        </w:rPr>
      </w:pPr>
    </w:p>
    <w:p>
      <w:pPr>
        <w:jc w:val="both"/>
        <w:ind w:right="240" w:firstLine="713"/>
        <w:spacing w:after="0" w:line="258" w:lineRule="auto"/>
        <w:rPr>
          <w:sz w:val="20"/>
          <w:szCs w:val="20"/>
          <w:color w:val="auto"/>
        </w:rPr>
      </w:pPr>
      <w:r>
        <w:rPr>
          <w:rFonts w:ascii="Times New Roman" w:cs="Times New Roman" w:eastAsia="Times New Roman" w:hAnsi="Times New Roman"/>
          <w:sz w:val="20"/>
          <w:szCs w:val="20"/>
          <w:color w:val="auto"/>
        </w:rPr>
        <w:t>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Accounts Receivable and Other Receivables, Net</w:t>
      </w:r>
    </w:p>
    <w:p>
      <w:pPr>
        <w:spacing w:after="0" w:line="253"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20"/>
          <w:szCs w:val="20"/>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199" w:lineRule="exact"/>
        <w:rPr>
          <w:sz w:val="20"/>
          <w:szCs w:val="20"/>
          <w:color w:val="auto"/>
        </w:rPr>
      </w:pPr>
    </w:p>
    <w:p>
      <w:pPr>
        <w:ind w:right="20" w:firstLine="713"/>
        <w:spacing w:after="0" w:line="252" w:lineRule="auto"/>
        <w:rPr>
          <w:sz w:val="20"/>
          <w:szCs w:val="20"/>
          <w:color w:val="auto"/>
        </w:rPr>
      </w:pPr>
      <w:r>
        <w:rPr>
          <w:rFonts w:ascii="Times New Roman" w:cs="Times New Roman" w:eastAsia="Times New Roman" w:hAnsi="Times New Roman"/>
          <w:sz w:val="20"/>
          <w:szCs w:val="20"/>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207" w:lineRule="exact"/>
        <w:rPr>
          <w:sz w:val="20"/>
          <w:szCs w:val="20"/>
          <w:color w:val="auto"/>
        </w:rPr>
      </w:pPr>
    </w:p>
    <w:p>
      <w:pPr>
        <w:ind w:right="60" w:firstLine="713"/>
        <w:spacing w:after="0" w:line="267" w:lineRule="auto"/>
        <w:rPr>
          <w:sz w:val="20"/>
          <w:szCs w:val="20"/>
          <w:color w:val="auto"/>
        </w:rPr>
      </w:pPr>
      <w:r>
        <w:rPr>
          <w:rFonts w:ascii="Times New Roman" w:cs="Times New Roman" w:eastAsia="Times New Roman" w:hAnsi="Times New Roman"/>
          <w:sz w:val="19"/>
          <w:szCs w:val="19"/>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2022 and 2021,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10160"/>
          </w:cols>
          <w:pgMar w:left="860" w:top="435" w:right="860" w:bottom="0" w:gutter="0" w:footer="0" w:header="0"/>
          <w:type w:val="continuous"/>
        </w:sectPr>
      </w:pPr>
    </w:p>
    <w:bookmarkStart w:id="122" w:name="page123"/>
    <w:bookmarkEnd w:id="122"/>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is a reconciliation of trade accounts receivable from revenues from contracts with customers to total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 accounts receivable and other receivables, net as presented on our Consolidated Balance Sheets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Pr>
          <w:p>
            <w:pPr>
              <w:spacing w:after="0"/>
              <w:rPr>
                <w:sz w:val="18"/>
                <w:szCs w:val="18"/>
                <w:color w:val="auto"/>
              </w:rPr>
            </w:pPr>
          </w:p>
        </w:tc>
      </w:tr>
      <w:tr>
        <w:trPr>
          <w:trHeight w:val="232"/>
        </w:trPr>
        <w:tc>
          <w:tcPr>
            <w:tcW w:w="3500" w:type="dxa"/>
            <w:vAlign w:val="bottom"/>
            <w:tcBorders>
              <w:bottom w:val="single" w:sz="8" w:color="E6E6E6"/>
            </w:tcBorders>
          </w:tcPr>
          <w:p>
            <w:pPr>
              <w:spacing w:after="0"/>
              <w:rPr>
                <w:sz w:val="20"/>
                <w:szCs w:val="20"/>
                <w:color w:val="auto"/>
              </w:rPr>
            </w:pPr>
          </w:p>
        </w:tc>
        <w:tc>
          <w:tcPr>
            <w:tcW w:w="4000" w:type="dxa"/>
            <w:vAlign w:val="bottom"/>
            <w:tcBorders>
              <w:bottom w:val="single" w:sz="8" w:color="E6E6E6"/>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E6E6E6"/>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87"/>
        </w:trPr>
        <w:tc>
          <w:tcPr>
            <w:tcW w:w="75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Trade accounts receivable arising from revenues from contracts with customers</w:t>
            </w:r>
          </w:p>
        </w:tc>
        <w:tc>
          <w:tcPr>
            <w:tcW w:w="320" w:type="dxa"/>
            <w:vAlign w:val="bottom"/>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4,141</w:t>
            </w:r>
          </w:p>
        </w:tc>
        <w:tc>
          <w:tcPr>
            <w:tcW w:w="52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4,031</w:t>
            </w:r>
          </w:p>
        </w:tc>
      </w:tr>
      <w:tr>
        <w:trPr>
          <w:trHeight w:val="297"/>
        </w:trPr>
        <w:tc>
          <w:tcPr>
            <w:tcW w:w="75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Other trade accounts receivables and other receivables </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5,126</w:t>
            </w:r>
          </w:p>
        </w:tc>
      </w:tr>
      <w:tr>
        <w:trPr>
          <w:trHeight w:val="287"/>
        </w:trPr>
        <w:tc>
          <w:tcPr>
            <w:tcW w:w="7500" w:type="dxa"/>
            <w:vAlign w:val="bottom"/>
            <w:tcBorders>
              <w:bottom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Impact due to contractual rights of offset with counterparties</w:t>
            </w:r>
          </w:p>
        </w:tc>
        <w:tc>
          <w:tcPr>
            <w:tcW w:w="3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(7,450)</w:t>
            </w:r>
          </w:p>
        </w:tc>
        <w:tc>
          <w:tcPr>
            <w:tcW w:w="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(4,452)</w:t>
            </w:r>
          </w:p>
        </w:tc>
      </w:tr>
      <w:tr>
        <w:trPr>
          <w:trHeight w:val="297"/>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Trade accounts receivable and other receivables, net</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3,907</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4,705</w:t>
            </w:r>
          </w:p>
        </w:tc>
      </w:tr>
      <w:tr>
        <w:trPr>
          <w:trHeight w:val="134"/>
        </w:trPr>
        <w:tc>
          <w:tcPr>
            <w:tcW w:w="350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-895350</wp:posOffset>
            </wp:positionV>
            <wp:extent cx="1737995" cy="501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65">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-329565</wp:posOffset>
            </wp:positionV>
            <wp:extent cx="1737995" cy="501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66">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-153670</wp:posOffset>
            </wp:positionV>
            <wp:extent cx="1737995" cy="755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67">
                      <a:extLst>
                        <a:ext uri="{28A0092B-C50C-407E-A947-70E740481C1C}"/>
                      </a:extLst>
                    </a:blip>
                    <a:srcRect/>
                    <a:stretch>
                      <a:fillRect/>
                    </a:stretch>
                  </pic:blipFill>
                  <pic:spPr bwMode="auto">
                    <a:xfrm>
                      <a:off x="0" y="0"/>
                      <a:ext cx="1737995" cy="75565"/>
                    </a:xfrm>
                    <a:prstGeom prst="rect">
                      <a:avLst/>
                    </a:prstGeom>
                    <a:noFill/>
                  </pic:spPr>
                </pic:pic>
              </a:graphicData>
            </a:graphic>
          </wp:anchor>
        </w:drawing>
      </w:r>
    </w:p>
    <w:p>
      <w:pPr>
        <w:spacing w:after="0" w:line="126" w:lineRule="exact"/>
        <w:rPr>
          <w:sz w:val="20"/>
          <w:szCs w:val="20"/>
          <w:color w:val="auto"/>
        </w:rPr>
      </w:pPr>
    </w:p>
    <w:p>
      <w:pPr>
        <w:ind w:left="720" w:right="280" w:hanging="719"/>
        <w:spacing w:after="0" w:line="225" w:lineRule="auto"/>
        <w:tabs>
          <w:tab w:leader="none" w:pos="720" w:val="left"/>
        </w:tabs>
        <w:numPr>
          <w:ilvl w:val="0"/>
          <w:numId w:val="8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balance is comprised primarily of accounts receivable associated with buy/sell arrangements that are not within the scope of ASC 606.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4—Net Income/(Loss) Per Common Unit</w:t>
      </w:r>
    </w:p>
    <w:p>
      <w:pPr>
        <w:spacing w:after="0" w:line="252" w:lineRule="exact"/>
        <w:rPr>
          <w:sz w:val="20"/>
          <w:szCs w:val="20"/>
          <w:color w:val="auto"/>
        </w:rPr>
      </w:pPr>
    </w:p>
    <w:p>
      <w:pPr>
        <w:ind w:firstLine="713"/>
        <w:spacing w:after="0" w:line="266" w:lineRule="auto"/>
        <w:rPr>
          <w:sz w:val="20"/>
          <w:szCs w:val="20"/>
          <w:color w:val="auto"/>
        </w:rPr>
      </w:pPr>
      <w:r>
        <w:rPr>
          <w:rFonts w:ascii="Times New Roman" w:cs="Times New Roman" w:eastAsia="Times New Roman" w:hAnsi="Times New Roman"/>
          <w:sz w:val="19"/>
          <w:szCs w:val="19"/>
          <w:color w:val="auto"/>
        </w:rPr>
        <w:t>After consideration of distributions to preferred unitholders, basic and diluted net income/(loss) per common unit is determined pursuant to the two-class method as prescribed in FASB guidance. This method is an earnings allocation formula that is used to determine allocations to our limited partners and participating securities according to distributions pertaining to the current period’s net income and participation rights in undistributed earnings or distributions in excess of earnings. Under the two-class method, net income is reduced by distributions pertaining to the period, and all remaining earnings or distributions in excess of earnings are then allocated to our common unitholders and participating securities based on their respective rights to share in distributions, regardless of whether those earnings would actually be distributed during a particular period from an economic or practical perspective. Participating securities include equity-indexed compensation plan awards that have vested DERs, which entitle the grantee to a cash payment equal to the cash distribution paid on our outstanding common units.</w:t>
      </w:r>
    </w:p>
    <w:p>
      <w:pPr>
        <w:spacing w:after="0" w:line="197" w:lineRule="exact"/>
        <w:rPr>
          <w:sz w:val="20"/>
          <w:szCs w:val="20"/>
          <w:color w:val="auto"/>
        </w:rPr>
      </w:pPr>
    </w:p>
    <w:p>
      <w:pPr>
        <w:jc w:val="both"/>
        <w:ind w:right="240" w:firstLine="713"/>
        <w:spacing w:after="0" w:line="263" w:lineRule="auto"/>
        <w:rPr>
          <w:sz w:val="20"/>
          <w:szCs w:val="20"/>
          <w:color w:val="auto"/>
        </w:rPr>
      </w:pPr>
      <w:r>
        <w:rPr>
          <w:rFonts w:ascii="Times New Roman" w:cs="Times New Roman" w:eastAsia="Times New Roman" w:hAnsi="Times New Roman"/>
          <w:sz w:val="20"/>
          <w:szCs w:val="20"/>
          <w:color w:val="auto"/>
        </w:rPr>
        <w:t>We calculate basic and diluted net income/(loss) per common unit by dividing net income/(loss) attributable to PAA (after deducting amounts allocated to the preferred unitholders and participating securities) by the basic and diluted weighted average number of common units outstanding during the period.</w:t>
      </w:r>
    </w:p>
    <w:p>
      <w:pPr>
        <w:spacing w:after="0" w:line="194" w:lineRule="exact"/>
        <w:rPr>
          <w:sz w:val="20"/>
          <w:szCs w:val="20"/>
          <w:color w:val="auto"/>
        </w:rPr>
      </w:pPr>
    </w:p>
    <w:p>
      <w:pPr>
        <w:ind w:right="40" w:firstLine="713"/>
        <w:spacing w:after="0" w:line="261" w:lineRule="auto"/>
        <w:rPr>
          <w:sz w:val="20"/>
          <w:szCs w:val="20"/>
          <w:color w:val="auto"/>
        </w:rPr>
      </w:pPr>
      <w:r>
        <w:rPr>
          <w:rFonts w:ascii="Times New Roman" w:cs="Times New Roman" w:eastAsia="Times New Roman" w:hAnsi="Times New Roman"/>
          <w:sz w:val="19"/>
          <w:szCs w:val="19"/>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for additional information regarding our Series A preferred units. See Note 18 for a complete discussion of our equity-indexed compensation plan awards. When applying the if-converted method prescribed by FASB guidance, the possible conversion of approximately 71 million Series A preferred units, on a weighted-average basis, were excluded from the calculation of diluted net income/(loss) per common unit for the years ended December 31, 2022, 2021 and 2020 as the effect was antidilutive for all periods.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were deemed to be dilutive during the year were reduced by a hypothetical common unit repurchase based on the remaining unamortized fair value, as prescribed by the treasury stock method in guidance issued by the FASB. For the years ended December 31, 2022, 2021 and 2020, approximately 2.0 million, 0.5 million and</w:t>
      </w:r>
    </w:p>
    <w:p>
      <w:pPr>
        <w:ind w:right="220"/>
        <w:spacing w:after="0" w:line="263" w:lineRule="auto"/>
        <w:rPr>
          <w:sz w:val="20"/>
          <w:szCs w:val="20"/>
          <w:color w:val="auto"/>
        </w:rPr>
      </w:pPr>
      <w:r>
        <w:rPr>
          <w:rFonts w:ascii="Times New Roman" w:cs="Times New Roman" w:eastAsia="Times New Roman" w:hAnsi="Times New Roman"/>
          <w:sz w:val="20"/>
          <w:szCs w:val="20"/>
          <w:color w:val="auto"/>
        </w:rPr>
        <w:t>0.3 million equity-indexed compensation plan awards, respectively, on a weighted-average basis, were excluded from the computation of diluted net income/(loss) per common unit as the effect did not change the presentation of diluted net income/ (loss) per common unit or the effect was antidilutive.</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1880" w:h="15480" w:orient="portrait"/>
          <w:cols w:equalWidth="0" w:num="1">
            <w:col w:w="10160"/>
          </w:cols>
          <w:pgMar w:left="860" w:top="435" w:right="860" w:bottom="0" w:gutter="0" w:footer="0" w:header="0"/>
          <w:type w:val="continuous"/>
        </w:sectPr>
      </w:pPr>
    </w:p>
    <w:bookmarkStart w:id="123" w:name="page124"/>
    <w:bookmarkEnd w:id="123"/>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34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 sets forth the computation of basic and diluted net income/(loss) per common unit (in millions, except per unit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2"/>
        </w:trPr>
        <w:tc>
          <w:tcPr>
            <w:tcW w:w="3500" w:type="dxa"/>
            <w:vAlign w:val="bottom"/>
            <w:tcBorders>
              <w:bottom w:val="single" w:sz="8" w:color="E6E6E6"/>
            </w:tcBorders>
          </w:tcPr>
          <w:p>
            <w:pPr>
              <w:spacing w:after="0"/>
              <w:rPr>
                <w:sz w:val="20"/>
                <w:szCs w:val="20"/>
                <w:color w:val="auto"/>
              </w:rPr>
            </w:pPr>
          </w:p>
        </w:tc>
        <w:tc>
          <w:tcPr>
            <w:tcW w:w="26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61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Basic and Diluted Net Income/(Loss) per Common Unit</w:t>
            </w: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91"/>
        </w:trPr>
        <w:tc>
          <w:tcPr>
            <w:tcW w:w="61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 income/(loss) attributable to PAA</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(2,590)</w:t>
            </w:r>
          </w:p>
        </w:tc>
      </w:tr>
      <w:tr>
        <w:trPr>
          <w:trHeight w:val="303"/>
        </w:trPr>
        <w:tc>
          <w:tcPr>
            <w:tcW w:w="6120" w:type="dxa"/>
            <w:vAlign w:val="bottom"/>
            <w:gridSpan w:val="2"/>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Distributions to Series A preferred unitholders</w:t>
            </w: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291"/>
        </w:trPr>
        <w:tc>
          <w:tcPr>
            <w:tcW w:w="61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Distributions to Series B preferred unitholders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12"/>
        </w:trPr>
        <w:tc>
          <w:tcPr>
            <w:tcW w:w="6120" w:type="dxa"/>
            <w:vAlign w:val="bottom"/>
            <w:tcBorders>
              <w:bottom w:val="single" w:sz="8" w:color="E6E6E6"/>
            </w:tcBorders>
            <w:gridSpan w:val="2"/>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Amounts allocated to participating securities</w:t>
            </w:r>
          </w:p>
        </w:tc>
        <w:tc>
          <w:tcPr>
            <w:tcW w:w="3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78"/>
        </w:trPr>
        <w:tc>
          <w:tcPr>
            <w:tcW w:w="6120" w:type="dxa"/>
            <w:vAlign w:val="bottom"/>
            <w:gridSpan w:val="2"/>
          </w:tcPr>
          <w:p>
            <w:pPr>
              <w:ind w:left="200"/>
              <w:spacing w:after="0" w:line="239" w:lineRule="exact"/>
              <w:rPr>
                <w:sz w:val="20"/>
                <w:szCs w:val="20"/>
                <w:color w:val="auto"/>
              </w:rPr>
            </w:pPr>
            <w:r>
              <w:rPr>
                <w:rFonts w:ascii="Times New Roman" w:cs="Times New Roman" w:eastAsia="Times New Roman" w:hAnsi="Times New Roman"/>
                <w:sz w:val="20"/>
                <w:szCs w:val="20"/>
                <w:color w:val="auto"/>
              </w:rPr>
              <w:t xml:space="preserve">Net income/(loss) allocated to common unitholders </w:t>
            </w:r>
            <w:r>
              <w:rPr>
                <w:rFonts w:ascii="Times New Roman" w:cs="Times New Roman" w:eastAsia="Times New Roman" w:hAnsi="Times New Roman"/>
                <w:sz w:val="25"/>
                <w:szCs w:val="25"/>
                <w:color w:val="auto"/>
                <w:vertAlign w:val="superscript"/>
              </w:rPr>
              <w:t>(1)</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(2,790)</w:t>
            </w:r>
          </w:p>
        </w:tc>
      </w:tr>
      <w:tr>
        <w:trPr>
          <w:trHeight w:val="267"/>
        </w:trPr>
        <w:tc>
          <w:tcPr>
            <w:tcW w:w="3500" w:type="dxa"/>
            <w:vAlign w:val="bottom"/>
            <w:tcBorders>
              <w:top w:val="single" w:sz="8" w:color="E6E6E6"/>
            </w:tcBorders>
            <w:shd w:val="clear" w:color="auto" w:fill="E6E6E6"/>
          </w:tcPr>
          <w:p>
            <w:pPr>
              <w:spacing w:after="0"/>
              <w:rPr>
                <w:sz w:val="23"/>
                <w:szCs w:val="23"/>
                <w:color w:val="auto"/>
              </w:rPr>
            </w:pPr>
          </w:p>
        </w:tc>
        <w:tc>
          <w:tcPr>
            <w:tcW w:w="2620" w:type="dxa"/>
            <w:vAlign w:val="bottom"/>
            <w:tcBorders>
              <w:top w:val="single" w:sz="8" w:color="E6E6E6"/>
            </w:tcBorders>
            <w:shd w:val="clear" w:color="auto" w:fill="E6E6E6"/>
          </w:tcPr>
          <w:p>
            <w:pPr>
              <w:spacing w:after="0"/>
              <w:rPr>
                <w:sz w:val="23"/>
                <w:szCs w:val="23"/>
                <w:color w:val="auto"/>
              </w:rPr>
            </w:pPr>
          </w:p>
        </w:tc>
        <w:tc>
          <w:tcPr>
            <w:tcW w:w="320" w:type="dxa"/>
            <w:vAlign w:val="bottom"/>
            <w:tcBorders>
              <w:top w:val="single" w:sz="8" w:color="auto"/>
            </w:tcBorders>
            <w:shd w:val="clear" w:color="auto" w:fill="E6E6E6"/>
          </w:tcPr>
          <w:p>
            <w:pPr>
              <w:spacing w:after="0"/>
              <w:rPr>
                <w:sz w:val="23"/>
                <w:szCs w:val="23"/>
                <w:color w:val="auto"/>
              </w:rPr>
            </w:pPr>
          </w:p>
        </w:tc>
        <w:tc>
          <w:tcPr>
            <w:tcW w:w="98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320" w:type="dxa"/>
            <w:vAlign w:val="bottom"/>
            <w:tcBorders>
              <w:top w:val="single" w:sz="8" w:color="auto"/>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320" w:type="dxa"/>
            <w:vAlign w:val="bottom"/>
            <w:tcBorders>
              <w:top w:val="single" w:sz="8" w:color="auto"/>
            </w:tcBorders>
            <w:shd w:val="clear" w:color="auto" w:fill="E6E6E6"/>
          </w:tcPr>
          <w:p>
            <w:pPr>
              <w:spacing w:after="0"/>
              <w:rPr>
                <w:sz w:val="23"/>
                <w:szCs w:val="23"/>
                <w:color w:val="auto"/>
              </w:rPr>
            </w:pPr>
          </w:p>
        </w:tc>
        <w:tc>
          <w:tcPr>
            <w:tcW w:w="980" w:type="dxa"/>
            <w:vAlign w:val="bottom"/>
            <w:tcBorders>
              <w:top w:val="single" w:sz="8" w:color="auto"/>
            </w:tcBorders>
            <w:shd w:val="clear" w:color="auto" w:fill="E6E6E6"/>
          </w:tcPr>
          <w:p>
            <w:pPr>
              <w:spacing w:after="0"/>
              <w:rPr>
                <w:sz w:val="23"/>
                <w:szCs w:val="23"/>
                <w:color w:val="auto"/>
              </w:rPr>
            </w:pPr>
          </w:p>
        </w:tc>
      </w:tr>
      <w:tr>
        <w:trPr>
          <w:trHeight w:val="291"/>
        </w:trPr>
        <w:tc>
          <w:tcPr>
            <w:tcW w:w="61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Basic and diluted weighted average common units outstanding</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w:t>
            </w:r>
          </w:p>
        </w:tc>
      </w:tr>
      <w:tr>
        <w:trPr>
          <w:trHeight w:val="288"/>
        </w:trPr>
        <w:tc>
          <w:tcPr>
            <w:tcW w:w="3500" w:type="dxa"/>
            <w:vAlign w:val="bottom"/>
            <w:shd w:val="clear" w:color="auto" w:fill="E6E6E6"/>
          </w:tcPr>
          <w:p>
            <w:pPr>
              <w:spacing w:after="0"/>
              <w:rPr>
                <w:sz w:val="24"/>
                <w:szCs w:val="24"/>
                <w:color w:val="auto"/>
              </w:rPr>
            </w:pPr>
          </w:p>
        </w:tc>
        <w:tc>
          <w:tcPr>
            <w:tcW w:w="26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307"/>
        </w:trPr>
        <w:tc>
          <w:tcPr>
            <w:tcW w:w="61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Basic and diluted net income/(loss) per common unit</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w:t>
            </w:r>
          </w:p>
        </w:tc>
      </w:tr>
      <w:tr>
        <w:trPr>
          <w:trHeight w:val="134"/>
        </w:trPr>
        <w:tc>
          <w:tcPr>
            <w:tcW w:w="3500" w:type="dxa"/>
            <w:vAlign w:val="bottom"/>
            <w:tcBorders>
              <w:bottom w:val="single" w:sz="8" w:color="auto"/>
            </w:tcBorders>
          </w:tcPr>
          <w:p>
            <w:pPr>
              <w:spacing w:after="0"/>
              <w:rPr>
                <w:sz w:val="11"/>
                <w:szCs w:val="11"/>
                <w:color w:val="auto"/>
              </w:rPr>
            </w:pPr>
          </w:p>
        </w:tc>
        <w:tc>
          <w:tcPr>
            <w:tcW w:w="26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-2017395</wp:posOffset>
            </wp:positionV>
            <wp:extent cx="2606040" cy="501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68">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-1074420</wp:posOffset>
            </wp:positionV>
            <wp:extent cx="2606040" cy="501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9">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-898525</wp:posOffset>
            </wp:positionV>
            <wp:extent cx="2606040" cy="755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70">
                      <a:extLst>
                        <a:ext uri="{28A0092B-C50C-407E-A947-70E740481C1C}"/>
                      </a:extLst>
                    </a:blip>
                    <a:srcRect/>
                    <a:stretch>
                      <a:fillRect/>
                    </a:stretch>
                  </pic:blipFill>
                  <pic:spPr bwMode="auto">
                    <a:xfrm>
                      <a:off x="0" y="0"/>
                      <a:ext cx="2606040" cy="755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-153670</wp:posOffset>
            </wp:positionV>
            <wp:extent cx="2606040" cy="755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1">
                      <a:extLst>
                        <a:ext uri="{28A0092B-C50C-407E-A947-70E740481C1C}"/>
                      </a:extLst>
                    </a:blip>
                    <a:srcRect/>
                    <a:stretch>
                      <a:fillRect/>
                    </a:stretch>
                  </pic:blipFill>
                  <pic:spPr bwMode="auto">
                    <a:xfrm>
                      <a:off x="0" y="0"/>
                      <a:ext cx="2606040" cy="75565"/>
                    </a:xfrm>
                    <a:prstGeom prst="rect">
                      <a:avLst/>
                    </a:prstGeom>
                    <a:noFill/>
                  </pic:spPr>
                </pic:pic>
              </a:graphicData>
            </a:graphic>
          </wp:anchor>
        </w:drawing>
      </w:r>
    </w:p>
    <w:p>
      <w:pPr>
        <w:spacing w:after="0" w:line="126" w:lineRule="exact"/>
        <w:rPr>
          <w:sz w:val="20"/>
          <w:szCs w:val="20"/>
          <w:color w:val="auto"/>
        </w:rPr>
      </w:pPr>
    </w:p>
    <w:p>
      <w:pPr>
        <w:ind w:left="720" w:right="100" w:hanging="719"/>
        <w:spacing w:after="0" w:line="238" w:lineRule="auto"/>
        <w:tabs>
          <w:tab w:leader="none" w:pos="720" w:val="left"/>
        </w:tabs>
        <w:numPr>
          <w:ilvl w:val="0"/>
          <w:numId w:val="8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5—Inventory, Linefill and Long-term Inventory</w:t>
      </w:r>
    </w:p>
    <w:p>
      <w:pPr>
        <w:spacing w:after="0" w:line="252"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2022 or 2021. During the year ended December 31, 2020, we recorded charges of $233 million (of which $40 million was associated with our long-term inventory) related to the write down of our crude oil and NGL inventory due to declines in prices. A portion of these inventory valuation adjustments was offset by the recognition of gains on derivative instruments being utilized to hedge future sales of our crude oil and NGL inventory. Such gains were recorded to “Product sales revenues” in our accompanying Consolidated Statements of Operations. See Note 13 for discussion of our derivative and risk management activities.</w:t>
      </w:r>
    </w:p>
    <w:p>
      <w:pPr>
        <w:spacing w:after="0" w:line="205" w:lineRule="exact"/>
        <w:rPr>
          <w:sz w:val="20"/>
          <w:szCs w:val="20"/>
          <w:color w:val="auto"/>
        </w:rPr>
      </w:pPr>
    </w:p>
    <w:p>
      <w:pPr>
        <w:ind w:right="20" w:firstLine="713"/>
        <w:spacing w:after="0" w:line="253" w:lineRule="auto"/>
        <w:rPr>
          <w:sz w:val="20"/>
          <w:szCs w:val="20"/>
          <w:color w:val="auto"/>
        </w:rPr>
      </w:pPr>
      <w:r>
        <w:rPr>
          <w:rFonts w:ascii="Times New Roman" w:cs="Times New Roman" w:eastAsia="Times New Roman" w:hAnsi="Times New Roman"/>
          <w:sz w:val="20"/>
          <w:szCs w:val="20"/>
          <w:color w:val="auto"/>
        </w:rPr>
        <w:t>Linefill in assets we own is recorded at historical cost and consists of crude oil and NGL.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2022, 2021 and 2020, we did not recognize any material impairments of linefill.</w:t>
      </w:r>
    </w:p>
    <w:p>
      <w:pPr>
        <w:spacing w:after="0" w:line="204" w:lineRule="exact"/>
        <w:rPr>
          <w:sz w:val="20"/>
          <w:szCs w:val="20"/>
          <w:color w:val="auto"/>
        </w:rPr>
      </w:pPr>
    </w:p>
    <w:p>
      <w:pPr>
        <w:ind w:right="80" w:firstLine="713"/>
        <w:spacing w:after="0" w:line="272" w:lineRule="auto"/>
        <w:rPr>
          <w:sz w:val="20"/>
          <w:szCs w:val="20"/>
          <w:color w:val="auto"/>
        </w:rPr>
      </w:pPr>
      <w:r>
        <w:rPr>
          <w:rFonts w:ascii="Times New Roman" w:cs="Times New Roman" w:eastAsia="Times New Roman" w:hAnsi="Times New Roman"/>
          <w:sz w:val="19"/>
          <w:szCs w:val="19"/>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10160"/>
          </w:cols>
          <w:pgMar w:left="860" w:top="435" w:right="860" w:bottom="0" w:gutter="0" w:footer="0" w:header="0"/>
          <w:type w:val="continuous"/>
        </w:sectPr>
      </w:pPr>
    </w:p>
    <w:bookmarkStart w:id="124" w:name="page125"/>
    <w:bookmarkEnd w:id="124"/>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540" w:firstLine="713"/>
        <w:spacing w:after="0" w:line="278" w:lineRule="auto"/>
        <w:rPr>
          <w:sz w:val="20"/>
          <w:szCs w:val="20"/>
          <w:color w:val="auto"/>
        </w:rPr>
      </w:pPr>
      <w:r>
        <w:rPr>
          <w:rFonts w:ascii="Times New Roman" w:cs="Times New Roman" w:eastAsia="Times New Roman" w:hAnsi="Times New Roman"/>
          <w:sz w:val="20"/>
          <w:szCs w:val="20"/>
          <w:color w:val="auto"/>
        </w:rPr>
        <w:t>Inventory, linefill and long-term inventory consisted of the following (barrels in thousands and carrying value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Volumes</w:t>
            </w:r>
          </w:p>
        </w:tc>
        <w:tc>
          <w:tcPr>
            <w:tcW w:w="80" w:type="dxa"/>
            <w:vAlign w:val="bottom"/>
          </w:tcPr>
          <w:p>
            <w:pPr>
              <w:spacing w:after="0"/>
              <w:rPr>
                <w:sz w:val="15"/>
                <w:szCs w:val="15"/>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Unit of</w:t>
            </w:r>
          </w:p>
        </w:tc>
        <w:tc>
          <w:tcPr>
            <w:tcW w:w="80" w:type="dxa"/>
            <w:vAlign w:val="bottom"/>
          </w:tcPr>
          <w:p>
            <w:pPr>
              <w:spacing w:after="0"/>
              <w:rPr>
                <w:sz w:val="15"/>
                <w:szCs w:val="15"/>
                <w:color w:val="auto"/>
              </w:rPr>
            </w:pPr>
          </w:p>
        </w:tc>
        <w:tc>
          <w:tcPr>
            <w:tcW w:w="8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Price/</w:t>
            </w:r>
          </w:p>
        </w:tc>
        <w:tc>
          <w:tcPr>
            <w:tcW w:w="60" w:type="dxa"/>
            <w:vAlign w:val="bottom"/>
          </w:tcPr>
          <w:p>
            <w:pPr>
              <w:spacing w:after="0"/>
              <w:rPr>
                <w:sz w:val="15"/>
                <w:szCs w:val="15"/>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Volumes</w:t>
            </w:r>
          </w:p>
        </w:tc>
        <w:tc>
          <w:tcPr>
            <w:tcW w:w="80" w:type="dxa"/>
            <w:vAlign w:val="bottom"/>
          </w:tcPr>
          <w:p>
            <w:pPr>
              <w:spacing w:after="0"/>
              <w:rPr>
                <w:sz w:val="15"/>
                <w:szCs w:val="15"/>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Unit of</w:t>
            </w:r>
          </w:p>
        </w:tc>
        <w:tc>
          <w:tcPr>
            <w:tcW w:w="80" w:type="dxa"/>
            <w:vAlign w:val="bottom"/>
          </w:tcPr>
          <w:p>
            <w:pPr>
              <w:spacing w:after="0"/>
              <w:rPr>
                <w:sz w:val="15"/>
                <w:szCs w:val="15"/>
                <w:color w:val="auto"/>
              </w:rPr>
            </w:pPr>
          </w:p>
        </w:tc>
        <w:tc>
          <w:tcPr>
            <w:tcW w:w="8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Measure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center"/>
              <w:ind w:right="260"/>
              <w:spacing w:after="0" w:line="212" w:lineRule="exact"/>
              <w:rPr>
                <w:sz w:val="20"/>
                <w:szCs w:val="20"/>
                <w:color w:val="auto"/>
              </w:rPr>
            </w:pPr>
            <w:r>
              <w:rPr>
                <w:rFonts w:ascii="Times New Roman" w:cs="Times New Roman" w:eastAsia="Times New Roman" w:hAnsi="Times New Roman"/>
                <w:sz w:val="16"/>
                <w:szCs w:val="16"/>
                <w:b w:val="1"/>
                <w:bCs w:val="1"/>
                <w:color w:val="auto"/>
                <w:w w:val="92"/>
              </w:rPr>
              <w:t xml:space="preserve">Unit </w:t>
            </w:r>
            <w:r>
              <w:rPr>
                <w:rFonts w:ascii="Times New Roman" w:cs="Times New Roman" w:eastAsia="Times New Roman" w:hAnsi="Times New Roman"/>
                <w:sz w:val="20"/>
                <w:szCs w:val="20"/>
                <w:b w:val="1"/>
                <w:bCs w:val="1"/>
                <w:color w:val="auto"/>
                <w:w w:val="92"/>
                <w:vertAlign w:val="superscript"/>
              </w:rPr>
              <w:t>(1)</w:t>
            </w: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Measure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5"/>
              <w:spacing w:after="0" w:line="212" w:lineRule="exact"/>
              <w:rPr>
                <w:sz w:val="20"/>
                <w:szCs w:val="20"/>
                <w:color w:val="auto"/>
              </w:rPr>
            </w:pPr>
            <w:r>
              <w:rPr>
                <w:rFonts w:ascii="Times New Roman" w:cs="Times New Roman" w:eastAsia="Times New Roman" w:hAnsi="Times New Roman"/>
                <w:sz w:val="16"/>
                <w:szCs w:val="16"/>
                <w:b w:val="1"/>
                <w:bCs w:val="1"/>
                <w:color w:val="auto"/>
                <w:w w:val="92"/>
              </w:rPr>
              <w:t xml:space="preserve">Unit </w:t>
            </w:r>
            <w:r>
              <w:rPr>
                <w:rFonts w:ascii="Times New Roman" w:cs="Times New Roman" w:eastAsia="Times New Roman" w:hAnsi="Times New Roman"/>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272"/>
        </w:trPr>
        <w:tc>
          <w:tcPr>
            <w:tcW w:w="60" w:type="dxa"/>
            <w:vAlign w:val="bottom"/>
          </w:tcPr>
          <w:p>
            <w:pPr>
              <w:spacing w:after="0"/>
              <w:rPr>
                <w:sz w:val="23"/>
                <w:szCs w:val="23"/>
                <w:color w:val="auto"/>
              </w:rPr>
            </w:pPr>
          </w:p>
        </w:tc>
        <w:tc>
          <w:tcPr>
            <w:tcW w:w="2680" w:type="dxa"/>
            <w:vAlign w:val="bottom"/>
            <w:tcBorders>
              <w:top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b w:val="1"/>
                <w:bCs w:val="1"/>
                <w:color w:val="auto"/>
              </w:rPr>
              <w:t>Inventory</w:t>
            </w:r>
          </w:p>
        </w:tc>
        <w:tc>
          <w:tcPr>
            <w:tcW w:w="76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84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64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180" w:type="dxa"/>
            <w:vAlign w:val="bottom"/>
            <w:tcBorders>
              <w:top w:val="single" w:sz="8" w:color="auto"/>
            </w:tcBorders>
            <w:shd w:val="clear" w:color="auto" w:fill="E6E6E6"/>
          </w:tcPr>
          <w:p>
            <w:pPr>
              <w:spacing w:after="0"/>
              <w:rPr>
                <w:sz w:val="23"/>
                <w:szCs w:val="23"/>
                <w:color w:val="auto"/>
              </w:rPr>
            </w:pPr>
          </w:p>
        </w:tc>
        <w:tc>
          <w:tcPr>
            <w:tcW w:w="660" w:type="dxa"/>
            <w:vAlign w:val="bottom"/>
            <w:tcBorders>
              <w:top w:val="single" w:sz="8" w:color="auto"/>
            </w:tcBorders>
            <w:shd w:val="clear" w:color="auto" w:fill="E6E6E6"/>
          </w:tcPr>
          <w:p>
            <w:pPr>
              <w:spacing w:after="0"/>
              <w:rPr>
                <w:sz w:val="23"/>
                <w:szCs w:val="23"/>
                <w:color w:val="auto"/>
              </w:rPr>
            </w:pPr>
          </w:p>
        </w:tc>
        <w:tc>
          <w:tcPr>
            <w:tcW w:w="100" w:type="dxa"/>
            <w:vAlign w:val="bottom"/>
            <w:tcBorders>
              <w:top w:val="single" w:sz="8" w:color="E6E6E6"/>
              <w:right w:val="single" w:sz="8" w:color="E6E6E6"/>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84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84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180" w:type="dxa"/>
            <w:vAlign w:val="bottom"/>
            <w:tcBorders>
              <w:top w:val="single" w:sz="8" w:color="auto"/>
            </w:tcBorders>
            <w:shd w:val="clear" w:color="auto" w:fill="E6E6E6"/>
          </w:tcPr>
          <w:p>
            <w:pPr>
              <w:spacing w:after="0"/>
              <w:rPr>
                <w:sz w:val="23"/>
                <w:szCs w:val="23"/>
                <w:color w:val="auto"/>
              </w:rPr>
            </w:pPr>
          </w:p>
        </w:tc>
        <w:tc>
          <w:tcPr>
            <w:tcW w:w="66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180" w:type="dxa"/>
            <w:vAlign w:val="bottom"/>
            <w:tcBorders>
              <w:top w:val="single" w:sz="8" w:color="auto"/>
            </w:tcBorders>
            <w:shd w:val="clear" w:color="auto" w:fill="E6E6E6"/>
          </w:tcPr>
          <w:p>
            <w:pPr>
              <w:spacing w:after="0"/>
              <w:rPr>
                <w:sz w:val="23"/>
                <w:szCs w:val="23"/>
                <w:color w:val="auto"/>
              </w:rPr>
            </w:pPr>
          </w:p>
        </w:tc>
        <w:tc>
          <w:tcPr>
            <w:tcW w:w="66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Crude oil</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6,713</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barrels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67.33</w:t>
            </w:r>
          </w:p>
        </w:tc>
        <w:tc>
          <w:tcPr>
            <w:tcW w:w="100" w:type="dxa"/>
            <w:vAlign w:val="bottom"/>
            <w:tcBorders>
              <w:right w:val="single" w:sz="8" w:color="auto"/>
            </w:tcBorders>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8,041</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barrels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67.65</w:t>
            </w:r>
          </w:p>
        </w:tc>
        <w:tc>
          <w:tcPr>
            <w:tcW w:w="0" w:type="dxa"/>
            <w:vAlign w:val="bottom"/>
          </w:tcPr>
          <w:p>
            <w:pPr>
              <w:spacing w:after="0"/>
              <w:rPr>
                <w:sz w:val="1"/>
                <w:szCs w:val="1"/>
                <w:color w:val="auto"/>
              </w:rPr>
            </w:pPr>
          </w:p>
        </w:tc>
      </w:tr>
      <w:tr>
        <w:trPr>
          <w:trHeight w:val="303"/>
        </w:trPr>
        <w:tc>
          <w:tcPr>
            <w:tcW w:w="60" w:type="dxa"/>
            <w:vAlign w:val="bottom"/>
          </w:tcPr>
          <w:p>
            <w:pPr>
              <w:spacing w:after="0"/>
              <w:rPr>
                <w:sz w:val="24"/>
                <w:szCs w:val="24"/>
                <w:color w:val="auto"/>
              </w:rPr>
            </w:pPr>
          </w:p>
        </w:tc>
        <w:tc>
          <w:tcPr>
            <w:tcW w:w="26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NGL</w:t>
            </w:r>
          </w:p>
        </w:tc>
        <w:tc>
          <w:tcPr>
            <w:tcW w:w="84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7,285</w:t>
            </w:r>
          </w:p>
        </w:tc>
        <w:tc>
          <w:tcPr>
            <w:tcW w:w="80" w:type="dxa"/>
            <w:vAlign w:val="bottom"/>
            <w:shd w:val="clear" w:color="auto" w:fill="E6E6E6"/>
          </w:tcPr>
          <w:p>
            <w:pPr>
              <w:spacing w:after="0"/>
              <w:rPr>
                <w:sz w:val="24"/>
                <w:szCs w:val="24"/>
                <w:color w:val="auto"/>
              </w:rPr>
            </w:pPr>
          </w:p>
        </w:tc>
        <w:tc>
          <w:tcPr>
            <w:tcW w:w="8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barrels</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37.06</w:t>
            </w:r>
          </w:p>
        </w:tc>
        <w:tc>
          <w:tcPr>
            <w:tcW w:w="100" w:type="dxa"/>
            <w:vAlign w:val="bottom"/>
            <w:tcBorders>
              <w:right w:val="single" w:sz="8" w:color="auto"/>
            </w:tcBorders>
            <w:shd w:val="clear" w:color="auto" w:fill="E6E6E6"/>
          </w:tcPr>
          <w:p>
            <w:pPr>
              <w:spacing w:after="0"/>
              <w:rPr>
                <w:sz w:val="24"/>
                <w:szCs w:val="24"/>
                <w:color w:val="auto"/>
              </w:rPr>
            </w:pPr>
          </w:p>
        </w:tc>
        <w:tc>
          <w:tcPr>
            <w:tcW w:w="9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6,982</w:t>
            </w:r>
          </w:p>
        </w:tc>
        <w:tc>
          <w:tcPr>
            <w:tcW w:w="80" w:type="dxa"/>
            <w:vAlign w:val="bottom"/>
            <w:shd w:val="clear" w:color="auto" w:fill="E6E6E6"/>
          </w:tcPr>
          <w:p>
            <w:pPr>
              <w:spacing w:after="0"/>
              <w:rPr>
                <w:sz w:val="24"/>
                <w:szCs w:val="24"/>
                <w:color w:val="auto"/>
              </w:rPr>
            </w:pPr>
          </w:p>
        </w:tc>
        <w:tc>
          <w:tcPr>
            <w:tcW w:w="8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barrels</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33.51</w:t>
            </w: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268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840" w:type="dxa"/>
            <w:vAlign w:val="bottom"/>
            <w:tcBorders>
              <w:bottom w:val="single" w:sz="8" w:color="E6E6E6"/>
            </w:tcBorders>
            <w:gridSpan w:val="2"/>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8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760" w:type="dxa"/>
            <w:vAlign w:val="bottom"/>
            <w:tcBorders>
              <w:bottom w:val="single" w:sz="8" w:color="E6E6E6"/>
              <w:right w:val="single" w:sz="8" w:color="auto"/>
            </w:tcBorders>
            <w:gridSpan w:val="2"/>
          </w:tcPr>
          <w:p>
            <w:pPr>
              <w:ind w:left="320"/>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8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66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268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Inventory subtotal</w:t>
            </w:r>
          </w:p>
        </w:tc>
        <w:tc>
          <w:tcPr>
            <w:tcW w:w="76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729</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66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right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783</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66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26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b w:val="1"/>
                <w:bCs w:val="1"/>
                <w:color w:val="auto"/>
              </w:rPr>
              <w:t>Linefill</w:t>
            </w:r>
          </w:p>
        </w:tc>
        <w:tc>
          <w:tcPr>
            <w:tcW w:w="7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Crude oil</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15,480</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barrels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58.53</w:t>
            </w:r>
          </w:p>
        </w:tc>
        <w:tc>
          <w:tcPr>
            <w:tcW w:w="100" w:type="dxa"/>
            <w:vAlign w:val="bottom"/>
            <w:tcBorders>
              <w:right w:val="single" w:sz="8" w:color="auto"/>
            </w:tcBorders>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15,199</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barrels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56.71</w:t>
            </w:r>
          </w:p>
        </w:tc>
        <w:tc>
          <w:tcPr>
            <w:tcW w:w="0" w:type="dxa"/>
            <w:vAlign w:val="bottom"/>
          </w:tcPr>
          <w:p>
            <w:pPr>
              <w:spacing w:after="0"/>
              <w:rPr>
                <w:sz w:val="1"/>
                <w:szCs w:val="1"/>
                <w:color w:val="auto"/>
              </w:rPr>
            </w:pPr>
          </w:p>
        </w:tc>
      </w:tr>
      <w:tr>
        <w:trPr>
          <w:trHeight w:val="293"/>
        </w:trPr>
        <w:tc>
          <w:tcPr>
            <w:tcW w:w="60" w:type="dxa"/>
            <w:vAlign w:val="bottom"/>
          </w:tcPr>
          <w:p>
            <w:pPr>
              <w:spacing w:after="0"/>
              <w:rPr>
                <w:sz w:val="24"/>
                <w:szCs w:val="24"/>
                <w:color w:val="auto"/>
              </w:rPr>
            </w:pPr>
          </w:p>
        </w:tc>
        <w:tc>
          <w:tcPr>
            <w:tcW w:w="26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NGL</w:t>
            </w:r>
          </w:p>
        </w:tc>
        <w:tc>
          <w:tcPr>
            <w:tcW w:w="840" w:type="dxa"/>
            <w:vAlign w:val="bottom"/>
            <w:tcBorders>
              <w:bottom w:val="single" w:sz="8" w:color="E6E6E6"/>
            </w:tcBorders>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1,876</w:t>
            </w:r>
          </w:p>
        </w:tc>
        <w:tc>
          <w:tcPr>
            <w:tcW w:w="8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barrels</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60" w:type="dxa"/>
            <w:vAlign w:val="bottom"/>
            <w:tcBorders>
              <w:bottom w:val="single" w:sz="8" w:color="E6E6E6"/>
            </w:tcBorders>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29.32</w:t>
            </w:r>
          </w:p>
        </w:tc>
        <w:tc>
          <w:tcPr>
            <w:tcW w:w="100" w:type="dxa"/>
            <w:vAlign w:val="bottom"/>
            <w:tcBorders>
              <w:bottom w:val="single" w:sz="8" w:color="E6E6E6"/>
              <w:right w:val="single" w:sz="8" w:color="auto"/>
            </w:tcBorders>
            <w:shd w:val="clear" w:color="auto" w:fill="E6E6E6"/>
          </w:tcPr>
          <w:p>
            <w:pPr>
              <w:spacing w:after="0"/>
              <w:rPr>
                <w:sz w:val="24"/>
                <w:szCs w:val="24"/>
                <w:color w:val="auto"/>
              </w:rPr>
            </w:pPr>
          </w:p>
        </w:tc>
        <w:tc>
          <w:tcPr>
            <w:tcW w:w="900" w:type="dxa"/>
            <w:vAlign w:val="bottom"/>
            <w:tcBorders>
              <w:bottom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1,633</w:t>
            </w:r>
          </w:p>
        </w:tc>
        <w:tc>
          <w:tcPr>
            <w:tcW w:w="8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barrels</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60" w:type="dxa"/>
            <w:vAlign w:val="bottom"/>
            <w:tcBorders>
              <w:bottom w:val="single" w:sz="8" w:color="E6E6E6"/>
            </w:tcBorders>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27.56</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268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Linefill subtotal</w:t>
            </w:r>
          </w:p>
        </w:tc>
        <w:tc>
          <w:tcPr>
            <w:tcW w:w="7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961</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66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right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907</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66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68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6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660" w:type="dxa"/>
            <w:vAlign w:val="bottom"/>
            <w:shd w:val="clear" w:color="auto" w:fill="E6E6E6"/>
          </w:tcPr>
          <w:p>
            <w:pPr>
              <w:spacing w:after="0"/>
              <w:rPr>
                <w:sz w:val="21"/>
                <w:szCs w:val="21"/>
                <w:color w:val="auto"/>
              </w:rPr>
            </w:pPr>
          </w:p>
        </w:tc>
        <w:tc>
          <w:tcPr>
            <w:tcW w:w="100" w:type="dxa"/>
            <w:vAlign w:val="bottom"/>
            <w:tcBorders>
              <w:right w:val="single" w:sz="8" w:color="auto"/>
            </w:tcBorders>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6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6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6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Long-term inventory</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 w:type="dxa"/>
            <w:vAlign w:val="bottom"/>
          </w:tcPr>
          <w:p>
            <w:pPr>
              <w:spacing w:after="0"/>
              <w:rPr>
                <w:sz w:val="24"/>
                <w:szCs w:val="24"/>
                <w:color w:val="auto"/>
              </w:rPr>
            </w:pPr>
          </w:p>
        </w:tc>
        <w:tc>
          <w:tcPr>
            <w:tcW w:w="26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Crude oil</w:t>
            </w:r>
          </w:p>
        </w:tc>
        <w:tc>
          <w:tcPr>
            <w:tcW w:w="84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3,102</w:t>
            </w:r>
          </w:p>
        </w:tc>
        <w:tc>
          <w:tcPr>
            <w:tcW w:w="80" w:type="dxa"/>
            <w:vAlign w:val="bottom"/>
            <w:shd w:val="clear" w:color="auto" w:fill="E6E6E6"/>
          </w:tcPr>
          <w:p>
            <w:pPr>
              <w:spacing w:after="0"/>
              <w:rPr>
                <w:sz w:val="24"/>
                <w:szCs w:val="24"/>
                <w:color w:val="auto"/>
              </w:rPr>
            </w:pPr>
          </w:p>
        </w:tc>
        <w:tc>
          <w:tcPr>
            <w:tcW w:w="8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barrels</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79.30</w:t>
            </w:r>
          </w:p>
        </w:tc>
        <w:tc>
          <w:tcPr>
            <w:tcW w:w="100" w:type="dxa"/>
            <w:vAlign w:val="bottom"/>
            <w:tcBorders>
              <w:right w:val="single" w:sz="8" w:color="auto"/>
            </w:tcBorders>
            <w:shd w:val="clear" w:color="auto" w:fill="E6E6E6"/>
          </w:tcPr>
          <w:p>
            <w:pPr>
              <w:spacing w:after="0"/>
              <w:rPr>
                <w:sz w:val="24"/>
                <w:szCs w:val="24"/>
                <w:color w:val="auto"/>
              </w:rPr>
            </w:pPr>
          </w:p>
        </w:tc>
        <w:tc>
          <w:tcPr>
            <w:tcW w:w="9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2,973</w:t>
            </w:r>
          </w:p>
        </w:tc>
        <w:tc>
          <w:tcPr>
            <w:tcW w:w="80" w:type="dxa"/>
            <w:vAlign w:val="bottom"/>
            <w:shd w:val="clear" w:color="auto" w:fill="E6E6E6"/>
          </w:tcPr>
          <w:p>
            <w:pPr>
              <w:spacing w:after="0"/>
              <w:rPr>
                <w:sz w:val="24"/>
                <w:szCs w:val="24"/>
                <w:color w:val="auto"/>
              </w:rPr>
            </w:pPr>
          </w:p>
        </w:tc>
        <w:tc>
          <w:tcPr>
            <w:tcW w:w="8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barrels</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70.30</w:t>
            </w: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268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NGL</w:t>
            </w:r>
          </w:p>
        </w:tc>
        <w:tc>
          <w:tcPr>
            <w:tcW w:w="840" w:type="dxa"/>
            <w:vAlign w:val="bottom"/>
            <w:tcBorders>
              <w:bottom w:val="single" w:sz="8" w:color="E6E6E6"/>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1,066</w:t>
            </w:r>
          </w:p>
        </w:tc>
        <w:tc>
          <w:tcPr>
            <w:tcW w:w="8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barrels</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260" w:type="dxa"/>
            <w:vAlign w:val="bottom"/>
            <w:tcBorders>
              <w:bottom w:val="single" w:sz="8" w:color="E6E6E6"/>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35.65</w:t>
            </w:r>
          </w:p>
        </w:tc>
        <w:tc>
          <w:tcPr>
            <w:tcW w:w="100" w:type="dxa"/>
            <w:vAlign w:val="bottom"/>
            <w:tcBorders>
              <w:bottom w:val="single" w:sz="8" w:color="E6E6E6"/>
              <w:right w:val="single" w:sz="8" w:color="auto"/>
            </w:tcBorders>
          </w:tcPr>
          <w:p>
            <w:pPr>
              <w:spacing w:after="0"/>
              <w:rPr>
                <w:sz w:val="24"/>
                <w:szCs w:val="24"/>
                <w:color w:val="auto"/>
              </w:rPr>
            </w:pPr>
          </w:p>
        </w:tc>
        <w:tc>
          <w:tcPr>
            <w:tcW w:w="900" w:type="dxa"/>
            <w:vAlign w:val="bottom"/>
            <w:tcBorders>
              <w:bottom w:val="single" w:sz="8" w:color="E6E6E6"/>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1,135</w:t>
            </w:r>
          </w:p>
        </w:tc>
        <w:tc>
          <w:tcPr>
            <w:tcW w:w="8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barrels</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60" w:type="dxa"/>
            <w:vAlign w:val="bottom"/>
            <w:tcBorders>
              <w:bottom w:val="single" w:sz="8" w:color="E6E6E6"/>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38.77</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268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Long-term inventory subtotal</w:t>
            </w:r>
          </w:p>
        </w:tc>
        <w:tc>
          <w:tcPr>
            <w:tcW w:w="76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66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right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66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0" w:type="dxa"/>
            <w:vAlign w:val="bottom"/>
          </w:tcPr>
          <w:p>
            <w:pPr>
              <w:spacing w:after="0"/>
              <w:rPr>
                <w:sz w:val="24"/>
                <w:szCs w:val="24"/>
                <w:color w:val="auto"/>
              </w:rPr>
            </w:pPr>
          </w:p>
        </w:tc>
        <w:tc>
          <w:tcPr>
            <w:tcW w:w="26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7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1,974</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100" w:type="dxa"/>
            <w:vAlign w:val="bottom"/>
            <w:tcBorders>
              <w:right w:val="single" w:sz="8" w:color="auto"/>
            </w:tcBorders>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2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1,943</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 w:type="dxa"/>
            <w:vAlign w:val="bottom"/>
            <w:tcBorders>
              <w:bottom w:val="single" w:sz="8" w:color="auto"/>
            </w:tcBorders>
          </w:tcPr>
          <w:p>
            <w:pPr>
              <w:spacing w:after="0"/>
              <w:rPr>
                <w:sz w:val="11"/>
                <w:szCs w:val="11"/>
                <w:color w:val="auto"/>
              </w:rPr>
            </w:pPr>
          </w:p>
        </w:tc>
        <w:tc>
          <w:tcPr>
            <w:tcW w:w="2680" w:type="dxa"/>
            <w:vAlign w:val="bottom"/>
            <w:tcBorders>
              <w:top w:val="single" w:sz="8" w:color="E6E6E6"/>
              <w:bottom w:val="single" w:sz="8" w:color="auto"/>
            </w:tcBorders>
          </w:tcPr>
          <w:p>
            <w:pPr>
              <w:spacing w:after="0"/>
              <w:rPr>
                <w:sz w:val="11"/>
                <w:szCs w:val="11"/>
                <w:color w:val="auto"/>
              </w:rPr>
            </w:pPr>
          </w:p>
        </w:tc>
        <w:tc>
          <w:tcPr>
            <w:tcW w:w="760" w:type="dxa"/>
            <w:vAlign w:val="bottom"/>
            <w:tcBorders>
              <w:top w:val="single" w:sz="8" w:color="E6E6E6"/>
              <w:bottom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840" w:type="dxa"/>
            <w:vAlign w:val="bottom"/>
            <w:tcBorders>
              <w:top w:val="single" w:sz="8" w:color="E6E6E6"/>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180" w:type="dxa"/>
            <w:vAlign w:val="bottom"/>
            <w:tcBorders>
              <w:top w:val="single" w:sz="8" w:color="E6E6E6"/>
            </w:tcBorders>
          </w:tcPr>
          <w:p>
            <w:pPr>
              <w:spacing w:after="0"/>
              <w:rPr>
                <w:sz w:val="11"/>
                <w:szCs w:val="11"/>
                <w:color w:val="auto"/>
              </w:rPr>
            </w:pPr>
          </w:p>
        </w:tc>
        <w:tc>
          <w:tcPr>
            <w:tcW w:w="660" w:type="dxa"/>
            <w:vAlign w:val="bottom"/>
            <w:tcBorders>
              <w:top w:val="single" w:sz="8" w:color="E6E6E6"/>
            </w:tcBorders>
          </w:tcPr>
          <w:p>
            <w:pPr>
              <w:spacing w:after="0"/>
              <w:rPr>
                <w:sz w:val="11"/>
                <w:szCs w:val="11"/>
                <w:color w:val="auto"/>
              </w:rPr>
            </w:pPr>
          </w:p>
        </w:tc>
        <w:tc>
          <w:tcPr>
            <w:tcW w:w="100" w:type="dxa"/>
            <w:vAlign w:val="bottom"/>
            <w:tcBorders>
              <w:top w:val="single" w:sz="8" w:color="E6E6E6"/>
            </w:tcBorders>
          </w:tcPr>
          <w:p>
            <w:pPr>
              <w:spacing w:after="0"/>
              <w:rPr>
                <w:sz w:val="11"/>
                <w:szCs w:val="11"/>
                <w:color w:val="auto"/>
              </w:rPr>
            </w:pPr>
          </w:p>
        </w:tc>
        <w:tc>
          <w:tcPr>
            <w:tcW w:w="60" w:type="dxa"/>
            <w:vAlign w:val="bottom"/>
            <w:tcBorders>
              <w:top w:val="single" w:sz="8" w:color="E6E6E6"/>
            </w:tcBorders>
          </w:tcPr>
          <w:p>
            <w:pPr>
              <w:spacing w:after="0"/>
              <w:rPr>
                <w:sz w:val="11"/>
                <w:szCs w:val="11"/>
                <w:color w:val="auto"/>
              </w:rPr>
            </w:pPr>
          </w:p>
        </w:tc>
        <w:tc>
          <w:tcPr>
            <w:tcW w:w="840" w:type="dxa"/>
            <w:vAlign w:val="bottom"/>
            <w:tcBorders>
              <w:top w:val="single" w:sz="8" w:color="E6E6E6"/>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840" w:type="dxa"/>
            <w:vAlign w:val="bottom"/>
            <w:tcBorders>
              <w:top w:val="single" w:sz="8" w:color="E6E6E6"/>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180" w:type="dxa"/>
            <w:vAlign w:val="bottom"/>
            <w:tcBorders>
              <w:top w:val="single" w:sz="8" w:color="E6E6E6"/>
            </w:tcBorders>
          </w:tcPr>
          <w:p>
            <w:pPr>
              <w:spacing w:after="0"/>
              <w:rPr>
                <w:sz w:val="11"/>
                <w:szCs w:val="11"/>
                <w:color w:val="auto"/>
              </w:rPr>
            </w:pPr>
          </w:p>
        </w:tc>
        <w:tc>
          <w:tcPr>
            <w:tcW w:w="660" w:type="dxa"/>
            <w:vAlign w:val="bottom"/>
            <w:tcBorders>
              <w:top w:val="single" w:sz="8" w:color="E6E6E6"/>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-1599565</wp:posOffset>
            </wp:positionV>
            <wp:extent cx="25400" cy="14966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72">
                      <a:extLst>
                        <a:ext uri="{28A0092B-C50C-407E-A947-70E740481C1C}"/>
                      </a:extLst>
                    </a:blip>
                    <a:srcRect/>
                    <a:stretch>
                      <a:fillRect/>
                    </a:stretch>
                  </pic:blipFill>
                  <pic:spPr bwMode="auto">
                    <a:xfrm>
                      <a:off x="0" y="0"/>
                      <a:ext cx="25400" cy="1496695"/>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-3252470</wp:posOffset>
            </wp:positionV>
            <wp:extent cx="4727575" cy="501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73">
                      <a:extLst>
                        <a:ext uri="{28A0092B-C50C-407E-A947-70E740481C1C}"/>
                      </a:extLst>
                    </a:blip>
                    <a:srcRect/>
                    <a:stretch>
                      <a:fillRect/>
                    </a:stretch>
                  </pic:blipFill>
                  <pic:spPr bwMode="auto">
                    <a:xfrm>
                      <a:off x="0" y="0"/>
                      <a:ext cx="4727575" cy="5016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-2507615</wp:posOffset>
            </wp:positionV>
            <wp:extent cx="588010" cy="501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74">
                      <a:extLst>
                        <a:ext uri="{28A0092B-C50C-407E-A947-70E740481C1C}"/>
                      </a:extLst>
                    </a:blip>
                    <a:srcRect/>
                    <a:stretch>
                      <a:fillRect/>
                    </a:stretch>
                  </pic:blipFill>
                  <pic:spPr bwMode="auto">
                    <a:xfrm>
                      <a:off x="0" y="0"/>
                      <a:ext cx="588010" cy="5016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-2507615</wp:posOffset>
            </wp:positionV>
            <wp:extent cx="588010" cy="501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75">
                      <a:extLst>
                        <a:ext uri="{28A0092B-C50C-407E-A947-70E740481C1C}"/>
                      </a:extLst>
                    </a:blip>
                    <a:srcRect/>
                    <a:stretch>
                      <a:fillRect/>
                    </a:stretch>
                  </pic:blipFill>
                  <pic:spPr bwMode="auto">
                    <a:xfrm>
                      <a:off x="0" y="0"/>
                      <a:ext cx="588010" cy="5016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-2319020</wp:posOffset>
            </wp:positionV>
            <wp:extent cx="588010" cy="501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76">
                      <a:extLst>
                        <a:ext uri="{28A0092B-C50C-407E-A947-70E740481C1C}"/>
                      </a:extLst>
                    </a:blip>
                    <a:srcRect/>
                    <a:stretch>
                      <a:fillRect/>
                    </a:stretch>
                  </pic:blipFill>
                  <pic:spPr bwMode="auto">
                    <a:xfrm>
                      <a:off x="0" y="0"/>
                      <a:ext cx="588010" cy="5016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-2319020</wp:posOffset>
            </wp:positionV>
            <wp:extent cx="588010" cy="501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77">
                      <a:extLst>
                        <a:ext uri="{28A0092B-C50C-407E-A947-70E740481C1C}"/>
                      </a:extLst>
                    </a:blip>
                    <a:srcRect/>
                    <a:stretch>
                      <a:fillRect/>
                    </a:stretch>
                  </pic:blipFill>
                  <pic:spPr bwMode="auto">
                    <a:xfrm>
                      <a:off x="0" y="0"/>
                      <a:ext cx="588010" cy="5016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-1611630</wp:posOffset>
            </wp:positionV>
            <wp:extent cx="588010" cy="501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78">
                      <a:extLst>
                        <a:ext uri="{28A0092B-C50C-407E-A947-70E740481C1C}"/>
                      </a:extLst>
                    </a:blip>
                    <a:srcRect/>
                    <a:stretch>
                      <a:fillRect/>
                    </a:stretch>
                  </pic:blipFill>
                  <pic:spPr bwMode="auto">
                    <a:xfrm>
                      <a:off x="0" y="0"/>
                      <a:ext cx="588010" cy="5016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-1611630</wp:posOffset>
            </wp:positionV>
            <wp:extent cx="588010" cy="501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79">
                      <a:extLst>
                        <a:ext uri="{28A0092B-C50C-407E-A947-70E740481C1C}"/>
                      </a:extLst>
                    </a:blip>
                    <a:srcRect/>
                    <a:stretch>
                      <a:fillRect/>
                    </a:stretch>
                  </pic:blipFill>
                  <pic:spPr bwMode="auto">
                    <a:xfrm>
                      <a:off x="0" y="0"/>
                      <a:ext cx="588010" cy="5016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-1423035</wp:posOffset>
            </wp:positionV>
            <wp:extent cx="588010" cy="501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80">
                      <a:extLst>
                        <a:ext uri="{28A0092B-C50C-407E-A947-70E740481C1C}"/>
                      </a:extLst>
                    </a:blip>
                    <a:srcRect/>
                    <a:stretch>
                      <a:fillRect/>
                    </a:stretch>
                  </pic:blipFill>
                  <pic:spPr bwMode="auto">
                    <a:xfrm>
                      <a:off x="0" y="0"/>
                      <a:ext cx="588010" cy="5016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-1423035</wp:posOffset>
            </wp:positionV>
            <wp:extent cx="588010" cy="501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81">
                      <a:extLst>
                        <a:ext uri="{28A0092B-C50C-407E-A947-70E740481C1C}"/>
                      </a:extLst>
                    </a:blip>
                    <a:srcRect/>
                    <a:stretch>
                      <a:fillRect/>
                    </a:stretch>
                  </pic:blipFill>
                  <pic:spPr bwMode="auto">
                    <a:xfrm>
                      <a:off x="0" y="0"/>
                      <a:ext cx="588010" cy="5016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-706755</wp:posOffset>
            </wp:positionV>
            <wp:extent cx="588010" cy="501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82">
                      <a:extLst>
                        <a:ext uri="{28A0092B-C50C-407E-A947-70E740481C1C}"/>
                      </a:extLst>
                    </a:blip>
                    <a:srcRect/>
                    <a:stretch>
                      <a:fillRect/>
                    </a:stretch>
                  </pic:blipFill>
                  <pic:spPr bwMode="auto">
                    <a:xfrm>
                      <a:off x="0" y="0"/>
                      <a:ext cx="588010" cy="5016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-706755</wp:posOffset>
            </wp:positionV>
            <wp:extent cx="588010" cy="501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83">
                      <a:extLst>
                        <a:ext uri="{28A0092B-C50C-407E-A947-70E740481C1C}"/>
                      </a:extLst>
                    </a:blip>
                    <a:srcRect/>
                    <a:stretch>
                      <a:fillRect/>
                    </a:stretch>
                  </pic:blipFill>
                  <pic:spPr bwMode="auto">
                    <a:xfrm>
                      <a:off x="0" y="0"/>
                      <a:ext cx="588010" cy="5016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-518160</wp:posOffset>
            </wp:positionV>
            <wp:extent cx="588010" cy="501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84">
                      <a:extLst>
                        <a:ext uri="{28A0092B-C50C-407E-A947-70E740481C1C}"/>
                      </a:extLst>
                    </a:blip>
                    <a:srcRect/>
                    <a:stretch>
                      <a:fillRect/>
                    </a:stretch>
                  </pic:blipFill>
                  <pic:spPr bwMode="auto">
                    <a:xfrm>
                      <a:off x="0" y="0"/>
                      <a:ext cx="588010" cy="5016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-518160</wp:posOffset>
            </wp:positionV>
            <wp:extent cx="588010" cy="501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85">
                      <a:extLst>
                        <a:ext uri="{28A0092B-C50C-407E-A947-70E740481C1C}"/>
                      </a:extLst>
                    </a:blip>
                    <a:srcRect/>
                    <a:stretch>
                      <a:fillRect/>
                    </a:stretch>
                  </pic:blipFill>
                  <pic:spPr bwMode="auto">
                    <a:xfrm>
                      <a:off x="0" y="0"/>
                      <a:ext cx="588010" cy="5016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-153670</wp:posOffset>
            </wp:positionV>
            <wp:extent cx="588010" cy="755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86">
                      <a:extLst>
                        <a:ext uri="{28A0092B-C50C-407E-A947-70E740481C1C}"/>
                      </a:extLst>
                    </a:blip>
                    <a:srcRect/>
                    <a:stretch>
                      <a:fillRect/>
                    </a:stretch>
                  </pic:blipFill>
                  <pic:spPr bwMode="auto">
                    <a:xfrm>
                      <a:off x="0" y="0"/>
                      <a:ext cx="588010" cy="7556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-153670</wp:posOffset>
            </wp:positionV>
            <wp:extent cx="588010" cy="755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87">
                      <a:extLst>
                        <a:ext uri="{28A0092B-C50C-407E-A947-70E740481C1C}"/>
                      </a:extLst>
                    </a:blip>
                    <a:srcRect/>
                    <a:stretch>
                      <a:fillRect/>
                    </a:stretch>
                  </pic:blipFill>
                  <pic:spPr bwMode="auto">
                    <a:xfrm>
                      <a:off x="0" y="0"/>
                      <a:ext cx="588010" cy="75565"/>
                    </a:xfrm>
                    <a:prstGeom prst="rect">
                      <a:avLst/>
                    </a:prstGeom>
                    <a:noFill/>
                  </pic:spPr>
                </pic:pic>
              </a:graphicData>
            </a:graphic>
          </wp:anchor>
        </w:drawing>
      </w:r>
    </w:p>
    <w:p>
      <w:pPr>
        <w:spacing w:after="0" w:line="126" w:lineRule="exact"/>
        <w:rPr>
          <w:sz w:val="20"/>
          <w:szCs w:val="20"/>
          <w:color w:val="auto"/>
        </w:rPr>
      </w:pPr>
    </w:p>
    <w:p>
      <w:pPr>
        <w:ind w:left="720" w:right="240" w:hanging="719"/>
        <w:spacing w:after="0" w:line="225" w:lineRule="auto"/>
        <w:tabs>
          <w:tab w:leader="none" w:pos="720" w:val="left"/>
        </w:tabs>
        <w:numPr>
          <w:ilvl w:val="0"/>
          <w:numId w:val="8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Price per unit of measure is comprised of a weighted average associated with various grades, qualities and locations. Accordingly, these prices may not coincide with any published benchmarks for such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6—Property and Equipment</w:t>
      </w:r>
    </w:p>
    <w:p>
      <w:pPr>
        <w:spacing w:after="0" w:line="252" w:lineRule="exact"/>
        <w:rPr>
          <w:sz w:val="20"/>
          <w:szCs w:val="20"/>
          <w:color w:val="auto"/>
        </w:rPr>
      </w:pPr>
    </w:p>
    <w:p>
      <w:pPr>
        <w:ind w:right="120" w:firstLine="713"/>
        <w:spacing w:after="0" w:line="254" w:lineRule="auto"/>
        <w:rPr>
          <w:sz w:val="20"/>
          <w:szCs w:val="20"/>
          <w:color w:val="auto"/>
        </w:rPr>
      </w:pPr>
      <w:r>
        <w:rPr>
          <w:rFonts w:ascii="Times New Roman" w:cs="Times New Roman" w:eastAsia="Times New Roman" w:hAnsi="Times New Roman"/>
          <w:sz w:val="20"/>
          <w:szCs w:val="20"/>
          <w:color w:val="auto"/>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and equipment, net is stated at cost and consisted of the following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Estimated Useful</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vMerge w:val="restart"/>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vMerge w:val="restart"/>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line="20" w:lineRule="exact"/>
              <w:rPr>
                <w:sz w:val="1"/>
                <w:szCs w:val="1"/>
                <w:color w:val="auto"/>
              </w:rPr>
            </w:pPr>
          </w:p>
        </w:tc>
      </w:tr>
      <w:tr>
        <w:trPr>
          <w:trHeight w:val="212"/>
        </w:trPr>
        <w:tc>
          <w:tcPr>
            <w:tcW w:w="3500" w:type="dxa"/>
            <w:vAlign w:val="bottom"/>
            <w:tcBorders>
              <w:bottom w:val="single" w:sz="8" w:color="E6E6E6"/>
            </w:tcBorders>
          </w:tcPr>
          <w:p>
            <w:pPr>
              <w:spacing w:after="0"/>
              <w:rPr>
                <w:sz w:val="18"/>
                <w:szCs w:val="18"/>
                <w:color w:val="auto"/>
              </w:rPr>
            </w:pPr>
          </w:p>
        </w:tc>
        <w:tc>
          <w:tcPr>
            <w:tcW w:w="2500" w:type="dxa"/>
            <w:vAlign w:val="bottom"/>
            <w:tcBorders>
              <w:bottom w:val="single" w:sz="8" w:color="E6E6E6"/>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Lives (Years)</w:t>
            </w:r>
          </w:p>
        </w:tc>
        <w:tc>
          <w:tcPr>
            <w:tcW w:w="8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60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Pipelines and related facilities </w:t>
            </w:r>
            <w:r>
              <w:rPr>
                <w:rFonts w:ascii="Times New Roman" w:cs="Times New Roman" w:eastAsia="Times New Roman" w:hAnsi="Times New Roman"/>
                <w:sz w:val="25"/>
                <w:szCs w:val="25"/>
                <w:color w:val="auto"/>
                <w:vertAlign w:val="superscript"/>
              </w:rPr>
              <w:t>(1)</w:t>
            </w:r>
          </w:p>
        </w:tc>
        <w:tc>
          <w:tcPr>
            <w:tcW w:w="14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10 - 50</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13,643</w:t>
            </w:r>
          </w:p>
        </w:tc>
        <w:tc>
          <w:tcPr>
            <w:tcW w:w="54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12,765</w:t>
            </w:r>
          </w:p>
        </w:tc>
        <w:tc>
          <w:tcPr>
            <w:tcW w:w="0" w:type="dxa"/>
            <w:vAlign w:val="bottom"/>
          </w:tcPr>
          <w:p>
            <w:pPr>
              <w:spacing w:after="0"/>
              <w:rPr>
                <w:sz w:val="1"/>
                <w:szCs w:val="1"/>
                <w:color w:val="auto"/>
              </w:rPr>
            </w:pPr>
          </w:p>
        </w:tc>
      </w:tr>
      <w:tr>
        <w:trPr>
          <w:trHeight w:val="291"/>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Storage, terminal and rail facilities</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10 - 50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w:t>
            </w:r>
          </w:p>
        </w:tc>
        <w:tc>
          <w:tcPr>
            <w:tcW w:w="0" w:type="dxa"/>
            <w:vAlign w:val="bottom"/>
          </w:tcPr>
          <w:p>
            <w:pPr>
              <w:spacing w:after="0"/>
              <w:rPr>
                <w:sz w:val="1"/>
                <w:szCs w:val="1"/>
                <w:color w:val="auto"/>
              </w:rPr>
            </w:pPr>
          </w:p>
        </w:tc>
      </w:tr>
      <w:tr>
        <w:trPr>
          <w:trHeight w:val="303"/>
        </w:trPr>
        <w:tc>
          <w:tcPr>
            <w:tcW w:w="60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Trucking equipment and other</w:t>
            </w:r>
          </w:p>
        </w:tc>
        <w:tc>
          <w:tcPr>
            <w:tcW w:w="14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2 - 15</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502</w:t>
            </w:r>
          </w:p>
        </w:tc>
        <w:tc>
          <w:tcPr>
            <w:tcW w:w="0" w:type="dxa"/>
            <w:vAlign w:val="bottom"/>
          </w:tcPr>
          <w:p>
            <w:pPr>
              <w:spacing w:after="0"/>
              <w:rPr>
                <w:sz w:val="1"/>
                <w:szCs w:val="1"/>
                <w:color w:val="auto"/>
              </w:rPr>
            </w:pPr>
          </w:p>
        </w:tc>
      </w:tr>
      <w:tr>
        <w:trPr>
          <w:trHeight w:val="291"/>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Construction in progress</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8"/>
              </w:rPr>
              <w:t>N/A</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0" w:type="dxa"/>
            <w:vAlign w:val="bottom"/>
          </w:tcPr>
          <w:p>
            <w:pPr>
              <w:spacing w:after="0"/>
              <w:rPr>
                <w:sz w:val="1"/>
                <w:szCs w:val="1"/>
                <w:color w:val="auto"/>
              </w:rPr>
            </w:pPr>
          </w:p>
        </w:tc>
      </w:tr>
      <w:tr>
        <w:trPr>
          <w:trHeight w:val="303"/>
        </w:trPr>
        <w:tc>
          <w:tcPr>
            <w:tcW w:w="60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Office property and equipment</w:t>
            </w:r>
          </w:p>
        </w:tc>
        <w:tc>
          <w:tcPr>
            <w:tcW w:w="14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2 - 50</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0" w:type="dxa"/>
            <w:vAlign w:val="bottom"/>
          </w:tcPr>
          <w:p>
            <w:pPr>
              <w:spacing w:after="0"/>
              <w:rPr>
                <w:sz w:val="1"/>
                <w:szCs w:val="1"/>
                <w:color w:val="auto"/>
              </w:rPr>
            </w:pPr>
          </w:p>
        </w:tc>
      </w:tr>
      <w:tr>
        <w:trPr>
          <w:trHeight w:val="287"/>
        </w:trPr>
        <w:tc>
          <w:tcPr>
            <w:tcW w:w="6000" w:type="dxa"/>
            <w:vAlign w:val="bottom"/>
            <w:tcBorders>
              <w:bottom w:val="single" w:sz="8" w:color="E6E6E6"/>
            </w:tcBorders>
            <w:gridSpan w:val="2"/>
          </w:tcPr>
          <w:p>
            <w:pPr>
              <w:ind w:left="60"/>
              <w:spacing w:after="0"/>
              <w:rPr>
                <w:sz w:val="20"/>
                <w:szCs w:val="20"/>
                <w:color w:val="auto"/>
              </w:rPr>
            </w:pPr>
            <w:r>
              <w:rPr>
                <w:rFonts w:ascii="Times New Roman" w:cs="Times New Roman" w:eastAsia="Times New Roman" w:hAnsi="Times New Roman"/>
                <w:sz w:val="20"/>
                <w:szCs w:val="20"/>
                <w:color w:val="auto"/>
              </w:rPr>
              <w:t>Land and other</w:t>
            </w:r>
          </w:p>
        </w:tc>
        <w:tc>
          <w:tcPr>
            <w:tcW w:w="1500" w:type="dxa"/>
            <w:vAlign w:val="bottom"/>
            <w:tcBorders>
              <w:bottom w:val="single" w:sz="8" w:color="E6E6E6"/>
            </w:tcBorders>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N/A</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8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0" w:type="dxa"/>
            <w:vAlign w:val="bottom"/>
          </w:tcPr>
          <w:p>
            <w:pPr>
              <w:spacing w:after="0"/>
              <w:rPr>
                <w:sz w:val="1"/>
                <w:szCs w:val="1"/>
                <w:color w:val="auto"/>
              </w:rPr>
            </w:pPr>
          </w:p>
        </w:tc>
      </w:tr>
      <w:tr>
        <w:trPr>
          <w:trHeight w:val="287"/>
        </w:trPr>
        <w:tc>
          <w:tcPr>
            <w:tcW w:w="600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Property and equipment, gross</w:t>
            </w:r>
          </w:p>
        </w:tc>
        <w:tc>
          <w:tcPr>
            <w:tcW w:w="14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20,020</w:t>
            </w: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19,257</w:t>
            </w:r>
          </w:p>
        </w:tc>
        <w:tc>
          <w:tcPr>
            <w:tcW w:w="0" w:type="dxa"/>
            <w:vAlign w:val="bottom"/>
          </w:tcPr>
          <w:p>
            <w:pPr>
              <w:spacing w:after="0"/>
              <w:rPr>
                <w:sz w:val="1"/>
                <w:szCs w:val="1"/>
                <w:color w:val="auto"/>
              </w:rPr>
            </w:pPr>
          </w:p>
        </w:tc>
      </w:tr>
      <w:tr>
        <w:trPr>
          <w:trHeight w:val="287"/>
        </w:trPr>
        <w:tc>
          <w:tcPr>
            <w:tcW w:w="6000" w:type="dxa"/>
            <w:vAlign w:val="bottom"/>
            <w:tcBorders>
              <w:bottom w:val="single" w:sz="8" w:color="E6E6E6"/>
            </w:tcBorders>
            <w:gridSpan w:val="2"/>
          </w:tcPr>
          <w:p>
            <w:pPr>
              <w:ind w:left="60"/>
              <w:spacing w:after="0"/>
              <w:rPr>
                <w:sz w:val="20"/>
                <w:szCs w:val="20"/>
                <w:color w:val="auto"/>
              </w:rPr>
            </w:pPr>
            <w:r>
              <w:rPr>
                <w:rFonts w:ascii="Times New Roman" w:cs="Times New Roman" w:eastAsia="Times New Roman" w:hAnsi="Times New Roman"/>
                <w:sz w:val="20"/>
                <w:szCs w:val="20"/>
                <w:color w:val="auto"/>
              </w:rPr>
              <w:t>Accumulated depreciation</w:t>
            </w:r>
          </w:p>
        </w:tc>
        <w:tc>
          <w:tcPr>
            <w:tcW w:w="14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(4,770)</w:t>
            </w:r>
          </w:p>
        </w:tc>
        <w:tc>
          <w:tcPr>
            <w:tcW w:w="8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(4,354)</w:t>
            </w:r>
          </w:p>
        </w:tc>
        <w:tc>
          <w:tcPr>
            <w:tcW w:w="0" w:type="dxa"/>
            <w:vAlign w:val="bottom"/>
          </w:tcPr>
          <w:p>
            <w:pPr>
              <w:spacing w:after="0"/>
              <w:rPr>
                <w:sz w:val="1"/>
                <w:szCs w:val="1"/>
                <w:color w:val="auto"/>
              </w:rPr>
            </w:pPr>
          </w:p>
        </w:tc>
      </w:tr>
      <w:tr>
        <w:trPr>
          <w:trHeight w:val="297"/>
        </w:trPr>
        <w:tc>
          <w:tcPr>
            <w:tcW w:w="600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4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15,250</w:t>
            </w:r>
          </w:p>
        </w:tc>
        <w:tc>
          <w:tcPr>
            <w:tcW w:w="54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14,903</w:t>
            </w:r>
          </w:p>
        </w:tc>
        <w:tc>
          <w:tcPr>
            <w:tcW w:w="0" w:type="dxa"/>
            <w:vAlign w:val="bottom"/>
          </w:tcPr>
          <w:p>
            <w:pPr>
              <w:spacing w:after="0"/>
              <w:rPr>
                <w:sz w:val="1"/>
                <w:szCs w:val="1"/>
                <w:color w:val="auto"/>
              </w:rPr>
            </w:pPr>
          </w:p>
        </w:tc>
      </w:tr>
      <w:tr>
        <w:trPr>
          <w:trHeight w:val="134"/>
        </w:trPr>
        <w:tc>
          <w:tcPr>
            <w:tcW w:w="3500" w:type="dxa"/>
            <w:vAlign w:val="bottom"/>
            <w:tcBorders>
              <w:top w:val="single" w:sz="8" w:color="E6E6E6"/>
              <w:bottom w:val="single" w:sz="8" w:color="auto"/>
            </w:tcBorders>
          </w:tcPr>
          <w:p>
            <w:pPr>
              <w:spacing w:after="0"/>
              <w:rPr>
                <w:sz w:val="11"/>
                <w:szCs w:val="11"/>
                <w:color w:val="auto"/>
              </w:rPr>
            </w:pPr>
          </w:p>
        </w:tc>
        <w:tc>
          <w:tcPr>
            <w:tcW w:w="2500" w:type="dxa"/>
            <w:vAlign w:val="bottom"/>
            <w:tcBorders>
              <w:top w:val="single" w:sz="8" w:color="E6E6E6"/>
            </w:tcBorders>
          </w:tcPr>
          <w:p>
            <w:pPr>
              <w:spacing w:after="0"/>
              <w:rPr>
                <w:sz w:val="11"/>
                <w:szCs w:val="11"/>
                <w:color w:val="auto"/>
              </w:rPr>
            </w:pPr>
          </w:p>
        </w:tc>
        <w:tc>
          <w:tcPr>
            <w:tcW w:w="1420" w:type="dxa"/>
            <w:vAlign w:val="bottom"/>
            <w:tcBorders>
              <w:top w:val="single" w:sz="8" w:color="E6E6E6"/>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-1838325</wp:posOffset>
            </wp:positionV>
            <wp:extent cx="2680970" cy="501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88">
                      <a:extLst>
                        <a:ext uri="{28A0092B-C50C-407E-A947-70E740481C1C}"/>
                      </a:extLst>
                    </a:blip>
                    <a:srcRect/>
                    <a:stretch>
                      <a:fillRect/>
                    </a:stretch>
                  </pic:blipFill>
                  <pic:spPr bwMode="auto">
                    <a:xfrm>
                      <a:off x="0" y="0"/>
                      <a:ext cx="2680970"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-706755</wp:posOffset>
            </wp:positionV>
            <wp:extent cx="1737995" cy="501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89">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-329565</wp:posOffset>
            </wp:positionV>
            <wp:extent cx="1737995" cy="501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90">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-153670</wp:posOffset>
            </wp:positionV>
            <wp:extent cx="1737995" cy="755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91">
                      <a:extLst>
                        <a:ext uri="{28A0092B-C50C-407E-A947-70E740481C1C}"/>
                      </a:extLst>
                    </a:blip>
                    <a:srcRect/>
                    <a:stretch>
                      <a:fillRect/>
                    </a:stretch>
                  </pic:blipFill>
                  <pic:spPr bwMode="auto">
                    <a:xfrm>
                      <a:off x="0" y="0"/>
                      <a:ext cx="1737995" cy="75565"/>
                    </a:xfrm>
                    <a:prstGeom prst="rect">
                      <a:avLst/>
                    </a:prstGeom>
                    <a:noFill/>
                  </pic:spPr>
                </pic:pic>
              </a:graphicData>
            </a:graphic>
          </wp:anchor>
        </w:drawing>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1880" w:h="15480" w:orient="portrait"/>
          <w:cols w:equalWidth="0" w:num="1">
            <w:col w:w="10160"/>
          </w:cols>
          <w:pgMar w:left="860" w:top="435" w:right="860" w:bottom="0" w:gutter="0" w:footer="0" w:header="0"/>
          <w:type w:val="continuous"/>
        </w:sectPr>
      </w:pPr>
    </w:p>
    <w:bookmarkStart w:id="125" w:name="page126"/>
    <w:bookmarkEnd w:id="125"/>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left="720" w:right="200" w:hanging="719"/>
        <w:spacing w:after="0" w:line="225" w:lineRule="auto"/>
        <w:tabs>
          <w:tab w:leader="none" w:pos="720" w:val="left"/>
        </w:tabs>
        <w:numPr>
          <w:ilvl w:val="0"/>
          <w:numId w:val="8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We include rights-of-way, which are intangible assets, in our Pipelines and related facilities amounts within property and equipment.</w:t>
      </w:r>
    </w:p>
    <w:p>
      <w:pPr>
        <w:spacing w:after="0" w:line="217" w:lineRule="exact"/>
        <w:rPr>
          <w:sz w:val="20"/>
          <w:szCs w:val="20"/>
          <w:color w:val="auto"/>
        </w:rPr>
      </w:pPr>
    </w:p>
    <w:p>
      <w:pPr>
        <w:jc w:val="both"/>
        <w:ind w:right="40" w:firstLine="713"/>
        <w:spacing w:after="0" w:line="263" w:lineRule="auto"/>
        <w:rPr>
          <w:sz w:val="20"/>
          <w:szCs w:val="20"/>
          <w:color w:val="auto"/>
        </w:rPr>
      </w:pPr>
      <w:r>
        <w:rPr>
          <w:rFonts w:ascii="Times New Roman" w:cs="Times New Roman" w:eastAsia="Times New Roman" w:hAnsi="Times New Roman"/>
          <w:sz w:val="20"/>
          <w:szCs w:val="20"/>
          <w:color w:val="auto"/>
        </w:rPr>
        <w:t>We calculate our depreciation using the straight-line method, based on estimated useful lives and salvage values of our assets. Depreciation expense for the years ended December 31, 2022, 2021 and 2020 was $707 million, $652 million and $563 million, respectively.</w:t>
      </w:r>
    </w:p>
    <w:p>
      <w:pPr>
        <w:spacing w:after="0" w:line="194" w:lineRule="exact"/>
        <w:rPr>
          <w:sz w:val="20"/>
          <w:szCs w:val="20"/>
          <w:color w:val="auto"/>
        </w:rPr>
      </w:pPr>
    </w:p>
    <w:p>
      <w:pPr>
        <w:ind w:right="760" w:firstLine="713"/>
        <w:spacing w:after="0" w:line="278" w:lineRule="auto"/>
        <w:rPr>
          <w:sz w:val="20"/>
          <w:szCs w:val="20"/>
          <w:color w:val="auto"/>
        </w:rPr>
      </w:pPr>
      <w:r>
        <w:rPr>
          <w:rFonts w:ascii="Times New Roman" w:cs="Times New Roman" w:eastAsia="Times New Roman" w:hAnsi="Times New Roman"/>
          <w:sz w:val="20"/>
          <w:szCs w:val="20"/>
          <w:color w:val="auto"/>
        </w:rPr>
        <w:t>As of December 31, 2022, 2021 and 2020, we incurred liabilities of $46 million, $48 million and $51 million, respectively, for construction in progress that had not been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 (Held and Used)</w:t>
      </w:r>
    </w:p>
    <w:p>
      <w:pPr>
        <w:spacing w:after="0" w:line="253" w:lineRule="exact"/>
        <w:rPr>
          <w:sz w:val="20"/>
          <w:szCs w:val="20"/>
          <w:color w:val="auto"/>
        </w:rPr>
      </w:pPr>
    </w:p>
    <w:p>
      <w:pPr>
        <w:ind w:firstLine="713"/>
        <w:spacing w:after="0" w:line="253" w:lineRule="auto"/>
        <w:rPr>
          <w:sz w:val="20"/>
          <w:szCs w:val="20"/>
          <w:color w:val="auto"/>
        </w:rPr>
      </w:pPr>
      <w:r>
        <w:rPr>
          <w:rFonts w:ascii="Times New Roman" w:cs="Times New Roman" w:eastAsia="Times New Roman" w:hAnsi="Times New Roman"/>
          <w:sz w:val="20"/>
          <w:szCs w:val="20"/>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204" w:lineRule="exact"/>
        <w:rPr>
          <w:sz w:val="20"/>
          <w:szCs w:val="20"/>
          <w:color w:val="auto"/>
        </w:rPr>
      </w:pPr>
    </w:p>
    <w:p>
      <w:pPr>
        <w:ind w:right="40" w:firstLine="713"/>
        <w:spacing w:after="0" w:line="258" w:lineRule="auto"/>
        <w:rPr>
          <w:sz w:val="20"/>
          <w:szCs w:val="20"/>
          <w:color w:val="auto"/>
        </w:rPr>
      </w:pPr>
      <w:r>
        <w:rPr>
          <w:rFonts w:ascii="Times New Roman" w:cs="Times New Roman" w:eastAsia="Times New Roman" w:hAnsi="Times New Roman"/>
          <w:sz w:val="20"/>
          <w:szCs w:val="20"/>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80" w:lineRule="exact"/>
        <w:rPr>
          <w:sz w:val="20"/>
          <w:szCs w:val="20"/>
          <w:color w:val="auto"/>
        </w:rPr>
      </w:pPr>
    </w:p>
    <w:p>
      <w:pPr>
        <w:ind w:left="1080" w:hanging="366"/>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there is an indication of impairment;</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grouping of assets;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intention of “holding,” “abandoning” or “selling” an asset;</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forecast of undiscounted expected future cash flow over the asset’s estimated useful life; and</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impairment exists, the fair value of the asset or asset group.</w:t>
      </w:r>
    </w:p>
    <w:p>
      <w:pPr>
        <w:spacing w:after="0" w:line="245" w:lineRule="exact"/>
        <w:rPr>
          <w:sz w:val="20"/>
          <w:szCs w:val="20"/>
          <w:color w:val="auto"/>
        </w:rPr>
      </w:pPr>
    </w:p>
    <w:p>
      <w:pPr>
        <w:ind w:right="340" w:firstLine="713"/>
        <w:spacing w:after="0" w:line="278" w:lineRule="auto"/>
        <w:rPr>
          <w:sz w:val="20"/>
          <w:szCs w:val="20"/>
          <w:color w:val="auto"/>
        </w:rPr>
      </w:pPr>
      <w:r>
        <w:rPr>
          <w:rFonts w:ascii="Times New Roman" w:cs="Times New Roman" w:eastAsia="Times New Roman" w:hAnsi="Times New Roman"/>
          <w:sz w:val="20"/>
          <w:szCs w:val="20"/>
          <w:color w:val="auto"/>
        </w:rPr>
        <w:t>In addition, when we evaluate property and equipment and other long-lived assets for recoverability, it may also be necessary to review related depreciation estimates and methods.</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1880" w:h="15480" w:orient="portrait"/>
          <w:cols w:equalWidth="0" w:num="1">
            <w:col w:w="10160"/>
          </w:cols>
          <w:pgMar w:left="860" w:top="435" w:right="860" w:bottom="0" w:gutter="0" w:footer="0" w:header="0"/>
          <w:type w:val="continuous"/>
        </w:sectPr>
      </w:pPr>
    </w:p>
    <w:bookmarkStart w:id="126" w:name="page127"/>
    <w:bookmarkEnd w:id="126"/>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374" w:lineRule="exact"/>
        <w:rPr>
          <w:sz w:val="20"/>
          <w:szCs w:val="20"/>
          <w:color w:val="auto"/>
        </w:rPr>
      </w:pPr>
    </w:p>
    <w:p>
      <w:pPr>
        <w:ind w:firstLine="713"/>
        <w:spacing w:after="0" w:line="250" w:lineRule="auto"/>
        <w:rPr>
          <w:sz w:val="20"/>
          <w:szCs w:val="20"/>
          <w:color w:val="auto"/>
        </w:rPr>
      </w:pPr>
      <w:r>
        <w:rPr>
          <w:rFonts w:ascii="Times New Roman" w:cs="Times New Roman" w:eastAsia="Times New Roman" w:hAnsi="Times New Roman"/>
          <w:sz w:val="20"/>
          <w:szCs w:val="20"/>
          <w:color w:val="auto"/>
        </w:rPr>
        <w:t>During the third quarter of 2022, we temporarily ceased service on a crude oil pipeline in California as a precautionary measure following a routine inspection and initiated a program of additional tests and inspections. After assessing the results of such tests and the changing operating conditions of our California assets, we determined that we had a triggering event due to the effect on future cash flows for certain of our assets that required us to assess the recoverability of our carrying value of our California crude oil assets (which includes the temporarily idled pipeline) reported in our Crude Oil segment. As a result of our impairment review, we wrote off the portion of the carrying amount of these long-lived assets that exceeded their fair value. We recognized a non-cash loss of approximately $330 million, which amount is reflected in “(Gains)/losses on asset sales and asset impairments, net” on our Consolidated Statement of Operations. Our estimated fair values (which we consider a Level 3 measurement in the fair value hierarchy) were based upon a discounted cash flow approach utilizing various assumptions and the application of a discount rate of approximately 15%, which represents our estimate of the cost of capital of a theoretical market participant for the asset group. Such assumptions included (but were not limited to) (i) future commodity volumes (consistent with historical information and estimates of future drilling and completion activity), (ii) tariff rates, (iii) estimated fixed and variable costs, (iv) the length of time the assets operate and (v) the amount for which assets in the asset group could be sold.</w:t>
      </w:r>
    </w:p>
    <w:p>
      <w:pPr>
        <w:spacing w:after="0" w:line="210" w:lineRule="exact"/>
        <w:rPr>
          <w:sz w:val="20"/>
          <w:szCs w:val="20"/>
          <w:color w:val="auto"/>
        </w:rPr>
      </w:pPr>
    </w:p>
    <w:p>
      <w:pPr>
        <w:ind w:right="80" w:firstLine="713"/>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2021, we recognized approximately $220 million of non-cash impairment losses related to certain crude oil storage terminal assets included in our Crude Oil segment. This amount is reflected in “(Gains)/ losses on asset sales and asset impairments, net” on our Consolidated Statements of Operations. Decreased demand for our services related to changing market conditions resulted in decreases in expected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 (which we consider a Level 3 measurement in the fair value hierarchy) was primarily based upon an assumption for the amount for which the relevant assets and land could be sold.</w:t>
      </w:r>
    </w:p>
    <w:p>
      <w:pPr>
        <w:spacing w:after="0" w:line="207" w:lineRule="exact"/>
        <w:rPr>
          <w:sz w:val="20"/>
          <w:szCs w:val="20"/>
          <w:color w:val="auto"/>
        </w:rPr>
      </w:pPr>
    </w:p>
    <w:p>
      <w:pPr>
        <w:ind w:right="40" w:firstLine="713"/>
        <w:spacing w:after="0" w:line="278" w:lineRule="auto"/>
        <w:rPr>
          <w:sz w:val="20"/>
          <w:szCs w:val="20"/>
          <w:color w:val="auto"/>
        </w:rPr>
      </w:pPr>
      <w:r>
        <w:rPr>
          <w:rFonts w:ascii="Times New Roman" w:cs="Times New Roman" w:eastAsia="Times New Roman" w:hAnsi="Times New Roman"/>
          <w:sz w:val="20"/>
          <w:szCs w:val="20"/>
          <w:color w:val="auto"/>
        </w:rPr>
        <w:t>During the year ended December 31, 2020, we recognized approximately $541 million of non-cash impairment losses, reflected in “(Gains)/losses on asset sales and asset impairments, net” on our Consolidated Statement of Operations.</w:t>
      </w:r>
    </w:p>
    <w:p>
      <w:pPr>
        <w:spacing w:after="0" w:line="180" w:lineRule="exact"/>
        <w:rPr>
          <w:sz w:val="20"/>
          <w:szCs w:val="20"/>
          <w:color w:val="auto"/>
        </w:rPr>
      </w:pPr>
    </w:p>
    <w:p>
      <w:pPr>
        <w:ind w:right="20" w:firstLine="713"/>
        <w:spacing w:after="0" w:line="265" w:lineRule="auto"/>
        <w:rPr>
          <w:sz w:val="20"/>
          <w:szCs w:val="20"/>
          <w:color w:val="auto"/>
        </w:rPr>
      </w:pPr>
      <w:r>
        <w:rPr>
          <w:rFonts w:ascii="Times New Roman" w:cs="Times New Roman" w:eastAsia="Times New Roman" w:hAnsi="Times New Roman"/>
          <w:sz w:val="19"/>
          <w:szCs w:val="19"/>
          <w:color w:val="auto"/>
        </w:rPr>
        <w:t>Of our 2020 impairment losses, approximately $415 million was associated with certain pipeline assets in our Crude Oil segment located in the Mid-Continent region. The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future commodity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194" w:lineRule="exact"/>
        <w:rPr>
          <w:sz w:val="20"/>
          <w:szCs w:val="20"/>
          <w:color w:val="auto"/>
        </w:rPr>
      </w:pPr>
    </w:p>
    <w:p>
      <w:pPr>
        <w:ind w:right="40" w:firstLine="713"/>
        <w:spacing w:after="0" w:line="258" w:lineRule="auto"/>
        <w:rPr>
          <w:sz w:val="20"/>
          <w:szCs w:val="20"/>
          <w:color w:val="auto"/>
        </w:rPr>
      </w:pPr>
      <w:r>
        <w:rPr>
          <w:rFonts w:ascii="Times New Roman" w:cs="Times New Roman" w:eastAsia="Times New Roman" w:hAnsi="Times New Roman"/>
          <w:sz w:val="20"/>
          <w:szCs w:val="20"/>
          <w:color w:val="auto"/>
        </w:rPr>
        <w:t>The remaining 2020 impairment losses were associated with idled or underutilized assets, primarily in our Crude Oil segment, including certain pipelines located in the Western region and other long-lived assets, for which it has been determined that it is unlikely that opportunities will exist in the future to recover our investment in these assets. We wrote off substantially all of the carrying value of these assets.</w:t>
      </w:r>
    </w:p>
    <w:p>
      <w:pPr>
        <w:sectPr>
          <w:pgSz w:w="11880" w:h="15480" w:orient="portrait"/>
          <w:cols w:equalWidth="0" w:num="1">
            <w:col w:w="10140"/>
          </w:cols>
          <w:pgMar w:left="860" w:top="43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F-23</w:t>
      </w:r>
    </w:p>
    <w:p>
      <w:pPr>
        <w:sectPr>
          <w:pgSz w:w="11880" w:h="15480" w:orient="portrait"/>
          <w:cols w:equalWidth="0" w:num="1">
            <w:col w:w="10140"/>
          </w:cols>
          <w:pgMar w:left="860" w:top="435" w:right="880" w:bottom="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right="2220" w:firstLine="2228"/>
        <w:spacing w:after="0" w:line="409" w:lineRule="auto"/>
        <w:rPr>
          <w:sz w:val="20"/>
          <w:szCs w:val="20"/>
          <w:color w:val="auto"/>
        </w:rPr>
      </w:pPr>
      <w:r>
        <w:rPr>
          <w:rFonts w:ascii="Times New Roman" w:cs="Times New Roman" w:eastAsia="Times New Roman" w:hAnsi="Times New Roman"/>
          <w:sz w:val="20"/>
          <w:szCs w:val="20"/>
          <w:b w:val="1"/>
          <w:bCs w:val="1"/>
          <w:color w:val="auto"/>
        </w:rPr>
        <w:t>NOTES TO THE CONSOLIDATED FINANCIAL STATEMENTS Note 7—Acquisitions, Divestitures and Other Transactions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Cactus II</w:t>
      </w:r>
    </w:p>
    <w:p>
      <w:pPr>
        <w:spacing w:after="0" w:line="252" w:lineRule="exact"/>
        <w:rPr>
          <w:sz w:val="20"/>
          <w:szCs w:val="20"/>
          <w:color w:val="auto"/>
        </w:rPr>
      </w:pPr>
    </w:p>
    <w:p>
      <w:pPr>
        <w:ind w:right="140" w:firstLine="713"/>
        <w:spacing w:after="0" w:line="252" w:lineRule="auto"/>
        <w:rPr>
          <w:sz w:val="20"/>
          <w:szCs w:val="20"/>
          <w:color w:val="auto"/>
        </w:rPr>
      </w:pPr>
      <w:r>
        <w:rPr>
          <w:rFonts w:ascii="Times New Roman" w:cs="Times New Roman" w:eastAsia="Times New Roman" w:hAnsi="Times New Roman"/>
          <w:sz w:val="20"/>
          <w:szCs w:val="20"/>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($177 million and $88 million, respectively) of the aggregate purchase price. We and Enbridge are now the sole owners of Cactus II, with 70% and 30% respective ownership interests. We will continue to serve as operator.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w:t>
      </w:r>
    </w:p>
    <w:p>
      <w:pPr>
        <w:spacing w:after="0" w:line="207" w:lineRule="exact"/>
        <w:rPr>
          <w:sz w:val="20"/>
          <w:szCs w:val="20"/>
          <w:color w:val="auto"/>
        </w:rPr>
      </w:pPr>
    </w:p>
    <w:p>
      <w:pPr>
        <w:ind w:right="460" w:firstLine="713"/>
        <w:spacing w:after="0" w:line="275" w:lineRule="auto"/>
        <w:rPr>
          <w:sz w:val="20"/>
          <w:szCs w:val="20"/>
          <w:color w:val="auto"/>
        </w:rPr>
      </w:pPr>
      <w:r>
        <w:rPr>
          <w:rFonts w:ascii="Times New Roman" w:cs="Times New Roman" w:eastAsia="Times New Roman" w:hAnsi="Times New Roman"/>
          <w:sz w:val="19"/>
          <w:szCs w:val="19"/>
          <w:color w:val="auto"/>
        </w:rPr>
        <w:t>The acquisition was accounted for as a business combination achieved in stages, or a “step acquisition”, using the acquisition method of accounting. As the majority owner and the controlling entity, we are considered the acquirer and the Cactus II predecessor business was recorded based on the fair value of the assets acquired and liabilities assumed, with Enbridge’s 30% interest in Cactus II of $526 million recognized as noncontrolling interest in partners’ capital.</w:t>
      </w:r>
    </w:p>
    <w:p>
      <w:pPr>
        <w:spacing w:after="0" w:line="187"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As a result of us obtaining control over Cactus II, our previously held 65% interest in Cactus II was remeasured to its fair value of $1.140 billion based upon a valuation of the acquired business, as of the date of acquisition. We considered multiple factors in determining the fair value of the previously held equity method investment, including, (i) the price negotiated with WES for its 15% interest in Cactus II and (ii) a discounted cash flow approach. The discounted cash flow approach utilized a discount rate of 13.8%, based on the estimate of the risk that a theoretical market participant would assign to the business. Prior to the acquisition, we had a preexisting relationship with Cactus II, through one of our consolidated joint ventures, for certain capacity lease agreements. The portion of the fair value of Cactus II associated with these agreements is eliminated in consolidation. Accounting for such impact, the remeasurement of our investment in Cactus II to fair value resulted in a gain of $370 million. This gain has been recognized in the line item “Gains (losses) on/(impairment of) investments in unconsolidated entities, net” on our Consolidated Statement of Operations</w:t>
      </w:r>
    </w:p>
    <w:p>
      <w:pPr>
        <w:spacing w:after="0" w:line="208" w:lineRule="exact"/>
        <w:rPr>
          <w:sz w:val="20"/>
          <w:szCs w:val="20"/>
          <w:color w:val="auto"/>
        </w:rPr>
      </w:pPr>
    </w:p>
    <w:p>
      <w:pPr>
        <w:ind w:right="100" w:firstLine="762"/>
        <w:spacing w:after="0" w:line="258" w:lineRule="auto"/>
        <w:rPr>
          <w:sz w:val="20"/>
          <w:szCs w:val="20"/>
          <w:color w:val="auto"/>
        </w:rPr>
      </w:pPr>
      <w:r>
        <w:rPr>
          <w:rFonts w:ascii="Times New Roman" w:cs="Times New Roman" w:eastAsia="Times New Roman" w:hAnsi="Times New Roman"/>
          <w:sz w:val="20"/>
          <w:szCs w:val="20"/>
          <w:color w:val="auto"/>
        </w:rPr>
        <w:t>In accordance with applicable accounting guidance, the fair value of Cactus II following the acquisition is utilized as the consideration transferred for the purchase price allocation. The consideration transferred of $1.556 billion excludes the value associated with the capacity lease agreements described above as such value is eliminated for our Consolidated Financial Statements.</w:t>
      </w:r>
    </w:p>
    <w:p>
      <w:pPr>
        <w:spacing w:after="0" w:line="199" w:lineRule="exact"/>
        <w:rPr>
          <w:sz w:val="20"/>
          <w:szCs w:val="20"/>
          <w:color w:val="auto"/>
        </w:rPr>
      </w:pPr>
    </w:p>
    <w:p>
      <w:pPr>
        <w:ind w:right="80" w:firstLine="713"/>
        <w:spacing w:after="0" w:line="263" w:lineRule="auto"/>
        <w:rPr>
          <w:sz w:val="20"/>
          <w:szCs w:val="20"/>
          <w:color w:val="auto"/>
        </w:rPr>
      </w:pPr>
      <w:r>
        <w:rPr>
          <w:rFonts w:ascii="Times New Roman" w:cs="Times New Roman" w:eastAsia="Times New Roman" w:hAnsi="Times New Roman"/>
          <w:sz w:val="20"/>
          <w:szCs w:val="20"/>
          <w:color w:val="auto"/>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Identifiable Assets Acquired and Liabilities Assumed:</w:t>
            </w: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Useful Lives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Recognized Amount</w:t>
            </w:r>
          </w:p>
        </w:tc>
        <w:tc>
          <w:tcPr>
            <w:tcW w:w="0" w:type="dxa"/>
            <w:vAlign w:val="bottom"/>
          </w:tcPr>
          <w:p>
            <w:pPr>
              <w:spacing w:after="0"/>
              <w:rPr>
                <w:sz w:val="1"/>
                <w:szCs w:val="1"/>
                <w:color w:val="auto"/>
              </w:rPr>
            </w:pPr>
          </w:p>
        </w:tc>
      </w:tr>
      <w:tr>
        <w:trPr>
          <w:trHeight w:val="212"/>
        </w:trPr>
        <w:tc>
          <w:tcPr>
            <w:tcW w:w="5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0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5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Property and equipment</w:t>
            </w:r>
          </w:p>
        </w:tc>
        <w:tc>
          <w:tcPr>
            <w:tcW w:w="2120" w:type="dxa"/>
            <w:vAlign w:val="bottom"/>
            <w:gridSpan w:val="2"/>
            <w:shd w:val="clear" w:color="auto" w:fill="E6E6E6"/>
          </w:tcPr>
          <w:p>
            <w:pPr>
              <w:jc w:val="right"/>
              <w:ind w:right="754"/>
              <w:spacing w:after="0"/>
              <w:rPr>
                <w:sz w:val="20"/>
                <w:szCs w:val="20"/>
                <w:color w:val="auto"/>
              </w:rPr>
            </w:pPr>
            <w:r>
              <w:rPr>
                <w:rFonts w:ascii="Times New Roman" w:cs="Times New Roman" w:eastAsia="Times New Roman" w:hAnsi="Times New Roman"/>
                <w:sz w:val="20"/>
                <w:szCs w:val="20"/>
                <w:color w:val="auto"/>
              </w:rPr>
              <w:t>3-50</w:t>
            </w:r>
          </w:p>
        </w:tc>
        <w:tc>
          <w:tcPr>
            <w:tcW w:w="34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1,174</w:t>
            </w:r>
          </w:p>
        </w:tc>
        <w:tc>
          <w:tcPr>
            <w:tcW w:w="0" w:type="dxa"/>
            <w:vAlign w:val="bottom"/>
          </w:tcPr>
          <w:p>
            <w:pPr>
              <w:spacing w:after="0"/>
              <w:rPr>
                <w:sz w:val="1"/>
                <w:szCs w:val="1"/>
                <w:color w:val="auto"/>
              </w:rPr>
            </w:pPr>
          </w:p>
        </w:tc>
      </w:tr>
      <w:tr>
        <w:trPr>
          <w:trHeight w:val="306"/>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Intangible assets</w:t>
            </w:r>
          </w:p>
        </w:tc>
        <w:tc>
          <w:tcPr>
            <w:tcW w:w="2120" w:type="dxa"/>
            <w:vAlign w:val="bottom"/>
            <w:gridSpan w:val="2"/>
          </w:tcPr>
          <w:p>
            <w:pPr>
              <w:jc w:val="right"/>
              <w:ind w:right="834"/>
              <w:spacing w:after="0"/>
              <w:rPr>
                <w:sz w:val="20"/>
                <w:szCs w:val="20"/>
                <w:color w:val="auto"/>
              </w:rPr>
            </w:pPr>
            <w:r>
              <w:rPr>
                <w:rFonts w:ascii="Times New Roman" w:cs="Times New Roman" w:eastAsia="Times New Roman" w:hAnsi="Times New Roman"/>
                <w:sz w:val="20"/>
                <w:szCs w:val="20"/>
                <w:color w:val="auto"/>
              </w:rPr>
              <w:t>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0" w:type="dxa"/>
            <w:vAlign w:val="bottom"/>
          </w:tcPr>
          <w:p>
            <w:pPr>
              <w:spacing w:after="0"/>
              <w:rPr>
                <w:sz w:val="1"/>
                <w:szCs w:val="1"/>
                <w:color w:val="auto"/>
              </w:rPr>
            </w:pPr>
          </w:p>
        </w:tc>
      </w:tr>
      <w:tr>
        <w:trPr>
          <w:trHeight w:val="293"/>
        </w:trPr>
        <w:tc>
          <w:tcPr>
            <w:tcW w:w="59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Working capital and other assets and liabilities</w:t>
            </w:r>
          </w:p>
        </w:tc>
        <w:tc>
          <w:tcPr>
            <w:tcW w:w="100" w:type="dxa"/>
            <w:vAlign w:val="bottom"/>
            <w:tcBorders>
              <w:bottom w:val="single" w:sz="8" w:color="E6E6E6"/>
            </w:tcBorders>
            <w:shd w:val="clear" w:color="auto" w:fill="E6E6E6"/>
          </w:tcPr>
          <w:p>
            <w:pPr>
              <w:spacing w:after="0"/>
              <w:rPr>
                <w:sz w:val="24"/>
                <w:szCs w:val="24"/>
                <w:color w:val="auto"/>
              </w:rPr>
            </w:pPr>
          </w:p>
        </w:tc>
        <w:tc>
          <w:tcPr>
            <w:tcW w:w="2020" w:type="dxa"/>
            <w:vAlign w:val="bottom"/>
            <w:tcBorders>
              <w:bottom w:val="single" w:sz="8" w:color="E6E6E6"/>
            </w:tcBorders>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0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72"/>
        </w:trPr>
        <w:tc>
          <w:tcPr>
            <w:tcW w:w="5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-826135</wp:posOffset>
            </wp:positionV>
            <wp:extent cx="6487795" cy="501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92">
                      <a:extLst>
                        <a:ext uri="{28A0092B-C50C-407E-A947-70E740481C1C}"/>
                      </a:extLst>
                    </a:blip>
                    <a:srcRect/>
                    <a:stretch>
                      <a:fillRect/>
                    </a:stretch>
                  </pic:blipFill>
                  <pic:spPr bwMode="auto">
                    <a:xfrm>
                      <a:off x="0" y="0"/>
                      <a:ext cx="6487795" cy="50165"/>
                    </a:xfrm>
                    <a:prstGeom prst="rect">
                      <a:avLst/>
                    </a:prstGeom>
                    <a:noFill/>
                  </pic:spPr>
                </pic:pic>
              </a:graphicData>
            </a:graphic>
          </wp:anchor>
        </w:drawing>
        <w:drawing>
          <wp:anchor simplePos="0" relativeHeight="251657728" behindDoc="1" locked="0" layoutInCell="0" allowOverlap="1">
            <wp:simplePos x="0" y="0"/>
            <wp:positionH relativeFrom="column">
              <wp:posOffset>5143500</wp:posOffset>
            </wp:positionH>
            <wp:positionV relativeFrom="paragraph">
              <wp:posOffset>-241300</wp:posOffset>
            </wp:positionV>
            <wp:extent cx="1332865" cy="501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93">
                      <a:extLst>
                        <a:ext uri="{28A0092B-C50C-407E-A947-70E740481C1C}"/>
                      </a:extLst>
                    </a:blip>
                    <a:srcRect/>
                    <a:stretch>
                      <a:fillRect/>
                    </a:stretch>
                  </pic:blipFill>
                  <pic:spPr bwMode="auto">
                    <a:xfrm>
                      <a:off x="0" y="0"/>
                      <a:ext cx="1332865" cy="50165"/>
                    </a:xfrm>
                    <a:prstGeom prst="rect">
                      <a:avLst/>
                    </a:prstGeom>
                    <a:noFill/>
                  </pic:spPr>
                </pic:pic>
              </a:graphicData>
            </a:graphic>
          </wp:anchor>
        </w:drawing>
      </w:r>
    </w:p>
    <w:p>
      <w:pPr>
        <w:spacing w:after="0" w:line="225" w:lineRule="exact"/>
        <w:rPr>
          <w:sz w:val="20"/>
          <w:szCs w:val="20"/>
          <w:color w:val="auto"/>
        </w:rPr>
      </w:pPr>
    </w:p>
    <w:p>
      <w:pPr>
        <w:ind w:right="40" w:firstLine="713"/>
        <w:spacing w:after="0" w:line="252" w:lineRule="auto"/>
        <w:rPr>
          <w:sz w:val="20"/>
          <w:szCs w:val="20"/>
          <w:color w:val="auto"/>
        </w:rPr>
      </w:pPr>
      <w:r>
        <w:rPr>
          <w:rFonts w:ascii="Times New Roman" w:cs="Times New Roman" w:eastAsia="Times New Roman" w:hAnsi="Times New Roman"/>
          <w:sz w:val="20"/>
          <w:szCs w:val="20"/>
          <w:color w:val="auto"/>
        </w:rPr>
        <w:t>The fair value of the tangible assets is a Level 3 measurement in the fair value hierarchy and was determined using a market approach for rights-of-way and a cost approach for other tangible assets, which were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18%,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1880" w:h="15480" w:orient="portrait"/>
          <w:cols w:equalWidth="0" w:num="1">
            <w:col w:w="10160"/>
          </w:cols>
          <w:pgMar w:left="860" w:top="435" w:right="860" w:bottom="0" w:gutter="0" w:footer="0" w:header="0"/>
          <w:type w:val="continuous"/>
        </w:sectPr>
      </w:pPr>
    </w:p>
    <w:bookmarkStart w:id="128" w:name="page129"/>
    <w:bookmarkEnd w:id="128"/>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40" w:firstLine="713"/>
        <w:spacing w:after="0" w:line="247" w:lineRule="auto"/>
        <w:rPr>
          <w:sz w:val="20"/>
          <w:szCs w:val="20"/>
          <w:color w:val="auto"/>
        </w:rPr>
      </w:pPr>
      <w:r>
        <w:rPr>
          <w:rFonts w:ascii="Times New Roman" w:cs="Times New Roman" w:eastAsia="Times New Roman" w:hAnsi="Times New Roman"/>
          <w:sz w:val="20"/>
          <w:szCs w:val="20"/>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w:t>
      </w:r>
    </w:p>
    <w:p>
      <w:pPr>
        <w:spacing w:after="0" w:line="3"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20"/>
          <w:szCs w:val="20"/>
          <w:color w:val="auto"/>
        </w:rPr>
        <w:t>$13 million during the year ended December 31, 2022, and the future amortization expense through 2027 is estimated as follows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4300" w:type="dxa"/>
            <w:vAlign w:val="bottom"/>
            <w:shd w:val="clear" w:color="auto" w:fill="E6E6E6"/>
          </w:tcPr>
          <w:p>
            <w:pPr>
              <w:jc w:val="right"/>
              <w:ind w:right="3761"/>
              <w:spacing w:after="0"/>
              <w:rPr>
                <w:sz w:val="20"/>
                <w:szCs w:val="20"/>
                <w:color w:val="auto"/>
              </w:rPr>
            </w:pPr>
            <w:r>
              <w:rPr>
                <w:rFonts w:ascii="Times New Roman" w:cs="Times New Roman" w:eastAsia="Times New Roman" w:hAnsi="Times New Roman"/>
                <w:sz w:val="20"/>
                <w:szCs w:val="20"/>
                <w:color w:val="auto"/>
              </w:rPr>
              <w:t>2023</w:t>
            </w:r>
          </w:p>
        </w:tc>
        <w:tc>
          <w:tcPr>
            <w:tcW w:w="4720" w:type="dxa"/>
            <w:vAlign w:val="bottom"/>
            <w:shd w:val="clear" w:color="auto" w:fill="E6E6E6"/>
          </w:tcPr>
          <w:p>
            <w:pPr>
              <w:jc w:val="right"/>
              <w:ind w:right="68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306"/>
        </w:trPr>
        <w:tc>
          <w:tcPr>
            <w:tcW w:w="4300" w:type="dxa"/>
            <w:vAlign w:val="bottom"/>
          </w:tcPr>
          <w:p>
            <w:pPr>
              <w:jc w:val="right"/>
              <w:ind w:right="3761"/>
              <w:spacing w:after="0"/>
              <w:rPr>
                <w:sz w:val="20"/>
                <w:szCs w:val="20"/>
                <w:color w:val="auto"/>
              </w:rPr>
            </w:pPr>
            <w:r>
              <w:rPr>
                <w:rFonts w:ascii="Times New Roman" w:cs="Times New Roman" w:eastAsia="Times New Roman" w:hAnsi="Times New Roman"/>
                <w:sz w:val="20"/>
                <w:szCs w:val="20"/>
                <w:color w:val="auto"/>
              </w:rPr>
              <w:t>2024</w:t>
            </w:r>
          </w:p>
        </w:tc>
        <w:tc>
          <w:tcPr>
            <w:tcW w:w="4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18"/>
        </w:trPr>
        <w:tc>
          <w:tcPr>
            <w:tcW w:w="4300" w:type="dxa"/>
            <w:vAlign w:val="bottom"/>
            <w:shd w:val="clear" w:color="auto" w:fill="E6E6E6"/>
          </w:tcPr>
          <w:p>
            <w:pPr>
              <w:jc w:val="right"/>
              <w:ind w:right="3761"/>
              <w:spacing w:after="0"/>
              <w:rPr>
                <w:sz w:val="20"/>
                <w:szCs w:val="20"/>
                <w:color w:val="auto"/>
              </w:rPr>
            </w:pPr>
            <w:r>
              <w:rPr>
                <w:rFonts w:ascii="Times New Roman" w:cs="Times New Roman" w:eastAsia="Times New Roman" w:hAnsi="Times New Roman"/>
                <w:sz w:val="20"/>
                <w:szCs w:val="20"/>
                <w:color w:val="auto"/>
              </w:rPr>
              <w:t>2025</w:t>
            </w:r>
          </w:p>
        </w:tc>
        <w:tc>
          <w:tcPr>
            <w:tcW w:w="4720" w:type="dxa"/>
            <w:vAlign w:val="bottom"/>
            <w:shd w:val="clear" w:color="auto" w:fill="E6E6E6"/>
          </w:tcPr>
          <w:p>
            <w:pPr>
              <w:jc w:val="right"/>
              <w:ind w:right="68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06"/>
        </w:trPr>
        <w:tc>
          <w:tcPr>
            <w:tcW w:w="4300" w:type="dxa"/>
            <w:vAlign w:val="bottom"/>
          </w:tcPr>
          <w:p>
            <w:pPr>
              <w:jc w:val="right"/>
              <w:ind w:right="3761"/>
              <w:spacing w:after="0"/>
              <w:rPr>
                <w:sz w:val="20"/>
                <w:szCs w:val="20"/>
                <w:color w:val="auto"/>
              </w:rPr>
            </w:pPr>
            <w:r>
              <w:rPr>
                <w:rFonts w:ascii="Times New Roman" w:cs="Times New Roman" w:eastAsia="Times New Roman" w:hAnsi="Times New Roman"/>
                <w:sz w:val="20"/>
                <w:szCs w:val="20"/>
                <w:color w:val="auto"/>
              </w:rPr>
              <w:t>2026</w:t>
            </w:r>
          </w:p>
        </w:tc>
        <w:tc>
          <w:tcPr>
            <w:tcW w:w="47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18"/>
        </w:trPr>
        <w:tc>
          <w:tcPr>
            <w:tcW w:w="4300" w:type="dxa"/>
            <w:vAlign w:val="bottom"/>
            <w:shd w:val="clear" w:color="auto" w:fill="E6E6E6"/>
          </w:tcPr>
          <w:p>
            <w:pPr>
              <w:jc w:val="right"/>
              <w:ind w:right="3761"/>
              <w:spacing w:after="0"/>
              <w:rPr>
                <w:sz w:val="20"/>
                <w:szCs w:val="20"/>
                <w:color w:val="auto"/>
              </w:rPr>
            </w:pPr>
            <w:r>
              <w:rPr>
                <w:rFonts w:ascii="Times New Roman" w:cs="Times New Roman" w:eastAsia="Times New Roman" w:hAnsi="Times New Roman"/>
                <w:sz w:val="20"/>
                <w:szCs w:val="20"/>
                <w:color w:val="auto"/>
              </w:rPr>
              <w:t>2027</w:t>
            </w:r>
          </w:p>
        </w:tc>
        <w:tc>
          <w:tcPr>
            <w:tcW w:w="4720" w:type="dxa"/>
            <w:vAlign w:val="bottom"/>
            <w:shd w:val="clear" w:color="auto" w:fill="E6E6E6"/>
          </w:tcPr>
          <w:p>
            <w:pPr>
              <w:jc w:val="right"/>
              <w:ind w:right="68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w:t>
            </w:r>
          </w:p>
        </w:tc>
      </w:tr>
    </w:tbl>
    <w:p>
      <w:pPr>
        <w:spacing w:after="0" w:line="274" w:lineRule="exact"/>
        <w:rPr>
          <w:sz w:val="20"/>
          <w:szCs w:val="20"/>
          <w:color w:val="auto"/>
        </w:rPr>
      </w:pPr>
    </w:p>
    <w:p>
      <w:pPr>
        <w:ind w:right="280" w:firstLine="713"/>
        <w:spacing w:after="0" w:line="263" w:lineRule="auto"/>
        <w:rPr>
          <w:sz w:val="20"/>
          <w:szCs w:val="20"/>
          <w:color w:val="auto"/>
        </w:rPr>
      </w:pPr>
      <w:r>
        <w:rPr>
          <w:rFonts w:ascii="Times New Roman" w:cs="Times New Roman" w:eastAsia="Times New Roman" w:hAnsi="Times New Roman"/>
          <w:sz w:val="20"/>
          <w:szCs w:val="20"/>
          <w:color w:val="auto"/>
        </w:rPr>
        <w:t>Pro forma financial information assuming the step acquisition had occurred as of the beginning of the calendar year prior to the year of the step acquisition, as well as the revenues and earnings generated during the period since the step acquisition date, were not material for disclosure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Acquisitions</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During the year ended December 31, 2022, we also completed the following acquisitions:</w:t>
      </w:r>
    </w:p>
    <w:p>
      <w:pPr>
        <w:spacing w:after="0" w:line="245" w:lineRule="exact"/>
        <w:rPr>
          <w:sz w:val="20"/>
          <w:szCs w:val="20"/>
          <w:color w:val="auto"/>
        </w:rPr>
      </w:pPr>
    </w:p>
    <w:p>
      <w:pPr>
        <w:ind w:left="720" w:right="160" w:hanging="362"/>
        <w:spacing w:after="0" w:line="258" w:lineRule="auto"/>
        <w:tabs>
          <w:tab w:leader="none" w:pos="7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in July 2022 of the remaining 50% interest in Advantage Pipeline Holdings LLC (“Advantage”) for $74 million, including cash paid for working capital. As a result of this transaction, we now own 100% of Advantage and its subsidiaries and such entities are reflected as consolidated subsidiaries in our Consolidated Financial Statements.</w:t>
      </w:r>
    </w:p>
    <w:p>
      <w:pPr>
        <w:spacing w:after="0" w:line="199" w:lineRule="exact"/>
        <w:rPr>
          <w:rFonts w:ascii="Times New Roman" w:cs="Times New Roman" w:eastAsia="Times New Roman" w:hAnsi="Times New Roman"/>
          <w:sz w:val="20"/>
          <w:szCs w:val="20"/>
          <w:color w:val="auto"/>
        </w:rPr>
      </w:pPr>
    </w:p>
    <w:p>
      <w:pPr>
        <w:ind w:left="720" w:right="140" w:hanging="362"/>
        <w:spacing w:after="0" w:line="254" w:lineRule="auto"/>
        <w:tabs>
          <w:tab w:leader="none" w:pos="7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in October 2022 of an additional ownership interest in certain straddle plants included in our NGL segment in a non-cash transaction whereby we agreed to provide processing capacity over a 50-year term at specified terms and conditions. This transaction was accounted for as an asset acquisition. The fair value of the straddle plant assets acquired and liabilities assumed was approximately $122 million, and we recognized an equally offsetting contract liability that will be amortized on a straight-line basis into “Services revenue” over the 50-year term of the agreement.</w:t>
      </w:r>
    </w:p>
    <w:p>
      <w:pPr>
        <w:spacing w:after="0" w:line="203" w:lineRule="exact"/>
        <w:rPr>
          <w:sz w:val="20"/>
          <w:szCs w:val="20"/>
          <w:color w:val="auto"/>
        </w:rPr>
      </w:pPr>
    </w:p>
    <w:p>
      <w:pPr>
        <w:ind w:firstLine="713"/>
        <w:spacing w:after="0" w:line="250" w:lineRule="auto"/>
        <w:rPr>
          <w:sz w:val="20"/>
          <w:szCs w:val="20"/>
          <w:color w:val="auto"/>
        </w:rPr>
      </w:pPr>
      <w:r>
        <w:rPr>
          <w:rFonts w:ascii="Times New Roman" w:cs="Times New Roman" w:eastAsia="Times New Roman" w:hAnsi="Times New Roman"/>
          <w:sz w:val="20"/>
          <w:szCs w:val="20"/>
          <w:color w:val="auto"/>
        </w:rPr>
        <w:t>In February 2020, we acquired Felix Midstream LLC, now known as FM Gathering LLC (“FM Gathering”) from Felix 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included in our Crude Oil segment. This acquisition was accounted for using the acquisition method of accounting and the determination of the fair value of the assets acquired and liabilities assumed was determined in accordance with the applicable accounting guidance. The assets acquired primarily consisted of property and equipment with a fair value of $115 million and intangible assets with a fair value of $187 million. The fair value of the tangible assets is a Level 3 measurement in the fair value hierarchy and was determined using a cost approach. The cost approach was based on costs incurred on similar recent construction projects. The fair value of the intangible assets is also a Level 3 measurement in the fair value hierarchy and was determined by applying a discounted cash flow approach. Such approach utilized discount rates varying from 18% to 19%, based on our estimate of the risk that a theoretical market participant would assign to the respective intangible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Exchange</w:t>
      </w:r>
    </w:p>
    <w:p>
      <w:pPr>
        <w:spacing w:after="0" w:line="253" w:lineRule="exact"/>
        <w:rPr>
          <w:sz w:val="20"/>
          <w:szCs w:val="20"/>
          <w:color w:val="auto"/>
        </w:rPr>
      </w:pPr>
    </w:p>
    <w:p>
      <w:pPr>
        <w:ind w:right="20" w:firstLine="713"/>
        <w:spacing w:after="0" w:line="253" w:lineRule="auto"/>
        <w:rPr>
          <w:sz w:val="20"/>
          <w:szCs w:val="20"/>
          <w:color w:val="auto"/>
        </w:rPr>
      </w:pPr>
      <w:r>
        <w:rPr>
          <w:rFonts w:ascii="Times New Roman" w:cs="Times New Roman" w:eastAsia="Times New Roman" w:hAnsi="Times New Roman"/>
          <w:sz w:val="20"/>
          <w:szCs w:val="20"/>
          <w:color w:val="auto"/>
        </w:rPr>
        <w:t>In June 2021, we closed on an asset exchange agreement (the “Asset Exchange”) with Inter Pipeline Ltd., through which we acquired additional interests in two straddle plants included in our NGL segment that we currently operate, in exchange for a pipeline and related storage and truck offload facilities previously included in our Crude Oil segment and cash consideration of $32 million, including working capital and other adjustments. We recognized a gain of $106 million on the divestiture of the pipeline and related storage and truck offload facilities, which is included in “(Gains)/losses on asset sales and asset impairments, net” on our Consolidated Statement of Operations, based on the difference between the fair value of the divested assets and their carrying value.</w:t>
      </w:r>
    </w:p>
    <w:p>
      <w:pPr>
        <w:sectPr>
          <w:pgSz w:w="11880" w:h="15480" w:orient="portrait"/>
          <w:cols w:equalWidth="0" w:num="1">
            <w:col w:w="10140"/>
          </w:cols>
          <w:pgMar w:left="860" w:top="435" w:right="88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F-25</w:t>
      </w:r>
    </w:p>
    <w:p>
      <w:pPr>
        <w:sectPr>
          <w:pgSz w:w="11880" w:h="15480" w:orient="portrait"/>
          <w:cols w:equalWidth="0" w:num="1">
            <w:col w:w="10140"/>
          </w:cols>
          <w:pgMar w:left="860" w:top="435" w:right="880" w:bottom="0" w:gutter="0" w:footer="0" w:header="0"/>
          <w:type w:val="continuous"/>
        </w:sectPr>
      </w:pPr>
    </w:p>
    <w:bookmarkStart w:id="129" w:name="page130"/>
    <w:bookmarkEnd w:id="129"/>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Joint Venture Transaction</w:t>
      </w:r>
    </w:p>
    <w:p>
      <w:pPr>
        <w:spacing w:after="0" w:line="253" w:lineRule="exact"/>
        <w:rPr>
          <w:sz w:val="20"/>
          <w:szCs w:val="20"/>
          <w:color w:val="auto"/>
        </w:rPr>
      </w:pPr>
    </w:p>
    <w:p>
      <w:pPr>
        <w:ind w:right="80" w:firstLine="713"/>
        <w:spacing w:after="0" w:line="254" w:lineRule="auto"/>
        <w:rPr>
          <w:sz w:val="20"/>
          <w:szCs w:val="20"/>
          <w:color w:val="auto"/>
        </w:rPr>
      </w:pPr>
      <w:r>
        <w:rPr>
          <w:rFonts w:ascii="Times New Roman" w:cs="Times New Roman" w:eastAsia="Times New Roman" w:hAnsi="Times New Roman"/>
          <w:sz w:val="20"/>
          <w:szCs w:val="20"/>
          <w:color w:val="auto"/>
        </w:rPr>
        <w:t>In October 2021, we and Oryx Midstream completed the merger, in a cashless, debt-free transaction, of our respective Permian Basin assets, operations and commercial activities into a newly formed joint venture, the Permian JV. The Permian JV includes all of Oryx Midstream’s Permian Basin assets and, with the exception of our long-haul pipeline systems and certain of our intra-basin terminal assets, the vast majority of our assets located within the Permian Basin. We own 65% of the Permian JV, operate the combined assets and reflect the Permian JV as a consolidated subsidiary in our consolidated financial statements.</w:t>
      </w:r>
    </w:p>
    <w:p>
      <w:pPr>
        <w:spacing w:after="0" w:line="203" w:lineRule="exact"/>
        <w:rPr>
          <w:sz w:val="20"/>
          <w:szCs w:val="20"/>
          <w:color w:val="auto"/>
        </w:rPr>
      </w:pPr>
    </w:p>
    <w:p>
      <w:pPr>
        <w:ind w:right="60" w:firstLine="713"/>
        <w:spacing w:after="0" w:line="254" w:lineRule="auto"/>
        <w:rPr>
          <w:sz w:val="20"/>
          <w:szCs w:val="20"/>
          <w:color w:val="auto"/>
        </w:rPr>
      </w:pPr>
      <w:r>
        <w:rPr>
          <w:rFonts w:ascii="Times New Roman" w:cs="Times New Roman" w:eastAsia="Times New Roman" w:hAnsi="Times New Roman"/>
          <w:sz w:val="20"/>
          <w:szCs w:val="20"/>
          <w:color w:val="auto"/>
        </w:rPr>
        <w:t>The formation of the joint venture was accounted for as a business combination using the acquisition method of accounting. As the majority owner and the controlling entity, we are considered the acquirer and the transfer of our predecessor business to the joint venture was accounted for at historical cost, while the Oryx Midstream predecessor business was recorded based on the fair value of the assets acquired and liabilities assumed. In accordance with applicable accounting guidance, the fair value of Oryx Midstream’s ownership interest in the joint venture following the formation of $3.230 billion is utilized as the consideration transferred for the purchase price allocation.</w:t>
      </w:r>
    </w:p>
    <w:p>
      <w:pPr>
        <w:spacing w:after="0" w:line="203" w:lineRule="exact"/>
        <w:rPr>
          <w:sz w:val="20"/>
          <w:szCs w:val="20"/>
          <w:color w:val="auto"/>
        </w:rPr>
      </w:pPr>
    </w:p>
    <w:p>
      <w:pPr>
        <w:ind w:right="60" w:firstLine="713"/>
        <w:spacing w:after="0" w:line="255" w:lineRule="auto"/>
        <w:rPr>
          <w:sz w:val="20"/>
          <w:szCs w:val="20"/>
          <w:color w:val="auto"/>
        </w:rPr>
      </w:pPr>
      <w:r>
        <w:rPr>
          <w:rFonts w:ascii="Times New Roman" w:cs="Times New Roman" w:eastAsia="Times New Roman" w:hAnsi="Times New Roman"/>
          <w:sz w:val="20"/>
          <w:szCs w:val="20"/>
          <w:color w:val="auto"/>
        </w:rPr>
        <w:t>The combination of the historical cost and fair value, discussed above, resulted in net assets of the joint venture of approximately $7.529 billion upon formation. Oryx Midstream’s 35% interest in the net assets of the Permian JV was recognized as noncontrolling interest in partners’ capital. The difference between the noncontrolling interest recognized and the fair value of Oryx Midstream’s assets acquired and liabilities assumed was recorded as an increase to our partners’ capital excluding noncontrolling interests.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the amounts recognized in partners’ capital associated with this transaction (in millions):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Recognized Amount</w:t>
            </w:r>
          </w:p>
        </w:tc>
      </w:tr>
      <w:tr>
        <w:trPr>
          <w:trHeight w:val="302"/>
        </w:trPr>
        <w:tc>
          <w:tcPr>
            <w:tcW w:w="81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Noncontrolling interests</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2,635</w:t>
            </w:r>
          </w:p>
        </w:tc>
      </w:tr>
      <w:tr>
        <w:trPr>
          <w:trHeight w:val="312"/>
        </w:trPr>
        <w:tc>
          <w:tcPr>
            <w:tcW w:w="8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87"/>
        </w:trPr>
        <w:tc>
          <w:tcPr>
            <w:tcW w:w="814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Partners’ capital, excluding noncontrolling interests</w:t>
            </w:r>
          </w:p>
        </w:tc>
        <w:tc>
          <w:tcPr>
            <w:tcW w:w="240" w:type="dxa"/>
            <w:vAlign w:val="bottom"/>
            <w:tcBorders>
              <w:bottom w:val="single" w:sz="8" w:color="auto"/>
            </w:tcBorders>
            <w:shd w:val="clear" w:color="auto" w:fill="E6E6E6"/>
          </w:tcPr>
          <w:p>
            <w:pPr>
              <w:spacing w:after="0"/>
              <w:rPr>
                <w:sz w:val="24"/>
                <w:szCs w:val="24"/>
                <w:color w:val="auto"/>
              </w:rPr>
            </w:pPr>
          </w:p>
        </w:tc>
        <w:tc>
          <w:tcPr>
            <w:tcW w:w="1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595</w:t>
            </w:r>
          </w:p>
        </w:tc>
      </w:tr>
      <w:tr>
        <w:trPr>
          <w:trHeight w:val="272"/>
        </w:trPr>
        <w:tc>
          <w:tcPr>
            <w:tcW w:w="814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3,230</w:t>
            </w: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5143500</wp:posOffset>
            </wp:positionH>
            <wp:positionV relativeFrom="paragraph">
              <wp:posOffset>-241300</wp:posOffset>
            </wp:positionV>
            <wp:extent cx="1332865" cy="501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94">
                      <a:extLst>
                        <a:ext uri="{28A0092B-C50C-407E-A947-70E740481C1C}"/>
                      </a:extLst>
                    </a:blip>
                    <a:srcRect/>
                    <a:stretch>
                      <a:fillRect/>
                    </a:stretch>
                  </pic:blipFill>
                  <pic:spPr bwMode="auto">
                    <a:xfrm>
                      <a:off x="0" y="0"/>
                      <a:ext cx="1332865" cy="50165"/>
                    </a:xfrm>
                    <a:prstGeom prst="rect">
                      <a:avLst/>
                    </a:prstGeom>
                    <a:noFill/>
                  </pic:spPr>
                </pic:pic>
              </a:graphicData>
            </a:graphic>
          </wp:anchor>
        </w:drawing>
      </w:r>
    </w:p>
    <w:p>
      <w:pPr>
        <w:spacing w:after="0" w:line="225"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The fair value of the $3.230 billion consideration is a Level 3 measurement in the fair value hierarchy and was determined by valuing both the enterprise value of Oryx Midstream’s Permian Basin business and the enterprise value of our Permian Basin assets that were contributed to the joint venture. The enterprise value of Oryx Midstream’s Permian Basin business was calculated by weighting the results of (i) a discounted cash flow approach and (ii) a guideline public company method (“GPCM”). The value of our Permian Basin assets that were contributed to the joint venture was based on a GPCM. The discounted cash flow approach utilized a discount rate of 11.75%, based on our estimate of the risk that a theoretical market participant would assign to the business. The projection of future crude volumes gathered and transported was also a key assumption in the discounted cash flow approach and was based on projected rig activity on the associated acreage. The GPCM applies market multiples to estimated earnings to derive the fair value. The GPCM values for Oryx Midstream’s Permian Basin business and for our Permian Basin assets that were contributed to the joint venture assumed market multiples ranging from 9.5 to 11.0, which were derived from assumptions of market multiples for similar businesses.</w:t>
      </w:r>
    </w:p>
    <w:p>
      <w:pPr>
        <w:spacing w:after="0" w:line="205" w:lineRule="exact"/>
        <w:rPr>
          <w:sz w:val="20"/>
          <w:szCs w:val="20"/>
          <w:color w:val="auto"/>
        </w:rPr>
      </w:pPr>
    </w:p>
    <w:p>
      <w:pPr>
        <w:ind w:right="80" w:firstLine="713"/>
        <w:spacing w:after="0" w:line="263" w:lineRule="auto"/>
        <w:rPr>
          <w:sz w:val="20"/>
          <w:szCs w:val="20"/>
          <w:color w:val="auto"/>
        </w:rPr>
      </w:pPr>
      <w:r>
        <w:rPr>
          <w:rFonts w:ascii="Times New Roman" w:cs="Times New Roman" w:eastAsia="Times New Roman" w:hAnsi="Times New Roman"/>
          <w:sz w:val="20"/>
          <w:szCs w:val="20"/>
          <w:color w:val="auto"/>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Identifiable Assets Acquired and Liabilities Assumed</w:t>
            </w: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Useful Lives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vMerge w:val="restart"/>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Recognized Amount</w:t>
            </w:r>
          </w:p>
        </w:tc>
        <w:tc>
          <w:tcPr>
            <w:tcW w:w="0" w:type="dxa"/>
            <w:vAlign w:val="bottom"/>
          </w:tcPr>
          <w:p>
            <w:pPr>
              <w:spacing w:after="0"/>
              <w:rPr>
                <w:sz w:val="1"/>
                <w:szCs w:val="1"/>
                <w:color w:val="auto"/>
              </w:rPr>
            </w:pPr>
          </w:p>
        </w:tc>
      </w:tr>
      <w:tr>
        <w:trPr>
          <w:trHeight w:val="212"/>
        </w:trPr>
        <w:tc>
          <w:tcPr>
            <w:tcW w:w="5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0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5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Property and equipment</w:t>
            </w:r>
          </w:p>
        </w:tc>
        <w:tc>
          <w:tcPr>
            <w:tcW w:w="2120" w:type="dxa"/>
            <w:vAlign w:val="bottom"/>
            <w:gridSpan w:val="2"/>
            <w:shd w:val="clear" w:color="auto" w:fill="E6E6E6"/>
          </w:tcPr>
          <w:p>
            <w:pPr>
              <w:jc w:val="right"/>
              <w:ind w:right="751"/>
              <w:spacing w:after="0"/>
              <w:rPr>
                <w:sz w:val="20"/>
                <w:szCs w:val="20"/>
                <w:color w:val="auto"/>
              </w:rPr>
            </w:pPr>
            <w:r>
              <w:rPr>
                <w:rFonts w:ascii="Times New Roman" w:cs="Times New Roman" w:eastAsia="Times New Roman" w:hAnsi="Times New Roman"/>
                <w:sz w:val="20"/>
                <w:szCs w:val="20"/>
                <w:color w:val="auto"/>
              </w:rPr>
              <w:t>3-30</w:t>
            </w:r>
          </w:p>
        </w:tc>
        <w:tc>
          <w:tcPr>
            <w:tcW w:w="3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1,886</w:t>
            </w:r>
          </w:p>
        </w:tc>
        <w:tc>
          <w:tcPr>
            <w:tcW w:w="0" w:type="dxa"/>
            <w:vAlign w:val="bottom"/>
          </w:tcPr>
          <w:p>
            <w:pPr>
              <w:spacing w:after="0"/>
              <w:rPr>
                <w:sz w:val="1"/>
                <w:szCs w:val="1"/>
                <w:color w:val="auto"/>
              </w:rPr>
            </w:pPr>
          </w:p>
        </w:tc>
      </w:tr>
      <w:tr>
        <w:trPr>
          <w:trHeight w:val="306"/>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Intangible assets</w:t>
            </w:r>
          </w:p>
        </w:tc>
        <w:tc>
          <w:tcPr>
            <w:tcW w:w="2120" w:type="dxa"/>
            <w:vAlign w:val="bottom"/>
            <w:gridSpan w:val="2"/>
          </w:tcPr>
          <w:p>
            <w:pPr>
              <w:jc w:val="right"/>
              <w:ind w:right="831"/>
              <w:spacing w:after="0"/>
              <w:rPr>
                <w:sz w:val="20"/>
                <w:szCs w:val="20"/>
                <w:color w:val="auto"/>
              </w:rPr>
            </w:pPr>
            <w:r>
              <w:rPr>
                <w:rFonts w:ascii="Times New Roman" w:cs="Times New Roman" w:eastAsia="Times New Roman" w:hAnsi="Times New Roman"/>
                <w:sz w:val="20"/>
                <w:szCs w:val="20"/>
                <w:color w:val="auto"/>
              </w:rPr>
              <w:t>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w:t>
            </w:r>
          </w:p>
        </w:tc>
        <w:tc>
          <w:tcPr>
            <w:tcW w:w="0" w:type="dxa"/>
            <w:vAlign w:val="bottom"/>
          </w:tcPr>
          <w:p>
            <w:pPr>
              <w:spacing w:after="0"/>
              <w:rPr>
                <w:sz w:val="1"/>
                <w:szCs w:val="1"/>
                <w:color w:val="auto"/>
              </w:rPr>
            </w:pPr>
          </w:p>
        </w:tc>
      </w:tr>
      <w:tr>
        <w:trPr>
          <w:trHeight w:val="318"/>
        </w:trPr>
        <w:tc>
          <w:tcPr>
            <w:tcW w:w="59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Investment in unconsolidated entities</w:t>
            </w:r>
          </w:p>
        </w:tc>
        <w:tc>
          <w:tcPr>
            <w:tcW w:w="100" w:type="dxa"/>
            <w:vAlign w:val="bottom"/>
            <w:shd w:val="clear" w:color="auto" w:fill="E6E6E6"/>
          </w:tcPr>
          <w:p>
            <w:pPr>
              <w:spacing w:after="0"/>
              <w:rPr>
                <w:sz w:val="24"/>
                <w:szCs w:val="24"/>
                <w:color w:val="auto"/>
              </w:rPr>
            </w:pPr>
          </w:p>
        </w:tc>
        <w:tc>
          <w:tcPr>
            <w:tcW w:w="20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0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302"/>
        </w:trPr>
        <w:tc>
          <w:tcPr>
            <w:tcW w:w="59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Working capital and other assets and liabilities</w:t>
            </w:r>
          </w:p>
        </w:tc>
        <w:tc>
          <w:tcPr>
            <w:tcW w:w="100" w:type="dxa"/>
            <w:vAlign w:val="bottom"/>
            <w:tcBorders>
              <w:bottom w:val="single" w:sz="8" w:color="E6E6E6"/>
            </w:tcBorders>
          </w:tcPr>
          <w:p>
            <w:pPr>
              <w:spacing w:after="0"/>
              <w:rPr>
                <w:sz w:val="24"/>
                <w:szCs w:val="24"/>
                <w:color w:val="auto"/>
              </w:rPr>
            </w:pPr>
          </w:p>
        </w:tc>
        <w:tc>
          <w:tcPr>
            <w:tcW w:w="2020" w:type="dxa"/>
            <w:vAlign w:val="bottom"/>
            <w:tcBorders>
              <w:bottom w:val="single" w:sz="8" w:color="E6E6E6"/>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0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312"/>
        </w:trPr>
        <w:tc>
          <w:tcPr>
            <w:tcW w:w="592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202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-1033780</wp:posOffset>
            </wp:positionV>
            <wp:extent cx="6500495" cy="501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95">
                      <a:extLst>
                        <a:ext uri="{28A0092B-C50C-407E-A947-70E740481C1C}"/>
                      </a:extLst>
                    </a:blip>
                    <a:srcRect/>
                    <a:stretch>
                      <a:fillRect/>
                    </a:stretch>
                  </pic:blipFill>
                  <pic:spPr bwMode="auto">
                    <a:xfrm>
                      <a:off x="0" y="0"/>
                      <a:ext cx="6500495" cy="50165"/>
                    </a:xfrm>
                    <a:prstGeom prst="rect">
                      <a:avLst/>
                    </a:prstGeom>
                    <a:noFill/>
                  </pic:spPr>
                </pic:pic>
              </a:graphicData>
            </a:graphic>
          </wp:anchor>
        </w:drawing>
        <w:drawing>
          <wp:anchor simplePos="0" relativeHeight="251657728" behindDoc="1" locked="0" layoutInCell="0" allowOverlap="1">
            <wp:simplePos x="0" y="0"/>
            <wp:positionH relativeFrom="column">
              <wp:posOffset>5143500</wp:posOffset>
            </wp:positionH>
            <wp:positionV relativeFrom="paragraph">
              <wp:posOffset>-241300</wp:posOffset>
            </wp:positionV>
            <wp:extent cx="1332865" cy="501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96">
                      <a:extLst>
                        <a:ext uri="{28A0092B-C50C-407E-A947-70E740481C1C}"/>
                      </a:extLst>
                    </a:blip>
                    <a:srcRect/>
                    <a:stretch>
                      <a:fillRect/>
                    </a:stretch>
                  </pic:blipFill>
                  <pic:spPr bwMode="auto">
                    <a:xfrm>
                      <a:off x="0" y="0"/>
                      <a:ext cx="1332865" cy="50165"/>
                    </a:xfrm>
                    <a:prstGeom prst="rect">
                      <a:avLst/>
                    </a:prstGeom>
                    <a:noFill/>
                  </pic:spPr>
                </pic:pic>
              </a:graphicData>
            </a:graphic>
          </wp:anchor>
        </w:drawing>
        <w:drawing>
          <wp:anchor simplePos="0" relativeHeight="251657728" behindDoc="1" locked="0" layoutInCell="0" allowOverlap="1">
            <wp:simplePos x="0" y="0"/>
            <wp:positionH relativeFrom="column">
              <wp:posOffset>5143500</wp:posOffset>
            </wp:positionH>
            <wp:positionV relativeFrom="paragraph">
              <wp:posOffset>-55880</wp:posOffset>
            </wp:positionV>
            <wp:extent cx="1332865" cy="755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97">
                      <a:extLst>
                        <a:ext uri="{28A0092B-C50C-407E-A947-70E740481C1C}"/>
                      </a:extLst>
                    </a:blip>
                    <a:srcRect/>
                    <a:stretch>
                      <a:fillRect/>
                    </a:stretch>
                  </pic:blipFill>
                  <pic:spPr bwMode="auto">
                    <a:xfrm>
                      <a:off x="0" y="0"/>
                      <a:ext cx="1332865" cy="75565"/>
                    </a:xfrm>
                    <a:prstGeom prst="rect">
                      <a:avLst/>
                    </a:prstGeom>
                    <a:noFill/>
                  </pic:spPr>
                </pic:pic>
              </a:graphicData>
            </a:graphic>
          </wp:anchor>
        </w:drawing>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1880" w:h="15480" w:orient="portrait"/>
          <w:cols w:equalWidth="0" w:num="1">
            <w:col w:w="10160"/>
          </w:cols>
          <w:pgMar w:left="860" w:top="435" w:right="860" w:bottom="0" w:gutter="0" w:footer="0" w:header="0"/>
          <w:type w:val="continuous"/>
        </w:sectPr>
      </w:pPr>
    </w:p>
    <w:bookmarkStart w:id="130" w:name="page131"/>
    <w:bookmarkEnd w:id="130"/>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374" w:lineRule="exact"/>
        <w:rPr>
          <w:sz w:val="20"/>
          <w:szCs w:val="20"/>
          <w:color w:val="auto"/>
        </w:rPr>
      </w:pPr>
    </w:p>
    <w:p>
      <w:pPr>
        <w:ind w:right="100" w:firstLine="713"/>
        <w:spacing w:after="0" w:line="254" w:lineRule="auto"/>
        <w:rPr>
          <w:sz w:val="20"/>
          <w:szCs w:val="20"/>
          <w:color w:val="auto"/>
        </w:rPr>
      </w:pPr>
      <w:r>
        <w:rPr>
          <w:rFonts w:ascii="Times New Roman" w:cs="Times New Roman" w:eastAsia="Times New Roman" w:hAnsi="Times New Roman"/>
          <w:sz w:val="20"/>
          <w:szCs w:val="20"/>
          <w:color w:val="auto"/>
        </w:rPr>
        <w:t>The fair value of the tangible assets is a Level 3 measurement in the fair value hierarchy and was determined using a cost approach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16%, based on our estimate of the risk that a theoretical market participant would assign to the respective intangible assets. The projection of future crude oil volumes gathered and transported was also a key assumption in the valuation of the intangible assets and was based on projected rig activity on the associated acreage.</w:t>
      </w:r>
    </w:p>
    <w:p>
      <w:pPr>
        <w:spacing w:after="0" w:line="203" w:lineRule="exact"/>
        <w:rPr>
          <w:sz w:val="20"/>
          <w:szCs w:val="20"/>
          <w:color w:val="auto"/>
        </w:rPr>
      </w:pPr>
    </w:p>
    <w:p>
      <w:pPr>
        <w:ind w:right="60" w:firstLine="713"/>
        <w:spacing w:after="0" w:line="247" w:lineRule="auto"/>
        <w:rPr>
          <w:sz w:val="20"/>
          <w:szCs w:val="20"/>
          <w:color w:val="auto"/>
        </w:rPr>
      </w:pPr>
      <w:r>
        <w:rPr>
          <w:rFonts w:ascii="Times New Roman" w:cs="Times New Roman" w:eastAsia="Times New Roman" w:hAnsi="Times New Roman"/>
          <w:sz w:val="20"/>
          <w:szCs w:val="20"/>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w:t>
      </w:r>
    </w:p>
    <w:p>
      <w:pPr>
        <w:spacing w:after="0" w:line="3"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color w:val="auto"/>
        </w:rPr>
        <w:t>$142 million and $28 million during the years ended December 31, 2022 and 2021, respectively, and the future amortization expense through 2026 is estimated as follows (in millions):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312"/>
        </w:trPr>
        <w:tc>
          <w:tcPr>
            <w:tcW w:w="4280" w:type="dxa"/>
            <w:vAlign w:val="bottom"/>
            <w:shd w:val="clear" w:color="auto" w:fill="E6E6E6"/>
          </w:tcPr>
          <w:p>
            <w:pPr>
              <w:jc w:val="right"/>
              <w:ind w:right="3741"/>
              <w:spacing w:after="0"/>
              <w:rPr>
                <w:sz w:val="20"/>
                <w:szCs w:val="20"/>
                <w:color w:val="auto"/>
              </w:rPr>
            </w:pPr>
            <w:r>
              <w:rPr>
                <w:rFonts w:ascii="Times New Roman" w:cs="Times New Roman" w:eastAsia="Times New Roman" w:hAnsi="Times New Roman"/>
                <w:sz w:val="20"/>
                <w:szCs w:val="20"/>
                <w:color w:val="auto"/>
              </w:rPr>
              <w:t>2023</w:t>
            </w:r>
          </w:p>
        </w:tc>
        <w:tc>
          <w:tcPr>
            <w:tcW w:w="4680" w:type="dxa"/>
            <w:vAlign w:val="bottom"/>
            <w:shd w:val="clear" w:color="auto" w:fill="E6E6E6"/>
          </w:tcPr>
          <w:p>
            <w:pPr>
              <w:jc w:val="right"/>
              <w:ind w:right="64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309"/>
        </w:trPr>
        <w:tc>
          <w:tcPr>
            <w:tcW w:w="4280" w:type="dxa"/>
            <w:vAlign w:val="bottom"/>
          </w:tcPr>
          <w:p>
            <w:pPr>
              <w:jc w:val="right"/>
              <w:ind w:right="3741"/>
              <w:spacing w:after="0"/>
              <w:rPr>
                <w:sz w:val="20"/>
                <w:szCs w:val="20"/>
                <w:color w:val="auto"/>
              </w:rPr>
            </w:pPr>
            <w:r>
              <w:rPr>
                <w:rFonts w:ascii="Times New Roman" w:cs="Times New Roman" w:eastAsia="Times New Roman" w:hAnsi="Times New Roman"/>
                <w:sz w:val="20"/>
                <w:szCs w:val="20"/>
                <w:color w:val="auto"/>
              </w:rPr>
              <w:t>2024</w:t>
            </w:r>
          </w:p>
        </w:tc>
        <w:tc>
          <w:tcPr>
            <w:tcW w:w="468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15"/>
        </w:trPr>
        <w:tc>
          <w:tcPr>
            <w:tcW w:w="4280" w:type="dxa"/>
            <w:vAlign w:val="bottom"/>
            <w:shd w:val="clear" w:color="auto" w:fill="E6E6E6"/>
          </w:tcPr>
          <w:p>
            <w:pPr>
              <w:jc w:val="right"/>
              <w:ind w:right="3741"/>
              <w:spacing w:after="0"/>
              <w:rPr>
                <w:sz w:val="20"/>
                <w:szCs w:val="20"/>
                <w:color w:val="auto"/>
              </w:rPr>
            </w:pPr>
            <w:r>
              <w:rPr>
                <w:rFonts w:ascii="Times New Roman" w:cs="Times New Roman" w:eastAsia="Times New Roman" w:hAnsi="Times New Roman"/>
                <w:sz w:val="20"/>
                <w:szCs w:val="20"/>
                <w:color w:val="auto"/>
              </w:rPr>
              <w:t>2025</w:t>
            </w:r>
          </w:p>
        </w:tc>
        <w:tc>
          <w:tcPr>
            <w:tcW w:w="4680" w:type="dxa"/>
            <w:vAlign w:val="bottom"/>
            <w:shd w:val="clear" w:color="auto" w:fill="E6E6E6"/>
          </w:tcPr>
          <w:p>
            <w:pPr>
              <w:jc w:val="right"/>
              <w:ind w:right="64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300"/>
        </w:trPr>
        <w:tc>
          <w:tcPr>
            <w:tcW w:w="4280" w:type="dxa"/>
            <w:vAlign w:val="bottom"/>
          </w:tcPr>
          <w:p>
            <w:pPr>
              <w:jc w:val="right"/>
              <w:ind w:right="3741"/>
              <w:spacing w:after="0"/>
              <w:rPr>
                <w:sz w:val="20"/>
                <w:szCs w:val="20"/>
                <w:color w:val="auto"/>
              </w:rPr>
            </w:pPr>
            <w:r>
              <w:rPr>
                <w:rFonts w:ascii="Times New Roman" w:cs="Times New Roman" w:eastAsia="Times New Roman" w:hAnsi="Times New Roman"/>
                <w:sz w:val="20"/>
                <w:szCs w:val="20"/>
                <w:color w:val="auto"/>
              </w:rPr>
              <w:t>2026</w:t>
            </w:r>
          </w:p>
        </w:tc>
        <w:tc>
          <w:tcPr>
            <w:tcW w:w="468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bl>
    <w:p>
      <w:pPr>
        <w:spacing w:after="0" w:line="287" w:lineRule="exact"/>
        <w:rPr>
          <w:sz w:val="20"/>
          <w:szCs w:val="20"/>
          <w:color w:val="auto"/>
        </w:rPr>
      </w:pPr>
    </w:p>
    <w:p>
      <w:pPr>
        <w:ind w:right="100" w:firstLine="713"/>
        <w:spacing w:after="0" w:line="263" w:lineRule="auto"/>
        <w:rPr>
          <w:sz w:val="20"/>
          <w:szCs w:val="20"/>
          <w:color w:val="auto"/>
        </w:rPr>
      </w:pPr>
      <w:r>
        <w:rPr>
          <w:rFonts w:ascii="Times New Roman" w:cs="Times New Roman" w:eastAsia="Times New Roman" w:hAnsi="Times New Roman"/>
          <w:sz w:val="20"/>
          <w:szCs w:val="20"/>
          <w:color w:val="auto"/>
        </w:rPr>
        <w:t>During the year ended December 31, 2021, we incurred approximately $17 million of transaction-related costs associated with the joint venture formation transaction. Such costs are reflected as a component of “General and administrative expenses” on our Consolidated Statements of Operations.</w:t>
      </w:r>
    </w:p>
    <w:p>
      <w:pPr>
        <w:spacing w:after="0" w:line="194" w:lineRule="exact"/>
        <w:rPr>
          <w:sz w:val="20"/>
          <w:szCs w:val="20"/>
          <w:color w:val="auto"/>
        </w:rPr>
      </w:pPr>
    </w:p>
    <w:p>
      <w:pPr>
        <w:ind w:right="60" w:firstLine="713"/>
        <w:spacing w:after="0" w:line="254" w:lineRule="auto"/>
        <w:rPr>
          <w:sz w:val="20"/>
          <w:szCs w:val="20"/>
          <w:color w:val="auto"/>
        </w:rPr>
      </w:pPr>
      <w:r>
        <w:rPr>
          <w:rFonts w:ascii="Times New Roman" w:cs="Times New Roman" w:eastAsia="Times New Roman" w:hAnsi="Times New Roman"/>
          <w:sz w:val="20"/>
          <w:szCs w:val="20"/>
          <w:color w:val="auto"/>
        </w:rPr>
        <w:t>Distributions of available cash from the Permian JV to us and Oryx Midstream are subject to a tiered modified sharing arrangement (“MSA”) for up to ten years. Pursuant to the terms of the governing documents for the Permian JV, the MSA will terminate in October 2031, or sooner if Oryx Midstream exercises its right to terminate the MSA at any time by delivery of written notice to us. Upon termination of the MSA, monthly distributions of available cash will be paid 65% to PAA and 35% to Oryx. Through the third quarter of 2022, the Permian JV made quarterly distributions, but starting in December 2022, the Permian JV began making monthly distributions to the members after renegotiation of the MSA.</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Under the MSA, distributions will be allocated as follows (in millions):</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Available Cash</w:t>
            </w:r>
          </w:p>
        </w:tc>
        <w:tc>
          <w:tcPr>
            <w:tcW w:w="402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6"/>
                <w:szCs w:val="16"/>
                <w:b w:val="1"/>
                <w:bCs w:val="1"/>
                <w:color w:val="auto"/>
              </w:rPr>
              <w:t>Distributions Percentages</w:t>
            </w:r>
          </w:p>
        </w:tc>
      </w:tr>
      <w:tr>
        <w:trPr>
          <w:trHeight w:val="233"/>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Tier</w:t>
            </w:r>
          </w:p>
        </w:tc>
        <w:tc>
          <w:tcPr>
            <w:tcW w:w="80" w:type="dxa"/>
            <w:vAlign w:val="bottom"/>
            <w:tcBorders>
              <w:bottom w:val="single" w:sz="8" w:color="E6E6E6"/>
            </w:tcBorders>
          </w:tcPr>
          <w:p>
            <w:pPr>
              <w:spacing w:after="0"/>
              <w:rPr>
                <w:sz w:val="20"/>
                <w:szCs w:val="20"/>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80" w:type="dxa"/>
            <w:vAlign w:val="bottom"/>
            <w:tcBorders>
              <w:bottom w:val="single" w:sz="8" w:color="E6E6E6"/>
            </w:tcBorders>
          </w:tcPr>
          <w:p>
            <w:pPr>
              <w:spacing w:after="0"/>
              <w:rPr>
                <w:sz w:val="20"/>
                <w:szCs w:val="20"/>
                <w:color w:val="auto"/>
              </w:rPr>
            </w:pPr>
          </w:p>
        </w:tc>
        <w:tc>
          <w:tcPr>
            <w:tcW w:w="19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PAA</w:t>
            </w:r>
          </w:p>
        </w:tc>
        <w:tc>
          <w:tcPr>
            <w:tcW w:w="80" w:type="dxa"/>
            <w:vAlign w:val="bottom"/>
            <w:tcBorders>
              <w:bottom w:val="single" w:sz="8" w:color="E6E6E6"/>
            </w:tcBorders>
          </w:tcPr>
          <w:p>
            <w:pPr>
              <w:spacing w:after="0"/>
              <w:rPr>
                <w:sz w:val="20"/>
                <w:szCs w:val="20"/>
                <w:color w:val="auto"/>
              </w:rPr>
            </w:pPr>
          </w:p>
        </w:tc>
        <w:tc>
          <w:tcPr>
            <w:tcW w:w="1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Oryx</w:t>
            </w:r>
          </w:p>
        </w:tc>
      </w:tr>
      <w:tr>
        <w:trPr>
          <w:trHeight w:val="287"/>
        </w:trPr>
        <w:tc>
          <w:tcPr>
            <w:tcW w:w="198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80" w:type="dxa"/>
            <w:vAlign w:val="bottom"/>
            <w:shd w:val="clear" w:color="auto" w:fill="E6E6E6"/>
          </w:tcPr>
          <w:p>
            <w:pPr>
              <w:spacing w:after="0"/>
              <w:rPr>
                <w:sz w:val="24"/>
                <w:szCs w:val="24"/>
                <w:color w:val="auto"/>
              </w:rPr>
            </w:pPr>
          </w:p>
        </w:tc>
        <w:tc>
          <w:tcPr>
            <w:tcW w:w="4040" w:type="dxa"/>
            <w:vAlign w:val="bottom"/>
            <w:gridSpan w:val="2"/>
            <w:shd w:val="clear" w:color="auto" w:fill="E6E6E6"/>
          </w:tcPr>
          <w:p>
            <w:pPr>
              <w:jc w:val="center"/>
              <w:ind w:right="100"/>
              <w:spacing w:after="0"/>
              <w:rPr>
                <w:sz w:val="20"/>
                <w:szCs w:val="20"/>
                <w:color w:val="auto"/>
              </w:rPr>
            </w:pPr>
            <w:r>
              <w:rPr>
                <w:rFonts w:ascii="Times New Roman" w:cs="Times New Roman" w:eastAsia="Times New Roman" w:hAnsi="Times New Roman"/>
                <w:sz w:val="20"/>
                <w:szCs w:val="20"/>
                <w:color w:val="auto"/>
                <w:w w:val="99"/>
              </w:rPr>
              <w:t>Up to $300</w:t>
            </w:r>
          </w:p>
        </w:tc>
        <w:tc>
          <w:tcPr>
            <w:tcW w:w="19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2060" w:type="dxa"/>
            <w:vAlign w:val="bottom"/>
            <w:gridSpan w:val="2"/>
            <w:shd w:val="clear" w:color="auto" w:fill="E6E6E6"/>
          </w:tcPr>
          <w:p>
            <w:pPr>
              <w:ind w:left="900"/>
              <w:spacing w:after="0"/>
              <w:rPr>
                <w:sz w:val="20"/>
                <w:szCs w:val="20"/>
                <w:color w:val="auto"/>
              </w:rPr>
            </w:pPr>
            <w:r>
              <w:rPr>
                <w:rFonts w:ascii="Times New Roman" w:cs="Times New Roman" w:eastAsia="Times New Roman" w:hAnsi="Times New Roman"/>
                <w:sz w:val="20"/>
                <w:szCs w:val="20"/>
                <w:color w:val="auto"/>
              </w:rPr>
              <w:t>50%</w:t>
            </w:r>
          </w:p>
        </w:tc>
      </w:tr>
      <w:tr>
        <w:trPr>
          <w:trHeight w:val="291"/>
        </w:trPr>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4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$300 - $428</w:t>
            </w:r>
          </w:p>
        </w:tc>
        <w:tc>
          <w:tcPr>
            <w:tcW w:w="8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80" w:type="dxa"/>
            <w:vAlign w:val="bottom"/>
          </w:tcPr>
          <w:p>
            <w:pPr>
              <w:spacing w:after="0"/>
              <w:rPr>
                <w:sz w:val="24"/>
                <w:szCs w:val="24"/>
                <w:color w:val="auto"/>
              </w:rPr>
            </w:pPr>
          </w:p>
        </w:tc>
        <w:tc>
          <w:tcPr>
            <w:tcW w:w="19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198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404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$428 - $815</w:t>
            </w:r>
          </w:p>
        </w:tc>
        <w:tc>
          <w:tcPr>
            <w:tcW w:w="80" w:type="dxa"/>
            <w:vAlign w:val="bottom"/>
            <w:shd w:val="clear" w:color="auto" w:fill="E6E6E6"/>
          </w:tcPr>
          <w:p>
            <w:pPr>
              <w:spacing w:after="0"/>
              <w:rPr>
                <w:sz w:val="24"/>
                <w:szCs w:val="24"/>
                <w:color w:val="auto"/>
              </w:rPr>
            </w:pPr>
          </w:p>
        </w:tc>
        <w:tc>
          <w:tcPr>
            <w:tcW w:w="19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65%</w:t>
            </w:r>
          </w:p>
        </w:tc>
        <w:tc>
          <w:tcPr>
            <w:tcW w:w="2060" w:type="dxa"/>
            <w:vAlign w:val="bottom"/>
            <w:gridSpan w:val="2"/>
            <w:shd w:val="clear" w:color="auto" w:fill="E6E6E6"/>
          </w:tcPr>
          <w:p>
            <w:pPr>
              <w:ind w:left="900"/>
              <w:spacing w:after="0"/>
              <w:rPr>
                <w:sz w:val="20"/>
                <w:szCs w:val="20"/>
                <w:color w:val="auto"/>
              </w:rPr>
            </w:pPr>
            <w:r>
              <w:rPr>
                <w:rFonts w:ascii="Times New Roman" w:cs="Times New Roman" w:eastAsia="Times New Roman" w:hAnsi="Times New Roman"/>
                <w:sz w:val="20"/>
                <w:szCs w:val="20"/>
                <w:color w:val="auto"/>
              </w:rPr>
              <w:t>35%</w:t>
            </w:r>
          </w:p>
        </w:tc>
      </w:tr>
      <w:tr>
        <w:trPr>
          <w:trHeight w:val="285"/>
        </w:trPr>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80" w:type="dxa"/>
            <w:vAlign w:val="bottom"/>
          </w:tcPr>
          <w:p>
            <w:pPr>
              <w:spacing w:after="0"/>
              <w:rPr>
                <w:sz w:val="24"/>
                <w:szCs w:val="24"/>
                <w:color w:val="auto"/>
              </w:rPr>
            </w:pPr>
          </w:p>
        </w:tc>
        <w:tc>
          <w:tcPr>
            <w:tcW w:w="404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$815 and above</w:t>
            </w: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70%</w:t>
            </w:r>
          </w:p>
        </w:tc>
        <w:tc>
          <w:tcPr>
            <w:tcW w:w="20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-770890</wp:posOffset>
            </wp:positionV>
            <wp:extent cx="6471920" cy="501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98">
                      <a:extLst>
                        <a:ext uri="{28A0092B-C50C-407E-A947-70E740481C1C}"/>
                      </a:extLst>
                    </a:blip>
                    <a:srcRect/>
                    <a:stretch>
                      <a:fillRect/>
                    </a:stretch>
                  </pic:blipFill>
                  <pic:spPr bwMode="auto">
                    <a:xfrm>
                      <a:off x="0" y="0"/>
                      <a:ext cx="6471920" cy="50165"/>
                    </a:xfrm>
                    <a:prstGeom prst="rect">
                      <a:avLst/>
                    </a:prstGeom>
                    <a:noFill/>
                  </pic:spPr>
                </pic:pic>
              </a:graphicData>
            </a:graphic>
          </wp:anchor>
        </w:drawing>
      </w:r>
    </w:p>
    <w:p>
      <w:pPr>
        <w:spacing w:after="0" w:line="267" w:lineRule="exact"/>
        <w:rPr>
          <w:sz w:val="20"/>
          <w:szCs w:val="20"/>
          <w:color w:val="auto"/>
        </w:rPr>
      </w:pPr>
    </w:p>
    <w:p>
      <w:pPr>
        <w:ind w:firstLine="713"/>
        <w:spacing w:after="0" w:line="263" w:lineRule="auto"/>
        <w:rPr>
          <w:sz w:val="20"/>
          <w:szCs w:val="20"/>
          <w:color w:val="auto"/>
        </w:rPr>
      </w:pPr>
      <w:r>
        <w:rPr>
          <w:rFonts w:ascii="Times New Roman" w:cs="Times New Roman" w:eastAsia="Times New Roman" w:hAnsi="Times New Roman"/>
          <w:sz w:val="20"/>
          <w:szCs w:val="20"/>
          <w:color w:val="auto"/>
        </w:rPr>
        <w:t>Oryx Midstream is a portfolio company of Stonepeak Infrastructure Partners (“Stonepeak”). Affiliates of Stonepeak own approximately 8.9% of our outstanding Series A preferred units, which equates to less than 1% of our outstanding common units and Series A preferred units (our “common unit equivalents”) combined.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 Forma and Other Financial Results</w:t>
      </w:r>
    </w:p>
    <w:p>
      <w:pPr>
        <w:spacing w:after="0" w:line="248" w:lineRule="exact"/>
        <w:rPr>
          <w:sz w:val="20"/>
          <w:szCs w:val="20"/>
          <w:color w:val="auto"/>
        </w:rPr>
      </w:pPr>
    </w:p>
    <w:p>
      <w:pPr>
        <w:ind w:right="20" w:firstLine="713"/>
        <w:spacing w:after="0" w:line="251" w:lineRule="auto"/>
        <w:rPr>
          <w:sz w:val="20"/>
          <w:szCs w:val="20"/>
          <w:color w:val="auto"/>
        </w:rPr>
      </w:pPr>
      <w:r>
        <w:rPr>
          <w:rFonts w:ascii="Times New Roman" w:cs="Times New Roman" w:eastAsia="Times New Roman" w:hAnsi="Times New Roman"/>
          <w:sz w:val="20"/>
          <w:szCs w:val="20"/>
          <w:color w:val="auto"/>
        </w:rPr>
        <w:t>Financial results of the Permian JV have been included in the results of operations within the Crude Oil segment since the date of the formation. Disclosure of the revenues and earnings from the Oryx Midstream predecessor business for the period subsequent to the joint venture formation is not practicable as it is not being operated as a standalone subsidiary. The following selected unaudited pro forma results of operations were derived from the historical financial statements of PAA and Oryx Midstream, and gives effect to the joint venture formation as if it had occurred on January 1, 2020. The pro forma results of operations do not include any cost savings or other synergies that may result from the Permian JV or any estimated costs that have been or will be incurred by us to integrate Oryx Midstream’s assets. These results are not necessarily indicative of the results that might have actually occurred had the merger taken place on January 1, 2020; furthermore, this financial information is not intended to be a projection of future results (in millions, except per unit amounts):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F-27</w:t>
      </w:r>
    </w:p>
    <w:p>
      <w:pPr>
        <w:sectPr>
          <w:pgSz w:w="11880" w:h="15480" w:orient="portrait"/>
          <w:cols w:equalWidth="0" w:num="1">
            <w:col w:w="10160"/>
          </w:cols>
          <w:pgMar w:left="860" w:top="435" w:right="860" w:bottom="0" w:gutter="0" w:footer="0" w:header="0"/>
        </w:sectPr>
      </w:pPr>
    </w:p>
    <w:bookmarkStart w:id="131" w:name="page132"/>
    <w:bookmarkEnd w:id="131"/>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750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75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Total revenues</w:t>
            </w:r>
          </w:p>
        </w:tc>
        <w:tc>
          <w:tcPr>
            <w:tcW w:w="300" w:type="dxa"/>
            <w:vAlign w:val="bottom"/>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42,359</w:t>
            </w:r>
          </w:p>
        </w:tc>
        <w:tc>
          <w:tcPr>
            <w:tcW w:w="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23,536</w:t>
            </w:r>
          </w:p>
        </w:tc>
      </w:tr>
      <w:tr>
        <w:trPr>
          <w:trHeight w:val="291"/>
        </w:trPr>
        <w:tc>
          <w:tcPr>
            <w:tcW w:w="7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income/(loss) attributable to PAA</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(2,898)</w:t>
            </w:r>
          </w:p>
        </w:tc>
      </w:tr>
      <w:tr>
        <w:trPr>
          <w:trHeight w:val="303"/>
        </w:trPr>
        <w:tc>
          <w:tcPr>
            <w:tcW w:w="7500" w:type="dxa"/>
            <w:vAlign w:val="bottom"/>
            <w:shd w:val="clear" w:color="auto" w:fill="E6E6E6"/>
          </w:tcPr>
          <w:p>
            <w:pPr>
              <w:ind w:left="80"/>
              <w:spacing w:after="0"/>
              <w:rPr>
                <w:sz w:val="20"/>
                <w:szCs w:val="20"/>
                <w:color w:val="auto"/>
              </w:rPr>
            </w:pPr>
            <w:r>
              <w:rPr>
                <w:rFonts w:ascii="Times New Roman" w:cs="Times New Roman" w:eastAsia="Times New Roman" w:hAnsi="Times New Roman"/>
                <w:sz w:val="20"/>
                <w:szCs w:val="20"/>
                <w:color w:val="auto"/>
              </w:rPr>
              <w:t>Net income/(loss) allocated to common unitholders</w:t>
            </w:r>
          </w:p>
        </w:tc>
        <w:tc>
          <w:tcPr>
            <w:tcW w:w="300" w:type="dxa"/>
            <w:vAlign w:val="bottom"/>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(3,098)</w:t>
            </w:r>
          </w:p>
        </w:tc>
      </w:tr>
      <w:tr>
        <w:trPr>
          <w:trHeight w:val="285"/>
        </w:trPr>
        <w:tc>
          <w:tcPr>
            <w:tcW w:w="7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Basic and diluted net income/(loss) per common unit</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-770890</wp:posOffset>
            </wp:positionV>
            <wp:extent cx="1737995" cy="501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99">
                      <a:extLst>
                        <a:ext uri="{28A0092B-C50C-407E-A947-70E740481C1C}"/>
                      </a:extLst>
                    </a:blip>
                    <a:srcRect/>
                    <a:stretch>
                      <a:fillRect/>
                    </a:stretch>
                  </pic:blipFill>
                  <pic:spPr bwMode="auto">
                    <a:xfrm>
                      <a:off x="0" y="0"/>
                      <a:ext cx="1737995" cy="5016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Divestitures</w:t>
      </w:r>
    </w:p>
    <w:p>
      <w:pPr>
        <w:spacing w:after="0" w:line="253" w:lineRule="exact"/>
        <w:rPr>
          <w:sz w:val="20"/>
          <w:szCs w:val="20"/>
          <w:color w:val="auto"/>
        </w:rPr>
      </w:pPr>
    </w:p>
    <w:p>
      <w:pPr>
        <w:ind w:right="460" w:firstLine="713"/>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2022, we sold certain non-core assets for total proceeds of $60 million. The assets sold primarily consisted of land and related assets in Long Beach, California, as well as Line 901 and the Sisquoc to Pentland portion of Line 903. These assets were previously reported in our Crude Oil segment. We recognized gains of $61 million related to these asset sales, a portion of which relates to the transfer of an asset retirement obligation to the purchaser. Such amounts are included in “(Gains)/losses on asset sales and asset impairments, net” on our Consolidated Statement of Operations.</w:t>
      </w:r>
    </w:p>
    <w:p>
      <w:pPr>
        <w:spacing w:after="0" w:line="203" w:lineRule="exact"/>
        <w:rPr>
          <w:sz w:val="20"/>
          <w:szCs w:val="20"/>
          <w:color w:val="auto"/>
        </w:rPr>
      </w:pPr>
    </w:p>
    <w:p>
      <w:pPr>
        <w:ind w:right="40" w:firstLine="713"/>
        <w:spacing w:after="0" w:line="252" w:lineRule="auto"/>
        <w:rPr>
          <w:sz w:val="20"/>
          <w:szCs w:val="20"/>
          <w:color w:val="auto"/>
        </w:rPr>
      </w:pPr>
      <w:r>
        <w:rPr>
          <w:rFonts w:ascii="Times New Roman" w:cs="Times New Roman" w:eastAsia="Times New Roman" w:hAnsi="Times New Roman"/>
          <w:sz w:val="20"/>
          <w:szCs w:val="20"/>
          <w:color w:val="auto"/>
        </w:rPr>
        <w:t>In August 2021, we sold our Pine Prairie and Southern Pines natural gas storage facilities, which were included in our Crude Oil segment for periods prior to the sale, for net proceeds of approximately $850 million, including working capital adjustments. Prior to the sale, we classified the assets related to this transaction (primarily “Property and equipment”), valued at the lower of the carrying amount or fair value less costs to sell, of approximately $832 million as assets held for sale with approximately $18 million of deferred losses on hedges remaining in other comprehensive income until the closing of the sale. Upon classification of the assets to held for sale in the second quarter of 2021, we recognized a non-cash impairment loss of $475 million which is included in “(Gains)/losses on asset sales and asset impairments, net” on our Consolidated Statement of Operations.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During the year ended December 31, 2020, we received cash proceeds of $451 million, primarily from the sale of:</w:t>
      </w:r>
    </w:p>
    <w:p>
      <w:pPr>
        <w:spacing w:after="0" w:line="206" w:lineRule="exact"/>
        <w:rPr>
          <w:sz w:val="20"/>
          <w:szCs w:val="20"/>
          <w:color w:val="auto"/>
        </w:rPr>
      </w:pPr>
    </w:p>
    <w:p>
      <w:pPr>
        <w:ind w:left="1080" w:right="560" w:hanging="366"/>
        <w:spacing w:after="0" w:line="278" w:lineRule="auto"/>
        <w:tabs>
          <w:tab w:leader="none" w:pos="10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Los Angeles Basin crude oil terminals previously included in our Crude Oil segment for proceeds of approximately $200 million, subject to certain adjustments;</w:t>
      </w:r>
    </w:p>
    <w:p>
      <w:pPr>
        <w:spacing w:after="0" w:line="140" w:lineRule="exact"/>
        <w:rPr>
          <w:rFonts w:ascii="Times New Roman" w:cs="Times New Roman" w:eastAsia="Times New Roman" w:hAnsi="Times New Roman"/>
          <w:sz w:val="20"/>
          <w:szCs w:val="20"/>
          <w:color w:val="auto"/>
        </w:rPr>
      </w:pPr>
    </w:p>
    <w:p>
      <w:pPr>
        <w:ind w:left="1080" w:right="60" w:hanging="366"/>
        <w:spacing w:after="0" w:line="263" w:lineRule="auto"/>
        <w:tabs>
          <w:tab w:leader="none" w:pos="10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NGL terminals previously included in our NGL segment for proceeds of approximately $163 million (including $22 million related to a multi-year supply agreement related to the sale), subject to certain adjustments; and</w:t>
      </w:r>
    </w:p>
    <w:p>
      <w:pPr>
        <w:spacing w:after="0" w:line="154" w:lineRule="exact"/>
        <w:rPr>
          <w:rFonts w:ascii="Times New Roman" w:cs="Times New Roman" w:eastAsia="Times New Roman" w:hAnsi="Times New Roman"/>
          <w:sz w:val="20"/>
          <w:szCs w:val="20"/>
          <w:color w:val="auto"/>
        </w:rPr>
      </w:pPr>
    </w:p>
    <w:p>
      <w:pPr>
        <w:ind w:left="1080" w:right="240" w:hanging="366"/>
        <w:spacing w:after="0" w:line="278" w:lineRule="auto"/>
        <w:tabs>
          <w:tab w:leader="none" w:pos="10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 ownership interest in Saddlehorn Pipeline Company, LLC (“Saddlehorn”) for proceeds of approximately $78 million, including working capital adjustments (see Note 9 for additional information).</w:t>
      </w:r>
    </w:p>
    <w:p>
      <w:pPr>
        <w:spacing w:after="0" w:line="180" w:lineRule="exact"/>
        <w:rPr>
          <w:sz w:val="20"/>
          <w:szCs w:val="20"/>
          <w:color w:val="auto"/>
        </w:rPr>
      </w:pPr>
    </w:p>
    <w:p>
      <w:pPr>
        <w:ind w:right="40" w:firstLine="713"/>
        <w:spacing w:after="0" w:line="263" w:lineRule="auto"/>
        <w:rPr>
          <w:sz w:val="20"/>
          <w:szCs w:val="20"/>
          <w:color w:val="auto"/>
        </w:rPr>
      </w:pPr>
      <w:r>
        <w:rPr>
          <w:rFonts w:ascii="Times New Roman" w:cs="Times New Roman" w:eastAsia="Times New Roman" w:hAnsi="Times New Roman"/>
          <w:sz w:val="20"/>
          <w:szCs w:val="20"/>
          <w:color w:val="auto"/>
        </w:rPr>
        <w:t>We recognized a loss related to these asset sales of $178 million, including non-cash impairments recognized upon classification to assets held for sale, for the year ended December 31, 2020. Such amount is included in “(Gains)/losses on asset sales and asset impairments, net” on our Consolidated Statement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 Held for Sale</w:t>
      </w:r>
    </w:p>
    <w:p>
      <w:pPr>
        <w:spacing w:after="0" w:line="253" w:lineRule="exact"/>
        <w:rPr>
          <w:sz w:val="20"/>
          <w:szCs w:val="20"/>
          <w:color w:val="auto"/>
        </w:rPr>
      </w:pPr>
    </w:p>
    <w:p>
      <w:pPr>
        <w:ind w:right="20" w:firstLine="713"/>
        <w:spacing w:after="0" w:line="255" w:lineRule="auto"/>
        <w:rPr>
          <w:sz w:val="20"/>
          <w:szCs w:val="20"/>
          <w:color w:val="auto"/>
        </w:rPr>
      </w:pPr>
      <w:r>
        <w:rPr>
          <w:rFonts w:ascii="Times New Roman" w:cs="Times New Roman" w:eastAsia="Times New Roman" w:hAnsi="Times New Roman"/>
          <w:sz w:val="20"/>
          <w:szCs w:val="20"/>
          <w:color w:val="auto"/>
        </w:rPr>
        <w:t>In December 2022, we entered into a definitive agreement to sell our 21% non-operated/undivided joint interest in the Keyera Fort Saskatchewan facility to Keyera Corporation for approximately CAD$365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This transaction closed in February 2023.</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1880" w:h="15480" w:orient="portrait"/>
          <w:cols w:equalWidth="0" w:num="1">
            <w:col w:w="10160"/>
          </w:cols>
          <w:pgMar w:left="860" w:top="435" w:right="860" w:bottom="0" w:gutter="0" w:footer="0" w:header="0"/>
          <w:type w:val="continuous"/>
        </w:sectPr>
      </w:pPr>
    </w:p>
    <w:bookmarkStart w:id="132" w:name="page133"/>
    <w:bookmarkEnd w:id="132"/>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8—Goodwill</w:t>
      </w:r>
    </w:p>
    <w:p>
      <w:pPr>
        <w:spacing w:after="0" w:line="252"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During the first quarter of 2020, we recorded impairment losses of $2.515 billion related to goodwill. Our market capitalization declined significantly during the first quarter driven by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that resulted in expected decreases in future cash flows for certain of our assets, which we concluded was a triggering event that required us to perform a quantitative impairment test as of March 31, 2020, utilizing a discounted cash flow approach. We applied a discount rate of approximately 14% in the determination of the fair value of each of our reporting units, which represented our estimate of the cost of capital of a theoretical market participant as of March 31, 2020. As a result of the impairment test, we concluded that the carrying value of each of our reporting units exceeded their respective fair values, resulting in an impairment charge for the entire goodwill balance for each reporting unit.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9—Investments in Unconsolidated Entities</w:t>
      </w:r>
    </w:p>
    <w:p>
      <w:pPr>
        <w:spacing w:after="0" w:line="252" w:lineRule="exact"/>
        <w:rPr>
          <w:sz w:val="20"/>
          <w:szCs w:val="20"/>
          <w:color w:val="auto"/>
        </w:rPr>
      </w:pPr>
    </w:p>
    <w:p>
      <w:pPr>
        <w:ind w:right="260" w:firstLine="713"/>
        <w:spacing w:after="0" w:line="252" w:lineRule="auto"/>
        <w:rPr>
          <w:sz w:val="20"/>
          <w:szCs w:val="20"/>
          <w:color w:val="auto"/>
        </w:rPr>
      </w:pPr>
      <w:r>
        <w:rPr>
          <w:rFonts w:ascii="Times New Roman" w:cs="Times New Roman" w:eastAsia="Times New Roman" w:hAnsi="Times New Roman"/>
          <w:sz w:val="20"/>
          <w:szCs w:val="20"/>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investments in unconsolidated entities consisted of the following (in millions, except percentage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260" w:type="dxa"/>
            <w:vAlign w:val="bottom"/>
          </w:tcPr>
          <w:p>
            <w:pPr>
              <w:spacing w:after="0"/>
              <w:rPr>
                <w:sz w:val="16"/>
                <w:szCs w:val="16"/>
                <w:color w:val="auto"/>
              </w:rPr>
            </w:pPr>
          </w:p>
        </w:tc>
        <w:tc>
          <w:tcPr>
            <w:tcW w:w="1980" w:type="dxa"/>
            <w:vAlign w:val="bottom"/>
            <w:gridSpan w:val="4"/>
            <w:vMerge w:val="restart"/>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Investment Balance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restart"/>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Interest at</w:t>
            </w:r>
          </w:p>
        </w:tc>
        <w:tc>
          <w:tcPr>
            <w:tcW w:w="260" w:type="dxa"/>
            <w:vAlign w:val="bottom"/>
          </w:tcPr>
          <w:p>
            <w:pPr>
              <w:spacing w:after="0"/>
              <w:rPr>
                <w:sz w:val="5"/>
                <w:szCs w:val="5"/>
                <w:color w:val="auto"/>
              </w:rPr>
            </w:pPr>
          </w:p>
        </w:tc>
        <w:tc>
          <w:tcPr>
            <w:tcW w:w="19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980" w:type="dxa"/>
            <w:vAlign w:val="bottom"/>
            <w:gridSpan w:val="4"/>
            <w:vMerge w:val="restart"/>
          </w:tcPr>
          <w:p>
            <w:pPr>
              <w:jc w:val="right"/>
              <w:ind w:right="56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restart"/>
          </w:tcPr>
          <w:p>
            <w:pPr>
              <w:jc w:val="center"/>
              <w:ind w:right="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6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Entity </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line="20" w:lineRule="exact"/>
              <w:rPr>
                <w:sz w:val="1"/>
                <w:szCs w:val="1"/>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Type of Operation</w:t>
            </w: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vMerge w:val="restart"/>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vMerge w:val="restart"/>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4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BridgeTex Pipeline Company, LLC (“BridgeTex”)</w:t>
            </w:r>
          </w:p>
        </w:tc>
        <w:tc>
          <w:tcPr>
            <w:tcW w:w="80" w:type="dxa"/>
            <w:vAlign w:val="bottom"/>
            <w:shd w:val="clear" w:color="auto" w:fill="E6E6E6"/>
          </w:tcPr>
          <w:p>
            <w:pPr>
              <w:spacing w:after="0"/>
              <w:rPr>
                <w:sz w:val="24"/>
                <w:szCs w:val="24"/>
                <w:color w:val="auto"/>
              </w:rPr>
            </w:pPr>
          </w:p>
        </w:tc>
        <w:tc>
          <w:tcPr>
            <w:tcW w:w="22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20" w:type="dxa"/>
            <w:vAlign w:val="bottom"/>
            <w:gridSpan w:val="2"/>
            <w:shd w:val="clear" w:color="auto" w:fill="E6E6E6"/>
          </w:tcPr>
          <w:p>
            <w:pPr>
              <w:ind w:left="420"/>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34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Cactus II </w:t>
            </w:r>
            <w:r>
              <w:rPr>
                <w:rFonts w:ascii="Times New Roman" w:cs="Times New Roman" w:eastAsia="Times New Roman" w:hAnsi="Times New Roman"/>
                <w:sz w:val="25"/>
                <w:szCs w:val="25"/>
                <w:color w:val="auto"/>
                <w:vertAlign w:val="superscript"/>
              </w:rPr>
              <w:t>(2)</w:t>
            </w:r>
          </w:p>
        </w:tc>
        <w:tc>
          <w:tcPr>
            <w:tcW w:w="8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60" w:type="dxa"/>
            <w:vAlign w:val="bottom"/>
          </w:tcPr>
          <w:p>
            <w:pPr>
              <w:spacing w:after="0"/>
              <w:rPr>
                <w:sz w:val="24"/>
                <w:szCs w:val="24"/>
                <w:color w:val="auto"/>
              </w:rPr>
            </w:pP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Capline Pipeline Company LLC</w:t>
            </w:r>
          </w:p>
        </w:tc>
        <w:tc>
          <w:tcPr>
            <w:tcW w:w="80" w:type="dxa"/>
            <w:vAlign w:val="bottom"/>
            <w:shd w:val="clear" w:color="auto" w:fill="E6E6E6"/>
          </w:tcPr>
          <w:p>
            <w:pPr>
              <w:spacing w:after="0"/>
              <w:rPr>
                <w:sz w:val="24"/>
                <w:szCs w:val="24"/>
                <w:color w:val="auto"/>
              </w:rPr>
            </w:pPr>
          </w:p>
        </w:tc>
        <w:tc>
          <w:tcPr>
            <w:tcW w:w="22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20" w:type="dxa"/>
            <w:vAlign w:val="bottom"/>
            <w:gridSpan w:val="2"/>
            <w:shd w:val="clear" w:color="auto" w:fill="E6E6E6"/>
          </w:tcPr>
          <w:p>
            <w:pPr>
              <w:ind w:left="420"/>
              <w:spacing w:after="0"/>
              <w:rPr>
                <w:sz w:val="20"/>
                <w:szCs w:val="20"/>
                <w:color w:val="auto"/>
              </w:rPr>
            </w:pPr>
            <w:r>
              <w:rPr>
                <w:rFonts w:ascii="Times New Roman" w:cs="Times New Roman" w:eastAsia="Times New Roman" w:hAnsi="Times New Roman"/>
                <w:sz w:val="20"/>
                <w:szCs w:val="20"/>
                <w:color w:val="auto"/>
              </w:rPr>
              <w:t>54%</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539</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531</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Diamond Pipeline LLC (“Diamond”)</w:t>
            </w:r>
          </w:p>
        </w:tc>
        <w:tc>
          <w:tcPr>
            <w:tcW w:w="8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4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Eagle Ford Pipeline LLC (“Eagle Ford Pipeline”)</w:t>
            </w:r>
          </w:p>
        </w:tc>
        <w:tc>
          <w:tcPr>
            <w:tcW w:w="80" w:type="dxa"/>
            <w:vAlign w:val="bottom"/>
            <w:shd w:val="clear" w:color="auto" w:fill="E6E6E6"/>
          </w:tcPr>
          <w:p>
            <w:pPr>
              <w:spacing w:after="0"/>
              <w:rPr>
                <w:sz w:val="24"/>
                <w:szCs w:val="24"/>
                <w:color w:val="auto"/>
              </w:rPr>
            </w:pPr>
          </w:p>
        </w:tc>
        <w:tc>
          <w:tcPr>
            <w:tcW w:w="22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20" w:type="dxa"/>
            <w:vAlign w:val="bottom"/>
            <w:gridSpan w:val="2"/>
            <w:shd w:val="clear" w:color="auto" w:fill="E6E6E6"/>
          </w:tcPr>
          <w:p>
            <w:pPr>
              <w:ind w:left="420"/>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gridSpan w:val="2"/>
          </w:tcPr>
          <w:p>
            <w:pPr>
              <w:ind w:left="60"/>
              <w:spacing w:after="0" w:line="220" w:lineRule="exact"/>
              <w:rPr>
                <w:sz w:val="20"/>
                <w:szCs w:val="20"/>
                <w:color w:val="auto"/>
              </w:rPr>
            </w:pPr>
            <w:r>
              <w:rPr>
                <w:rFonts w:ascii="Times New Roman" w:cs="Times New Roman" w:eastAsia="Times New Roman" w:hAnsi="Times New Roman"/>
                <w:sz w:val="20"/>
                <w:szCs w:val="20"/>
                <w:color w:val="auto"/>
              </w:rPr>
              <w:t>Eagle Ford Terminals Corpus Christi LLC (“Eagle</w:t>
            </w:r>
          </w:p>
        </w:tc>
        <w:tc>
          <w:tcPr>
            <w:tcW w:w="80" w:type="dxa"/>
            <w:vAlign w:val="bottom"/>
          </w:tcPr>
          <w:p>
            <w:pPr>
              <w:spacing w:after="0"/>
              <w:rPr>
                <w:sz w:val="19"/>
                <w:szCs w:val="19"/>
                <w:color w:val="auto"/>
              </w:rPr>
            </w:pPr>
          </w:p>
        </w:tc>
        <w:tc>
          <w:tcPr>
            <w:tcW w:w="22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Crude Oil Terminal and</w:t>
            </w:r>
          </w:p>
        </w:tc>
        <w:tc>
          <w:tcPr>
            <w:tcW w:w="112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Ford Terminals”)</w:t>
            </w:r>
          </w:p>
        </w:tc>
        <w:tc>
          <w:tcPr>
            <w:tcW w:w="8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Dock</w:t>
            </w:r>
          </w:p>
        </w:tc>
        <w:tc>
          <w:tcPr>
            <w:tcW w:w="112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44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OMOG JV LLC (“OMOG”) </w:t>
            </w:r>
            <w:r>
              <w:rPr>
                <w:rFonts w:ascii="Times New Roman" w:cs="Times New Roman" w:eastAsia="Times New Roman" w:hAnsi="Times New Roman"/>
                <w:sz w:val="25"/>
                <w:szCs w:val="25"/>
                <w:color w:val="auto"/>
                <w:vertAlign w:val="superscript"/>
              </w:rPr>
              <w:t>(3)</w:t>
            </w:r>
          </w:p>
        </w:tc>
        <w:tc>
          <w:tcPr>
            <w:tcW w:w="80" w:type="dxa"/>
            <w:vAlign w:val="bottom"/>
            <w:shd w:val="clear" w:color="auto" w:fill="E6E6E6"/>
          </w:tcPr>
          <w:p>
            <w:pPr>
              <w:spacing w:after="0"/>
              <w:rPr>
                <w:sz w:val="24"/>
                <w:szCs w:val="24"/>
                <w:color w:val="auto"/>
              </w:rPr>
            </w:pPr>
          </w:p>
        </w:tc>
        <w:tc>
          <w:tcPr>
            <w:tcW w:w="22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20" w:type="dxa"/>
            <w:vAlign w:val="bottom"/>
            <w:gridSpan w:val="2"/>
            <w:shd w:val="clear" w:color="auto" w:fill="E6E6E6"/>
          </w:tcPr>
          <w:p>
            <w:pPr>
              <w:ind w:left="420"/>
              <w:spacing w:after="0"/>
              <w:rPr>
                <w:sz w:val="20"/>
                <w:szCs w:val="20"/>
                <w:color w:val="auto"/>
              </w:rPr>
            </w:pPr>
            <w:r>
              <w:rPr>
                <w:rFonts w:ascii="Times New Roman" w:cs="Times New Roman" w:eastAsia="Times New Roman" w:hAnsi="Times New Roman"/>
                <w:sz w:val="20"/>
                <w:szCs w:val="20"/>
                <w:color w:val="auto"/>
              </w:rPr>
              <w:t>57%</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Saddlehorn</w:t>
            </w:r>
          </w:p>
        </w:tc>
        <w:tc>
          <w:tcPr>
            <w:tcW w:w="8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4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White Cliffs Pipeline, LLC</w:t>
            </w:r>
          </w:p>
        </w:tc>
        <w:tc>
          <w:tcPr>
            <w:tcW w:w="80" w:type="dxa"/>
            <w:vAlign w:val="bottom"/>
            <w:shd w:val="clear" w:color="auto" w:fill="E6E6E6"/>
          </w:tcPr>
          <w:p>
            <w:pPr>
              <w:spacing w:after="0"/>
              <w:rPr>
                <w:sz w:val="24"/>
                <w:szCs w:val="24"/>
                <w:color w:val="auto"/>
              </w:rPr>
            </w:pPr>
          </w:p>
        </w:tc>
        <w:tc>
          <w:tcPr>
            <w:tcW w:w="22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20" w:type="dxa"/>
            <w:vAlign w:val="bottom"/>
            <w:gridSpan w:val="2"/>
            <w:shd w:val="clear" w:color="auto" w:fill="E6E6E6"/>
          </w:tcPr>
          <w:p>
            <w:pPr>
              <w:ind w:left="420"/>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Wink to Webster Pipeline LLC (“W2W Pipeline”) </w:t>
            </w:r>
            <w:r>
              <w:rPr>
                <w:rFonts w:ascii="Times New Roman" w:cs="Times New Roman" w:eastAsia="Times New Roman" w:hAnsi="Times New Roman"/>
                <w:sz w:val="25"/>
                <w:szCs w:val="25"/>
                <w:color w:val="auto"/>
                <w:vertAlign w:val="superscript"/>
              </w:rPr>
              <w:t>(4)</w:t>
            </w:r>
          </w:p>
        </w:tc>
        <w:tc>
          <w:tcPr>
            <w:tcW w:w="8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Crude Oil Pipeline</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400" w:type="dxa"/>
            <w:vAlign w:val="bottom"/>
            <w:tcBorders>
              <w:bottom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Other investments </w:t>
            </w:r>
            <w:r>
              <w:rPr>
                <w:rFonts w:ascii="Times New Roman" w:cs="Times New Roman" w:eastAsia="Times New Roman" w:hAnsi="Times New Roman"/>
                <w:sz w:val="25"/>
                <w:szCs w:val="25"/>
                <w:color w:val="auto"/>
                <w:vertAlign w:val="superscript"/>
              </w:rPr>
              <w:t>(5)</w:t>
            </w:r>
          </w:p>
        </w:tc>
        <w:tc>
          <w:tcPr>
            <w:tcW w:w="80" w:type="dxa"/>
            <w:vAlign w:val="bottom"/>
            <w:tcBorders>
              <w:bottom w:val="single" w:sz="8" w:color="E6E6E6"/>
            </w:tcBorders>
            <w:shd w:val="clear" w:color="auto" w:fill="E6E6E6"/>
          </w:tcPr>
          <w:p>
            <w:pPr>
              <w:spacing w:after="0"/>
              <w:rPr>
                <w:sz w:val="24"/>
                <w:szCs w:val="24"/>
                <w:color w:val="auto"/>
              </w:rPr>
            </w:pPr>
          </w:p>
        </w:tc>
        <w:tc>
          <w:tcPr>
            <w:tcW w:w="22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Total Investments in Unconsolidated Entities</w:t>
            </w:r>
          </w:p>
        </w:tc>
        <w:tc>
          <w:tcPr>
            <w:tcW w:w="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34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-2526665</wp:posOffset>
            </wp:positionV>
            <wp:extent cx="6471920" cy="501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00">
                      <a:extLst>
                        <a:ext uri="{28A0092B-C50C-407E-A947-70E740481C1C}"/>
                      </a:extLst>
                    </a:blip>
                    <a:srcRect/>
                    <a:stretch>
                      <a:fillRect/>
                    </a:stretch>
                  </pic:blipFill>
                  <pic:spPr bwMode="auto">
                    <a:xfrm>
                      <a:off x="0" y="0"/>
                      <a:ext cx="6471920" cy="50165"/>
                    </a:xfrm>
                    <a:prstGeom prst="rect">
                      <a:avLst/>
                    </a:prstGeom>
                    <a:noFill/>
                  </pic:spPr>
                </pic:pic>
              </a:graphicData>
            </a:graphic>
          </wp:anchor>
        </w:drawing>
        <w:drawing>
          <wp:anchor simplePos="0" relativeHeight="251657728" behindDoc="1" locked="0" layoutInCell="0" allowOverlap="1">
            <wp:simplePos x="0" y="0"/>
            <wp:positionH relativeFrom="column">
              <wp:posOffset>4987290</wp:posOffset>
            </wp:positionH>
            <wp:positionV relativeFrom="paragraph">
              <wp:posOffset>-329565</wp:posOffset>
            </wp:positionV>
            <wp:extent cx="1474470" cy="501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01">
                      <a:extLst>
                        <a:ext uri="{28A0092B-C50C-407E-A947-70E740481C1C}"/>
                      </a:extLst>
                    </a:blip>
                    <a:srcRect/>
                    <a:stretch>
                      <a:fillRect/>
                    </a:stretch>
                  </pic:blipFill>
                  <pic:spPr bwMode="auto">
                    <a:xfrm>
                      <a:off x="0" y="0"/>
                      <a:ext cx="1474470" cy="5016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-153670</wp:posOffset>
            </wp:positionV>
            <wp:extent cx="738505" cy="755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02">
                      <a:extLst>
                        <a:ext uri="{28A0092B-C50C-407E-A947-70E740481C1C}"/>
                      </a:extLst>
                    </a:blip>
                    <a:srcRect/>
                    <a:stretch>
                      <a:fillRect/>
                    </a:stretch>
                  </pic:blipFill>
                  <pic:spPr bwMode="auto">
                    <a:xfrm>
                      <a:off x="0" y="0"/>
                      <a:ext cx="738505" cy="75565"/>
                    </a:xfrm>
                    <a:prstGeom prst="rect">
                      <a:avLst/>
                    </a:prstGeom>
                    <a:noFill/>
                  </pic:spPr>
                </pic:pic>
              </a:graphicData>
            </a:graphic>
          </wp:anchor>
        </w:drawing>
      </w:r>
    </w:p>
    <w:p>
      <w:pPr>
        <w:sectPr>
          <w:pgSz w:w="11880" w:h="15480" w:orient="portrait"/>
          <w:cols w:equalWidth="0" w:num="1">
            <w:col w:w="10140"/>
          </w:cols>
          <w:pgMar w:left="860" w:top="435" w:right="880" w:bottom="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financial results from these entities are reported in our Crude Oil segment.</w:t>
      </w:r>
    </w:p>
    <w:p>
      <w:pPr>
        <w:spacing w:after="0" w:line="126"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0"/>
          <w:szCs w:val="20"/>
          <w:color w:val="auto"/>
        </w:rPr>
        <w:t>In November 2022, we acquired an additional 5% interest in Cactus II which, combined with changes in governance, resulted in our obtaining control of the entity. We now reflect Cactus II as a consolidated subsidiary in our Consolidated Financial Statements. See Note 7 for additional information.</w:t>
      </w:r>
    </w:p>
    <w:p>
      <w:pPr>
        <w:spacing w:after="0" w:line="7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0"/>
          <w:szCs w:val="20"/>
          <w:color w:val="auto"/>
        </w:rPr>
        <w:t>In November 2022, we acquired an additional interest in OMOG. Although we own greater than 50% of OMOG, we use the equity method to account for the investment because the joint venture partner still retains substantive participating rights.</w:t>
      </w:r>
    </w:p>
    <w:p>
      <w:pPr>
        <w:spacing w:after="0" w:line="7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Although we own less than 20% of W2W Pipeline, we use the equity method to account for the investment because we believe we have significant influence over the financial and operating decisions of the company.</w:t>
      </w:r>
    </w:p>
    <w:p>
      <w:pPr>
        <w:spacing w:after="0" w:line="240"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F-29</w:t>
      </w:r>
    </w:p>
    <w:p>
      <w:pPr>
        <w:sectPr>
          <w:pgSz w:w="11880" w:h="15480" w:orient="portrait"/>
          <w:cols w:equalWidth="0" w:num="2">
            <w:col w:w="160" w:space="560"/>
            <w:col w:w="9420"/>
          </w:cols>
          <w:pgMar w:left="860" w:top="435" w:right="880" w:bottom="0" w:gutter="0" w:footer="0" w:header="0"/>
          <w:type w:val="continuous"/>
        </w:sectPr>
      </w:pPr>
    </w:p>
    <w:bookmarkStart w:id="133" w:name="page134"/>
    <w:bookmarkEnd w:id="133"/>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left="720" w:right="580" w:hanging="719"/>
        <w:spacing w:after="0" w:line="225" w:lineRule="auto"/>
        <w:tabs>
          <w:tab w:leader="none" w:pos="720" w:val="left"/>
        </w:tabs>
        <w:numPr>
          <w:ilvl w:val="0"/>
          <w:numId w:val="9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July 2022, we acquired the remaining 50% interest in Advantage. Prior to the acquisition, our 50% interest in Advantage was accounted for as an equity method investment. See Note 7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253" w:lineRule="exact"/>
        <w:rPr>
          <w:sz w:val="20"/>
          <w:szCs w:val="20"/>
          <w:color w:val="auto"/>
        </w:rPr>
      </w:pPr>
    </w:p>
    <w:p>
      <w:pPr>
        <w:ind w:right="40" w:firstLine="713"/>
        <w:spacing w:after="0" w:line="254" w:lineRule="auto"/>
        <w:rPr>
          <w:sz w:val="20"/>
          <w:szCs w:val="20"/>
          <w:color w:val="auto"/>
        </w:rPr>
      </w:pPr>
      <w:r>
        <w:rPr>
          <w:rFonts w:ascii="Times New Roman" w:cs="Times New Roman" w:eastAsia="Times New Roman" w:hAnsi="Times New Roman"/>
          <w:sz w:val="20"/>
          <w:szCs w:val="20"/>
          <w:color w:val="auto"/>
        </w:rPr>
        <w:t>During the fourth quarter of 2022, through a non-monetary transaction, we acquired an additional interest in OMOG in exchange for the contribution of portions of two pipeline systems. Subsequent to the transaction, our ownership interest in OMOG increased to 57% from 40%. We continue to account for OMOG as an equity method investment. The transaction resulted in a loss of approximately $25 million, which represents the difference between the fair value and historical book value of the assets contributed. This loss is reflected in “Gains (losses) on/(impairment of) investments in unconsolidated entities, net” on our Consolidated Statement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Impairments</w:t>
      </w:r>
    </w:p>
    <w:p>
      <w:pPr>
        <w:spacing w:after="0" w:line="253" w:lineRule="exact"/>
        <w:rPr>
          <w:sz w:val="20"/>
          <w:szCs w:val="20"/>
          <w:color w:val="auto"/>
        </w:rPr>
      </w:pPr>
    </w:p>
    <w:p>
      <w:pPr>
        <w:ind w:right="680" w:firstLine="713"/>
        <w:spacing w:after="0" w:line="263" w:lineRule="auto"/>
        <w:rPr>
          <w:sz w:val="20"/>
          <w:szCs w:val="20"/>
          <w:color w:val="auto"/>
        </w:rPr>
      </w:pPr>
      <w:r>
        <w:rPr>
          <w:rFonts w:ascii="Times New Roman" w:cs="Times New Roman" w:eastAsia="Times New Roman" w:hAnsi="Times New Roman"/>
          <w:sz w:val="20"/>
          <w:szCs w:val="20"/>
          <w:color w:val="auto"/>
        </w:rPr>
        <w:t>During the year ended December 31, 2020, we recognized losses as a result of the write-down of certain of our investments in unconsolidated entities, as discussed further below. Such amounts are reflected in “Gains (losses) on/ (impairment of) investments in unconsolidated entities, net” on our Consolidated Statement of Operations.</w:t>
      </w:r>
    </w:p>
    <w:p>
      <w:pPr>
        <w:spacing w:after="0" w:line="191" w:lineRule="exact"/>
        <w:rPr>
          <w:sz w:val="20"/>
          <w:szCs w:val="20"/>
          <w:color w:val="auto"/>
        </w:rPr>
      </w:pPr>
    </w:p>
    <w:p>
      <w:pPr>
        <w:ind w:right="40" w:firstLine="713"/>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STACK. </w:t>
      </w:r>
      <w:r>
        <w:rPr>
          <w:rFonts w:ascii="Times New Roman" w:cs="Times New Roman" w:eastAsia="Times New Roman" w:hAnsi="Times New Roman"/>
          <w:sz w:val="20"/>
          <w:szCs w:val="20"/>
          <w:color w:val="auto"/>
        </w:rPr>
        <w:t>During the third quarter of 2020, we determined that there was an other-than-temporary impairment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 in STACK Pipeline LLC as a result of a continued decline of drilling activity and related volumes of crude oil in its area of operation. We recognized a loss of $91 million related to the write-down of the portion of the carrying amount of our investment that exceeded its fair value. The estimated fair value (which we consider a Level 3 measurement in the fair value hierarchy) was based on a discounted cash flow approach utilizing various assumptions and the application of a discount rate of approximately 14%, which represented our estimate of the cost of capital of a theoretical market participant. Such assumptions included (but were not limited to) (i)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03" w:lineRule="exact"/>
        <w:rPr>
          <w:sz w:val="20"/>
          <w:szCs w:val="20"/>
          <w:color w:val="auto"/>
        </w:rPr>
      </w:pPr>
    </w:p>
    <w:p>
      <w:pPr>
        <w:ind w:firstLine="713"/>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Red Oak</w:t>
      </w:r>
      <w:r>
        <w:rPr>
          <w:rFonts w:ascii="Times New Roman" w:cs="Times New Roman" w:eastAsia="Times New Roman" w:hAnsi="Times New Roman"/>
          <w:sz w:val="20"/>
          <w:szCs w:val="20"/>
          <w:color w:val="auto"/>
        </w:rPr>
        <w:t>. In June 2019, we formed Red Oak Pipeline LLC (“Red Oak”), a joint venture with a subsidiary of Phillips 66</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in which we own a 50% interest, to develop a new crude oil pipeline project. In 2020, the partners of Red Oak determined that the project would not proceed as previously contemplated. We determined that there was an other-than-temporary impairment of our investment in Red Oak, and we recognized a loss of $69 million related to the write-down of our investment in Red Oak to the estimated residual value of our share of the net assets during the second quarter of 2020.</w:t>
      </w:r>
    </w:p>
    <w:p>
      <w:pPr>
        <w:spacing w:after="0" w:line="199" w:lineRule="exact"/>
        <w:rPr>
          <w:sz w:val="20"/>
          <w:szCs w:val="20"/>
          <w:color w:val="auto"/>
        </w:rPr>
      </w:pPr>
    </w:p>
    <w:p>
      <w:pPr>
        <w:ind w:right="80" w:firstLine="713"/>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investments. </w:t>
      </w:r>
      <w:r>
        <w:rPr>
          <w:rFonts w:ascii="Times New Roman" w:cs="Times New Roman" w:eastAsia="Times New Roman" w:hAnsi="Times New Roman"/>
          <w:sz w:val="20"/>
          <w:szCs w:val="20"/>
          <w:color w:val="auto"/>
        </w:rPr>
        <w:t>During the first quarter of 2020, we also recognized a loss of $43 million related to the write-down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certain of our investments included in “Other investments” in the table above due to an other-than-temporary impairment related to a decline in market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Divestitures</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Saddlehorn. </w:t>
      </w:r>
      <w:r>
        <w:rPr>
          <w:rFonts w:ascii="Times New Roman" w:cs="Times New Roman" w:eastAsia="Times New Roman" w:hAnsi="Times New Roman"/>
          <w:sz w:val="20"/>
          <w:szCs w:val="20"/>
          <w:color w:val="auto"/>
        </w:rPr>
        <w:t>In February 2020, we sold a 10% ownership interest in Saddlehorn for proceeds of approximately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$78 million. We recorded a gain of approximately $21 million related to this sale, which is included in “Gains (losses) 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(impairment of) investments in unconsolidated entities, net” on our Consolidated Statement of Operations. We continue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 for our remaining 30% interest in Saddlehorn under the equity method of accounting.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Distributions</w:t>
      </w:r>
    </w:p>
    <w:p>
      <w:pPr>
        <w:spacing w:after="0" w:line="253" w:lineRule="exact"/>
        <w:rPr>
          <w:sz w:val="20"/>
          <w:szCs w:val="20"/>
          <w:color w:val="auto"/>
        </w:rPr>
      </w:pPr>
    </w:p>
    <w:p>
      <w:pPr>
        <w:ind w:right="140" w:firstLine="713"/>
        <w:spacing w:after="0" w:line="254" w:lineRule="auto"/>
        <w:rPr>
          <w:sz w:val="20"/>
          <w:szCs w:val="20"/>
          <w:color w:val="auto"/>
        </w:rPr>
      </w:pPr>
      <w:r>
        <w:rPr>
          <w:rFonts w:ascii="Times New Roman" w:cs="Times New Roman" w:eastAsia="Times New Roman" w:hAnsi="Times New Roman"/>
          <w:sz w:val="20"/>
          <w:szCs w:val="20"/>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1880" w:h="15480" w:orient="portrait"/>
          <w:cols w:equalWidth="0" w:num="1">
            <w:col w:w="10160"/>
          </w:cols>
          <w:pgMar w:left="860" w:top="435" w:right="860" w:bottom="0" w:gutter="0" w:footer="0" w:header="0"/>
          <w:type w:val="continuous"/>
        </w:sectPr>
      </w:pPr>
    </w:p>
    <w:bookmarkStart w:id="134" w:name="page135"/>
    <w:bookmarkEnd w:id="134"/>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Contributions</w:t>
      </w:r>
    </w:p>
    <w:p>
      <w:pPr>
        <w:spacing w:after="0" w:line="253" w:lineRule="exact"/>
        <w:rPr>
          <w:sz w:val="20"/>
          <w:szCs w:val="20"/>
          <w:color w:val="auto"/>
        </w:rPr>
      </w:pPr>
    </w:p>
    <w:p>
      <w:pPr>
        <w:ind w:right="580" w:firstLine="713"/>
        <w:spacing w:after="0" w:line="269" w:lineRule="auto"/>
        <w:rPr>
          <w:sz w:val="20"/>
          <w:szCs w:val="20"/>
          <w:color w:val="auto"/>
        </w:rPr>
      </w:pPr>
      <w:r>
        <w:rPr>
          <w:rFonts w:ascii="Times New Roman" w:cs="Times New Roman" w:eastAsia="Times New Roman" w:hAnsi="Times New Roman"/>
          <w:sz w:val="19"/>
          <w:szCs w:val="19"/>
          <w:color w:val="auto"/>
        </w:rPr>
        <w:t>We generally fund our portion of development, construction or capital investment projects of our equity method investees through capital contributions. During the years ended December 31, 2022, 2021 and 2020, we made cash contributions of $13 million, $82 million and $445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Differences</w:t>
      </w:r>
    </w:p>
    <w:p>
      <w:pPr>
        <w:spacing w:after="0" w:line="253"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color w:val="auto"/>
        </w:rPr>
        <w:t>Our investments in unconsolidated entities exceeded our share of the underlying equity in the net assets of such entities by $204 million and $223 million at December 31, 2022 and 2021,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2022 and 2021 was attributable to goodwill related to our ownership interest in BridgeTex and Capline LLC with the remaining basis difference primarily related to capitalized interest incurred during construction of the assets of our unconsolidated entities.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Summarized Financial Information of Unconsolidated Entities</w:t>
      </w:r>
    </w:p>
    <w:p>
      <w:pPr>
        <w:spacing w:after="0" w:line="253" w:lineRule="exact"/>
        <w:rPr>
          <w:sz w:val="20"/>
          <w:szCs w:val="20"/>
          <w:color w:val="auto"/>
        </w:rPr>
      </w:pPr>
    </w:p>
    <w:p>
      <w:pPr>
        <w:ind w:right="400" w:firstLine="713"/>
        <w:spacing w:after="0" w:line="278" w:lineRule="auto"/>
        <w:rPr>
          <w:sz w:val="20"/>
          <w:szCs w:val="20"/>
          <w:color w:val="auto"/>
        </w:rPr>
      </w:pPr>
      <w:r>
        <w:rPr>
          <w:rFonts w:ascii="Times New Roman" w:cs="Times New Roman" w:eastAsia="Times New Roman" w:hAnsi="Times New Roman"/>
          <w:sz w:val="20"/>
          <w:szCs w:val="20"/>
          <w:color w:val="auto"/>
        </w:rPr>
        <w:t>Combined summarized financial information for all of our unconsolidated entities is shown in the tables below (in millions). None of our unconsolidated entities have noncontrolling interests.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r>
      <w:tr>
        <w:trPr>
          <w:trHeight w:val="232"/>
        </w:trPr>
        <w:tc>
          <w:tcPr>
            <w:tcW w:w="6120" w:type="dxa"/>
            <w:vAlign w:val="bottom"/>
            <w:tcBorders>
              <w:bottom w:val="single" w:sz="8" w:color="E6E6E6"/>
            </w:tcBorders>
          </w:tcPr>
          <w:p>
            <w:pPr>
              <w:spacing w:after="0"/>
              <w:rPr>
                <w:sz w:val="20"/>
                <w:szCs w:val="20"/>
                <w:color w:val="auto"/>
              </w:rPr>
            </w:pPr>
          </w:p>
        </w:tc>
        <w:tc>
          <w:tcPr>
            <w:tcW w:w="320" w:type="dxa"/>
            <w:vAlign w:val="bottom"/>
            <w:tcBorders>
              <w:bottom w:val="single" w:sz="8" w:color="E6E6E6"/>
            </w:tcBorders>
          </w:tcPr>
          <w:p>
            <w:pPr>
              <w:spacing w:after="0"/>
              <w:rPr>
                <w:sz w:val="20"/>
                <w:szCs w:val="20"/>
                <w:color w:val="auto"/>
              </w:rPr>
            </w:pPr>
          </w:p>
        </w:tc>
        <w:tc>
          <w:tcPr>
            <w:tcW w:w="980" w:type="dxa"/>
            <w:vAlign w:val="bottom"/>
            <w:tcBorders>
              <w:bottom w:val="single" w:sz="8" w:color="E6E6E6"/>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87"/>
        </w:trPr>
        <w:tc>
          <w:tcPr>
            <w:tcW w:w="61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Current assets</w:t>
            </w: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54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509</w:t>
            </w:r>
          </w:p>
        </w:tc>
      </w:tr>
      <w:tr>
        <w:trPr>
          <w:trHeight w:val="291"/>
        </w:trPr>
        <w:tc>
          <w:tcPr>
            <w:tcW w:w="6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Noncurrent assets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7,579</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8,879</w:t>
            </w:r>
          </w:p>
        </w:tc>
      </w:tr>
      <w:tr>
        <w:trPr>
          <w:trHeight w:val="303"/>
        </w:trPr>
        <w:tc>
          <w:tcPr>
            <w:tcW w:w="61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Current liabilities</w:t>
            </w: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54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366</w:t>
            </w:r>
          </w:p>
        </w:tc>
      </w:tr>
      <w:tr>
        <w:trPr>
          <w:trHeight w:val="285"/>
        </w:trPr>
        <w:tc>
          <w:tcPr>
            <w:tcW w:w="6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Noncurrent liabilities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591"/>
        </w:trPr>
        <w:tc>
          <w:tcPr>
            <w:tcW w:w="6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32"/>
        </w:trPr>
        <w:tc>
          <w:tcPr>
            <w:tcW w:w="61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6E6E6"/>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87"/>
        </w:trPr>
        <w:tc>
          <w:tcPr>
            <w:tcW w:w="61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Revenues</w:t>
            </w:r>
          </w:p>
        </w:tc>
        <w:tc>
          <w:tcPr>
            <w:tcW w:w="320" w:type="dxa"/>
            <w:vAlign w:val="bottom"/>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1,726</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1,320</w:t>
            </w:r>
          </w:p>
        </w:tc>
        <w:tc>
          <w:tcPr>
            <w:tcW w:w="54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1,360</w:t>
            </w:r>
          </w:p>
        </w:tc>
      </w:tr>
      <w:tr>
        <w:trPr>
          <w:trHeight w:val="291"/>
        </w:trPr>
        <w:tc>
          <w:tcPr>
            <w:tcW w:w="6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income</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1,004</w:t>
            </w:r>
          </w:p>
        </w:tc>
        <w:tc>
          <w:tcPr>
            <w:tcW w:w="80" w:type="dxa"/>
            <w:vAlign w:val="bottom"/>
          </w:tcPr>
          <w:p>
            <w:pPr>
              <w:spacing w:after="0"/>
              <w:rPr>
                <w:sz w:val="24"/>
                <w:szCs w:val="24"/>
                <w:color w:val="auto"/>
              </w:rPr>
            </w:pP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w:t>
            </w:r>
          </w:p>
        </w:tc>
      </w:tr>
      <w:tr>
        <w:trPr>
          <w:trHeight w:val="303"/>
        </w:trPr>
        <w:tc>
          <w:tcPr>
            <w:tcW w:w="61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Net income</w:t>
            </w:r>
          </w:p>
        </w:tc>
        <w:tc>
          <w:tcPr>
            <w:tcW w:w="320" w:type="dxa"/>
            <w:vAlign w:val="bottom"/>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1,011</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54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-1878965</wp:posOffset>
            </wp:positionV>
            <wp:extent cx="1737995" cy="501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03">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-590550</wp:posOffset>
            </wp:positionV>
            <wp:extent cx="2606040" cy="501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04">
                      <a:extLst>
                        <a:ext uri="{28A0092B-C50C-407E-A947-70E740481C1C}"/>
                      </a:extLst>
                    </a:blip>
                    <a:srcRect/>
                    <a:stretch>
                      <a:fillRect/>
                    </a:stretch>
                  </pic:blipFill>
                  <pic:spPr bwMode="auto">
                    <a:xfrm>
                      <a:off x="0" y="0"/>
                      <a:ext cx="2606040" cy="50165"/>
                    </a:xfrm>
                    <a:prstGeom prst="rect">
                      <a:avLst/>
                    </a:prstGeom>
                    <a:noFill/>
                  </pic:spPr>
                </pic:pic>
              </a:graphicData>
            </a:graphic>
          </wp:anchor>
        </w:drawing>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1880" w:h="15480" w:orient="portrait"/>
          <w:cols w:equalWidth="0" w:num="1">
            <w:col w:w="10160"/>
          </w:cols>
          <w:pgMar w:left="860" w:top="435" w:right="860" w:bottom="0"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right="2220" w:firstLine="2228"/>
        <w:spacing w:after="0" w:line="409" w:lineRule="auto"/>
        <w:rPr>
          <w:sz w:val="20"/>
          <w:szCs w:val="20"/>
          <w:color w:val="auto"/>
        </w:rPr>
      </w:pPr>
      <w:r>
        <w:rPr>
          <w:rFonts w:ascii="Times New Roman" w:cs="Times New Roman" w:eastAsia="Times New Roman" w:hAnsi="Times New Roman"/>
          <w:sz w:val="20"/>
          <w:szCs w:val="20"/>
          <w:b w:val="1"/>
          <w:bCs w:val="1"/>
          <w:color w:val="auto"/>
        </w:rPr>
        <w:t>NOTES TO THE CONSOLIDATED FINANCIAL STATEMENTS Note 10—Intangible Assets, Net</w:t>
      </w:r>
    </w:p>
    <w:p>
      <w:pPr>
        <w:spacing w:after="0" w:line="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Intangible assets, net of accumulated amortization, consisted of the following (in millions):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5"/>
                <w:szCs w:val="15"/>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Estimated Useful</w:t>
            </w:r>
          </w:p>
        </w:tc>
        <w:tc>
          <w:tcPr>
            <w:tcW w:w="220" w:type="dxa"/>
            <w:vAlign w:val="bottom"/>
          </w:tcPr>
          <w:p>
            <w:pPr>
              <w:spacing w:after="0"/>
              <w:rPr>
                <w:sz w:val="15"/>
                <w:szCs w:val="15"/>
                <w:color w:val="auto"/>
              </w:rPr>
            </w:pPr>
          </w:p>
        </w:tc>
        <w:tc>
          <w:tcPr>
            <w:tcW w:w="580" w:type="dxa"/>
            <w:vAlign w:val="bottom"/>
            <w:vMerge w:val="restart"/>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5"/>
                <w:szCs w:val="15"/>
                <w:color w:val="auto"/>
              </w:rPr>
            </w:pPr>
          </w:p>
        </w:tc>
        <w:tc>
          <w:tcPr>
            <w:tcW w:w="580" w:type="dxa"/>
            <w:vAlign w:val="bottom"/>
            <w:vMerge w:val="restart"/>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Net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5"/>
                <w:szCs w:val="15"/>
                <w:color w:val="auto"/>
              </w:rPr>
            </w:pPr>
          </w:p>
        </w:tc>
        <w:tc>
          <w:tcPr>
            <w:tcW w:w="580" w:type="dxa"/>
            <w:vAlign w:val="bottom"/>
            <w:vMerge w:val="restart"/>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2"/>
        </w:trPr>
        <w:tc>
          <w:tcPr>
            <w:tcW w:w="2820" w:type="dxa"/>
            <w:vAlign w:val="bottom"/>
            <w:tcBorders>
              <w:bottom w:val="single" w:sz="8" w:color="E6E6E6"/>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Lives (Years)</w:t>
            </w: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E6E6E6"/>
          </w:tcPr>
          <w:p>
            <w:pPr>
              <w:ind w:left="40"/>
              <w:spacing w:after="0" w:line="202" w:lineRule="exact"/>
              <w:rPr>
                <w:sz w:val="20"/>
                <w:szCs w:val="20"/>
                <w:color w:val="auto"/>
              </w:rPr>
            </w:pPr>
            <w:r>
              <w:rPr>
                <w:rFonts w:ascii="Times New Roman" w:cs="Times New Roman" w:eastAsia="Times New Roman" w:hAnsi="Times New Roman"/>
                <w:sz w:val="20"/>
                <w:szCs w:val="20"/>
                <w:color w:val="auto"/>
              </w:rPr>
              <w:t>Customer contracts and</w:t>
            </w:r>
          </w:p>
        </w:tc>
        <w:tc>
          <w:tcPr>
            <w:tcW w:w="1380" w:type="dxa"/>
            <w:vAlign w:val="bottom"/>
            <w:gridSpan w:val="2"/>
            <w:vMerge w:val="restart"/>
            <w:shd w:val="clear" w:color="auto" w:fill="E6E6E6"/>
          </w:tcPr>
          <w:p>
            <w:pPr>
              <w:jc w:val="center"/>
              <w:ind w:right="80"/>
              <w:spacing w:after="0"/>
              <w:rPr>
                <w:sz w:val="20"/>
                <w:szCs w:val="20"/>
                <w:color w:val="auto"/>
              </w:rPr>
            </w:pPr>
            <w:r>
              <w:rPr>
                <w:rFonts w:ascii="Times New Roman" w:cs="Times New Roman" w:eastAsia="Times New Roman" w:hAnsi="Times New Roman"/>
                <w:sz w:val="20"/>
                <w:szCs w:val="20"/>
                <w:color w:val="auto"/>
                <w:w w:val="99"/>
              </w:rPr>
              <w:t>1 – 29</w:t>
            </w:r>
          </w:p>
        </w:tc>
        <w:tc>
          <w:tcPr>
            <w:tcW w:w="2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2,817</w:t>
            </w:r>
          </w:p>
        </w:tc>
        <w:tc>
          <w:tcPr>
            <w:tcW w:w="560" w:type="dxa"/>
            <w:vAlign w:val="bottom"/>
            <w:gridSpan w:val="3"/>
            <w:vMerge w:val="restart"/>
            <w:shd w:val="clear" w:color="auto" w:fill="E6E6E6"/>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(695)</w:t>
            </w:r>
          </w:p>
        </w:tc>
        <w:tc>
          <w:tcPr>
            <w:tcW w:w="80" w:type="dxa"/>
            <w:vAlign w:val="bottom"/>
            <w:shd w:val="clear" w:color="auto" w:fill="E6E6E6"/>
          </w:tcPr>
          <w:p>
            <w:pPr>
              <w:spacing w:after="0"/>
              <w:rPr>
                <w:sz w:val="17"/>
                <w:szCs w:val="17"/>
                <w:color w:val="auto"/>
              </w:rPr>
            </w:pPr>
          </w:p>
        </w:tc>
        <w:tc>
          <w:tcPr>
            <w:tcW w:w="2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2,122</w:t>
            </w:r>
          </w:p>
        </w:tc>
        <w:tc>
          <w:tcPr>
            <w:tcW w:w="300" w:type="dxa"/>
            <w:vAlign w:val="bottom"/>
            <w:gridSpan w:val="2"/>
            <w:vMerge w:val="restart"/>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2,445</w:t>
            </w:r>
          </w:p>
        </w:tc>
        <w:tc>
          <w:tcPr>
            <w:tcW w:w="540" w:type="dxa"/>
            <w:vAlign w:val="bottom"/>
            <w:gridSpan w:val="3"/>
            <w:vMerge w:val="restart"/>
            <w:shd w:val="clear" w:color="auto" w:fill="E6E6E6"/>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80" w:type="dxa"/>
            <w:vAlign w:val="bottom"/>
            <w:shd w:val="clear" w:color="auto" w:fill="E6E6E6"/>
          </w:tcPr>
          <w:p>
            <w:pPr>
              <w:spacing w:after="0"/>
              <w:rPr>
                <w:sz w:val="17"/>
                <w:szCs w:val="17"/>
                <w:color w:val="auto"/>
              </w:rPr>
            </w:pPr>
          </w:p>
        </w:tc>
        <w:tc>
          <w:tcPr>
            <w:tcW w:w="2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1,935</w:t>
            </w:r>
          </w:p>
        </w:tc>
        <w:tc>
          <w:tcPr>
            <w:tcW w:w="0" w:type="dxa"/>
            <w:vAlign w:val="bottom"/>
          </w:tcPr>
          <w:p>
            <w:pPr>
              <w:spacing w:after="0"/>
              <w:rPr>
                <w:sz w:val="1"/>
                <w:szCs w:val="1"/>
                <w:color w:val="auto"/>
              </w:rPr>
            </w:pPr>
          </w:p>
        </w:tc>
      </w:tr>
      <w:tr>
        <w:trPr>
          <w:trHeight w:val="279"/>
        </w:trPr>
        <w:tc>
          <w:tcPr>
            <w:tcW w:w="2820" w:type="dxa"/>
            <w:vAlign w:val="bottom"/>
            <w:shd w:val="clear" w:color="auto" w:fill="E6E6E6"/>
          </w:tcPr>
          <w:p>
            <w:pPr>
              <w:ind w:left="220"/>
              <w:spacing w:after="0" w:line="278" w:lineRule="exact"/>
              <w:rPr>
                <w:sz w:val="20"/>
                <w:szCs w:val="20"/>
                <w:color w:val="auto"/>
              </w:rPr>
            </w:pPr>
            <w:r>
              <w:rPr>
                <w:rFonts w:ascii="Times New Roman" w:cs="Times New Roman" w:eastAsia="Times New Roman" w:hAnsi="Times New Roman"/>
                <w:sz w:val="20"/>
                <w:szCs w:val="20"/>
                <w:color w:val="auto"/>
              </w:rPr>
              <w:t xml:space="preserve">relationships </w:t>
            </w:r>
            <w:r>
              <w:rPr>
                <w:rFonts w:ascii="Times New Roman" w:cs="Times New Roman" w:eastAsia="Times New Roman" w:hAnsi="Times New Roman"/>
                <w:sz w:val="25"/>
                <w:szCs w:val="25"/>
                <w:color w:val="auto"/>
                <w:vertAlign w:val="superscript"/>
              </w:rPr>
              <w:t>(1)</w:t>
            </w:r>
          </w:p>
        </w:tc>
        <w:tc>
          <w:tcPr>
            <w:tcW w:w="1380" w:type="dxa"/>
            <w:vAlign w:val="bottom"/>
            <w:gridSpan w:val="2"/>
            <w:vMerge w:val="continue"/>
            <w:shd w:val="clear" w:color="auto" w:fill="E6E6E6"/>
          </w:tcPr>
          <w:p>
            <w:pPr>
              <w:spacing w:after="0"/>
              <w:rPr>
                <w:sz w:val="24"/>
                <w:szCs w:val="24"/>
                <w:color w:val="auto"/>
              </w:rPr>
            </w:pPr>
          </w:p>
        </w:tc>
        <w:tc>
          <w:tcPr>
            <w:tcW w:w="220" w:type="dxa"/>
            <w:vAlign w:val="bottom"/>
            <w:vMerge w:val="continue"/>
            <w:shd w:val="clear" w:color="auto" w:fill="E6E6E6"/>
          </w:tcPr>
          <w:p>
            <w:pPr>
              <w:spacing w:after="0"/>
              <w:rPr>
                <w:sz w:val="24"/>
                <w:szCs w:val="24"/>
                <w:color w:val="auto"/>
              </w:rPr>
            </w:pPr>
          </w:p>
        </w:tc>
        <w:tc>
          <w:tcPr>
            <w:tcW w:w="580" w:type="dxa"/>
            <w:vAlign w:val="bottom"/>
            <w:vMerge w:val="continue"/>
            <w:shd w:val="clear" w:color="auto" w:fill="E6E6E6"/>
          </w:tcPr>
          <w:p>
            <w:pPr>
              <w:spacing w:after="0"/>
              <w:rPr>
                <w:sz w:val="24"/>
                <w:szCs w:val="24"/>
                <w:color w:val="auto"/>
              </w:rPr>
            </w:pPr>
          </w:p>
        </w:tc>
        <w:tc>
          <w:tcPr>
            <w:tcW w:w="560" w:type="dxa"/>
            <w:vAlign w:val="bottom"/>
            <w:gridSpan w:val="3"/>
            <w:vMerge w:val="continue"/>
            <w:shd w:val="clear" w:color="auto" w:fill="E6E6E6"/>
          </w:tcPr>
          <w:p>
            <w:pPr>
              <w:spacing w:after="0"/>
              <w:rPr>
                <w:sz w:val="24"/>
                <w:szCs w:val="24"/>
                <w:color w:val="auto"/>
              </w:rPr>
            </w:pPr>
          </w:p>
        </w:tc>
        <w:tc>
          <w:tcPr>
            <w:tcW w:w="680" w:type="dxa"/>
            <w:vAlign w:val="bottom"/>
            <w:vMerge w:val="continue"/>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0" w:type="dxa"/>
            <w:vAlign w:val="bottom"/>
            <w:vMerge w:val="continue"/>
            <w:shd w:val="clear" w:color="auto" w:fill="E6E6E6"/>
          </w:tcPr>
          <w:p>
            <w:pPr>
              <w:spacing w:after="0"/>
              <w:rPr>
                <w:sz w:val="24"/>
                <w:szCs w:val="24"/>
                <w:color w:val="auto"/>
              </w:rPr>
            </w:pPr>
          </w:p>
        </w:tc>
        <w:tc>
          <w:tcPr>
            <w:tcW w:w="580" w:type="dxa"/>
            <w:vAlign w:val="bottom"/>
            <w:vMerge w:val="continue"/>
            <w:shd w:val="clear" w:color="auto" w:fill="E6E6E6"/>
          </w:tcPr>
          <w:p>
            <w:pPr>
              <w:spacing w:after="0"/>
              <w:rPr>
                <w:sz w:val="24"/>
                <w:szCs w:val="24"/>
                <w:color w:val="auto"/>
              </w:rPr>
            </w:pPr>
          </w:p>
        </w:tc>
        <w:tc>
          <w:tcPr>
            <w:tcW w:w="300" w:type="dxa"/>
            <w:vAlign w:val="bottom"/>
            <w:gridSpan w:val="2"/>
            <w:vMerge w:val="continue"/>
            <w:shd w:val="clear" w:color="auto" w:fill="E6E6E6"/>
          </w:tcPr>
          <w:p>
            <w:pPr>
              <w:spacing w:after="0"/>
              <w:rPr>
                <w:sz w:val="24"/>
                <w:szCs w:val="24"/>
                <w:color w:val="auto"/>
              </w:rPr>
            </w:pPr>
          </w:p>
        </w:tc>
        <w:tc>
          <w:tcPr>
            <w:tcW w:w="600" w:type="dxa"/>
            <w:vAlign w:val="bottom"/>
            <w:vMerge w:val="continue"/>
            <w:shd w:val="clear" w:color="auto" w:fill="E6E6E6"/>
          </w:tcPr>
          <w:p>
            <w:pPr>
              <w:spacing w:after="0"/>
              <w:rPr>
                <w:sz w:val="24"/>
                <w:szCs w:val="24"/>
                <w:color w:val="auto"/>
              </w:rPr>
            </w:pPr>
          </w:p>
        </w:tc>
        <w:tc>
          <w:tcPr>
            <w:tcW w:w="540" w:type="dxa"/>
            <w:vAlign w:val="bottom"/>
            <w:gridSpan w:val="3"/>
            <w:vMerge w:val="continue"/>
            <w:shd w:val="clear" w:color="auto" w:fill="E6E6E6"/>
          </w:tcPr>
          <w:p>
            <w:pPr>
              <w:spacing w:after="0"/>
              <w:rPr>
                <w:sz w:val="24"/>
                <w:szCs w:val="24"/>
                <w:color w:val="auto"/>
              </w:rPr>
            </w:pPr>
          </w:p>
        </w:tc>
        <w:tc>
          <w:tcPr>
            <w:tcW w:w="680" w:type="dxa"/>
            <w:vAlign w:val="bottom"/>
            <w:vMerge w:val="continue"/>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0" w:type="dxa"/>
            <w:vAlign w:val="bottom"/>
            <w:vMerge w:val="continue"/>
            <w:shd w:val="clear" w:color="auto" w:fill="E6E6E6"/>
          </w:tcPr>
          <w:p>
            <w:pPr>
              <w:spacing w:after="0"/>
              <w:rPr>
                <w:sz w:val="24"/>
                <w:szCs w:val="24"/>
                <w:color w:val="auto"/>
              </w:rPr>
            </w:pPr>
          </w:p>
        </w:tc>
        <w:tc>
          <w:tcPr>
            <w:tcW w:w="580" w:type="dxa"/>
            <w:vAlign w:val="bottom"/>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82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20"/>
                <w:szCs w:val="20"/>
                <w:color w:val="auto"/>
              </w:rPr>
              <w:t>Other agreements</w:t>
            </w:r>
          </w:p>
        </w:tc>
        <w:tc>
          <w:tcPr>
            <w:tcW w:w="1380" w:type="dxa"/>
            <w:vAlign w:val="bottom"/>
            <w:tcBorders>
              <w:bottom w:val="single" w:sz="8" w:color="E6E6E6"/>
            </w:tcBorders>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9"/>
              </w:rPr>
              <w:t>1 – 70</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87"/>
        </w:trPr>
        <w:tc>
          <w:tcPr>
            <w:tcW w:w="2820" w:type="dxa"/>
            <w:vAlign w:val="bottom"/>
            <w:shd w:val="clear" w:color="auto" w:fill="E6E6E6"/>
          </w:tcPr>
          <w:p>
            <w:pPr>
              <w:ind w:left="160"/>
              <w:spacing w:after="0"/>
              <w:rPr>
                <w:sz w:val="20"/>
                <w:szCs w:val="20"/>
                <w:color w:val="auto"/>
              </w:rPr>
            </w:pPr>
            <w:r>
              <w:rPr>
                <w:rFonts w:ascii="Times New Roman" w:cs="Times New Roman" w:eastAsia="Times New Roman" w:hAnsi="Times New Roman"/>
                <w:sz w:val="20"/>
                <w:szCs w:val="20"/>
                <w:color w:val="auto"/>
              </w:rPr>
              <w:t xml:space="preserve">Intangible assets </w:t>
            </w:r>
            <w:r>
              <w:rPr>
                <w:rFonts w:ascii="Times New Roman" w:cs="Times New Roman" w:eastAsia="Times New Roman" w:hAnsi="Times New Roman"/>
                <w:sz w:val="25"/>
                <w:szCs w:val="25"/>
                <w:color w:val="auto"/>
                <w:vertAlign w:val="superscript"/>
              </w:rPr>
              <w:t>(2)</w:t>
            </w:r>
          </w:p>
        </w:tc>
        <w:tc>
          <w:tcPr>
            <w:tcW w:w="13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2,852</w:t>
            </w:r>
          </w:p>
        </w:tc>
        <w:tc>
          <w:tcPr>
            <w:tcW w:w="560" w:type="dxa"/>
            <w:vAlign w:val="bottom"/>
            <w:gridSpan w:val="3"/>
            <w:shd w:val="clear" w:color="auto" w:fill="E6E6E6"/>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2,145</w:t>
            </w:r>
          </w:p>
        </w:tc>
        <w:tc>
          <w:tcPr>
            <w:tcW w:w="30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2,481</w:t>
            </w:r>
          </w:p>
        </w:tc>
        <w:tc>
          <w:tcPr>
            <w:tcW w:w="540" w:type="dxa"/>
            <w:vAlign w:val="bottom"/>
            <w:gridSpan w:val="3"/>
            <w:shd w:val="clear" w:color="auto" w:fill="E6E6E6"/>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-713105</wp:posOffset>
            </wp:positionV>
            <wp:extent cx="4661535" cy="501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05">
                      <a:extLst>
                        <a:ext uri="{28A0092B-C50C-407E-A947-70E740481C1C}"/>
                      </a:extLst>
                    </a:blip>
                    <a:srcRect/>
                    <a:stretch>
                      <a:fillRect/>
                    </a:stretch>
                  </pic:blipFill>
                  <pic:spPr bwMode="auto">
                    <a:xfrm>
                      <a:off x="0" y="0"/>
                      <a:ext cx="4661535" cy="5016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-213360</wp:posOffset>
            </wp:positionV>
            <wp:extent cx="3794125" cy="501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06">
                      <a:extLst>
                        <a:ext uri="{28A0092B-C50C-407E-A947-70E740481C1C}"/>
                      </a:extLst>
                    </a:blip>
                    <a:srcRect/>
                    <a:stretch>
                      <a:fillRect/>
                    </a:stretch>
                  </pic:blipFill>
                  <pic:spPr bwMode="auto">
                    <a:xfrm>
                      <a:off x="0" y="0"/>
                      <a:ext cx="3794125"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109855</wp:posOffset>
                </wp:positionV>
                <wp:extent cx="2225040"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8.65pt" to="175.25pt,8.65pt" o:allowincell="f" strokecolor="#000000" strokeweight="0.99pt"/>
            </w:pict>
          </mc:Fallback>
        </mc:AlternateContent>
      </w:r>
    </w:p>
    <w:p>
      <w:pPr>
        <w:spacing w:after="0" w:line="190" w:lineRule="exact"/>
        <w:rPr>
          <w:sz w:val="20"/>
          <w:szCs w:val="20"/>
          <w:color w:val="auto"/>
        </w:rPr>
      </w:pPr>
    </w:p>
    <w:p>
      <w:pPr>
        <w:ind w:left="720" w:right="240" w:hanging="719"/>
        <w:spacing w:after="0" w:line="225" w:lineRule="auto"/>
        <w:tabs>
          <w:tab w:leader="none" w:pos="720" w:val="left"/>
        </w:tabs>
        <w:numPr>
          <w:ilvl w:val="0"/>
          <w:numId w:val="9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increase in intangible assets related to Customer contracts and relationships in 2022 is primarily associated with the assets recognized upon consolidation of Cactus II. See Note 7 for additional information.</w:t>
      </w:r>
    </w:p>
    <w:p>
      <w:pPr>
        <w:spacing w:after="0" w:line="98" w:lineRule="exact"/>
        <w:rPr>
          <w:rFonts w:ascii="Times New Roman" w:cs="Times New Roman" w:eastAsia="Times New Roman" w:hAnsi="Times New Roman"/>
          <w:sz w:val="26"/>
          <w:szCs w:val="26"/>
          <w:color w:val="auto"/>
          <w:vertAlign w:val="superscript"/>
        </w:rPr>
      </w:pPr>
    </w:p>
    <w:p>
      <w:pPr>
        <w:ind w:left="720" w:right="280" w:hanging="719"/>
        <w:spacing w:after="0" w:line="225" w:lineRule="auto"/>
        <w:tabs>
          <w:tab w:leader="none" w:pos="720" w:val="left"/>
        </w:tabs>
        <w:numPr>
          <w:ilvl w:val="0"/>
          <w:numId w:val="9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We include rights-of-way, which are intangible assets, in our pipeline and related facilities amounts within property and equipment. See Note 6 for a discussion of property and equipment.</w:t>
      </w:r>
    </w:p>
    <w:p>
      <w:pPr>
        <w:spacing w:after="0" w:line="217" w:lineRule="exact"/>
        <w:rPr>
          <w:sz w:val="20"/>
          <w:szCs w:val="20"/>
          <w:color w:val="auto"/>
        </w:rPr>
      </w:pPr>
    </w:p>
    <w:p>
      <w:pPr>
        <w:ind w:right="160" w:firstLine="713"/>
        <w:spacing w:after="0" w:line="263" w:lineRule="auto"/>
        <w:rPr>
          <w:sz w:val="20"/>
          <w:szCs w:val="20"/>
          <w:color w:val="auto"/>
        </w:rPr>
      </w:pPr>
      <w:r>
        <w:rPr>
          <w:rFonts w:ascii="Times New Roman" w:cs="Times New Roman" w:eastAsia="Times New Roman" w:hAnsi="Times New Roman"/>
          <w:sz w:val="20"/>
          <w:szCs w:val="20"/>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2022.</w:t>
      </w:r>
    </w:p>
    <w:p>
      <w:pPr>
        <w:spacing w:after="0" w:line="194" w:lineRule="exact"/>
        <w:rPr>
          <w:sz w:val="20"/>
          <w:szCs w:val="20"/>
          <w:color w:val="auto"/>
        </w:rPr>
      </w:pPr>
    </w:p>
    <w:p>
      <w:pPr>
        <w:ind w:right="460" w:firstLine="713"/>
        <w:spacing w:after="0" w:line="261" w:lineRule="auto"/>
        <w:rPr>
          <w:sz w:val="20"/>
          <w:szCs w:val="20"/>
          <w:color w:val="auto"/>
        </w:rPr>
      </w:pPr>
      <w:r>
        <w:rPr>
          <w:rFonts w:ascii="Times New Roman" w:cs="Times New Roman" w:eastAsia="Times New Roman" w:hAnsi="Times New Roman"/>
          <w:sz w:val="19"/>
          <w:szCs w:val="19"/>
          <w:color w:val="auto"/>
        </w:rPr>
        <w:t>The majority of our finite-lived intangible assets are amortized under the declining balance method. Amortization expense for finite-lived intangible assets for the years ended December 31, 2022, 2021 and 2020 was $254 million,</w:t>
      </w:r>
    </w:p>
    <w:p>
      <w:pPr>
        <w:ind w:right="240"/>
        <w:spacing w:after="0" w:line="278" w:lineRule="auto"/>
        <w:rPr>
          <w:sz w:val="20"/>
          <w:szCs w:val="20"/>
          <w:color w:val="auto"/>
        </w:rPr>
      </w:pPr>
      <w:r>
        <w:rPr>
          <w:rFonts w:ascii="Times New Roman" w:cs="Times New Roman" w:eastAsia="Times New Roman" w:hAnsi="Times New Roman"/>
          <w:sz w:val="20"/>
          <w:szCs w:val="20"/>
          <w:color w:val="auto"/>
        </w:rPr>
        <w:t>$122 million and $90 million, respectively. We estimate that our amortization expense related to finite-lived intangible assets for the next five years will be as follows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680" w:type="dxa"/>
            <w:vAlign w:val="bottom"/>
            <w:shd w:val="clear" w:color="auto" w:fill="E6E6E6"/>
          </w:tcPr>
          <w:p>
            <w:pPr>
              <w:jc w:val="right"/>
              <w:ind w:right="4121"/>
              <w:spacing w:after="0"/>
              <w:rPr>
                <w:sz w:val="20"/>
                <w:szCs w:val="20"/>
                <w:color w:val="auto"/>
              </w:rPr>
            </w:pPr>
            <w:r>
              <w:rPr>
                <w:rFonts w:ascii="Times New Roman" w:cs="Times New Roman" w:eastAsia="Times New Roman" w:hAnsi="Times New Roman"/>
                <w:sz w:val="20"/>
                <w:szCs w:val="20"/>
                <w:color w:val="auto"/>
              </w:rPr>
              <w:t>2023</w:t>
            </w:r>
          </w:p>
        </w:tc>
        <w:tc>
          <w:tcPr>
            <w:tcW w:w="4720" w:type="dxa"/>
            <w:vAlign w:val="bottom"/>
            <w:shd w:val="clear" w:color="auto" w:fill="E6E6E6"/>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296</w:t>
            </w:r>
          </w:p>
        </w:tc>
      </w:tr>
      <w:tr>
        <w:trPr>
          <w:trHeight w:val="291"/>
        </w:trPr>
        <w:tc>
          <w:tcPr>
            <w:tcW w:w="4680" w:type="dxa"/>
            <w:vAlign w:val="bottom"/>
          </w:tcPr>
          <w:p>
            <w:pPr>
              <w:jc w:val="right"/>
              <w:ind w:right="4121"/>
              <w:spacing w:after="0"/>
              <w:rPr>
                <w:sz w:val="20"/>
                <w:szCs w:val="20"/>
                <w:color w:val="auto"/>
              </w:rPr>
            </w:pPr>
            <w:r>
              <w:rPr>
                <w:rFonts w:ascii="Times New Roman" w:cs="Times New Roman" w:eastAsia="Times New Roman" w:hAnsi="Times New Roman"/>
                <w:sz w:val="20"/>
                <w:szCs w:val="20"/>
                <w:color w:val="auto"/>
              </w:rPr>
              <w:t>2024</w:t>
            </w:r>
          </w:p>
        </w:tc>
        <w:tc>
          <w:tcPr>
            <w:tcW w:w="472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r>
      <w:tr>
        <w:trPr>
          <w:trHeight w:val="303"/>
        </w:trPr>
        <w:tc>
          <w:tcPr>
            <w:tcW w:w="4680" w:type="dxa"/>
            <w:vAlign w:val="bottom"/>
            <w:shd w:val="clear" w:color="auto" w:fill="E6E6E6"/>
          </w:tcPr>
          <w:p>
            <w:pPr>
              <w:jc w:val="right"/>
              <w:ind w:right="4121"/>
              <w:spacing w:after="0"/>
              <w:rPr>
                <w:sz w:val="20"/>
                <w:szCs w:val="20"/>
                <w:color w:val="auto"/>
              </w:rPr>
            </w:pPr>
            <w:r>
              <w:rPr>
                <w:rFonts w:ascii="Times New Roman" w:cs="Times New Roman" w:eastAsia="Times New Roman" w:hAnsi="Times New Roman"/>
                <w:sz w:val="20"/>
                <w:szCs w:val="20"/>
                <w:color w:val="auto"/>
              </w:rPr>
              <w:t>2025</w:t>
            </w:r>
          </w:p>
        </w:tc>
        <w:tc>
          <w:tcPr>
            <w:tcW w:w="4720" w:type="dxa"/>
            <w:vAlign w:val="bottom"/>
            <w:shd w:val="clear" w:color="auto" w:fill="E6E6E6"/>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241</w:t>
            </w:r>
          </w:p>
        </w:tc>
      </w:tr>
      <w:tr>
        <w:trPr>
          <w:trHeight w:val="291"/>
        </w:trPr>
        <w:tc>
          <w:tcPr>
            <w:tcW w:w="4680" w:type="dxa"/>
            <w:vAlign w:val="bottom"/>
          </w:tcPr>
          <w:p>
            <w:pPr>
              <w:jc w:val="right"/>
              <w:ind w:right="4121"/>
              <w:spacing w:after="0"/>
              <w:rPr>
                <w:sz w:val="20"/>
                <w:szCs w:val="20"/>
                <w:color w:val="auto"/>
              </w:rPr>
            </w:pPr>
            <w:r>
              <w:rPr>
                <w:rFonts w:ascii="Times New Roman" w:cs="Times New Roman" w:eastAsia="Times New Roman" w:hAnsi="Times New Roman"/>
                <w:sz w:val="20"/>
                <w:szCs w:val="20"/>
                <w:color w:val="auto"/>
              </w:rPr>
              <w:t>2026</w:t>
            </w:r>
          </w:p>
        </w:tc>
        <w:tc>
          <w:tcPr>
            <w:tcW w:w="472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r>
      <w:tr>
        <w:trPr>
          <w:trHeight w:val="303"/>
        </w:trPr>
        <w:tc>
          <w:tcPr>
            <w:tcW w:w="4680" w:type="dxa"/>
            <w:vAlign w:val="bottom"/>
            <w:shd w:val="clear" w:color="auto" w:fill="E6E6E6"/>
          </w:tcPr>
          <w:p>
            <w:pPr>
              <w:jc w:val="right"/>
              <w:ind w:right="4121"/>
              <w:spacing w:after="0"/>
              <w:rPr>
                <w:sz w:val="20"/>
                <w:szCs w:val="20"/>
                <w:color w:val="auto"/>
              </w:rPr>
            </w:pPr>
            <w:r>
              <w:rPr>
                <w:rFonts w:ascii="Times New Roman" w:cs="Times New Roman" w:eastAsia="Times New Roman" w:hAnsi="Times New Roman"/>
                <w:sz w:val="20"/>
                <w:szCs w:val="20"/>
                <w:color w:val="auto"/>
              </w:rPr>
              <w:t>2027</w:t>
            </w:r>
          </w:p>
        </w:tc>
        <w:tc>
          <w:tcPr>
            <w:tcW w:w="4720" w:type="dxa"/>
            <w:vAlign w:val="bottom"/>
            <w:shd w:val="clear" w:color="auto" w:fill="E6E6E6"/>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186</w:t>
            </w:r>
          </w:p>
        </w:tc>
      </w:tr>
    </w:tbl>
    <w:p>
      <w:pPr>
        <w:spacing w:after="0" w:line="200" w:lineRule="exact"/>
        <w:rPr>
          <w:sz w:val="20"/>
          <w:szCs w:val="20"/>
          <w:color w:val="auto"/>
        </w:rPr>
      </w:pP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1880" w:h="15480" w:orient="portrait"/>
          <w:cols w:equalWidth="0" w:num="1">
            <w:col w:w="10160"/>
          </w:cols>
          <w:pgMar w:left="860" w:top="435" w:right="860" w:bottom="0" w:gutter="0" w:footer="0" w:header="0"/>
          <w:type w:val="continuous"/>
        </w:sectPr>
      </w:pPr>
    </w:p>
    <w:bookmarkStart w:id="136" w:name="page137"/>
    <w:bookmarkEnd w:id="136"/>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11—Debt</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Debt consisted of the following (in millions):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2"/>
        </w:trPr>
        <w:tc>
          <w:tcPr>
            <w:tcW w:w="3500" w:type="dxa"/>
            <w:vAlign w:val="bottom"/>
            <w:tcBorders>
              <w:bottom w:val="single" w:sz="8" w:color="E6E6E6"/>
            </w:tcBorders>
          </w:tcPr>
          <w:p>
            <w:pPr>
              <w:spacing w:after="0"/>
              <w:rPr>
                <w:sz w:val="18"/>
                <w:szCs w:val="18"/>
                <w:color w:val="auto"/>
              </w:rPr>
            </w:pPr>
          </w:p>
        </w:tc>
        <w:tc>
          <w:tcPr>
            <w:tcW w:w="400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72"/>
        </w:trPr>
        <w:tc>
          <w:tcPr>
            <w:tcW w:w="75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SHORT-TERM DEBT</w:t>
            </w:r>
          </w:p>
        </w:tc>
        <w:tc>
          <w:tcPr>
            <w:tcW w:w="160" w:type="dxa"/>
            <w:vAlign w:val="bottom"/>
            <w:shd w:val="clear" w:color="auto" w:fill="E6E6E6"/>
          </w:tcPr>
          <w:p>
            <w:pPr>
              <w:spacing w:after="0"/>
              <w:rPr>
                <w:sz w:val="23"/>
                <w:szCs w:val="23"/>
                <w:color w:val="auto"/>
              </w:rPr>
            </w:pPr>
          </w:p>
        </w:tc>
        <w:tc>
          <w:tcPr>
            <w:tcW w:w="11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140" w:type="dxa"/>
            <w:vAlign w:val="bottom"/>
            <w:shd w:val="clear" w:color="auto" w:fill="E6E6E6"/>
          </w:tcPr>
          <w:p>
            <w:pPr>
              <w:spacing w:after="0"/>
              <w:rPr>
                <w:sz w:val="23"/>
                <w:szCs w:val="23"/>
                <w:color w:val="auto"/>
              </w:rPr>
            </w:pPr>
          </w:p>
        </w:tc>
      </w:tr>
      <w:tr>
        <w:trPr>
          <w:trHeight w:val="291"/>
        </w:trPr>
        <w:tc>
          <w:tcPr>
            <w:tcW w:w="75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Senior notes: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3"/>
        </w:trPr>
        <w:tc>
          <w:tcPr>
            <w:tcW w:w="750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3.65% senior notes due June 2022</w:t>
            </w: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750</w:t>
            </w:r>
          </w:p>
        </w:tc>
      </w:tr>
      <w:tr>
        <w:trPr>
          <w:trHeight w:val="291"/>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2.85% senior notes due January 2023</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750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3.85% senior notes due October 2023</w:t>
            </w:r>
          </w:p>
        </w:tc>
        <w:tc>
          <w:tcPr>
            <w:tcW w:w="1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7"/>
        </w:trPr>
        <w:tc>
          <w:tcPr>
            <w:tcW w:w="7500" w:type="dxa"/>
            <w:vAlign w:val="bottom"/>
            <w:tcBorders>
              <w:bottom w:val="single" w:sz="8" w:color="E6E6E6"/>
            </w:tcBorders>
            <w:gridSpan w:val="2"/>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8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87"/>
        </w:trPr>
        <w:tc>
          <w:tcPr>
            <w:tcW w:w="7500" w:type="dxa"/>
            <w:vAlign w:val="bottom"/>
            <w:gridSpan w:val="2"/>
            <w:shd w:val="clear" w:color="auto" w:fill="E6E6E6"/>
          </w:tcPr>
          <w:p>
            <w:pPr>
              <w:ind w:left="420"/>
              <w:spacing w:after="0"/>
              <w:rPr>
                <w:sz w:val="20"/>
                <w:szCs w:val="20"/>
                <w:color w:val="auto"/>
              </w:rPr>
            </w:pPr>
            <w:r>
              <w:rPr>
                <w:rFonts w:ascii="Times New Roman" w:cs="Times New Roman" w:eastAsia="Times New Roman" w:hAnsi="Times New Roman"/>
                <w:sz w:val="20"/>
                <w:szCs w:val="20"/>
                <w:color w:val="auto"/>
              </w:rPr>
              <w:t>Total short-term debt</w:t>
            </w:r>
          </w:p>
        </w:tc>
        <w:tc>
          <w:tcPr>
            <w:tcW w:w="1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822</w:t>
            </w:r>
          </w:p>
        </w:tc>
      </w:tr>
      <w:tr>
        <w:trPr>
          <w:trHeight w:val="282"/>
        </w:trPr>
        <w:tc>
          <w:tcPr>
            <w:tcW w:w="35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2"/>
        </w:trPr>
        <w:tc>
          <w:tcPr>
            <w:tcW w:w="75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LONG-TERM DEBT</w:t>
            </w:r>
          </w:p>
        </w:tc>
        <w:tc>
          <w:tcPr>
            <w:tcW w:w="16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r>
      <w:tr>
        <w:trPr>
          <w:trHeight w:val="291"/>
        </w:trPr>
        <w:tc>
          <w:tcPr>
            <w:tcW w:w="75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Senior notes: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3"/>
        </w:trPr>
        <w:tc>
          <w:tcPr>
            <w:tcW w:w="750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2.85% senior notes due January 2023</w:t>
            </w:r>
          </w:p>
        </w:tc>
        <w:tc>
          <w:tcPr>
            <w:tcW w:w="1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400</w:t>
            </w:r>
          </w:p>
        </w:tc>
      </w:tr>
      <w:tr>
        <w:trPr>
          <w:trHeight w:val="291"/>
        </w:trPr>
        <w:tc>
          <w:tcPr>
            <w:tcW w:w="7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3.85% senior notes due October 2023</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w:t>
            </w:r>
          </w:p>
        </w:tc>
      </w:tr>
      <w:tr>
        <w:trPr>
          <w:trHeight w:val="303"/>
        </w:trPr>
        <w:tc>
          <w:tcPr>
            <w:tcW w:w="750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3.60% senior notes due November 2024</w:t>
            </w:r>
          </w:p>
        </w:tc>
        <w:tc>
          <w:tcPr>
            <w:tcW w:w="1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750</w:t>
            </w:r>
          </w:p>
        </w:tc>
      </w:tr>
      <w:tr>
        <w:trPr>
          <w:trHeight w:val="291"/>
        </w:trPr>
        <w:tc>
          <w:tcPr>
            <w:tcW w:w="7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4.65% senior notes due October 2025</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303"/>
        </w:trPr>
        <w:tc>
          <w:tcPr>
            <w:tcW w:w="750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4.50% senior notes due December 2026</w:t>
            </w:r>
          </w:p>
        </w:tc>
        <w:tc>
          <w:tcPr>
            <w:tcW w:w="1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750</w:t>
            </w:r>
          </w:p>
        </w:tc>
      </w:tr>
      <w:tr>
        <w:trPr>
          <w:trHeight w:val="291"/>
        </w:trPr>
        <w:tc>
          <w:tcPr>
            <w:tcW w:w="7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3.55% senior notes due December 2029</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303"/>
        </w:trPr>
        <w:tc>
          <w:tcPr>
            <w:tcW w:w="750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3.80% senior notes due September 2030</w:t>
            </w:r>
          </w:p>
        </w:tc>
        <w:tc>
          <w:tcPr>
            <w:tcW w:w="1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750</w:t>
            </w:r>
          </w:p>
        </w:tc>
      </w:tr>
      <w:tr>
        <w:trPr>
          <w:trHeight w:val="291"/>
        </w:trPr>
        <w:tc>
          <w:tcPr>
            <w:tcW w:w="7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6.70% senior notes due May 2036</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r>
      <w:tr>
        <w:trPr>
          <w:trHeight w:val="303"/>
        </w:trPr>
        <w:tc>
          <w:tcPr>
            <w:tcW w:w="750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6.65% senior notes due January 2037</w:t>
            </w:r>
          </w:p>
        </w:tc>
        <w:tc>
          <w:tcPr>
            <w:tcW w:w="1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600</w:t>
            </w:r>
          </w:p>
        </w:tc>
      </w:tr>
      <w:tr>
        <w:trPr>
          <w:trHeight w:val="291"/>
        </w:trPr>
        <w:tc>
          <w:tcPr>
            <w:tcW w:w="7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5.15% senior notes due June 2042</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r>
      <w:tr>
        <w:trPr>
          <w:trHeight w:val="303"/>
        </w:trPr>
        <w:tc>
          <w:tcPr>
            <w:tcW w:w="750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4.30% senior notes due January 2043</w:t>
            </w:r>
          </w:p>
        </w:tc>
        <w:tc>
          <w:tcPr>
            <w:tcW w:w="1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348</w:t>
            </w:r>
          </w:p>
        </w:tc>
      </w:tr>
      <w:tr>
        <w:trPr>
          <w:trHeight w:val="291"/>
        </w:trPr>
        <w:tc>
          <w:tcPr>
            <w:tcW w:w="7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4.70% senior notes due June 2044</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w:t>
            </w:r>
          </w:p>
        </w:tc>
      </w:tr>
      <w:tr>
        <w:trPr>
          <w:trHeight w:val="303"/>
        </w:trPr>
        <w:tc>
          <w:tcPr>
            <w:tcW w:w="750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4.90% senior notes due February 2045</w:t>
            </w:r>
          </w:p>
        </w:tc>
        <w:tc>
          <w:tcPr>
            <w:tcW w:w="1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649</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649</w:t>
            </w:r>
          </w:p>
        </w:tc>
      </w:tr>
      <w:tr>
        <w:trPr>
          <w:trHeight w:val="287"/>
        </w:trPr>
        <w:tc>
          <w:tcPr>
            <w:tcW w:w="7500" w:type="dxa"/>
            <w:vAlign w:val="bottom"/>
            <w:tcBorders>
              <w:bottom w:val="single" w:sz="8" w:color="E6E6E6"/>
            </w:tcBorders>
            <w:gridSpan w:val="2"/>
          </w:tcPr>
          <w:p>
            <w:pPr>
              <w:ind w:left="200"/>
              <w:spacing w:after="0"/>
              <w:rPr>
                <w:sz w:val="20"/>
                <w:szCs w:val="20"/>
                <w:color w:val="auto"/>
              </w:rPr>
            </w:pPr>
            <w:r>
              <w:rPr>
                <w:rFonts w:ascii="Times New Roman" w:cs="Times New Roman" w:eastAsia="Times New Roman" w:hAnsi="Times New Roman"/>
                <w:sz w:val="20"/>
                <w:szCs w:val="20"/>
                <w:color w:val="auto"/>
              </w:rPr>
              <w:t>Unamortized discounts and debt issuance costs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8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87"/>
        </w:trPr>
        <w:tc>
          <w:tcPr>
            <w:tcW w:w="7500" w:type="dxa"/>
            <w:vAlign w:val="bottom"/>
            <w:gridSpan w:val="2"/>
            <w:shd w:val="clear" w:color="auto" w:fill="E6E6E6"/>
          </w:tcPr>
          <w:p>
            <w:pPr>
              <w:ind w:left="420"/>
              <w:spacing w:after="0"/>
              <w:rPr>
                <w:sz w:val="20"/>
                <w:szCs w:val="20"/>
                <w:color w:val="auto"/>
              </w:rPr>
            </w:pPr>
            <w:r>
              <w:rPr>
                <w:rFonts w:ascii="Times New Roman" w:cs="Times New Roman" w:eastAsia="Times New Roman" w:hAnsi="Times New Roman"/>
                <w:sz w:val="20"/>
                <w:szCs w:val="20"/>
                <w:color w:val="auto"/>
              </w:rPr>
              <w:t>Senior notes, net of unamortized discounts and debt issuance costs</w:t>
            </w:r>
          </w:p>
        </w:tc>
        <w:tc>
          <w:tcPr>
            <w:tcW w:w="1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7,237</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8,329</w:t>
            </w:r>
          </w:p>
        </w:tc>
      </w:tr>
      <w:tr>
        <w:trPr>
          <w:trHeight w:val="291"/>
        </w:trPr>
        <w:tc>
          <w:tcPr>
            <w:tcW w:w="75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Other long-term debt: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3"/>
        </w:trPr>
        <w:tc>
          <w:tcPr>
            <w:tcW w:w="7500" w:type="dxa"/>
            <w:vAlign w:val="bottom"/>
            <w:tcBorders>
              <w:bottom w:val="single" w:sz="8" w:color="E6E6E6"/>
            </w:tcBorders>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77"/>
        </w:trPr>
        <w:tc>
          <w:tcPr>
            <w:tcW w:w="7500" w:type="dxa"/>
            <w:vAlign w:val="bottom"/>
            <w:tcBorders>
              <w:bottom w:val="single" w:sz="8" w:color="E6E6E6"/>
            </w:tcBorders>
            <w:gridSpan w:val="2"/>
          </w:tcPr>
          <w:p>
            <w:pPr>
              <w:ind w:left="420"/>
              <w:spacing w:after="0"/>
              <w:rPr>
                <w:sz w:val="20"/>
                <w:szCs w:val="20"/>
                <w:color w:val="auto"/>
              </w:rPr>
            </w:pPr>
            <w:r>
              <w:rPr>
                <w:rFonts w:ascii="Times New Roman" w:cs="Times New Roman" w:eastAsia="Times New Roman" w:hAnsi="Times New Roman"/>
                <w:sz w:val="20"/>
                <w:szCs w:val="20"/>
                <w:color w:val="auto"/>
              </w:rPr>
              <w:t>Total long-term debt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7,287</w:t>
            </w:r>
          </w:p>
        </w:tc>
        <w:tc>
          <w:tcPr>
            <w:tcW w:w="8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8,398</w:t>
            </w:r>
          </w:p>
        </w:tc>
      </w:tr>
      <w:tr>
        <w:trPr>
          <w:trHeight w:val="297"/>
        </w:trPr>
        <w:tc>
          <w:tcPr>
            <w:tcW w:w="7500" w:type="dxa"/>
            <w:vAlign w:val="bottom"/>
            <w:gridSpan w:val="2"/>
            <w:shd w:val="clear" w:color="auto" w:fill="E6E6E6"/>
          </w:tcPr>
          <w:p>
            <w:pPr>
              <w:ind w:left="560"/>
              <w:spacing w:after="0" w:line="257" w:lineRule="exact"/>
              <w:rPr>
                <w:sz w:val="20"/>
                <w:szCs w:val="20"/>
                <w:color w:val="auto"/>
              </w:rPr>
            </w:pPr>
            <w:r>
              <w:rPr>
                <w:rFonts w:ascii="Times New Roman" w:cs="Times New Roman" w:eastAsia="Times New Roman" w:hAnsi="Times New Roman"/>
                <w:sz w:val="20"/>
                <w:szCs w:val="20"/>
                <w:color w:val="auto"/>
              </w:rPr>
              <w:t xml:space="preserve">Total debt </w:t>
            </w:r>
            <w:r>
              <w:rPr>
                <w:rFonts w:ascii="Times New Roman" w:cs="Times New Roman" w:eastAsia="Times New Roman" w:hAnsi="Times New Roman"/>
                <w:sz w:val="25"/>
                <w:szCs w:val="25"/>
                <w:color w:val="auto"/>
                <w:vertAlign w:val="superscript"/>
              </w:rPr>
              <w:t>(1)</w:t>
            </w: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8,446</w:t>
            </w:r>
          </w:p>
        </w:tc>
        <w:tc>
          <w:tcPr>
            <w:tcW w:w="2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9,220</w:t>
            </w:r>
          </w:p>
        </w:tc>
      </w:tr>
      <w:tr>
        <w:trPr>
          <w:trHeight w:val="134"/>
        </w:trPr>
        <w:tc>
          <w:tcPr>
            <w:tcW w:w="3500" w:type="dxa"/>
            <w:vAlign w:val="bottom"/>
            <w:tcBorders>
              <w:top w:val="single" w:sz="8" w:color="E6E6E6"/>
              <w:bottom w:val="single" w:sz="8" w:color="auto"/>
            </w:tcBorders>
          </w:tcPr>
          <w:p>
            <w:pPr>
              <w:spacing w:after="0"/>
              <w:rPr>
                <w:sz w:val="11"/>
                <w:szCs w:val="11"/>
                <w:color w:val="auto"/>
              </w:rPr>
            </w:pPr>
          </w:p>
        </w:tc>
        <w:tc>
          <w:tcPr>
            <w:tcW w:w="4000" w:type="dxa"/>
            <w:vAlign w:val="bottom"/>
            <w:tcBorders>
              <w:top w:val="single" w:sz="8" w:color="E6E6E6"/>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-5581650</wp:posOffset>
            </wp:positionV>
            <wp:extent cx="1725930" cy="501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07">
                      <a:extLst>
                        <a:ext uri="{28A0092B-C50C-407E-A947-70E740481C1C}"/>
                      </a:extLst>
                    </a:blip>
                    <a:srcRect/>
                    <a:stretch>
                      <a:fillRect/>
                    </a:stretch>
                  </pic:blipFill>
                  <pic:spPr bwMode="auto">
                    <a:xfrm>
                      <a:off x="0" y="0"/>
                      <a:ext cx="1725930"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-4459605</wp:posOffset>
            </wp:positionV>
            <wp:extent cx="1737995" cy="501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08">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-1083945</wp:posOffset>
            </wp:positionV>
            <wp:extent cx="1737995" cy="501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09">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-518160</wp:posOffset>
            </wp:positionV>
            <wp:extent cx="1737995" cy="501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10">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-329565</wp:posOffset>
            </wp:positionV>
            <wp:extent cx="1737995" cy="501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11">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-153670</wp:posOffset>
            </wp:positionV>
            <wp:extent cx="1737995" cy="755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12">
                      <a:extLst>
                        <a:ext uri="{28A0092B-C50C-407E-A947-70E740481C1C}"/>
                      </a:extLst>
                    </a:blip>
                    <a:srcRect/>
                    <a:stretch>
                      <a:fillRect/>
                    </a:stretch>
                  </pic:blipFill>
                  <pic:spPr bwMode="auto">
                    <a:xfrm>
                      <a:off x="0" y="0"/>
                      <a:ext cx="1737995" cy="75565"/>
                    </a:xfrm>
                    <a:prstGeom prst="rect">
                      <a:avLst/>
                    </a:prstGeom>
                    <a:noFill/>
                  </pic:spPr>
                </pic:pic>
              </a:graphicData>
            </a:graphic>
          </wp:anchor>
        </w:drawing>
      </w:r>
    </w:p>
    <w:p>
      <w:pPr>
        <w:spacing w:after="0" w:line="126" w:lineRule="exact"/>
        <w:rPr>
          <w:sz w:val="20"/>
          <w:szCs w:val="20"/>
          <w:color w:val="auto"/>
        </w:rPr>
      </w:pPr>
    </w:p>
    <w:p>
      <w:pPr>
        <w:ind w:left="720" w:hanging="719"/>
        <w:spacing w:after="0" w:line="241" w:lineRule="auto"/>
        <w:tabs>
          <w:tab w:leader="none" w:pos="720" w:val="left"/>
        </w:tabs>
        <w:numPr>
          <w:ilvl w:val="0"/>
          <w:numId w:val="9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Our fixed-rate senior notes had a face value of approximately $8.4 billion and $9.1 billion at December 31, 2022 and 2021, respectively. We estimated the aggregate fair value of these notes to be approximately $7.6 billion and $9.9 billion at December 31, 2022 and 2021,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1880" w:h="15480" w:orient="portrait"/>
          <w:cols w:equalWidth="0" w:num="1">
            <w:col w:w="10160"/>
          </w:cols>
          <w:pgMar w:left="860" w:top="435" w:right="860" w:bottom="0" w:gutter="0" w:footer="0" w:header="0"/>
          <w:type w:val="continuous"/>
        </w:sectPr>
      </w:pPr>
    </w:p>
    <w:bookmarkStart w:id="137" w:name="page138"/>
    <w:bookmarkEnd w:id="137"/>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Paper Program</w:t>
      </w:r>
    </w:p>
    <w:p>
      <w:pPr>
        <w:spacing w:after="0" w:line="253" w:lineRule="exact"/>
        <w:rPr>
          <w:sz w:val="20"/>
          <w:szCs w:val="20"/>
          <w:color w:val="auto"/>
        </w:rPr>
      </w:pPr>
    </w:p>
    <w:p>
      <w:pPr>
        <w:ind w:right="40" w:firstLine="713"/>
        <w:spacing w:after="0" w:line="258" w:lineRule="auto"/>
        <w:rPr>
          <w:sz w:val="20"/>
          <w:szCs w:val="20"/>
          <w:color w:val="auto"/>
        </w:rPr>
      </w:pPr>
      <w:r>
        <w:rPr>
          <w:rFonts w:ascii="Times New Roman" w:cs="Times New Roman" w:eastAsia="Times New Roman" w:hAnsi="Times New Roman"/>
          <w:sz w:val="20"/>
          <w:szCs w:val="20"/>
          <w:color w:val="auto"/>
        </w:rPr>
        <w:t>We have a commercial paper program under which we may issue (and have outstanding at any time) up to $2.7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Agreements</w:t>
      </w:r>
    </w:p>
    <w:p>
      <w:pPr>
        <w:spacing w:after="0" w:line="250" w:lineRule="exact"/>
        <w:rPr>
          <w:sz w:val="20"/>
          <w:szCs w:val="20"/>
          <w:color w:val="auto"/>
        </w:rPr>
      </w:pPr>
    </w:p>
    <w:p>
      <w:pPr>
        <w:ind w:right="20" w:firstLine="713"/>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Senior secured hedged inventory facility</w:t>
      </w:r>
      <w:r>
        <w:rPr>
          <w:rFonts w:ascii="Times New Roman" w:cs="Times New Roman" w:eastAsia="Times New Roman" w:hAnsi="Times New Roman"/>
          <w:sz w:val="20"/>
          <w:szCs w:val="20"/>
          <w:color w:val="auto"/>
        </w:rPr>
        <w:t>. We have a credit agreement that provides for a senior secured hedged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inventory facility with a committed 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In August 2022, we amended this agreement to, among other things, extend the maturity date of the facility to August 2025 for each existing lender.</w:t>
      </w:r>
    </w:p>
    <w:p>
      <w:pPr>
        <w:spacing w:after="0" w:line="205"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Senior unsecured revolving credit facility. </w:t>
      </w:r>
      <w:r>
        <w:rPr>
          <w:rFonts w:ascii="Times New Roman" w:cs="Times New Roman" w:eastAsia="Times New Roman" w:hAnsi="Times New Roman"/>
          <w:sz w:val="20"/>
          <w:szCs w:val="20"/>
          <w:color w:val="auto"/>
        </w:rPr>
        <w:t>We have a credit agreement that provides for a senior unsecured revolving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credit facility with a 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In August 2022, we amended this agreement to, among other things, extend the maturity date of the facility to August 2027 for each existing lender.</w:t>
      </w:r>
    </w:p>
    <w:p>
      <w:pPr>
        <w:spacing w:after="0" w:line="207" w:lineRule="exact"/>
        <w:rPr>
          <w:sz w:val="20"/>
          <w:szCs w:val="20"/>
          <w:color w:val="auto"/>
        </w:rPr>
      </w:pPr>
    </w:p>
    <w:p>
      <w:pPr>
        <w:jc w:val="both"/>
        <w:ind w:right="40" w:firstLine="713"/>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GO Zone term loans</w:t>
      </w:r>
      <w:r>
        <w:rPr>
          <w:rFonts w:ascii="Times New Roman" w:cs="Times New Roman" w:eastAsia="Times New Roman" w:hAnsi="Times New Roman"/>
          <w:sz w:val="20"/>
          <w:szCs w:val="20"/>
          <w:color w:val="auto"/>
        </w:rPr>
        <w:t>. In August 2021, in connection with the sale of the Southern Pines natural gas storage facility,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repaid $200 million of term loans (the “Go Zone term loans”) that were initially assumed in connection with our acquisition of that facility. See Note 7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Notes</w:t>
      </w:r>
    </w:p>
    <w:p>
      <w:pPr>
        <w:spacing w:after="0" w:line="253" w:lineRule="exact"/>
        <w:rPr>
          <w:sz w:val="20"/>
          <w:szCs w:val="20"/>
          <w:color w:val="auto"/>
        </w:rPr>
      </w:pPr>
    </w:p>
    <w:p>
      <w:pPr>
        <w:ind w:right="60" w:firstLine="713"/>
        <w:spacing w:after="0" w:line="272" w:lineRule="auto"/>
        <w:rPr>
          <w:sz w:val="20"/>
          <w:szCs w:val="20"/>
          <w:color w:val="auto"/>
        </w:rPr>
      </w:pPr>
      <w:r>
        <w:rPr>
          <w:rFonts w:ascii="Times New Roman" w:cs="Times New Roman" w:eastAsia="Times New Roman" w:hAnsi="Times New Roman"/>
          <w:sz w:val="19"/>
          <w:szCs w:val="19"/>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185" w:lineRule="exact"/>
        <w:rPr>
          <w:sz w:val="20"/>
          <w:szCs w:val="20"/>
          <w:color w:val="auto"/>
        </w:rPr>
      </w:pPr>
    </w:p>
    <w:p>
      <w:pPr>
        <w:ind w:right="280" w:firstLine="713"/>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Senior Notes Issuances. </w:t>
      </w:r>
      <w:r>
        <w:rPr>
          <w:rFonts w:ascii="Times New Roman" w:cs="Times New Roman" w:eastAsia="Times New Roman" w:hAnsi="Times New Roman"/>
          <w:sz w:val="20"/>
          <w:szCs w:val="20"/>
          <w:color w:val="auto"/>
        </w:rPr>
        <w:t>The table below summarizes our issuances of senior unsecured notes during the three years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2022 (in millions):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Borders>
              <w:bottom w:val="single" w:sz="8" w:color="E6E6E6"/>
            </w:tcBorders>
          </w:tcPr>
          <w:p>
            <w:pPr>
              <w:spacing w:after="0"/>
              <w:rPr>
                <w:sz w:val="18"/>
                <w:szCs w:val="18"/>
                <w:color w:val="auto"/>
              </w:rPr>
            </w:pPr>
          </w:p>
        </w:tc>
        <w:tc>
          <w:tcPr>
            <w:tcW w:w="43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tcBorders>
              <w:bottom w:val="single" w:sz="8" w:color="E6E6E6"/>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Maturity</w:t>
            </w:r>
          </w:p>
        </w:tc>
        <w:tc>
          <w:tcPr>
            <w:tcW w:w="8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80" w:type="dxa"/>
            <w:vAlign w:val="bottom"/>
            <w:tcBorders>
              <w:bottom w:val="single" w:sz="8" w:color="E6E6E6"/>
            </w:tcBorders>
          </w:tcPr>
          <w:p>
            <w:pPr>
              <w:spacing w:after="0"/>
              <w:rPr>
                <w:sz w:val="18"/>
                <w:szCs w:val="18"/>
                <w:color w:val="auto"/>
              </w:rPr>
            </w:pPr>
          </w:p>
        </w:tc>
        <w:tc>
          <w:tcPr>
            <w:tcW w:w="24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Interest Payment Dates</w:t>
            </w:r>
          </w:p>
        </w:tc>
      </w:tr>
      <w:tr>
        <w:trPr>
          <w:trHeight w:val="287"/>
        </w:trPr>
        <w:tc>
          <w:tcPr>
            <w:tcW w:w="4980" w:type="dxa"/>
            <w:vAlign w:val="bottom"/>
            <w:gridSpan w:val="3"/>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2020   3.80% Senior Notes issued at 99.794% of face value</w:t>
            </w:r>
          </w:p>
        </w:tc>
        <w:tc>
          <w:tcPr>
            <w:tcW w:w="80" w:type="dxa"/>
            <w:vAlign w:val="bottom"/>
            <w:shd w:val="clear" w:color="auto" w:fill="E6E6E6"/>
          </w:tcPr>
          <w:p>
            <w:pPr>
              <w:spacing w:after="0"/>
              <w:rPr>
                <w:sz w:val="24"/>
                <w:szCs w:val="24"/>
                <w:color w:val="auto"/>
              </w:rPr>
            </w:pPr>
          </w:p>
        </w:tc>
        <w:tc>
          <w:tcPr>
            <w:tcW w:w="14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September 2030</w:t>
            </w:r>
          </w:p>
        </w:tc>
        <w:tc>
          <w:tcPr>
            <w:tcW w:w="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0" w:type="dxa"/>
            <w:vAlign w:val="bottom"/>
            <w:gridSpan w:val="3"/>
            <w:shd w:val="clear" w:color="auto" w:fill="E6E6E6"/>
          </w:tcPr>
          <w:p>
            <w:pPr>
              <w:ind w:left="540"/>
              <w:spacing w:after="0"/>
              <w:rPr>
                <w:sz w:val="20"/>
                <w:szCs w:val="20"/>
                <w:color w:val="auto"/>
              </w:rPr>
            </w:pPr>
            <w:r>
              <w:rPr>
                <w:rFonts w:ascii="Times New Roman" w:cs="Times New Roman" w:eastAsia="Times New Roman" w:hAnsi="Times New Roman"/>
                <w:sz w:val="20"/>
                <w:szCs w:val="20"/>
                <w:color w:val="auto"/>
              </w:rPr>
              <w:t>750   March 15 and September 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468745" cy="501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13">
                      <a:extLst>
                        <a:ext uri="{28A0092B-C50C-407E-A947-70E740481C1C}"/>
                      </a:extLst>
                    </a:blip>
                    <a:srcRect/>
                    <a:stretch>
                      <a:fillRect/>
                    </a:stretch>
                  </pic:blipFill>
                  <pic:spPr bwMode="auto">
                    <a:xfrm>
                      <a:off x="0" y="0"/>
                      <a:ext cx="6468745" cy="50165"/>
                    </a:xfrm>
                    <a:prstGeom prst="rect">
                      <a:avLst/>
                    </a:prstGeom>
                    <a:noFill/>
                  </pic:spPr>
                </pic:pic>
              </a:graphicData>
            </a:graphic>
          </wp:anchor>
        </w:drawing>
      </w:r>
    </w:p>
    <w:p>
      <w:pPr>
        <w:sectPr>
          <w:pgSz w:w="11880" w:h="15480" w:orient="portrait"/>
          <w:cols w:equalWidth="0" w:num="1">
            <w:col w:w="10140"/>
          </w:cols>
          <w:pgMar w:left="860" w:top="43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F-34</w:t>
      </w:r>
    </w:p>
    <w:p>
      <w:pPr>
        <w:sectPr>
          <w:pgSz w:w="11880" w:h="15480" w:orient="portrait"/>
          <w:cols w:equalWidth="0" w:num="1">
            <w:col w:w="10140"/>
          </w:cols>
          <w:pgMar w:left="860" w:top="435" w:right="880" w:bottom="0" w:gutter="0" w:footer="0" w:header="0"/>
          <w:type w:val="continuous"/>
        </w:sectPr>
      </w:pPr>
    </w:p>
    <w:bookmarkStart w:id="138" w:name="page139"/>
    <w:bookmarkEnd w:id="138"/>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3" w:lineRule="exact"/>
        <w:rPr>
          <w:sz w:val="20"/>
          <w:szCs w:val="20"/>
          <w:color w:val="auto"/>
        </w:rPr>
      </w:pPr>
    </w:p>
    <w:p>
      <w:pPr>
        <w:ind w:right="60" w:firstLine="713"/>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Senior Notes Repayments. </w:t>
      </w:r>
      <w:r>
        <w:rPr>
          <w:rFonts w:ascii="Times New Roman" w:cs="Times New Roman" w:eastAsia="Times New Roman" w:hAnsi="Times New Roman"/>
          <w:sz w:val="20"/>
          <w:szCs w:val="20"/>
          <w:color w:val="auto"/>
        </w:rPr>
        <w:t>During the three years ended December 31, 2022, we repaid the following senior unsecured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notes in full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60" w:type="dxa"/>
            <w:vAlign w:val="bottom"/>
            <w:tcBorders>
              <w:bottom w:val="single" w:sz="8" w:color="E6E6E6"/>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center"/>
              <w:ind w:right="1281"/>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0" w:type="dxa"/>
            <w:vAlign w:val="bottom"/>
            <w:tcBorders>
              <w:bottom w:val="single" w:sz="8" w:color="E6E6E6"/>
            </w:tcBorders>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Repayment Date</w:t>
            </w:r>
          </w:p>
        </w:tc>
        <w:tc>
          <w:tcPr>
            <w:tcW w:w="56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8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shd w:val="clear" w:color="auto" w:fill="E6E6E6"/>
          </w:tcPr>
          <w:p>
            <w:pPr>
              <w:spacing w:after="0"/>
              <w:rPr>
                <w:sz w:val="14"/>
                <w:szCs w:val="14"/>
                <w:color w:val="auto"/>
              </w:rPr>
            </w:pPr>
          </w:p>
        </w:tc>
        <w:tc>
          <w:tcPr>
            <w:tcW w:w="4960" w:type="dxa"/>
            <w:vAlign w:val="bottom"/>
            <w:gridSpan w:val="2"/>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$750 million 3.65% Senior Notes due June 2022</w:t>
            </w:r>
          </w:p>
        </w:tc>
        <w:tc>
          <w:tcPr>
            <w:tcW w:w="60" w:type="dxa"/>
            <w:vAlign w:val="bottom"/>
            <w:shd w:val="clear" w:color="auto" w:fill="E6E6E6"/>
          </w:tcPr>
          <w:p>
            <w:pPr>
              <w:spacing w:after="0"/>
              <w:rPr>
                <w:sz w:val="14"/>
                <w:szCs w:val="14"/>
                <w:color w:val="auto"/>
              </w:rPr>
            </w:pPr>
          </w:p>
        </w:tc>
        <w:tc>
          <w:tcPr>
            <w:tcW w:w="244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March 2022</w:t>
            </w:r>
          </w:p>
        </w:tc>
        <w:tc>
          <w:tcPr>
            <w:tcW w:w="560" w:type="dxa"/>
            <w:vAlign w:val="bottom"/>
            <w:shd w:val="clear" w:color="auto" w:fill="E6E6E6"/>
          </w:tcPr>
          <w:p>
            <w:pPr>
              <w:jc w:val="right"/>
              <w:ind w:right="21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2"/>
        </w:trPr>
        <w:tc>
          <w:tcPr>
            <w:tcW w:w="2080" w:type="dxa"/>
            <w:vAlign w:val="bottom"/>
            <w:vMerge w:val="continue"/>
            <w:shd w:val="clear" w:color="auto" w:fill="E6E6E6"/>
          </w:tcPr>
          <w:p>
            <w:pPr>
              <w:spacing w:after="0"/>
              <w:rPr>
                <w:sz w:val="10"/>
                <w:szCs w:val="10"/>
                <w:color w:val="auto"/>
              </w:rPr>
            </w:pPr>
          </w:p>
        </w:tc>
        <w:tc>
          <w:tcPr>
            <w:tcW w:w="60" w:type="dxa"/>
            <w:vAlign w:val="bottom"/>
            <w:shd w:val="clear" w:color="auto" w:fill="E6E6E6"/>
          </w:tcPr>
          <w:p>
            <w:pPr>
              <w:spacing w:after="0"/>
              <w:rPr>
                <w:sz w:val="10"/>
                <w:szCs w:val="10"/>
                <w:color w:val="auto"/>
              </w:rPr>
            </w:pPr>
          </w:p>
        </w:tc>
        <w:tc>
          <w:tcPr>
            <w:tcW w:w="4960" w:type="dxa"/>
            <w:vAlign w:val="bottom"/>
            <w:gridSpan w:val="2"/>
            <w:vMerge w:val="continue"/>
            <w:shd w:val="clear" w:color="auto" w:fill="E6E6E6"/>
          </w:tcPr>
          <w:p>
            <w:pPr>
              <w:spacing w:after="0"/>
              <w:rPr>
                <w:sz w:val="10"/>
                <w:szCs w:val="10"/>
                <w:color w:val="auto"/>
              </w:rPr>
            </w:pPr>
          </w:p>
        </w:tc>
        <w:tc>
          <w:tcPr>
            <w:tcW w:w="60" w:type="dxa"/>
            <w:vAlign w:val="bottom"/>
            <w:shd w:val="clear" w:color="auto" w:fill="E6E6E6"/>
          </w:tcPr>
          <w:p>
            <w:pPr>
              <w:spacing w:after="0"/>
              <w:rPr>
                <w:sz w:val="10"/>
                <w:szCs w:val="10"/>
                <w:color w:val="auto"/>
              </w:rPr>
            </w:pPr>
          </w:p>
        </w:tc>
        <w:tc>
          <w:tcPr>
            <w:tcW w:w="2440" w:type="dxa"/>
            <w:vAlign w:val="bottom"/>
            <w:vMerge w:val="continue"/>
            <w:shd w:val="clear" w:color="auto" w:fill="E6E6E6"/>
          </w:tcPr>
          <w:p>
            <w:pPr>
              <w:spacing w:after="0"/>
              <w:rPr>
                <w:sz w:val="10"/>
                <w:szCs w:val="10"/>
                <w:color w:val="auto"/>
              </w:rPr>
            </w:pPr>
          </w:p>
        </w:tc>
        <w:tc>
          <w:tcPr>
            <w:tcW w:w="56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8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c>
          <w:tcPr>
            <w:tcW w:w="60" w:type="dxa"/>
            <w:vAlign w:val="bottom"/>
            <w:shd w:val="clear" w:color="auto" w:fill="E6E6E6"/>
          </w:tcPr>
          <w:p>
            <w:pPr>
              <w:spacing w:after="0"/>
              <w:rPr>
                <w:sz w:val="15"/>
                <w:szCs w:val="15"/>
                <w:color w:val="auto"/>
              </w:rPr>
            </w:pPr>
          </w:p>
        </w:tc>
        <w:tc>
          <w:tcPr>
            <w:tcW w:w="4960" w:type="dxa"/>
            <w:vAlign w:val="bottom"/>
            <w:gridSpan w:val="2"/>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$600 million 5.00% Senior Notes due February 2021</w:t>
            </w:r>
          </w:p>
        </w:tc>
        <w:tc>
          <w:tcPr>
            <w:tcW w:w="60" w:type="dxa"/>
            <w:vAlign w:val="bottom"/>
            <w:shd w:val="clear" w:color="auto" w:fill="E6E6E6"/>
          </w:tcPr>
          <w:p>
            <w:pPr>
              <w:spacing w:after="0"/>
              <w:rPr>
                <w:sz w:val="15"/>
                <w:szCs w:val="15"/>
                <w:color w:val="auto"/>
              </w:rPr>
            </w:pPr>
          </w:p>
        </w:tc>
        <w:tc>
          <w:tcPr>
            <w:tcW w:w="244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November 2020</w:t>
            </w:r>
          </w:p>
        </w:tc>
        <w:tc>
          <w:tcPr>
            <w:tcW w:w="560" w:type="dxa"/>
            <w:vAlign w:val="bottom"/>
            <w:shd w:val="clear" w:color="auto" w:fill="E6E6E6"/>
          </w:tcPr>
          <w:p>
            <w:pPr>
              <w:jc w:val="right"/>
              <w:ind w:right="21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22"/>
        </w:trPr>
        <w:tc>
          <w:tcPr>
            <w:tcW w:w="2080" w:type="dxa"/>
            <w:vAlign w:val="bottom"/>
            <w:vMerge w:val="continue"/>
            <w:shd w:val="clear" w:color="auto" w:fill="E6E6E6"/>
          </w:tcPr>
          <w:p>
            <w:pPr>
              <w:spacing w:after="0"/>
              <w:rPr>
                <w:sz w:val="10"/>
                <w:szCs w:val="10"/>
                <w:color w:val="auto"/>
              </w:rPr>
            </w:pPr>
          </w:p>
        </w:tc>
        <w:tc>
          <w:tcPr>
            <w:tcW w:w="60" w:type="dxa"/>
            <w:vAlign w:val="bottom"/>
            <w:shd w:val="clear" w:color="auto" w:fill="E6E6E6"/>
          </w:tcPr>
          <w:p>
            <w:pPr>
              <w:spacing w:after="0"/>
              <w:rPr>
                <w:sz w:val="10"/>
                <w:szCs w:val="10"/>
                <w:color w:val="auto"/>
              </w:rPr>
            </w:pPr>
          </w:p>
        </w:tc>
        <w:tc>
          <w:tcPr>
            <w:tcW w:w="4960" w:type="dxa"/>
            <w:vAlign w:val="bottom"/>
            <w:gridSpan w:val="2"/>
            <w:vMerge w:val="continue"/>
            <w:shd w:val="clear" w:color="auto" w:fill="E6E6E6"/>
          </w:tcPr>
          <w:p>
            <w:pPr>
              <w:spacing w:after="0"/>
              <w:rPr>
                <w:sz w:val="10"/>
                <w:szCs w:val="10"/>
                <w:color w:val="auto"/>
              </w:rPr>
            </w:pPr>
          </w:p>
        </w:tc>
        <w:tc>
          <w:tcPr>
            <w:tcW w:w="60" w:type="dxa"/>
            <w:vAlign w:val="bottom"/>
            <w:shd w:val="clear" w:color="auto" w:fill="E6E6E6"/>
          </w:tcPr>
          <w:p>
            <w:pPr>
              <w:spacing w:after="0"/>
              <w:rPr>
                <w:sz w:val="10"/>
                <w:szCs w:val="10"/>
                <w:color w:val="auto"/>
              </w:rPr>
            </w:pPr>
          </w:p>
        </w:tc>
        <w:tc>
          <w:tcPr>
            <w:tcW w:w="2440" w:type="dxa"/>
            <w:vAlign w:val="bottom"/>
            <w:vMerge w:val="continue"/>
            <w:shd w:val="clear" w:color="auto" w:fill="E6E6E6"/>
          </w:tcPr>
          <w:p>
            <w:pPr>
              <w:spacing w:after="0"/>
              <w:rPr>
                <w:sz w:val="10"/>
                <w:szCs w:val="10"/>
                <w:color w:val="auto"/>
              </w:rPr>
            </w:pPr>
          </w:p>
        </w:tc>
        <w:tc>
          <w:tcPr>
            <w:tcW w:w="56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-706755</wp:posOffset>
            </wp:positionV>
            <wp:extent cx="6129655" cy="501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14">
                      <a:extLst>
                        <a:ext uri="{28A0092B-C50C-407E-A947-70E740481C1C}"/>
                      </a:extLst>
                    </a:blip>
                    <a:srcRect/>
                    <a:stretch>
                      <a:fillRect/>
                    </a:stretch>
                  </pic:blipFill>
                  <pic:spPr bwMode="auto">
                    <a:xfrm>
                      <a:off x="0" y="0"/>
                      <a:ext cx="6129655" cy="50165"/>
                    </a:xfrm>
                    <a:prstGeom prst="rect">
                      <a:avLst/>
                    </a:prstGeom>
                    <a:noFill/>
                  </pic:spPr>
                </pic:pic>
              </a:graphicData>
            </a:graphic>
          </wp:anchor>
        </w:drawing>
      </w:r>
    </w:p>
    <w:p>
      <w:pPr>
        <w:sectPr>
          <w:pgSz w:w="11880" w:h="15480" w:orient="portrait"/>
          <w:cols w:equalWidth="0" w:num="1">
            <w:col w:w="10160"/>
          </w:cols>
          <w:pgMar w:left="860" w:top="435" w:right="860" w:bottom="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repaid these senior notes with cash on hand and borrowings under our commercial paper program.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repaid these senior notes with proceeds from our 3.80% senior notes issued in June 2020 and cash on hand.</w:t>
      </w:r>
    </w:p>
    <w:p>
      <w:pPr>
        <w:spacing w:after="0" w:line="200" w:lineRule="exact"/>
        <w:rPr>
          <w:sz w:val="20"/>
          <w:szCs w:val="20"/>
          <w:color w:val="auto"/>
        </w:rPr>
      </w:pPr>
    </w:p>
    <w:p>
      <w:pPr>
        <w:sectPr>
          <w:pgSz w:w="11880" w:h="15480" w:orient="portrait"/>
          <w:cols w:equalWidth="0" w:num="2">
            <w:col w:w="160" w:space="560"/>
            <w:col w:w="9440"/>
          </w:cols>
          <w:pgMar w:left="860" w:top="435" w:right="860" w:bottom="0" w:gutter="0" w:footer="0" w:header="0"/>
          <w:type w:val="continuous"/>
        </w:sectPr>
      </w:pPr>
    </w:p>
    <w:p>
      <w:pPr>
        <w:spacing w:after="0" w:line="57" w:lineRule="exact"/>
        <w:rPr>
          <w:sz w:val="20"/>
          <w:szCs w:val="20"/>
          <w:color w:val="auto"/>
        </w:rPr>
      </w:pPr>
    </w:p>
    <w:p>
      <w:pPr>
        <w:ind w:right="180" w:firstLine="713"/>
        <w:spacing w:after="0" w:line="278" w:lineRule="auto"/>
        <w:rPr>
          <w:sz w:val="20"/>
          <w:szCs w:val="20"/>
          <w:color w:val="auto"/>
        </w:rPr>
      </w:pPr>
      <w:r>
        <w:rPr>
          <w:rFonts w:ascii="Times New Roman" w:cs="Times New Roman" w:eastAsia="Times New Roman" w:hAnsi="Times New Roman"/>
          <w:sz w:val="20"/>
          <w:szCs w:val="20"/>
          <w:color w:val="auto"/>
        </w:rPr>
        <w:t>On January 31, 2023, we redeemed our 2.85%, $400 million senior notes. We utilized a combination of cash on hand and borrowings under our commercial paper program to repay these senior notes.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Maturities</w:t>
      </w:r>
    </w:p>
    <w:p>
      <w:pPr>
        <w:spacing w:after="0" w:line="253" w:lineRule="exact"/>
        <w:rPr>
          <w:sz w:val="20"/>
          <w:szCs w:val="20"/>
          <w:color w:val="auto"/>
        </w:rPr>
      </w:pPr>
    </w:p>
    <w:p>
      <w:pPr>
        <w:ind w:right="120" w:firstLine="713"/>
        <w:spacing w:after="0" w:line="263" w:lineRule="auto"/>
        <w:rPr>
          <w:sz w:val="20"/>
          <w:szCs w:val="20"/>
          <w:color w:val="auto"/>
        </w:rPr>
      </w:pPr>
      <w:r>
        <w:rPr>
          <w:rFonts w:ascii="Times New Roman" w:cs="Times New Roman" w:eastAsia="Times New Roman" w:hAnsi="Times New Roman"/>
          <w:sz w:val="20"/>
          <w:szCs w:val="20"/>
          <w:color w:val="auto"/>
        </w:rPr>
        <w:t>The weighted average maturity of our senior notes outstanding at December 31, 2022 was approximately 9 years. The following table presents the aggregate contractually scheduled maturities of such senior notes for the next five years and thereafter. The amounts presented exclude unamortized discounts and debt issuance costs.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Calendar Year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0" w:type="dxa"/>
            <w:vAlign w:val="bottom"/>
          </w:tcPr>
          <w:p>
            <w:pPr>
              <w:spacing w:after="0"/>
              <w:rPr>
                <w:sz w:val="1"/>
                <w:szCs w:val="1"/>
                <w:color w:val="auto"/>
              </w:rPr>
            </w:pPr>
          </w:p>
        </w:tc>
      </w:tr>
      <w:tr>
        <w:trPr>
          <w:trHeight w:val="212"/>
        </w:trPr>
        <w:tc>
          <w:tcPr>
            <w:tcW w:w="8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87"/>
        </w:trPr>
        <w:tc>
          <w:tcPr>
            <w:tcW w:w="87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2023</w:t>
            </w:r>
          </w:p>
        </w:tc>
        <w:tc>
          <w:tcPr>
            <w:tcW w:w="2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0" w:type="dxa"/>
            <w:vAlign w:val="bottom"/>
          </w:tcPr>
          <w:p>
            <w:pPr>
              <w:spacing w:after="0"/>
              <w:rPr>
                <w:sz w:val="1"/>
                <w:szCs w:val="1"/>
                <w:color w:val="auto"/>
              </w:rPr>
            </w:pPr>
          </w:p>
        </w:tc>
      </w:tr>
      <w:tr>
        <w:trPr>
          <w:trHeight w:val="291"/>
        </w:trPr>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0" w:type="dxa"/>
            <w:vAlign w:val="bottom"/>
          </w:tcPr>
          <w:p>
            <w:pPr>
              <w:spacing w:after="0"/>
              <w:rPr>
                <w:sz w:val="1"/>
                <w:szCs w:val="1"/>
                <w:color w:val="auto"/>
              </w:rPr>
            </w:pPr>
          </w:p>
        </w:tc>
      </w:tr>
      <w:tr>
        <w:trPr>
          <w:trHeight w:val="303"/>
        </w:trPr>
        <w:tc>
          <w:tcPr>
            <w:tcW w:w="87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2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91"/>
        </w:trPr>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0" w:type="dxa"/>
            <w:vAlign w:val="bottom"/>
          </w:tcPr>
          <w:p>
            <w:pPr>
              <w:spacing w:after="0"/>
              <w:rPr>
                <w:sz w:val="1"/>
                <w:szCs w:val="1"/>
                <w:color w:val="auto"/>
              </w:rPr>
            </w:pPr>
          </w:p>
        </w:tc>
      </w:tr>
      <w:tr>
        <w:trPr>
          <w:trHeight w:val="303"/>
        </w:trPr>
        <w:tc>
          <w:tcPr>
            <w:tcW w:w="87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2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-1148080</wp:posOffset>
            </wp:positionV>
            <wp:extent cx="6490970" cy="501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15">
                      <a:extLst>
                        <a:ext uri="{28A0092B-C50C-407E-A947-70E740481C1C}"/>
                      </a:extLst>
                    </a:blip>
                    <a:srcRect/>
                    <a:stretch>
                      <a:fillRect/>
                    </a:stretch>
                  </pic:blipFill>
                  <pic:spPr bwMode="auto">
                    <a:xfrm>
                      <a:off x="0" y="0"/>
                      <a:ext cx="6490970" cy="5016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Covenants and Compliance</w:t>
      </w:r>
    </w:p>
    <w:p>
      <w:pPr>
        <w:spacing w:after="0" w:line="253" w:lineRule="exact"/>
        <w:rPr>
          <w:sz w:val="20"/>
          <w:szCs w:val="20"/>
          <w:color w:val="auto"/>
        </w:rPr>
      </w:pPr>
    </w:p>
    <w:p>
      <w:pPr>
        <w:ind w:right="80" w:firstLine="713"/>
        <w:spacing w:after="0" w:line="255" w:lineRule="auto"/>
        <w:rPr>
          <w:sz w:val="20"/>
          <w:szCs w:val="20"/>
          <w:color w:val="auto"/>
        </w:rPr>
      </w:pPr>
      <w:r>
        <w:rPr>
          <w:rFonts w:ascii="Times New Roman" w:cs="Times New Roman" w:eastAsia="Times New Roman" w:hAnsi="Times New Roman"/>
          <w:sz w:val="20"/>
          <w:szCs w:val="20"/>
          <w:color w:val="auto"/>
        </w:rPr>
        <w:t>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204" w:lineRule="exact"/>
        <w:rPr>
          <w:sz w:val="20"/>
          <w:szCs w:val="20"/>
          <w:color w:val="auto"/>
        </w:rPr>
      </w:pPr>
    </w:p>
    <w:p>
      <w:pPr>
        <w:ind w:left="1080" w:hanging="366"/>
        <w:spacing w:after="0"/>
        <w:tabs>
          <w:tab w:leader="none" w:pos="10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liens on certain property;</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indebtedness, including finance leases;</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substantially all of our assets or enter into a merger or consolidation;</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certain transactions with affiliates; and</w:t>
      </w:r>
    </w:p>
    <w:p>
      <w:pPr>
        <w:spacing w:after="0" w:line="126"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certain burdensome agreements.</w:t>
      </w:r>
    </w:p>
    <w:p>
      <w:pPr>
        <w:spacing w:after="0" w:line="245" w:lineRule="exact"/>
        <w:rPr>
          <w:sz w:val="20"/>
          <w:szCs w:val="20"/>
          <w:color w:val="auto"/>
        </w:rPr>
      </w:pPr>
    </w:p>
    <w:p>
      <w:pPr>
        <w:ind w:right="240" w:firstLine="713"/>
        <w:spacing w:after="0" w:line="253" w:lineRule="auto"/>
        <w:rPr>
          <w:sz w:val="20"/>
          <w:szCs w:val="20"/>
          <w:color w:val="auto"/>
        </w:rPr>
      </w:pPr>
      <w:r>
        <w:rPr>
          <w:rFonts w:ascii="Times New Roman" w:cs="Times New Roman" w:eastAsia="Times New Roman" w:hAnsi="Times New Roman"/>
          <w:sz w:val="20"/>
          <w:szCs w:val="20"/>
          <w:color w:val="auto"/>
        </w:rPr>
        <w:t>The credit agreements for our senior unsecured revolving credit facility and senior secured hedged inventory facility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ectPr>
          <w:pgSz w:w="11880" w:h="15480" w:orient="portrait"/>
          <w:cols w:equalWidth="0" w:num="1">
            <w:col w:w="10160"/>
          </w:cols>
          <w:pgMar w:left="860" w:top="435" w:right="860" w:bottom="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1880" w:h="15480" w:orient="portrait"/>
          <w:cols w:equalWidth="0" w:num="1">
            <w:col w:w="10160"/>
          </w:cols>
          <w:pgMar w:left="860" w:top="435" w:right="860" w:bottom="0" w:gutter="0" w:footer="0" w:header="0"/>
          <w:type w:val="continuous"/>
        </w:sectPr>
      </w:pPr>
    </w:p>
    <w:bookmarkStart w:id="139" w:name="page140"/>
    <w:bookmarkEnd w:id="139"/>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20"/>
          <w:szCs w:val="20"/>
          <w:color w:val="auto"/>
        </w:rPr>
        <w:t>A default under our credit agreements or indentures would permit the lenders to accelerate the maturity of the outstanding debt. As long as we are in compliance with the provisions contained in our credit agreements, our ability to make distributions of available cash is not restricted. As of December 31, 2022, we were in compliance with the covenants contained in our credit agreements and indentures.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Borrowings and Repayments</w:t>
      </w:r>
    </w:p>
    <w:p>
      <w:pPr>
        <w:spacing w:after="0" w:line="253" w:lineRule="exact"/>
        <w:rPr>
          <w:sz w:val="20"/>
          <w:szCs w:val="20"/>
          <w:color w:val="auto"/>
        </w:rPr>
      </w:pPr>
    </w:p>
    <w:p>
      <w:pPr>
        <w:ind w:firstLine="713"/>
        <w:spacing w:after="0" w:line="254" w:lineRule="auto"/>
        <w:rPr>
          <w:sz w:val="20"/>
          <w:szCs w:val="20"/>
          <w:color w:val="auto"/>
        </w:rPr>
      </w:pPr>
      <w:r>
        <w:rPr>
          <w:rFonts w:ascii="Times New Roman" w:cs="Times New Roman" w:eastAsia="Times New Roman" w:hAnsi="Times New Roman"/>
          <w:sz w:val="20"/>
          <w:szCs w:val="20"/>
          <w:color w:val="auto"/>
        </w:rPr>
        <w:t>Total borrowings under our credit facilities and commercial paper program for the years ended December 31, 2022, 2021 and 2020 were approximately $25.0 billion, $32.5 billion and $29.3 billion, respectively. Total repayments under our credit facilities and commercial paper program were approximately $25.0 billion, $33.2 billion and $29.0 billion for the years ended December 31, 2022, 2021 and 2020, respectively. The variance in total gross borrowings and repayments is impacted by various business and financial factors including, but not limited to, the timing, average term and method of general partnership borrowing activities.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Letters of Credit</w:t>
      </w:r>
    </w:p>
    <w:p>
      <w:pPr>
        <w:spacing w:after="0" w:line="253" w:lineRule="exact"/>
        <w:rPr>
          <w:sz w:val="20"/>
          <w:szCs w:val="20"/>
          <w:color w:val="auto"/>
        </w:rPr>
      </w:pPr>
    </w:p>
    <w:p>
      <w:pPr>
        <w:ind w:right="20" w:firstLine="713"/>
        <w:spacing w:after="0" w:line="252" w:lineRule="auto"/>
        <w:rPr>
          <w:sz w:val="20"/>
          <w:szCs w:val="20"/>
          <w:color w:val="auto"/>
        </w:rPr>
      </w:pPr>
      <w:r>
        <w:rPr>
          <w:rFonts w:ascii="Times New Roman" w:cs="Times New Roman" w:eastAsia="Times New Roman" w:hAnsi="Times New Roman"/>
          <w:sz w:val="20"/>
          <w:szCs w:val="20"/>
          <w:color w:val="auto"/>
        </w:rPr>
        <w:t>In connection with our merchant activities, we provide certain suppliers with irrevocable standby letters of credit to secure our obligation for the purchase and transportation of crude oil and NGL. These letters of credit are issued under our senior unsecured revolving credit facility and our senior secured hedged inventory facility, and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2022 and 2021, we had outstanding letters of credit of $102 million and $98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Issuance Costs</w:t>
      </w:r>
    </w:p>
    <w:p>
      <w:pPr>
        <w:spacing w:after="0" w:line="253" w:lineRule="exact"/>
        <w:rPr>
          <w:sz w:val="20"/>
          <w:szCs w:val="20"/>
          <w:color w:val="auto"/>
        </w:rPr>
      </w:pPr>
    </w:p>
    <w:p>
      <w:pPr>
        <w:jc w:val="both"/>
        <w:ind w:firstLine="713"/>
        <w:spacing w:after="0" w:line="263" w:lineRule="auto"/>
        <w:rPr>
          <w:sz w:val="20"/>
          <w:szCs w:val="20"/>
          <w:color w:val="auto"/>
        </w:rPr>
      </w:pPr>
      <w:r>
        <w:rPr>
          <w:rFonts w:ascii="Times New Roman" w:cs="Times New Roman" w:eastAsia="Times New Roman" w:hAnsi="Times New Roman"/>
          <w:sz w:val="20"/>
          <w:szCs w:val="20"/>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12—Partners’ Capital and Distributions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Units Outstanding</w:t>
      </w:r>
    </w:p>
    <w:p>
      <w:pPr>
        <w:spacing w:after="0" w:line="253" w:lineRule="exact"/>
        <w:rPr>
          <w:sz w:val="20"/>
          <w:szCs w:val="20"/>
          <w:color w:val="auto"/>
        </w:rPr>
      </w:pPr>
    </w:p>
    <w:p>
      <w:pPr>
        <w:jc w:val="both"/>
        <w:ind w:right="60" w:firstLine="713"/>
        <w:spacing w:after="0" w:line="258" w:lineRule="auto"/>
        <w:rPr>
          <w:sz w:val="20"/>
          <w:szCs w:val="20"/>
          <w:color w:val="auto"/>
        </w:rPr>
      </w:pPr>
      <w:r>
        <w:rPr>
          <w:rFonts w:ascii="Times New Roman" w:cs="Times New Roman" w:eastAsia="Times New Roman" w:hAnsi="Times New Roman"/>
          <w:sz w:val="20"/>
          <w:szCs w:val="20"/>
          <w:color w:val="auto"/>
        </w:rPr>
        <w:t>At December 31, 2022, partners’ capital consisted of outstanding common units and Series A and Series B preferred units, which represent limited partner interests in us and which give the holders thereof the right to participate in distributions and to exercise the other rights or privileges as outlined in our partnership agreement. Our general partner has a non-economic interest in us.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Series A Preferred Units</w:t>
      </w:r>
    </w:p>
    <w:p>
      <w:pPr>
        <w:spacing w:after="0" w:line="252" w:lineRule="exact"/>
        <w:rPr>
          <w:sz w:val="20"/>
          <w:szCs w:val="20"/>
          <w:color w:val="auto"/>
        </w:rPr>
      </w:pPr>
    </w:p>
    <w:p>
      <w:pPr>
        <w:ind w:right="40" w:firstLine="713"/>
        <w:spacing w:after="0" w:line="255" w:lineRule="auto"/>
        <w:rPr>
          <w:sz w:val="20"/>
          <w:szCs w:val="20"/>
          <w:color w:val="auto"/>
        </w:rPr>
      </w:pPr>
      <w:r>
        <w:rPr>
          <w:rFonts w:ascii="Times New Roman" w:cs="Times New Roman" w:eastAsia="Times New Roman" w:hAnsi="Times New Roman"/>
          <w:sz w:val="20"/>
          <w:szCs w:val="20"/>
          <w:color w:val="auto"/>
        </w:rPr>
        <w:t>Our Series A preferred units were issued in a private placement in 2016 at a price of $26.25 per unit (the “Issue Price”). The Series A preferred units represent limited partner interests in us, rank pari passu with our Series B preferred units, and senior to our common units and to each other class or series of our equity securities with respect to distribution rights and rights upon liquidation. The holders of the Series A preferred units receive cumulative quarterly distributions, subject to customary antidilution adjustments, to unitholders of record within 45 days following the end of each quarter.</w:t>
      </w:r>
    </w:p>
    <w:p>
      <w:pPr>
        <w:sectPr>
          <w:pgSz w:w="11880" w:h="15480" w:orient="portrait"/>
          <w:cols w:equalWidth="0" w:num="1">
            <w:col w:w="10060"/>
          </w:cols>
          <w:pgMar w:left="860" w:top="43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F-36</w:t>
      </w:r>
    </w:p>
    <w:p>
      <w:pPr>
        <w:sectPr>
          <w:pgSz w:w="11880" w:h="15480" w:orient="portrait"/>
          <w:cols w:equalWidth="0" w:num="1">
            <w:col w:w="10060"/>
          </w:cols>
          <w:pgMar w:left="860" w:top="435" w:right="960" w:bottom="0" w:gutter="0" w:footer="0" w:header="0"/>
          <w:type w:val="continuous"/>
        </w:sectPr>
      </w:pPr>
    </w:p>
    <w:bookmarkStart w:id="140" w:name="page141"/>
    <w:bookmarkEnd w:id="140"/>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40" w:firstLine="713"/>
        <w:spacing w:after="0" w:line="264" w:lineRule="auto"/>
        <w:rPr>
          <w:sz w:val="20"/>
          <w:szCs w:val="20"/>
          <w:color w:val="auto"/>
        </w:rPr>
      </w:pPr>
      <w:r>
        <w:rPr>
          <w:rFonts w:ascii="Times New Roman" w:cs="Times New Roman" w:eastAsia="Times New Roman" w:hAnsi="Times New Roman"/>
          <w:sz w:val="19"/>
          <w:szCs w:val="19"/>
          <w:color w:val="auto"/>
        </w:rPr>
        <w:t>The initial Series A preferred unit distribution is equal to $0.525 per unit ($2.10 per unit annualized). For a period of 30 days following (a) the fifth anniversary of the January 28, 2016 issuance date (the “Issuance Date”) of the Series A preferred units and (b) each subsequent anniversary of the Issuance Date, the holders of the Series A preferred units, acting by majority vote, may make a one-time election to reset the Series A preferred unit distribution rate to equal the then applicable rate of ten-year U.S. Treasury Securities plus 5.85% (the “Preferred Distribution Rate Reset Option”). The Preferred Distribution Rate Reset Option is accounted for as an embedded derivative. See Note 13 for additional information. If the holders of the Series A preferred units have exercised the Preferred Distribution Rate Reset Option, then, at any time following 30 days after the sixth anniversary of the Issuance Date, we may redeem all or any portion of the outstanding Series A preferred units in exchange for cash, common units (valued at 95% of the volume-weighted average price of our common units for a trading day period specified in our partnership agreement) or a combination of cash and common units at a redemption price equal to 110% of the Issue Price, plus any accrued and unpaid distributions. In January 2023, we received notice that the Series A preferred unitholders elected the Preferred Distribution Rate Reset Option. Effective January 31, 2023, the new Series A preferred unit distribution rate is equal to 9.375% per annum on the original Issue Price (approximately $2.46 per unit annualized). The quarterly distribution to be paid in May 2023 will reflect a pro-rated amount of $0.58516 per unit.</w:t>
      </w:r>
    </w:p>
    <w:p>
      <w:pPr>
        <w:spacing w:after="0" w:line="199"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The holders may convert their Series A preferred units into common units, generally on a one-for-one basis and subject to customary anti-dilution adjustments, at any time, in whole or in part, subject to certain minimum conversion amounts (and not more often than once per quarter). We may convert the Series A preferred units into common units at any time (but not more often than once per quarter), in whole or in part, subject to certain minimum conversion amounts, if the closing price of our common units is greater than 150% of the Issue Price for the preceding 20 trading days. The Series A preferred units vote on an as-converted basis with our common units on the election of directors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into common units at the then applicable conversion rate.</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Series B Preferred Units</w:t>
      </w:r>
    </w:p>
    <w:p>
      <w:pPr>
        <w:spacing w:after="0" w:line="252" w:lineRule="exact"/>
        <w:rPr>
          <w:sz w:val="20"/>
          <w:szCs w:val="20"/>
          <w:color w:val="auto"/>
        </w:rPr>
      </w:pPr>
    </w:p>
    <w:p>
      <w:pPr>
        <w:ind w:right="100" w:firstLine="713"/>
        <w:spacing w:after="0" w:line="251" w:lineRule="auto"/>
        <w:rPr>
          <w:sz w:val="20"/>
          <w:szCs w:val="20"/>
          <w:color w:val="auto"/>
        </w:rPr>
      </w:pPr>
      <w:r>
        <w:rPr>
          <w:rFonts w:ascii="Times New Roman" w:cs="Times New Roman" w:eastAsia="Times New Roman" w:hAnsi="Times New Roman"/>
          <w:sz w:val="20"/>
          <w:szCs w:val="20"/>
          <w:color w:val="auto"/>
        </w:rPr>
        <w:t>Our Series B Fixed-to-Floating Rate Cumulative Redeemable Perpetual Preferred Units representing limited partner interests in us (the “Series B preferred units”) were issued in 2017 at a price to the public of $1,000 per unit. Our Series B preferred units represent perpetual equity interests in us,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pari passu with our outstanding Series A preferred units and senior to our common units.</w:t>
      </w:r>
    </w:p>
    <w:p>
      <w:pPr>
        <w:spacing w:after="0" w:line="208" w:lineRule="exact"/>
        <w:rPr>
          <w:sz w:val="20"/>
          <w:szCs w:val="20"/>
          <w:color w:val="auto"/>
        </w:rPr>
      </w:pPr>
    </w:p>
    <w:p>
      <w:pPr>
        <w:ind w:right="20" w:firstLine="713"/>
        <w:spacing w:after="0" w:line="251" w:lineRule="auto"/>
        <w:rPr>
          <w:sz w:val="20"/>
          <w:szCs w:val="20"/>
          <w:color w:val="auto"/>
        </w:rPr>
      </w:pPr>
      <w:r>
        <w:rPr>
          <w:rFonts w:ascii="Times New Roman" w:cs="Times New Roman" w:eastAsia="Times New Roman" w:hAnsi="Times New Roman"/>
          <w:sz w:val="20"/>
          <w:szCs w:val="20"/>
          <w:color w:val="auto"/>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On and after November 15, 2022, distributions on the Series B preferred units accumulate for each distribution period at a percentage of the liquidation preference equal to the applicable three-month LIBOR (or, if discontinued, a substitute or successor rate determined by the calculation agent) plus a spread of 4.11%. The distribution rate for the quarterly distribution paid on February 15, 2023 was 8.71614% ($22.27 per Series B preferred unit).</w:t>
      </w:r>
    </w:p>
    <w:p>
      <w:pPr>
        <w:spacing w:after="0" w:line="205" w:lineRule="exact"/>
        <w:rPr>
          <w:sz w:val="20"/>
          <w:szCs w:val="20"/>
          <w:color w:val="auto"/>
        </w:rPr>
      </w:pPr>
    </w:p>
    <w:p>
      <w:pPr>
        <w:jc w:val="both"/>
        <w:ind w:right="500" w:firstLine="713"/>
        <w:spacing w:after="0" w:line="263" w:lineRule="auto"/>
        <w:rPr>
          <w:sz w:val="20"/>
          <w:szCs w:val="20"/>
          <w:color w:val="auto"/>
        </w:rPr>
      </w:pPr>
      <w:r>
        <w:rPr>
          <w:rFonts w:ascii="Times New Roman" w:cs="Times New Roman" w:eastAsia="Times New Roman" w:hAnsi="Times New Roman"/>
          <w:sz w:val="20"/>
          <w:szCs w:val="20"/>
          <w:color w:val="auto"/>
        </w:rPr>
        <w:t>At any time,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1880" w:h="15480" w:orient="portrait"/>
          <w:cols w:equalWidth="0" w:num="1">
            <w:col w:w="10160"/>
          </w:cols>
          <w:pgMar w:left="860" w:top="435" w:right="860" w:bottom="0" w:gutter="0" w:footer="0" w:header="0"/>
          <w:type w:val="continuous"/>
        </w:sectPr>
      </w:pPr>
    </w:p>
    <w:bookmarkStart w:id="141" w:name="page142"/>
    <w:bookmarkEnd w:id="141"/>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the activity for our preferred and common units: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Limited Partners</w:t>
            </w: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20" w:type="dxa"/>
            <w:vAlign w:val="bottom"/>
          </w:tcPr>
          <w:p>
            <w:pPr>
              <w:spacing w:after="0"/>
              <w:rPr>
                <w:sz w:val="19"/>
                <w:szCs w:val="19"/>
                <w:color w:val="auto"/>
              </w:rPr>
            </w:pPr>
          </w:p>
        </w:tc>
        <w:tc>
          <w:tcPr>
            <w:tcW w:w="136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80" w:type="dxa"/>
            <w:vAlign w:val="bottom"/>
          </w:tcPr>
          <w:p>
            <w:pPr>
              <w:spacing w:after="0"/>
              <w:rPr>
                <w:sz w:val="19"/>
                <w:szCs w:val="19"/>
                <w:color w:val="auto"/>
              </w:rPr>
            </w:pPr>
          </w:p>
        </w:tc>
        <w:tc>
          <w:tcPr>
            <w:tcW w:w="1360" w:type="dxa"/>
            <w:vAlign w:val="bottom"/>
            <w:vMerge w:val="restart"/>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Common Units</w:t>
            </w:r>
          </w:p>
        </w:tc>
        <w:tc>
          <w:tcPr>
            <w:tcW w:w="0" w:type="dxa"/>
            <w:vAlign w:val="bottom"/>
          </w:tcPr>
          <w:p>
            <w:pPr>
              <w:spacing w:after="0"/>
              <w:rPr>
                <w:sz w:val="1"/>
                <w:szCs w:val="1"/>
                <w:color w:val="auto"/>
              </w:rPr>
            </w:pPr>
          </w:p>
        </w:tc>
      </w:tr>
      <w:tr>
        <w:trPr>
          <w:trHeight w:val="212"/>
        </w:trPr>
        <w:tc>
          <w:tcPr>
            <w:tcW w:w="5920" w:type="dxa"/>
            <w:vAlign w:val="bottom"/>
            <w:tcBorders>
              <w:bottom w:val="single" w:sz="8" w:color="E6E6E6"/>
            </w:tcBorders>
          </w:tcPr>
          <w:p>
            <w:pPr>
              <w:spacing w:after="0"/>
              <w:rPr>
                <w:sz w:val="18"/>
                <w:szCs w:val="18"/>
                <w:color w:val="auto"/>
              </w:rPr>
            </w:pPr>
          </w:p>
        </w:tc>
        <w:tc>
          <w:tcPr>
            <w:tcW w:w="13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Preferred Units</w:t>
            </w:r>
          </w:p>
        </w:tc>
        <w:tc>
          <w:tcPr>
            <w:tcW w:w="80" w:type="dxa"/>
            <w:vAlign w:val="bottom"/>
            <w:tcBorders>
              <w:bottom w:val="single" w:sz="8" w:color="E6E6E6"/>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Preferred Units</w:t>
            </w:r>
          </w:p>
        </w:tc>
        <w:tc>
          <w:tcPr>
            <w:tcW w:w="80" w:type="dxa"/>
            <w:vAlign w:val="bottom"/>
            <w:tcBorders>
              <w:bottom w:val="single" w:sz="8" w:color="E6E6E6"/>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9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Outstanding at December 31, 2019</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71,090,468</w:t>
            </w:r>
          </w:p>
        </w:tc>
        <w:tc>
          <w:tcPr>
            <w:tcW w:w="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800,000</w:t>
            </w:r>
          </w:p>
        </w:tc>
        <w:tc>
          <w:tcPr>
            <w:tcW w:w="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728,028,576</w:t>
            </w:r>
          </w:p>
        </w:tc>
        <w:tc>
          <w:tcPr>
            <w:tcW w:w="0" w:type="dxa"/>
            <w:vAlign w:val="bottom"/>
          </w:tcPr>
          <w:p>
            <w:pPr>
              <w:spacing w:after="0"/>
              <w:rPr>
                <w:sz w:val="1"/>
                <w:szCs w:val="1"/>
                <w:color w:val="auto"/>
              </w:rPr>
            </w:pPr>
          </w:p>
        </w:tc>
      </w:tr>
      <w:tr>
        <w:trPr>
          <w:trHeight w:val="190"/>
        </w:trPr>
        <w:tc>
          <w:tcPr>
            <w:tcW w:w="5920" w:type="dxa"/>
            <w:vAlign w:val="bottom"/>
          </w:tcPr>
          <w:p>
            <w:pPr>
              <w:ind w:left="180"/>
              <w:spacing w:after="0" w:line="190" w:lineRule="exact"/>
              <w:rPr>
                <w:sz w:val="20"/>
                <w:szCs w:val="20"/>
                <w:color w:val="auto"/>
              </w:rPr>
            </w:pPr>
            <w:r>
              <w:rPr>
                <w:rFonts w:ascii="Times New Roman" w:cs="Times New Roman" w:eastAsia="Times New Roman" w:hAnsi="Times New Roman"/>
                <w:sz w:val="20"/>
                <w:szCs w:val="20"/>
                <w:color w:val="auto"/>
              </w:rPr>
              <w:t>Repurchase and cancellation of common units under the 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(6,222,748)</w:t>
            </w:r>
          </w:p>
        </w:tc>
        <w:tc>
          <w:tcPr>
            <w:tcW w:w="0" w:type="dxa"/>
            <w:vAlign w:val="bottom"/>
          </w:tcPr>
          <w:p>
            <w:pPr>
              <w:spacing w:after="0"/>
              <w:rPr>
                <w:sz w:val="1"/>
                <w:szCs w:val="1"/>
                <w:color w:val="auto"/>
              </w:rPr>
            </w:pPr>
          </w:p>
        </w:tc>
      </w:tr>
      <w:tr>
        <w:trPr>
          <w:trHeight w:val="265"/>
        </w:trPr>
        <w:tc>
          <w:tcPr>
            <w:tcW w:w="5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Equity Repurchase Program</w:t>
            </w:r>
          </w:p>
        </w:tc>
        <w:tc>
          <w:tcPr>
            <w:tcW w:w="13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14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592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Issuances of common units under equity-indexed compensation plans</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574,588</w:t>
            </w:r>
          </w:p>
        </w:tc>
        <w:tc>
          <w:tcPr>
            <w:tcW w:w="0" w:type="dxa"/>
            <w:vAlign w:val="bottom"/>
          </w:tcPr>
          <w:p>
            <w:pPr>
              <w:spacing w:after="0"/>
              <w:rPr>
                <w:sz w:val="1"/>
                <w:szCs w:val="1"/>
                <w:color w:val="auto"/>
              </w:rPr>
            </w:pPr>
          </w:p>
        </w:tc>
      </w:tr>
      <w:tr>
        <w:trPr>
          <w:trHeight w:val="297"/>
        </w:trPr>
        <w:tc>
          <w:tcPr>
            <w:tcW w:w="59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Outstanding at December 31, 2020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71,090,468</w:t>
            </w:r>
          </w:p>
        </w:tc>
        <w:tc>
          <w:tcPr>
            <w:tcW w:w="80" w:type="dxa"/>
            <w:vAlign w:val="bottom"/>
            <w:tcBorders>
              <w:bottom w:val="single" w:sz="8" w:color="E6E6E6"/>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800,000</w:t>
            </w:r>
          </w:p>
        </w:tc>
        <w:tc>
          <w:tcPr>
            <w:tcW w:w="80" w:type="dxa"/>
            <w:vAlign w:val="bottom"/>
            <w:tcBorders>
              <w:bottom w:val="single" w:sz="8" w:color="E6E6E6"/>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722,380,416</w:t>
            </w:r>
          </w:p>
        </w:tc>
        <w:tc>
          <w:tcPr>
            <w:tcW w:w="0" w:type="dxa"/>
            <w:vAlign w:val="bottom"/>
          </w:tcPr>
          <w:p>
            <w:pPr>
              <w:spacing w:after="0"/>
              <w:rPr>
                <w:sz w:val="1"/>
                <w:szCs w:val="1"/>
                <w:color w:val="auto"/>
              </w:rPr>
            </w:pPr>
          </w:p>
        </w:tc>
      </w:tr>
      <w:tr>
        <w:trPr>
          <w:trHeight w:val="190"/>
        </w:trPr>
        <w:tc>
          <w:tcPr>
            <w:tcW w:w="5920" w:type="dxa"/>
            <w:vAlign w:val="bottom"/>
            <w:shd w:val="clear" w:color="auto" w:fill="E6E6E6"/>
          </w:tcPr>
          <w:p>
            <w:pPr>
              <w:ind w:left="180"/>
              <w:spacing w:after="0" w:line="190" w:lineRule="exact"/>
              <w:rPr>
                <w:sz w:val="20"/>
                <w:szCs w:val="20"/>
                <w:color w:val="auto"/>
              </w:rPr>
            </w:pPr>
            <w:r>
              <w:rPr>
                <w:rFonts w:ascii="Times New Roman" w:cs="Times New Roman" w:eastAsia="Times New Roman" w:hAnsi="Times New Roman"/>
                <w:sz w:val="20"/>
                <w:szCs w:val="20"/>
                <w:color w:val="auto"/>
              </w:rPr>
              <w:t>Repurchase and cancellation of common units under the Common</w:t>
            </w:r>
          </w:p>
        </w:tc>
        <w:tc>
          <w:tcPr>
            <w:tcW w:w="13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6"/>
                <w:szCs w:val="16"/>
                <w:color w:val="auto"/>
              </w:rPr>
            </w:pPr>
          </w:p>
        </w:tc>
        <w:tc>
          <w:tcPr>
            <w:tcW w:w="13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(18,061,583)</w:t>
            </w:r>
          </w:p>
        </w:tc>
        <w:tc>
          <w:tcPr>
            <w:tcW w:w="0" w:type="dxa"/>
            <w:vAlign w:val="bottom"/>
          </w:tcPr>
          <w:p>
            <w:pPr>
              <w:spacing w:after="0"/>
              <w:rPr>
                <w:sz w:val="1"/>
                <w:szCs w:val="1"/>
                <w:color w:val="auto"/>
              </w:rPr>
            </w:pPr>
          </w:p>
        </w:tc>
      </w:tr>
      <w:tr>
        <w:trPr>
          <w:trHeight w:val="270"/>
        </w:trPr>
        <w:tc>
          <w:tcPr>
            <w:tcW w:w="5920" w:type="dxa"/>
            <w:vAlign w:val="bottom"/>
            <w:shd w:val="clear" w:color="auto" w:fill="E6E6E6"/>
          </w:tcPr>
          <w:p>
            <w:pPr>
              <w:ind w:left="360"/>
              <w:spacing w:after="0"/>
              <w:rPr>
                <w:sz w:val="20"/>
                <w:szCs w:val="20"/>
                <w:color w:val="auto"/>
              </w:rPr>
            </w:pPr>
            <w:r>
              <w:rPr>
                <w:rFonts w:ascii="Times New Roman" w:cs="Times New Roman" w:eastAsia="Times New Roman" w:hAnsi="Times New Roman"/>
                <w:sz w:val="20"/>
                <w:szCs w:val="20"/>
                <w:color w:val="auto"/>
              </w:rPr>
              <w:t>Equity Repurchase Program</w:t>
            </w:r>
          </w:p>
        </w:tc>
        <w:tc>
          <w:tcPr>
            <w:tcW w:w="136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360" w:type="dxa"/>
            <w:vAlign w:val="bottom"/>
            <w:vMerge w:val="continue"/>
            <w:shd w:val="clear" w:color="auto" w:fill="E6E6E6"/>
          </w:tcPr>
          <w:p>
            <w:pPr>
              <w:spacing w:after="0"/>
              <w:rPr>
                <w:sz w:val="23"/>
                <w:szCs w:val="23"/>
                <w:color w:val="auto"/>
              </w:rPr>
            </w:pPr>
          </w:p>
        </w:tc>
        <w:tc>
          <w:tcPr>
            <w:tcW w:w="1440" w:type="dxa"/>
            <w:vAlign w:val="bottom"/>
            <w:gridSpan w:val="2"/>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92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Issuances of common units under equity-indexed compensation plans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672,707</w:t>
            </w:r>
          </w:p>
        </w:tc>
        <w:tc>
          <w:tcPr>
            <w:tcW w:w="0" w:type="dxa"/>
            <w:vAlign w:val="bottom"/>
          </w:tcPr>
          <w:p>
            <w:pPr>
              <w:spacing w:after="0"/>
              <w:rPr>
                <w:sz w:val="1"/>
                <w:szCs w:val="1"/>
                <w:color w:val="auto"/>
              </w:rPr>
            </w:pPr>
          </w:p>
        </w:tc>
      </w:tr>
      <w:tr>
        <w:trPr>
          <w:trHeight w:val="297"/>
        </w:trPr>
        <w:tc>
          <w:tcPr>
            <w:tcW w:w="59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Outstanding at December 31, 2021</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71,090,468</w:t>
            </w:r>
          </w:p>
        </w:tc>
        <w:tc>
          <w:tcPr>
            <w:tcW w:w="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800,000</w:t>
            </w:r>
          </w:p>
        </w:tc>
        <w:tc>
          <w:tcPr>
            <w:tcW w:w="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704,991,540</w:t>
            </w:r>
          </w:p>
        </w:tc>
        <w:tc>
          <w:tcPr>
            <w:tcW w:w="0" w:type="dxa"/>
            <w:vAlign w:val="bottom"/>
          </w:tcPr>
          <w:p>
            <w:pPr>
              <w:spacing w:after="0"/>
              <w:rPr>
                <w:sz w:val="1"/>
                <w:szCs w:val="1"/>
                <w:color w:val="auto"/>
              </w:rPr>
            </w:pPr>
          </w:p>
        </w:tc>
      </w:tr>
      <w:tr>
        <w:trPr>
          <w:trHeight w:val="190"/>
        </w:trPr>
        <w:tc>
          <w:tcPr>
            <w:tcW w:w="5920" w:type="dxa"/>
            <w:vAlign w:val="bottom"/>
          </w:tcPr>
          <w:p>
            <w:pPr>
              <w:ind w:left="180"/>
              <w:spacing w:after="0" w:line="190" w:lineRule="exact"/>
              <w:rPr>
                <w:sz w:val="20"/>
                <w:szCs w:val="20"/>
                <w:color w:val="auto"/>
              </w:rPr>
            </w:pPr>
            <w:r>
              <w:rPr>
                <w:rFonts w:ascii="Times New Roman" w:cs="Times New Roman" w:eastAsia="Times New Roman" w:hAnsi="Times New Roman"/>
                <w:sz w:val="20"/>
                <w:szCs w:val="20"/>
                <w:color w:val="auto"/>
              </w:rPr>
              <w:t>Repurchase and cancellation of common units under the 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(7,251,361)</w:t>
            </w:r>
          </w:p>
        </w:tc>
        <w:tc>
          <w:tcPr>
            <w:tcW w:w="0" w:type="dxa"/>
            <w:vAlign w:val="bottom"/>
          </w:tcPr>
          <w:p>
            <w:pPr>
              <w:spacing w:after="0"/>
              <w:rPr>
                <w:sz w:val="1"/>
                <w:szCs w:val="1"/>
                <w:color w:val="auto"/>
              </w:rPr>
            </w:pPr>
          </w:p>
        </w:tc>
      </w:tr>
      <w:tr>
        <w:trPr>
          <w:trHeight w:val="265"/>
        </w:trPr>
        <w:tc>
          <w:tcPr>
            <w:tcW w:w="5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Equity Repurchase Program</w:t>
            </w:r>
          </w:p>
        </w:tc>
        <w:tc>
          <w:tcPr>
            <w:tcW w:w="13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14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592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Issuances of common units under equity-indexed compensation plans</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614,319</w:t>
            </w:r>
          </w:p>
        </w:tc>
        <w:tc>
          <w:tcPr>
            <w:tcW w:w="0" w:type="dxa"/>
            <w:vAlign w:val="bottom"/>
          </w:tcPr>
          <w:p>
            <w:pPr>
              <w:spacing w:after="0"/>
              <w:rPr>
                <w:sz w:val="1"/>
                <w:szCs w:val="1"/>
                <w:color w:val="auto"/>
              </w:rPr>
            </w:pPr>
          </w:p>
        </w:tc>
      </w:tr>
      <w:tr>
        <w:trPr>
          <w:trHeight w:val="257"/>
        </w:trPr>
        <w:tc>
          <w:tcPr>
            <w:tcW w:w="5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Outstanding at December 31,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71,090,468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800,000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698,354,498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-2296795</wp:posOffset>
            </wp:positionV>
            <wp:extent cx="2747010" cy="501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16">
                      <a:extLst>
                        <a:ext uri="{28A0092B-C50C-407E-A947-70E740481C1C}"/>
                      </a:extLst>
                    </a:blip>
                    <a:srcRect/>
                    <a:stretch>
                      <a:fillRect/>
                    </a:stretch>
                  </pic:blipFill>
                  <pic:spPr bwMode="auto">
                    <a:xfrm>
                      <a:off x="0" y="0"/>
                      <a:ext cx="2747010" cy="5016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-2120900</wp:posOffset>
            </wp:positionV>
            <wp:extent cx="2747010" cy="755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17">
                      <a:extLst>
                        <a:ext uri="{28A0092B-C50C-407E-A947-70E740481C1C}"/>
                      </a:extLst>
                    </a:blip>
                    <a:srcRect/>
                    <a:stretch>
                      <a:fillRect/>
                    </a:stretch>
                  </pic:blipFill>
                  <pic:spPr bwMode="auto">
                    <a:xfrm>
                      <a:off x="0" y="0"/>
                      <a:ext cx="2747010" cy="7556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-1608455</wp:posOffset>
            </wp:positionV>
            <wp:extent cx="2747010" cy="501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18">
                      <a:extLst>
                        <a:ext uri="{28A0092B-C50C-407E-A947-70E740481C1C}"/>
                      </a:extLst>
                    </a:blip>
                    <a:srcRect/>
                    <a:stretch>
                      <a:fillRect/>
                    </a:stretch>
                  </pic:blipFill>
                  <pic:spPr bwMode="auto">
                    <a:xfrm>
                      <a:off x="0" y="0"/>
                      <a:ext cx="2747010" cy="5016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-1432560</wp:posOffset>
            </wp:positionV>
            <wp:extent cx="2747010" cy="755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19">
                      <a:extLst>
                        <a:ext uri="{28A0092B-C50C-407E-A947-70E740481C1C}"/>
                      </a:extLst>
                    </a:blip>
                    <a:srcRect/>
                    <a:stretch>
                      <a:fillRect/>
                    </a:stretch>
                  </pic:blipFill>
                  <pic:spPr bwMode="auto">
                    <a:xfrm>
                      <a:off x="0" y="0"/>
                      <a:ext cx="2747010" cy="7556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-920115</wp:posOffset>
            </wp:positionV>
            <wp:extent cx="2747010" cy="501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20">
                      <a:extLst>
                        <a:ext uri="{28A0092B-C50C-407E-A947-70E740481C1C}"/>
                      </a:extLst>
                    </a:blip>
                    <a:srcRect/>
                    <a:stretch>
                      <a:fillRect/>
                    </a:stretch>
                  </pic:blipFill>
                  <pic:spPr bwMode="auto">
                    <a:xfrm>
                      <a:off x="0" y="0"/>
                      <a:ext cx="2747010" cy="5016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-744220</wp:posOffset>
            </wp:positionV>
            <wp:extent cx="2747010" cy="755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21">
                      <a:extLst>
                        <a:ext uri="{28A0092B-C50C-407E-A947-70E740481C1C}"/>
                      </a:extLst>
                    </a:blip>
                    <a:srcRect/>
                    <a:stretch>
                      <a:fillRect/>
                    </a:stretch>
                  </pic:blipFill>
                  <pic:spPr bwMode="auto">
                    <a:xfrm>
                      <a:off x="0" y="0"/>
                      <a:ext cx="2747010" cy="7556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-231775</wp:posOffset>
            </wp:positionV>
            <wp:extent cx="2747010" cy="501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22">
                      <a:extLst>
                        <a:ext uri="{28A0092B-C50C-407E-A947-70E740481C1C}"/>
                      </a:extLst>
                    </a:blip>
                    <a:srcRect/>
                    <a:stretch>
                      <a:fillRect/>
                    </a:stretch>
                  </pic:blipFill>
                  <pic:spPr bwMode="auto">
                    <a:xfrm>
                      <a:off x="0" y="0"/>
                      <a:ext cx="2747010" cy="5016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-55880</wp:posOffset>
            </wp:positionV>
            <wp:extent cx="1832610" cy="755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23">
                      <a:extLst>
                        <a:ext uri="{28A0092B-C50C-407E-A947-70E740481C1C}"/>
                      </a:extLst>
                    </a:blip>
                    <a:srcRect/>
                    <a:stretch>
                      <a:fillRect/>
                    </a:stretch>
                  </pic:blipFill>
                  <pic:spPr bwMode="auto">
                    <a:xfrm>
                      <a:off x="0" y="0"/>
                      <a:ext cx="1832610" cy="75565"/>
                    </a:xfrm>
                    <a:prstGeom prst="rect">
                      <a:avLst/>
                    </a:prstGeom>
                    <a:noFill/>
                  </pic:spPr>
                </pic:pic>
              </a:graphicData>
            </a:graphic>
          </wp:anchor>
        </w:drawing>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Common Equity Repurchase Program. </w:t>
      </w:r>
      <w:r>
        <w:rPr>
          <w:rFonts w:ascii="Times New Roman" w:cs="Times New Roman" w:eastAsia="Times New Roman" w:hAnsi="Times New Roman"/>
          <w:sz w:val="20"/>
          <w:szCs w:val="20"/>
          <w:color w:val="auto"/>
        </w:rPr>
        <w:t>In November 2020, the board of directors of PAGP GP approved a</w:t>
      </w:r>
    </w:p>
    <w:p>
      <w:pPr>
        <w:spacing w:after="0" w:line="1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 PAGP Class C shares held by us associated with any publicly held common units that are repurchased will also be canceled. See Note 17 for additional information regarding our ownership of PAGP Class C shares.</w:t>
      </w:r>
    </w:p>
    <w:p>
      <w:pPr>
        <w:spacing w:after="0" w:line="207" w:lineRule="exact"/>
        <w:rPr>
          <w:sz w:val="20"/>
          <w:szCs w:val="20"/>
          <w:color w:val="auto"/>
        </w:rPr>
      </w:pPr>
    </w:p>
    <w:p>
      <w:pPr>
        <w:ind w:right="20" w:firstLine="713"/>
        <w:spacing w:after="0" w:line="255" w:lineRule="auto"/>
        <w:rPr>
          <w:sz w:val="20"/>
          <w:szCs w:val="20"/>
          <w:color w:val="auto"/>
        </w:rPr>
      </w:pPr>
      <w:r>
        <w:rPr>
          <w:rFonts w:ascii="Times New Roman" w:cs="Times New Roman" w:eastAsia="Times New Roman" w:hAnsi="Times New Roman"/>
          <w:sz w:val="20"/>
          <w:szCs w:val="20"/>
          <w:color w:val="auto"/>
        </w:rPr>
        <w:t>During the years ended December 31, 2022, 2021 and 2020, we repurchased common units under the Program through open market purchases for a total purchase price of $74 million, $178 million and $50 million, respectively, including commissions and fees. The repurchased common units were canceled immediately upon acquisition, as were the PAGP Class C shares held by us associated with the repurchased common units. At December 31, 2022, the remaining available capacity under the Program was $198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Allocation</w:t>
      </w:r>
    </w:p>
    <w:p>
      <w:pPr>
        <w:spacing w:after="0" w:line="253" w:lineRule="exact"/>
        <w:rPr>
          <w:sz w:val="20"/>
          <w:szCs w:val="20"/>
          <w:color w:val="auto"/>
        </w:rPr>
      </w:pPr>
    </w:p>
    <w:p>
      <w:pPr>
        <w:ind w:right="180" w:firstLine="713"/>
        <w:spacing w:after="0" w:line="258" w:lineRule="auto"/>
        <w:rPr>
          <w:sz w:val="20"/>
          <w:szCs w:val="20"/>
          <w:color w:val="auto"/>
        </w:rPr>
      </w:pPr>
      <w:r>
        <w:rPr>
          <w:rFonts w:ascii="Times New Roman" w:cs="Times New Roman" w:eastAsia="Times New Roman" w:hAnsi="Times New Roman"/>
          <w:sz w:val="20"/>
          <w:szCs w:val="20"/>
          <w:color w:val="auto"/>
        </w:rPr>
        <w:t>We allocate net income for partners’ capital presentation purposes by applying the allocation methodology in our partnership agreement. Net income is allocated 100% to our common unitholders, after giving effect to income allocations for cash distributions to our Series A preferred unitholders and guaranteed payments attributable to our Series B preferred unitholders.</w:t>
      </w:r>
    </w:p>
    <w:p>
      <w:pPr>
        <w:spacing w:after="0" w:line="199" w:lineRule="exact"/>
        <w:rPr>
          <w:sz w:val="20"/>
          <w:szCs w:val="20"/>
          <w:color w:val="auto"/>
        </w:rPr>
      </w:pPr>
    </w:p>
    <w:p>
      <w:pPr>
        <w:ind w:right="20" w:firstLine="713"/>
        <w:spacing w:after="0" w:line="263" w:lineRule="auto"/>
        <w:rPr>
          <w:sz w:val="20"/>
          <w:szCs w:val="20"/>
          <w:color w:val="auto"/>
        </w:rPr>
      </w:pPr>
      <w:r>
        <w:rPr>
          <w:rFonts w:ascii="Times New Roman" w:cs="Times New Roman" w:eastAsia="Times New Roman" w:hAnsi="Times New Roman"/>
          <w:sz w:val="20"/>
          <w:szCs w:val="20"/>
          <w:color w:val="auto"/>
        </w:rPr>
        <w:t>For purposes of determining basic and diluted net income per common unit, income is allocated as prescribed in FASB guidance for calculating earnings per unit, including a deduction to income available to common unitholders for distributions attributable to the period on our Series A and Series B preferred units. See Note 4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Distributions to Unitholders</w:t>
      </w:r>
    </w:p>
    <w:p>
      <w:pPr>
        <w:spacing w:after="0" w:line="253" w:lineRule="exact"/>
        <w:rPr>
          <w:sz w:val="20"/>
          <w:szCs w:val="20"/>
          <w:color w:val="auto"/>
        </w:rPr>
      </w:pPr>
    </w:p>
    <w:p>
      <w:pPr>
        <w:ind w:right="80" w:firstLine="713"/>
        <w:spacing w:after="0" w:line="255" w:lineRule="auto"/>
        <w:rPr>
          <w:sz w:val="20"/>
          <w:szCs w:val="20"/>
          <w:color w:val="auto"/>
        </w:rPr>
      </w:pPr>
      <w:r>
        <w:rPr>
          <w:rFonts w:ascii="Times New Roman" w:cs="Times New Roman" w:eastAsia="Times New Roman" w:hAnsi="Times New Roman"/>
          <w:sz w:val="20"/>
          <w:szCs w:val="20"/>
          <w:color w:val="auto"/>
        </w:rPr>
        <w:t>In accordance with our partnership agreement, after making distributions to holders of our outstanding 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1880" w:h="15480" w:orient="portrait"/>
          <w:cols w:equalWidth="0" w:num="1">
            <w:col w:w="10160"/>
          </w:cols>
          <w:pgMar w:left="860" w:top="435" w:right="860" w:bottom="0" w:gutter="0" w:footer="0" w:header="0"/>
          <w:type w:val="continuous"/>
        </w:sectPr>
      </w:pPr>
    </w:p>
    <w:bookmarkStart w:id="142" w:name="page143"/>
    <w:bookmarkEnd w:id="142"/>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Preferred Unit Distributions</w:t>
      </w:r>
    </w:p>
    <w:p>
      <w:pPr>
        <w:spacing w:after="0" w:line="252" w:lineRule="exact"/>
        <w:rPr>
          <w:sz w:val="20"/>
          <w:szCs w:val="20"/>
          <w:color w:val="auto"/>
        </w:rPr>
      </w:pPr>
    </w:p>
    <w:p>
      <w:pPr>
        <w:ind w:right="52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 details distributions paid to our preferred unitholders during the years presented (in millions, except unit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1746"/>
              <w:spacing w:after="0"/>
              <w:rPr>
                <w:sz w:val="20"/>
                <w:szCs w:val="20"/>
                <w:color w:val="auto"/>
              </w:rPr>
            </w:pPr>
            <w:r>
              <w:rPr>
                <w:rFonts w:ascii="Times New Roman" w:cs="Times New Roman" w:eastAsia="Times New Roman" w:hAnsi="Times New Roman"/>
                <w:sz w:val="16"/>
                <w:szCs w:val="16"/>
                <w:b w:val="1"/>
                <w:bCs w:val="1"/>
                <w:color w:val="auto"/>
              </w:rPr>
              <w:t>Cash Distributions</w:t>
            </w:r>
          </w:p>
        </w:tc>
      </w:tr>
      <w:tr>
        <w:trPr>
          <w:trHeight w:val="232"/>
        </w:trPr>
        <w:tc>
          <w:tcPr>
            <w:tcW w:w="5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 w:type="dxa"/>
            <w:vAlign w:val="bottom"/>
            <w:tcBorders>
              <w:bottom w:val="single" w:sz="8" w:color="E6E6E6"/>
            </w:tcBorders>
          </w:tcPr>
          <w:p>
            <w:pPr>
              <w:spacing w:after="0"/>
              <w:rPr>
                <w:sz w:val="20"/>
                <w:szCs w:val="20"/>
                <w:color w:val="auto"/>
              </w:rPr>
            </w:pPr>
          </w:p>
        </w:tc>
        <w:tc>
          <w:tcPr>
            <w:tcW w:w="2480" w:type="dxa"/>
            <w:vAlign w:val="bottom"/>
            <w:tcBorders>
              <w:bottom w:val="single" w:sz="8" w:color="auto"/>
            </w:tcBorders>
            <w:gridSpan w:val="2"/>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Series A Preferred Unitholders</w:t>
            </w:r>
          </w:p>
        </w:tc>
        <w:tc>
          <w:tcPr>
            <w:tcW w:w="6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w w:val="97"/>
              </w:rPr>
              <w:t>Series B Preferred Unitholders</w:t>
            </w:r>
          </w:p>
        </w:tc>
      </w:tr>
      <w:tr>
        <w:trPr>
          <w:trHeight w:val="287"/>
        </w:trPr>
        <w:tc>
          <w:tcPr>
            <w:tcW w:w="51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2022</w:t>
            </w:r>
          </w:p>
        </w:tc>
        <w:tc>
          <w:tcPr>
            <w:tcW w:w="6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746"/>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right w:val="single" w:sz="8" w:color="auto"/>
            </w:tcBorders>
            <w:shd w:val="clear" w:color="auto" w:fill="E6E6E6"/>
          </w:tcPr>
          <w:p>
            <w:pPr>
              <w:jc w:val="right"/>
              <w:ind w:right="66"/>
              <w:spacing w:after="0"/>
              <w:rPr>
                <w:sz w:val="20"/>
                <w:szCs w:val="20"/>
                <w:color w:val="auto"/>
              </w:rPr>
            </w:pPr>
            <w:r>
              <w:rPr>
                <w:rFonts w:ascii="Times New Roman" w:cs="Times New Roman" w:eastAsia="Times New Roman" w:hAnsi="Times New Roman"/>
                <w:sz w:val="20"/>
                <w:szCs w:val="20"/>
                <w:color w:val="auto"/>
              </w:rPr>
              <w:t>149</w:t>
            </w:r>
          </w:p>
        </w:tc>
        <w:tc>
          <w:tcPr>
            <w:tcW w:w="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91"/>
        </w:trPr>
        <w:tc>
          <w:tcPr>
            <w:tcW w:w="5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2021</w:t>
            </w:r>
          </w:p>
        </w:tc>
        <w:tc>
          <w:tcPr>
            <w:tcW w:w="60" w:type="dxa"/>
            <w:vAlign w:val="bottom"/>
          </w:tcPr>
          <w:p>
            <w:pPr>
              <w:spacing w:after="0"/>
              <w:rPr>
                <w:sz w:val="24"/>
                <w:szCs w:val="24"/>
                <w:color w:val="auto"/>
              </w:rPr>
            </w:pPr>
          </w:p>
        </w:tc>
        <w:tc>
          <w:tcPr>
            <w:tcW w:w="1000" w:type="dxa"/>
            <w:vAlign w:val="bottom"/>
          </w:tcPr>
          <w:p>
            <w:pPr>
              <w:jc w:val="right"/>
              <w:ind w:right="746"/>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right w:val="single" w:sz="8" w:color="auto"/>
            </w:tcBorders>
          </w:tcPr>
          <w:p>
            <w:pPr>
              <w:jc w:val="right"/>
              <w:ind w:right="66"/>
              <w:spacing w:after="0"/>
              <w:rPr>
                <w:sz w:val="20"/>
                <w:szCs w:val="20"/>
                <w:color w:val="auto"/>
              </w:rPr>
            </w:pPr>
            <w:r>
              <w:rPr>
                <w:rFonts w:ascii="Times New Roman" w:cs="Times New Roman" w:eastAsia="Times New Roman" w:hAnsi="Times New Roman"/>
                <w:sz w:val="20"/>
                <w:szCs w:val="20"/>
                <w:color w:val="auto"/>
              </w:rPr>
              <w:t>149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03"/>
        </w:trPr>
        <w:tc>
          <w:tcPr>
            <w:tcW w:w="51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2020</w:t>
            </w:r>
          </w:p>
        </w:tc>
        <w:tc>
          <w:tcPr>
            <w:tcW w:w="6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746"/>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right w:val="single" w:sz="8" w:color="auto"/>
            </w:tcBorders>
            <w:shd w:val="clear" w:color="auto" w:fill="E6E6E6"/>
          </w:tcPr>
          <w:p>
            <w:pPr>
              <w:jc w:val="right"/>
              <w:ind w:right="66"/>
              <w:spacing w:after="0"/>
              <w:rPr>
                <w:sz w:val="20"/>
                <w:szCs w:val="20"/>
                <w:color w:val="auto"/>
              </w:rPr>
            </w:pPr>
            <w:r>
              <w:rPr>
                <w:rFonts w:ascii="Times New Roman" w:cs="Times New Roman" w:eastAsia="Times New Roman" w:hAnsi="Times New Roman"/>
                <w:sz w:val="20"/>
                <w:szCs w:val="20"/>
                <w:color w:val="auto"/>
              </w:rPr>
              <w:t>149</w:t>
            </w:r>
          </w:p>
        </w:tc>
        <w:tc>
          <w:tcPr>
            <w:tcW w:w="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-750570</wp:posOffset>
            </wp:positionV>
            <wp:extent cx="6500495" cy="763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24">
                      <a:extLst>
                        <a:ext uri="{28A0092B-C50C-407E-A947-70E740481C1C}"/>
                      </a:extLst>
                    </a:blip>
                    <a:srcRect/>
                    <a:stretch>
                      <a:fillRect/>
                    </a:stretch>
                  </pic:blipFill>
                  <pic:spPr bwMode="auto">
                    <a:xfrm>
                      <a:off x="0" y="0"/>
                      <a:ext cx="6500495" cy="763905"/>
                    </a:xfrm>
                    <a:prstGeom prst="rect">
                      <a:avLst/>
                    </a:prstGeom>
                    <a:noFill/>
                  </pic:spPr>
                </pic:pic>
              </a:graphicData>
            </a:graphic>
          </wp:anchor>
        </w:drawing>
      </w:r>
    </w:p>
    <w:p>
      <w:pPr>
        <w:spacing w:after="0" w:line="254" w:lineRule="exact"/>
        <w:rPr>
          <w:sz w:val="20"/>
          <w:szCs w:val="20"/>
          <w:color w:val="auto"/>
        </w:rPr>
      </w:pPr>
    </w:p>
    <w:p>
      <w:pPr>
        <w:ind w:right="540" w:firstLine="713"/>
        <w:spacing w:after="0" w:line="255" w:lineRule="auto"/>
        <w:rPr>
          <w:sz w:val="20"/>
          <w:szCs w:val="20"/>
          <w:color w:val="auto"/>
        </w:rPr>
      </w:pPr>
      <w:r>
        <w:rPr>
          <w:rFonts w:ascii="Times New Roman" w:cs="Times New Roman" w:eastAsia="Times New Roman" w:hAnsi="Times New Roman"/>
          <w:sz w:val="20"/>
          <w:szCs w:val="20"/>
          <w:color w:val="auto"/>
        </w:rPr>
        <w:t>On February 14, 2023, we paid a cash distribution of $37 million to our Series A preferred unitholders. At December 31, 2022, such amount was accrued as distributions payable in “Other current liabilities” on our Consolidated Balance Sheet. On February 15, 2023, we paid a cash distribution of $18 million to our Series B preferred unitholders. At December 31, 2022, approximately $9 million of accrued distributions payable to our Series B preferred unitholders was included in “Other current liabilities” on our Consolidated Balance Sheet.</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Common Unit Distributions</w:t>
      </w:r>
    </w:p>
    <w:p>
      <w:pPr>
        <w:spacing w:after="0" w:line="252" w:lineRule="exact"/>
        <w:rPr>
          <w:sz w:val="20"/>
          <w:szCs w:val="20"/>
          <w:color w:val="auto"/>
        </w:rPr>
      </w:pPr>
    </w:p>
    <w:p>
      <w:pPr>
        <w:ind w:right="30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 details distributions paid to common unitholders during the years presented (in millions, except per unit data):</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6"/>
                <w:szCs w:val="16"/>
                <w:b w:val="1"/>
                <w:bCs w:val="1"/>
                <w:color w:val="auto"/>
              </w:rPr>
              <w:t>Distributions Paid</w:t>
            </w: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289"/>
              <w:spacing w:after="0"/>
              <w:rPr>
                <w:sz w:val="20"/>
                <w:szCs w:val="20"/>
                <w:color w:val="auto"/>
              </w:rPr>
            </w:pPr>
            <w:r>
              <w:rPr>
                <w:rFonts w:ascii="Times New Roman" w:cs="Times New Roman" w:eastAsia="Times New Roman" w:hAnsi="Times New Roman"/>
                <w:sz w:val="16"/>
                <w:szCs w:val="16"/>
                <w:b w:val="1"/>
                <w:bCs w:val="1"/>
                <w:color w:val="auto"/>
              </w:rPr>
              <w:t>Distributions per</w:t>
            </w:r>
          </w:p>
        </w:tc>
      </w:tr>
      <w:tr>
        <w:trPr>
          <w:trHeight w:val="218"/>
        </w:trPr>
        <w:tc>
          <w:tcPr>
            <w:tcW w:w="1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Borders>
              <w:bottom w:val="single" w:sz="8" w:color="E6E6E6"/>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6"/>
                <w:szCs w:val="16"/>
                <w:b w:val="1"/>
                <w:bCs w:val="1"/>
                <w:color w:val="auto"/>
              </w:rPr>
              <w:t>AAP</w:t>
            </w:r>
          </w:p>
        </w:tc>
        <w:tc>
          <w:tcPr>
            <w:tcW w:w="60" w:type="dxa"/>
            <w:vAlign w:val="bottom"/>
            <w:tcBorders>
              <w:bottom w:val="single" w:sz="8" w:color="E6E6E6"/>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6"/>
                <w:szCs w:val="16"/>
                <w:b w:val="1"/>
                <w:bCs w:val="1"/>
                <w:color w:val="auto"/>
              </w:rPr>
              <w:t>common unit</w:t>
            </w:r>
          </w:p>
        </w:tc>
      </w:tr>
      <w:tr>
        <w:trPr>
          <w:trHeight w:val="272"/>
        </w:trPr>
        <w:tc>
          <w:tcPr>
            <w:tcW w:w="19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2022</w:t>
            </w:r>
          </w:p>
        </w:tc>
        <w:tc>
          <w:tcPr>
            <w:tcW w:w="80" w:type="dxa"/>
            <w:vAlign w:val="bottom"/>
            <w:shd w:val="clear" w:color="auto" w:fill="E6E6E6"/>
          </w:tcPr>
          <w:p>
            <w:pPr>
              <w:spacing w:after="0"/>
              <w:rPr>
                <w:sz w:val="23"/>
                <w:szCs w:val="23"/>
                <w:color w:val="auto"/>
              </w:rPr>
            </w:pPr>
          </w:p>
        </w:tc>
        <w:tc>
          <w:tcPr>
            <w:tcW w:w="440" w:type="dxa"/>
            <w:vAlign w:val="bottom"/>
            <w:shd w:val="clear" w:color="auto" w:fill="E6E6E6"/>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3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540" w:type="dxa"/>
            <w:vAlign w:val="bottom"/>
            <w:gridSpan w:val="2"/>
            <w:shd w:val="clear" w:color="auto" w:fill="E6E6E6"/>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right w:val="single" w:sz="8" w:color="auto"/>
            </w:tcBorders>
            <w:shd w:val="clear" w:color="auto" w:fill="E6E6E6"/>
          </w:tcPr>
          <w:p>
            <w:pPr>
              <w:jc w:val="right"/>
              <w:ind w:right="66"/>
              <w:spacing w:after="0"/>
              <w:rPr>
                <w:sz w:val="20"/>
                <w:szCs w:val="20"/>
                <w:color w:val="auto"/>
              </w:rPr>
            </w:pPr>
            <w:r>
              <w:rPr>
                <w:rFonts w:ascii="Times New Roman" w:cs="Times New Roman" w:eastAsia="Times New Roman" w:hAnsi="Times New Roman"/>
                <w:sz w:val="20"/>
                <w:szCs w:val="20"/>
                <w:color w:val="auto"/>
              </w:rPr>
              <w:t>584</w:t>
            </w:r>
          </w:p>
        </w:tc>
        <w:tc>
          <w:tcPr>
            <w:tcW w:w="34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0.8325</w:t>
            </w:r>
          </w:p>
        </w:tc>
      </w:tr>
      <w:tr>
        <w:trPr>
          <w:trHeight w:val="276"/>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2021</w:t>
            </w:r>
          </w:p>
        </w:tc>
        <w:tc>
          <w:tcPr>
            <w:tcW w:w="80" w:type="dxa"/>
            <w:vAlign w:val="bottom"/>
          </w:tcPr>
          <w:p>
            <w:pPr>
              <w:spacing w:after="0"/>
              <w:rPr>
                <w:sz w:val="24"/>
                <w:szCs w:val="24"/>
                <w:color w:val="auto"/>
              </w:rPr>
            </w:pPr>
          </w:p>
        </w:tc>
        <w:tc>
          <w:tcPr>
            <w:tcW w:w="4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right w:val="single" w:sz="8" w:color="auto"/>
            </w:tcBorders>
          </w:tcPr>
          <w:p>
            <w:pPr>
              <w:jc w:val="right"/>
              <w:ind w:right="66"/>
              <w:spacing w:after="0"/>
              <w:rPr>
                <w:sz w:val="20"/>
                <w:szCs w:val="20"/>
                <w:color w:val="auto"/>
              </w:rPr>
            </w:pPr>
            <w:r>
              <w:rPr>
                <w:rFonts w:ascii="Times New Roman" w:cs="Times New Roman" w:eastAsia="Times New Roman" w:hAnsi="Times New Roman"/>
                <w:sz w:val="20"/>
                <w:szCs w:val="20"/>
                <w:color w:val="auto"/>
              </w:rPr>
              <w:t>517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0.7200</w:t>
            </w:r>
          </w:p>
        </w:tc>
      </w:tr>
      <w:tr>
        <w:trPr>
          <w:trHeight w:val="288"/>
        </w:trPr>
        <w:tc>
          <w:tcPr>
            <w:tcW w:w="194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2020</w:t>
            </w: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3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540" w:type="dxa"/>
            <w:vAlign w:val="bottom"/>
            <w:gridSpan w:val="2"/>
            <w:shd w:val="clear" w:color="auto" w:fill="E6E6E6"/>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right w:val="single" w:sz="8" w:color="auto"/>
            </w:tcBorders>
            <w:shd w:val="clear" w:color="auto" w:fill="E6E6E6"/>
          </w:tcPr>
          <w:p>
            <w:pPr>
              <w:jc w:val="right"/>
              <w:ind w:right="66"/>
              <w:spacing w:after="0"/>
              <w:rPr>
                <w:sz w:val="20"/>
                <w:szCs w:val="20"/>
                <w:color w:val="auto"/>
              </w:rPr>
            </w:pPr>
            <w:r>
              <w:rPr>
                <w:rFonts w:ascii="Times New Roman" w:cs="Times New Roman" w:eastAsia="Times New Roman" w:hAnsi="Times New Roman"/>
                <w:sz w:val="20"/>
                <w:szCs w:val="20"/>
                <w:color w:val="auto"/>
              </w:rPr>
              <w:t>655</w:t>
            </w:r>
          </w:p>
        </w:tc>
        <w:tc>
          <w:tcPr>
            <w:tcW w:w="34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6462395" cy="5880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25">
                      <a:extLst>
                        <a:ext uri="{28A0092B-C50C-407E-A947-70E740481C1C}"/>
                      </a:extLst>
                    </a:blip>
                    <a:srcRect/>
                    <a:stretch>
                      <a:fillRect/>
                    </a:stretch>
                  </pic:blipFill>
                  <pic:spPr bwMode="auto">
                    <a:xfrm>
                      <a:off x="0" y="0"/>
                      <a:ext cx="6462395" cy="588010"/>
                    </a:xfrm>
                    <a:prstGeom prst="rect">
                      <a:avLst/>
                    </a:prstGeom>
                    <a:noFill/>
                  </pic:spPr>
                </pic:pic>
              </a:graphicData>
            </a:graphic>
          </wp:anchor>
        </w:drawing>
      </w:r>
    </w:p>
    <w:p>
      <w:pPr>
        <w:spacing w:after="0" w:line="254" w:lineRule="exact"/>
        <w:rPr>
          <w:sz w:val="20"/>
          <w:szCs w:val="20"/>
          <w:color w:val="auto"/>
        </w:rPr>
      </w:pPr>
    </w:p>
    <w:p>
      <w:pPr>
        <w:ind w:right="100" w:firstLine="713"/>
        <w:spacing w:after="0" w:line="258" w:lineRule="auto"/>
        <w:rPr>
          <w:sz w:val="20"/>
          <w:szCs w:val="20"/>
          <w:color w:val="auto"/>
        </w:rPr>
      </w:pPr>
      <w:r>
        <w:rPr>
          <w:rFonts w:ascii="Times New Roman" w:cs="Times New Roman" w:eastAsia="Times New Roman" w:hAnsi="Times New Roman"/>
          <w:sz w:val="20"/>
          <w:szCs w:val="20"/>
          <w:color w:val="auto"/>
        </w:rPr>
        <w:t>On January 9, 2023, we declared a cash distribution of $0.2675 per unit on our outstanding common units. The total distribution of $187 million was paid on February 14, 2023 to unitholders of record at the close of business on January 31, 2023, for the period from October 1, 2022 through December 31, 2022. Of this amount, approximately $65 million was paid to AAP.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 in Subsidiaries</w:t>
      </w:r>
    </w:p>
    <w:p>
      <w:pPr>
        <w:spacing w:after="0" w:line="253" w:lineRule="exact"/>
        <w:rPr>
          <w:sz w:val="20"/>
          <w:szCs w:val="20"/>
          <w:color w:val="auto"/>
        </w:rPr>
      </w:pPr>
    </w:p>
    <w:p>
      <w:pPr>
        <w:ind w:right="20" w:firstLine="713"/>
        <w:spacing w:after="0" w:line="263" w:lineRule="auto"/>
        <w:rPr>
          <w:sz w:val="20"/>
          <w:szCs w:val="20"/>
          <w:color w:val="auto"/>
        </w:rPr>
      </w:pPr>
      <w:r>
        <w:rPr>
          <w:rFonts w:ascii="Times New Roman" w:cs="Times New Roman" w:eastAsia="Times New Roman" w:hAnsi="Times New Roman"/>
          <w:sz w:val="20"/>
          <w:szCs w:val="20"/>
          <w:color w:val="auto"/>
        </w:rPr>
        <w:t>As of December 31, 2022, noncontrolling interests in our subsidiaries consisted of (i) a 35% interest in the Permian JV, (ii) a 30% interest in Cactus II and (iii) a 33% interest in Red River Pipeline Company LLC (“Red River”). The transactions resulting in the recognition of noncontrolling interests in the Permian JV and Cactus II are described below.</w:t>
      </w:r>
    </w:p>
    <w:p>
      <w:pPr>
        <w:spacing w:after="0" w:line="194" w:lineRule="exact"/>
        <w:rPr>
          <w:sz w:val="20"/>
          <w:szCs w:val="20"/>
          <w:color w:val="auto"/>
        </w:rPr>
      </w:pPr>
    </w:p>
    <w:p>
      <w:pPr>
        <w:ind w:right="20" w:firstLine="713"/>
        <w:spacing w:after="0" w:line="255" w:lineRule="auto"/>
        <w:rPr>
          <w:sz w:val="20"/>
          <w:szCs w:val="20"/>
          <w:color w:val="auto"/>
        </w:rPr>
      </w:pPr>
      <w:r>
        <w:rPr>
          <w:rFonts w:ascii="Times New Roman" w:cs="Times New Roman" w:eastAsia="Times New Roman" w:hAnsi="Times New Roman"/>
          <w:sz w:val="20"/>
          <w:szCs w:val="20"/>
          <w:color w:val="auto"/>
        </w:rPr>
        <w:t>In November 2022, we acquired an additional 5% interest in Cactus II which, combined with changes in governance, resulted in our obtaining control of the entity. We own 70% of Cactus II and reflect the entity as a consolidated subsidiary in our Consolidated Financial Statements, with Enbridge’s 30% interest accounted for as a noncontrolling interest. This transaction resulted in the recognition of partners’ capital attributable to noncontrolling interests of approximately $526 million. See Note 7 for more details regarding this transaction.</w:t>
      </w:r>
    </w:p>
    <w:p>
      <w:pPr>
        <w:spacing w:after="0" w:line="204" w:lineRule="exact"/>
        <w:rPr>
          <w:sz w:val="20"/>
          <w:szCs w:val="20"/>
          <w:color w:val="auto"/>
        </w:rPr>
      </w:pPr>
    </w:p>
    <w:p>
      <w:pPr>
        <w:ind w:right="160" w:firstLine="713"/>
        <w:spacing w:after="0" w:line="255" w:lineRule="auto"/>
        <w:rPr>
          <w:sz w:val="20"/>
          <w:szCs w:val="20"/>
          <w:color w:val="auto"/>
        </w:rPr>
      </w:pPr>
      <w:r>
        <w:rPr>
          <w:rFonts w:ascii="Times New Roman" w:cs="Times New Roman" w:eastAsia="Times New Roman" w:hAnsi="Times New Roman"/>
          <w:sz w:val="20"/>
          <w:szCs w:val="20"/>
          <w:color w:val="auto"/>
        </w:rPr>
        <w:t>In October 2021, we formed a joint venture, the Permian JV, with Oryx Midstream. We own 65% of the Permian JV and consolidate based on control, with Oryx Midstream’s 35% interest accounted for as a noncontrolling interest. This transaction resulted in the recognition of partners’ capital attributable to noncontrolling interests of approximately $2.6 billion and an increase to our partners’ capital excluding noncontrolling interests of approximately $595 million. See Note 7 for more details regarding this transaction.</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1880" w:h="15480" w:orient="portrait"/>
          <w:cols w:equalWidth="0" w:num="1">
            <w:col w:w="10160"/>
          </w:cols>
          <w:pgMar w:left="860" w:top="435" w:right="860" w:bottom="0" w:gutter="0" w:footer="0" w:header="0"/>
          <w:type w:val="continuous"/>
        </w:sectPr>
      </w:pPr>
    </w:p>
    <w:bookmarkStart w:id="143" w:name="page144"/>
    <w:bookmarkEnd w:id="143"/>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Distributions to Noncontrolling Interests</w:t>
      </w:r>
    </w:p>
    <w:p>
      <w:pPr>
        <w:spacing w:after="0" w:line="252" w:lineRule="exact"/>
        <w:rPr>
          <w:sz w:val="20"/>
          <w:szCs w:val="20"/>
          <w:color w:val="auto"/>
        </w:rPr>
      </w:pPr>
    </w:p>
    <w:p>
      <w:pPr>
        <w:ind w:right="140" w:firstLine="713"/>
        <w:spacing w:after="0" w:line="254" w:lineRule="auto"/>
        <w:rPr>
          <w:sz w:val="20"/>
          <w:szCs w:val="20"/>
          <w:color w:val="auto"/>
        </w:rPr>
      </w:pPr>
      <w:r>
        <w:rPr>
          <w:rFonts w:ascii="Times New Roman" w:cs="Times New Roman" w:eastAsia="Times New Roman" w:hAnsi="Times New Roman"/>
          <w:sz w:val="20"/>
          <w:szCs w:val="20"/>
          <w:color w:val="auto"/>
        </w:rPr>
        <w:t>Pursuant to the terms of the governing documents for the Permian JV, with the exception of the initial distribution paid in the first quarter of 2022, distributions of available cash from the Permian JV are subject to a tiered modified sharing arrangement. See Note 7 for additional information. Cash available for distribution is cash on hand less the amount of cash required to fund normal operations and capital projects. Distributions from Cactus II and Red River are paid in proportion to each owners interest in the entity. The following table details distributions paid to noncontrolling interests during the years presented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Borders>
              <w:bottom w:val="single" w:sz="8" w:color="E6E6E6"/>
            </w:tcBorders>
          </w:tcPr>
          <w:p>
            <w:pPr>
              <w:spacing w:after="0"/>
              <w:rPr>
                <w:sz w:val="18"/>
                <w:szCs w:val="18"/>
                <w:color w:val="auto"/>
              </w:rPr>
            </w:pPr>
          </w:p>
        </w:tc>
        <w:tc>
          <w:tcPr>
            <w:tcW w:w="600" w:type="dxa"/>
            <w:vAlign w:val="bottom"/>
            <w:tcBorders>
              <w:bottom w:val="single" w:sz="8" w:color="E6E6E6"/>
            </w:tcBorders>
          </w:tcPr>
          <w:p>
            <w:pPr>
              <w:spacing w:after="0"/>
              <w:rPr>
                <w:sz w:val="18"/>
                <w:szCs w:val="18"/>
                <w:color w:val="auto"/>
              </w:rPr>
            </w:pPr>
          </w:p>
        </w:tc>
        <w:tc>
          <w:tcPr>
            <w:tcW w:w="14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4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41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Permian JV </w:t>
            </w:r>
            <w:r>
              <w:rPr>
                <w:rFonts w:ascii="Times New Roman" w:cs="Times New Roman" w:eastAsia="Times New Roman" w:hAnsi="Times New Roman"/>
                <w:sz w:val="25"/>
                <w:szCs w:val="25"/>
                <w:color w:val="auto"/>
                <w:vertAlign w:val="superscript"/>
              </w:rPr>
              <w:t>(1)</w:t>
            </w:r>
          </w:p>
        </w:tc>
        <w:tc>
          <w:tcPr>
            <w:tcW w:w="1400" w:type="dxa"/>
            <w:vAlign w:val="bottom"/>
            <w:shd w:val="clear" w:color="auto" w:fill="E6E6E6"/>
          </w:tcPr>
          <w:p>
            <w:pPr>
              <w:jc w:val="right"/>
              <w:ind w:right="1148"/>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1520" w:type="dxa"/>
            <w:vAlign w:val="bottom"/>
            <w:gridSpan w:val="2"/>
            <w:shd w:val="clear" w:color="auto" w:fill="E6E6E6"/>
          </w:tcPr>
          <w:p>
            <w:pPr>
              <w:jc w:val="right"/>
              <w:ind w:right="1221"/>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shd w:val="clear" w:color="auto" w:fill="E6E6E6"/>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6E6E6"/>
          </w:tcPr>
          <w:p>
            <w:pPr>
              <w:ind w:left="1240"/>
              <w:spacing w:after="0"/>
              <w:rPr>
                <w:sz w:val="20"/>
                <w:szCs w:val="20"/>
                <w:color w:val="auto"/>
              </w:rPr>
            </w:pPr>
            <w:r>
              <w:rPr>
                <w:rFonts w:ascii="Times New Roman" w:cs="Times New Roman" w:eastAsia="Times New Roman" w:hAnsi="Times New Roman"/>
                <w:sz w:val="20"/>
                <w:szCs w:val="20"/>
                <w:color w:val="auto"/>
              </w:rPr>
              <w:t>—</w:t>
            </w:r>
          </w:p>
        </w:tc>
      </w:tr>
      <w:tr>
        <w:trPr>
          <w:trHeight w:val="291"/>
        </w:trPr>
        <w:tc>
          <w:tcPr>
            <w:tcW w:w="4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Cactus II</w:t>
            </w:r>
          </w:p>
        </w:tc>
        <w:tc>
          <w:tcPr>
            <w:tcW w:w="1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ind w:left="1240"/>
              <w:spacing w:after="0"/>
              <w:rPr>
                <w:sz w:val="20"/>
                <w:szCs w:val="20"/>
                <w:color w:val="auto"/>
              </w:rPr>
            </w:pPr>
            <w:r>
              <w:rPr>
                <w:rFonts w:ascii="Times New Roman" w:cs="Times New Roman" w:eastAsia="Times New Roman" w:hAnsi="Times New Roman"/>
                <w:sz w:val="20"/>
                <w:szCs w:val="20"/>
                <w:color w:val="auto"/>
              </w:rPr>
              <w:t>—</w:t>
            </w:r>
          </w:p>
        </w:tc>
      </w:tr>
      <w:tr>
        <w:trPr>
          <w:trHeight w:val="293"/>
        </w:trPr>
        <w:tc>
          <w:tcPr>
            <w:tcW w:w="4100" w:type="dxa"/>
            <w:vAlign w:val="bottom"/>
            <w:tcBorders>
              <w:bottom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Red River</w:t>
            </w:r>
          </w:p>
        </w:tc>
        <w:tc>
          <w:tcPr>
            <w:tcW w:w="140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auto"/>
            </w:tcBorders>
            <w:shd w:val="clear" w:color="auto" w:fill="E6E6E6"/>
          </w:tcPr>
          <w:p>
            <w:pPr>
              <w:spacing w:after="0"/>
              <w:rPr>
                <w:sz w:val="24"/>
                <w:szCs w:val="24"/>
                <w:color w:val="auto"/>
              </w:rPr>
            </w:pPr>
          </w:p>
        </w:tc>
        <w:tc>
          <w:tcPr>
            <w:tcW w:w="560" w:type="dxa"/>
            <w:vAlign w:val="bottom"/>
            <w:tcBorders>
              <w:bottom w:val="single" w:sz="8" w:color="auto"/>
            </w:tcBorders>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Borders>
              <w:bottom w:val="single" w:sz="8" w:color="E6E6E6"/>
            </w:tcBorders>
            <w:shd w:val="clear" w:color="auto" w:fill="E6E6E6"/>
          </w:tcPr>
          <w:p>
            <w:pPr>
              <w:spacing w:after="0"/>
              <w:rPr>
                <w:sz w:val="24"/>
                <w:szCs w:val="24"/>
                <w:color w:val="auto"/>
              </w:rPr>
            </w:pPr>
          </w:p>
        </w:tc>
        <w:tc>
          <w:tcPr>
            <w:tcW w:w="500" w:type="dxa"/>
            <w:vAlign w:val="bottom"/>
            <w:tcBorders>
              <w:bottom w:val="single" w:sz="8" w:color="auto"/>
            </w:tcBorders>
            <w:shd w:val="clear" w:color="auto" w:fill="E6E6E6"/>
          </w:tcPr>
          <w:p>
            <w:pPr>
              <w:spacing w:after="0"/>
              <w:rPr>
                <w:sz w:val="24"/>
                <w:szCs w:val="24"/>
                <w:color w:val="auto"/>
              </w:rPr>
            </w:pPr>
          </w:p>
        </w:tc>
        <w:tc>
          <w:tcPr>
            <w:tcW w:w="1520" w:type="dxa"/>
            <w:vAlign w:val="bottom"/>
            <w:tcBorders>
              <w:bottom w:val="single" w:sz="8" w:color="auto"/>
            </w:tcBorders>
            <w:shd w:val="clear" w:color="auto" w:fill="E6E6E6"/>
          </w:tcPr>
          <w:p>
            <w:pPr>
              <w:ind w:left="1240"/>
              <w:spacing w:after="0"/>
              <w:rPr>
                <w:sz w:val="20"/>
                <w:szCs w:val="20"/>
                <w:color w:val="auto"/>
              </w:rPr>
            </w:pPr>
            <w:r>
              <w:rPr>
                <w:rFonts w:ascii="Times New Roman" w:cs="Times New Roman" w:eastAsia="Times New Roman" w:hAnsi="Times New Roman"/>
                <w:sz w:val="20"/>
                <w:szCs w:val="20"/>
                <w:color w:val="auto"/>
              </w:rPr>
              <w:t>10</w:t>
            </w:r>
          </w:p>
        </w:tc>
      </w:tr>
      <w:tr>
        <w:trPr>
          <w:trHeight w:val="257"/>
        </w:trPr>
        <w:tc>
          <w:tcPr>
            <w:tcW w:w="3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0" w:type="dxa"/>
            <w:vAlign w:val="bottom"/>
          </w:tcPr>
          <w:p>
            <w:pPr>
              <w:jc w:val="right"/>
              <w:ind w:right="1148"/>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1520" w:type="dxa"/>
            <w:vAlign w:val="bottom"/>
            <w:gridSpan w:val="2"/>
          </w:tcPr>
          <w:p>
            <w:pPr>
              <w:jc w:val="right"/>
              <w:ind w:right="1221"/>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14</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ind w:left="1240"/>
              <w:spacing w:after="0"/>
              <w:rPr>
                <w:sz w:val="20"/>
                <w:szCs w:val="20"/>
                <w:color w:val="auto"/>
              </w:rPr>
            </w:pPr>
            <w:r>
              <w:rPr>
                <w:rFonts w:ascii="Times New Roman" w:cs="Times New Roman" w:eastAsia="Times New Roman" w:hAnsi="Times New Roman"/>
                <w:sz w:val="20"/>
                <w:szCs w:val="20"/>
                <w:color w:val="auto"/>
              </w:rPr>
              <w:t>10</w:t>
            </w:r>
          </w:p>
        </w:tc>
      </w:tr>
      <w:tr>
        <w:trPr>
          <w:trHeight w:val="20"/>
        </w:trPr>
        <w:tc>
          <w:tcPr>
            <w:tcW w:w="3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35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-895350</wp:posOffset>
            </wp:positionV>
            <wp:extent cx="3960495" cy="501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26">
                      <a:extLst>
                        <a:ext uri="{28A0092B-C50C-407E-A947-70E740481C1C}"/>
                      </a:extLst>
                    </a:blip>
                    <a:srcRect/>
                    <a:stretch>
                      <a:fillRect/>
                    </a:stretch>
                  </pic:blipFill>
                  <pic:spPr bwMode="auto">
                    <a:xfrm>
                      <a:off x="0" y="0"/>
                      <a:ext cx="3960495" cy="5016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-329565</wp:posOffset>
            </wp:positionV>
            <wp:extent cx="3973195" cy="501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27">
                      <a:extLst>
                        <a:ext uri="{28A0092B-C50C-407E-A947-70E740481C1C}"/>
                      </a:extLst>
                    </a:blip>
                    <a:srcRect/>
                    <a:stretch>
                      <a:fillRect/>
                    </a:stretch>
                  </pic:blipFill>
                  <pic:spPr bwMode="auto">
                    <a:xfrm>
                      <a:off x="0" y="0"/>
                      <a:ext cx="3973195" cy="5016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-153670</wp:posOffset>
            </wp:positionV>
            <wp:extent cx="2653030" cy="755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28">
                      <a:extLst>
                        <a:ext uri="{28A0092B-C50C-407E-A947-70E740481C1C}"/>
                      </a:extLst>
                    </a:blip>
                    <a:srcRect/>
                    <a:stretch>
                      <a:fillRect/>
                    </a:stretch>
                  </pic:blipFill>
                  <pic:spPr bwMode="auto">
                    <a:xfrm>
                      <a:off x="0" y="0"/>
                      <a:ext cx="2653030" cy="75565"/>
                    </a:xfrm>
                    <a:prstGeom prst="rect">
                      <a:avLst/>
                    </a:prstGeom>
                    <a:noFill/>
                  </pic:spPr>
                </pic:pic>
              </a:graphicData>
            </a:graphic>
          </wp:anchor>
        </w:drawing>
      </w:r>
    </w:p>
    <w:p>
      <w:pPr>
        <w:spacing w:after="0" w:line="126" w:lineRule="exact"/>
        <w:rPr>
          <w:sz w:val="20"/>
          <w:szCs w:val="20"/>
          <w:color w:val="auto"/>
        </w:rPr>
      </w:pPr>
    </w:p>
    <w:p>
      <w:pPr>
        <w:ind w:left="720" w:right="240" w:hanging="719"/>
        <w:spacing w:after="0" w:line="225" w:lineRule="auto"/>
        <w:tabs>
          <w:tab w:leader="none" w:pos="720"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initial distribution from the Permian JV was paid during the first quarter of 2022, with approximately $54 million paid to noncontrolling interests.</w:t>
      </w:r>
    </w:p>
    <w:p>
      <w:pPr>
        <w:spacing w:after="0" w:line="209" w:lineRule="exact"/>
        <w:rPr>
          <w:rFonts w:ascii="Times New Roman" w:cs="Times New Roman" w:eastAsia="Times New Roman" w:hAnsi="Times New Roman"/>
          <w:sz w:val="26"/>
          <w:szCs w:val="26"/>
          <w:color w:val="auto"/>
          <w:vertAlign w:val="superscript"/>
        </w:rPr>
      </w:pPr>
    </w:p>
    <w:p>
      <w:pPr>
        <w:ind w:left="72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b w:val="1"/>
          <w:bCs w:val="1"/>
          <w:color w:val="auto"/>
        </w:rPr>
        <w:t>Contributions from Noncontrolling Interests</w:t>
      </w:r>
    </w:p>
    <w:p>
      <w:pPr>
        <w:spacing w:after="0" w:line="252" w:lineRule="exact"/>
        <w:rPr>
          <w:sz w:val="20"/>
          <w:szCs w:val="20"/>
          <w:color w:val="auto"/>
        </w:rPr>
      </w:pPr>
    </w:p>
    <w:p>
      <w:pPr>
        <w:ind w:right="260" w:firstLine="713"/>
        <w:spacing w:after="0" w:line="263" w:lineRule="auto"/>
        <w:rPr>
          <w:sz w:val="20"/>
          <w:szCs w:val="20"/>
          <w:color w:val="auto"/>
        </w:rPr>
      </w:pPr>
      <w:r>
        <w:rPr>
          <w:rFonts w:ascii="Times New Roman" w:cs="Times New Roman" w:eastAsia="Times New Roman" w:hAnsi="Times New Roman"/>
          <w:sz w:val="20"/>
          <w:szCs w:val="20"/>
          <w:color w:val="auto"/>
        </w:rPr>
        <w:t>During the year ended December 31, 2022, we received a contribution of $26 million from noncontrolling interests in the Permian JV associated with the acquisition of the remaining 50% interest in Advantage. See Note 7 for additional information.</w:t>
      </w:r>
    </w:p>
    <w:p>
      <w:pPr>
        <w:spacing w:after="0" w:line="194" w:lineRule="exact"/>
        <w:rPr>
          <w:sz w:val="20"/>
          <w:szCs w:val="20"/>
          <w:color w:val="auto"/>
        </w:rPr>
      </w:pPr>
    </w:p>
    <w:p>
      <w:pPr>
        <w:ind w:right="420" w:firstLine="713"/>
        <w:spacing w:after="0" w:line="278" w:lineRule="auto"/>
        <w:rPr>
          <w:sz w:val="20"/>
          <w:szCs w:val="20"/>
          <w:color w:val="auto"/>
        </w:rPr>
      </w:pPr>
      <w:r>
        <w:rPr>
          <w:rFonts w:ascii="Times New Roman" w:cs="Times New Roman" w:eastAsia="Times New Roman" w:hAnsi="Times New Roman"/>
          <w:sz w:val="20"/>
          <w:szCs w:val="20"/>
          <w:color w:val="auto"/>
        </w:rPr>
        <w:t>During the year ended December 31, 2020, we received contributions from noncontrolling interests in Red River of $12 million related to a pipeline capacity expansion.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13—Derivatives and Risk Management Activities</w:t>
      </w:r>
    </w:p>
    <w:p>
      <w:pPr>
        <w:spacing w:after="0" w:line="252" w:lineRule="exact"/>
        <w:rPr>
          <w:sz w:val="20"/>
          <w:szCs w:val="20"/>
          <w:color w:val="auto"/>
        </w:rPr>
      </w:pPr>
    </w:p>
    <w:p>
      <w:pPr>
        <w:ind w:right="180" w:firstLine="713"/>
        <w:spacing w:after="0" w:line="250" w:lineRule="auto"/>
        <w:rPr>
          <w:sz w:val="20"/>
          <w:szCs w:val="20"/>
          <w:color w:val="auto"/>
        </w:rPr>
      </w:pPr>
      <w:r>
        <w:rPr>
          <w:rFonts w:ascii="Times New Roman" w:cs="Times New Roman" w:eastAsia="Times New Roman" w:hAnsi="Times New Roman"/>
          <w:sz w:val="20"/>
          <w:szCs w:val="20"/>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10" w:lineRule="exact"/>
        <w:rPr>
          <w:sz w:val="20"/>
          <w:szCs w:val="20"/>
          <w:color w:val="auto"/>
        </w:rPr>
      </w:pPr>
    </w:p>
    <w:p>
      <w:pPr>
        <w:ind w:right="200" w:firstLine="713"/>
        <w:spacing w:after="0" w:line="269" w:lineRule="auto"/>
        <w:rPr>
          <w:sz w:val="20"/>
          <w:szCs w:val="20"/>
          <w:color w:val="auto"/>
        </w:rPr>
      </w:pPr>
      <w:r>
        <w:rPr>
          <w:rFonts w:ascii="Times New Roman" w:cs="Times New Roman" w:eastAsia="Times New Roman" w:hAnsi="Times New Roman"/>
          <w:sz w:val="19"/>
          <w:szCs w:val="19"/>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spacing w:after="0" w:line="194" w:lineRule="exact"/>
        <w:rPr>
          <w:sz w:val="20"/>
          <w:szCs w:val="20"/>
          <w:color w:val="auto"/>
        </w:rPr>
      </w:pPr>
    </w:p>
    <w:p>
      <w:pPr>
        <w:ind w:right="140" w:firstLine="713"/>
        <w:spacing w:after="0" w:line="258" w:lineRule="auto"/>
        <w:rPr>
          <w:sz w:val="20"/>
          <w:szCs w:val="20"/>
          <w:color w:val="auto"/>
        </w:rPr>
      </w:pPr>
      <w:r>
        <w:rPr>
          <w:rFonts w:ascii="Times New Roman" w:cs="Times New Roman" w:eastAsia="Times New Roman" w:hAnsi="Times New Roman"/>
          <w:sz w:val="20"/>
          <w:szCs w:val="20"/>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3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F-40</w:t>
      </w:r>
    </w:p>
    <w:p>
      <w:pPr>
        <w:sectPr>
          <w:pgSz w:w="11880" w:h="15480" w:orient="portrait"/>
          <w:cols w:equalWidth="0" w:num="1">
            <w:col w:w="10280"/>
          </w:cols>
          <w:pgMar w:left="860" w:top="435" w:right="740" w:bottom="0" w:gutter="0" w:footer="0" w:header="0"/>
        </w:sectPr>
      </w:pPr>
    </w:p>
    <w:bookmarkStart w:id="144" w:name="page145"/>
    <w:bookmarkEnd w:id="144"/>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374" w:lineRule="exact"/>
        <w:rPr>
          <w:sz w:val="20"/>
          <w:szCs w:val="20"/>
          <w:color w:val="auto"/>
        </w:rPr>
      </w:pPr>
    </w:p>
    <w:p>
      <w:pPr>
        <w:ind w:right="80" w:firstLine="668"/>
        <w:spacing w:after="0" w:line="258" w:lineRule="auto"/>
        <w:rPr>
          <w:sz w:val="20"/>
          <w:szCs w:val="20"/>
          <w:color w:val="auto"/>
        </w:rPr>
      </w:pPr>
      <w:r>
        <w:rPr>
          <w:rFonts w:ascii="Times New Roman" w:cs="Times New Roman" w:eastAsia="Times New Roman" w:hAnsi="Times New Roman"/>
          <w:sz w:val="20"/>
          <w:szCs w:val="20"/>
          <w:color w:val="auto"/>
        </w:rPr>
        <w:t>At December 31, 2022 and 2021,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Commodity Price Risk Hedging</w:t>
      </w:r>
    </w:p>
    <w:p>
      <w:pPr>
        <w:spacing w:after="0" w:line="253" w:lineRule="exact"/>
        <w:rPr>
          <w:sz w:val="20"/>
          <w:szCs w:val="20"/>
          <w:color w:val="auto"/>
        </w:rPr>
      </w:pPr>
    </w:p>
    <w:p>
      <w:pPr>
        <w:ind w:right="180" w:firstLine="713"/>
        <w:spacing w:after="0" w:line="261" w:lineRule="auto"/>
        <w:rPr>
          <w:sz w:val="20"/>
          <w:szCs w:val="20"/>
          <w:color w:val="auto"/>
        </w:rPr>
      </w:pPr>
      <w:r>
        <w:rPr>
          <w:rFonts w:ascii="Times New Roman" w:cs="Times New Roman" w:eastAsia="Times New Roman" w:hAnsi="Times New Roman"/>
          <w:sz w:val="19"/>
          <w:szCs w:val="19"/>
          <w:color w:val="auto"/>
        </w:rPr>
        <w:t>Our core business activities involve certain commodity price-related risks that we manage in various ways, including through the use of derivative instruments. Our policy is to (i) only purchase inventory for which we have a sales market,</w:t>
      </w:r>
    </w:p>
    <w:p>
      <w:pPr>
        <w:ind w:right="80" w:firstLine="1"/>
        <w:spacing w:after="0" w:line="263" w:lineRule="auto"/>
        <w:tabs>
          <w:tab w:leader="none" w:pos="29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94" w:lineRule="exact"/>
        <w:rPr>
          <w:sz w:val="20"/>
          <w:szCs w:val="20"/>
          <w:color w:val="auto"/>
        </w:rPr>
      </w:pPr>
    </w:p>
    <w:p>
      <w:pPr>
        <w:ind w:right="200" w:firstLine="713"/>
        <w:spacing w:after="0" w:line="305" w:lineRule="auto"/>
        <w:rPr>
          <w:sz w:val="20"/>
          <w:szCs w:val="20"/>
          <w:color w:val="auto"/>
        </w:rPr>
      </w:pPr>
      <w:r>
        <w:rPr>
          <w:rFonts w:ascii="Times New Roman" w:cs="Times New Roman" w:eastAsia="Times New Roman" w:hAnsi="Times New Roman"/>
          <w:sz w:val="19"/>
          <w:szCs w:val="19"/>
          <w:color w:val="auto"/>
        </w:rPr>
        <w:t>In the normal course of our operations, we purchase and sell commodities. We use derivatives to manage the associated risks and to optimize profits. As of December 31, 2022, net derivative positions related to these activities included:</w:t>
      </w:r>
    </w:p>
    <w:p>
      <w:pPr>
        <w:spacing w:after="0" w:line="39" w:lineRule="exact"/>
        <w:rPr>
          <w:sz w:val="20"/>
          <w:szCs w:val="20"/>
          <w:color w:val="auto"/>
        </w:rPr>
      </w:pPr>
    </w:p>
    <w:p>
      <w:pPr>
        <w:ind w:left="1080" w:right="360" w:hanging="366"/>
        <w:spacing w:after="0" w:line="278" w:lineRule="auto"/>
        <w:tabs>
          <w:tab w:leader="none" w:pos="10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net long position of 3.9 million barrels associated with our crude oil purchases, which was unwound ratably during January 2023 to match monthly average pricing.</w:t>
      </w:r>
    </w:p>
    <w:p>
      <w:pPr>
        <w:spacing w:after="0" w:line="61" w:lineRule="exact"/>
        <w:rPr>
          <w:rFonts w:ascii="Times New Roman" w:cs="Times New Roman" w:eastAsia="Times New Roman" w:hAnsi="Times New Roman"/>
          <w:sz w:val="20"/>
          <w:szCs w:val="20"/>
          <w:color w:val="auto"/>
        </w:rPr>
      </w:pPr>
    </w:p>
    <w:p>
      <w:pPr>
        <w:ind w:left="1080" w:right="260" w:hanging="366"/>
        <w:spacing w:after="0" w:line="278" w:lineRule="auto"/>
        <w:tabs>
          <w:tab w:leader="none" w:pos="10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net short time spread position of 6.4 million barrels, which hedges a portion of our anticipated crude oil lease gathering purchases through December 2024.</w:t>
      </w:r>
    </w:p>
    <w:p>
      <w:pPr>
        <w:spacing w:after="0" w:line="61" w:lineRule="exact"/>
        <w:rPr>
          <w:rFonts w:ascii="Times New Roman" w:cs="Times New Roman" w:eastAsia="Times New Roman" w:hAnsi="Times New Roman"/>
          <w:sz w:val="20"/>
          <w:szCs w:val="20"/>
          <w:color w:val="auto"/>
        </w:rPr>
      </w:pPr>
    </w:p>
    <w:p>
      <w:pPr>
        <w:ind w:left="1080" w:right="280" w:hanging="366"/>
        <w:spacing w:after="0" w:line="278" w:lineRule="auto"/>
        <w:tabs>
          <w:tab w:leader="none" w:pos="10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net crude oil basis spread position of 2.6 million barrels at multiple locations through December 2024. These derivatives allow us to lock in grade and location basis differentials.</w:t>
      </w:r>
    </w:p>
    <w:p>
      <w:pPr>
        <w:spacing w:after="0" w:line="61" w:lineRule="exact"/>
        <w:rPr>
          <w:rFonts w:ascii="Times New Roman" w:cs="Times New Roman" w:eastAsia="Times New Roman" w:hAnsi="Times New Roman"/>
          <w:sz w:val="20"/>
          <w:szCs w:val="20"/>
          <w:color w:val="auto"/>
        </w:rPr>
      </w:pPr>
    </w:p>
    <w:p>
      <w:pPr>
        <w:ind w:left="1080" w:right="460" w:hanging="366"/>
        <w:spacing w:after="0" w:line="278" w:lineRule="auto"/>
        <w:tabs>
          <w:tab w:leader="none" w:pos="10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net short position of 18.4 million barrels through June 2024 related to anticipated net sales of crude oil and NGL inventory.</w:t>
      </w:r>
    </w:p>
    <w:p>
      <w:pPr>
        <w:spacing w:after="0" w:line="180" w:lineRule="exact"/>
        <w:rPr>
          <w:sz w:val="20"/>
          <w:szCs w:val="20"/>
          <w:color w:val="auto"/>
        </w:rPr>
      </w:pPr>
    </w:p>
    <w:p>
      <w:pPr>
        <w:ind w:right="60" w:firstLine="713"/>
        <w:spacing w:after="0" w:line="254" w:lineRule="auto"/>
        <w:rPr>
          <w:sz w:val="20"/>
          <w:szCs w:val="20"/>
          <w:color w:val="auto"/>
        </w:rPr>
      </w:pPr>
      <w:r>
        <w:rPr>
          <w:rFonts w:ascii="Times New Roman" w:cs="Times New Roman" w:eastAsia="Times New Roman" w:hAnsi="Times New Roman"/>
          <w:sz w:val="20"/>
          <w:szCs w:val="20"/>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Notional Volume</w:t>
            </w:r>
          </w:p>
        </w:tc>
        <w:tc>
          <w:tcPr>
            <w:tcW w:w="8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 Tenor</w:t>
            </w:r>
          </w:p>
        </w:tc>
        <w:tc>
          <w:tcPr>
            <w:tcW w:w="0" w:type="dxa"/>
            <w:vAlign w:val="bottom"/>
          </w:tcPr>
          <w:p>
            <w:pPr>
              <w:spacing w:after="0"/>
              <w:rPr>
                <w:sz w:val="1"/>
                <w:szCs w:val="1"/>
                <w:color w:val="auto"/>
              </w:rPr>
            </w:pPr>
          </w:p>
        </w:tc>
      </w:tr>
      <w:tr>
        <w:trPr>
          <w:trHeight w:val="212"/>
        </w:trPr>
        <w:tc>
          <w:tcPr>
            <w:tcW w:w="6960" w:type="dxa"/>
            <w:vAlign w:val="bottom"/>
            <w:tcBorders>
              <w:bottom w:val="single" w:sz="8" w:color="E6E6E6"/>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(Short)/Long</w:t>
            </w:r>
          </w:p>
        </w:tc>
        <w:tc>
          <w:tcPr>
            <w:tcW w:w="80" w:type="dxa"/>
            <w:vAlign w:val="bottom"/>
            <w:tcBorders>
              <w:bottom w:val="single" w:sz="8" w:color="E6E6E6"/>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69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Natural gas purchases</w:t>
            </w:r>
          </w:p>
        </w:tc>
        <w:tc>
          <w:tcPr>
            <w:tcW w:w="15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47.7 Bcf</w:t>
            </w:r>
          </w:p>
        </w:tc>
        <w:tc>
          <w:tcPr>
            <w:tcW w:w="80" w:type="dxa"/>
            <w:vAlign w:val="bottom"/>
            <w:shd w:val="clear" w:color="auto" w:fill="E6E6E6"/>
          </w:tcPr>
          <w:p>
            <w:pPr>
              <w:spacing w:after="0"/>
              <w:rPr>
                <w:sz w:val="24"/>
                <w:szCs w:val="24"/>
                <w:color w:val="auto"/>
              </w:rPr>
            </w:pPr>
          </w:p>
        </w:tc>
        <w:tc>
          <w:tcPr>
            <w:tcW w:w="15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7"/>
              </w:rPr>
              <w:t>December 2024</w:t>
            </w:r>
          </w:p>
        </w:tc>
        <w:tc>
          <w:tcPr>
            <w:tcW w:w="0" w:type="dxa"/>
            <w:vAlign w:val="bottom"/>
          </w:tcPr>
          <w:p>
            <w:pPr>
              <w:spacing w:after="0"/>
              <w:rPr>
                <w:sz w:val="1"/>
                <w:szCs w:val="1"/>
                <w:color w:val="auto"/>
              </w:rPr>
            </w:pPr>
          </w:p>
        </w:tc>
      </w:tr>
      <w:tr>
        <w:trPr>
          <w:trHeight w:val="306"/>
        </w:trPr>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Propane sales</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(9.1) MMbls</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December 2024</w:t>
            </w:r>
          </w:p>
        </w:tc>
        <w:tc>
          <w:tcPr>
            <w:tcW w:w="0" w:type="dxa"/>
            <w:vAlign w:val="bottom"/>
          </w:tcPr>
          <w:p>
            <w:pPr>
              <w:spacing w:after="0"/>
              <w:rPr>
                <w:sz w:val="1"/>
                <w:szCs w:val="1"/>
                <w:color w:val="auto"/>
              </w:rPr>
            </w:pPr>
          </w:p>
        </w:tc>
      </w:tr>
      <w:tr>
        <w:trPr>
          <w:trHeight w:val="318"/>
        </w:trPr>
        <w:tc>
          <w:tcPr>
            <w:tcW w:w="69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Butane sales</w:t>
            </w:r>
          </w:p>
        </w:tc>
        <w:tc>
          <w:tcPr>
            <w:tcW w:w="15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(2.1) MMbls</w:t>
            </w:r>
          </w:p>
        </w:tc>
        <w:tc>
          <w:tcPr>
            <w:tcW w:w="80" w:type="dxa"/>
            <w:vAlign w:val="bottom"/>
            <w:shd w:val="clear" w:color="auto" w:fill="E6E6E6"/>
          </w:tcPr>
          <w:p>
            <w:pPr>
              <w:spacing w:after="0"/>
              <w:rPr>
                <w:sz w:val="24"/>
                <w:szCs w:val="24"/>
                <w:color w:val="auto"/>
              </w:rPr>
            </w:pPr>
          </w:p>
        </w:tc>
        <w:tc>
          <w:tcPr>
            <w:tcW w:w="15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7"/>
              </w:rPr>
              <w:t>December 2024</w:t>
            </w:r>
          </w:p>
        </w:tc>
        <w:tc>
          <w:tcPr>
            <w:tcW w:w="0" w:type="dxa"/>
            <w:vAlign w:val="bottom"/>
          </w:tcPr>
          <w:p>
            <w:pPr>
              <w:spacing w:after="0"/>
              <w:rPr>
                <w:sz w:val="1"/>
                <w:szCs w:val="1"/>
                <w:color w:val="auto"/>
              </w:rPr>
            </w:pPr>
          </w:p>
        </w:tc>
      </w:tr>
      <w:tr>
        <w:trPr>
          <w:trHeight w:val="306"/>
        </w:trPr>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Condensate sales</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(0.8) MMbls</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December 2024</w:t>
            </w:r>
          </w:p>
        </w:tc>
        <w:tc>
          <w:tcPr>
            <w:tcW w:w="0" w:type="dxa"/>
            <w:vAlign w:val="bottom"/>
          </w:tcPr>
          <w:p>
            <w:pPr>
              <w:spacing w:after="0"/>
              <w:rPr>
                <w:sz w:val="1"/>
                <w:szCs w:val="1"/>
                <w:color w:val="auto"/>
              </w:rPr>
            </w:pPr>
          </w:p>
        </w:tc>
      </w:tr>
      <w:tr>
        <w:trPr>
          <w:trHeight w:val="318"/>
        </w:trPr>
        <w:tc>
          <w:tcPr>
            <w:tcW w:w="69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Fuel gas requirements </w:t>
            </w:r>
            <w:r>
              <w:rPr>
                <w:rFonts w:ascii="Times New Roman" w:cs="Times New Roman" w:eastAsia="Times New Roman" w:hAnsi="Times New Roman"/>
                <w:sz w:val="25"/>
                <w:szCs w:val="25"/>
                <w:color w:val="auto"/>
                <w:vertAlign w:val="superscript"/>
              </w:rPr>
              <w:t>(1)</w:t>
            </w:r>
          </w:p>
        </w:tc>
        <w:tc>
          <w:tcPr>
            <w:tcW w:w="15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7.3 Bcf</w:t>
            </w:r>
          </w:p>
        </w:tc>
        <w:tc>
          <w:tcPr>
            <w:tcW w:w="80" w:type="dxa"/>
            <w:vAlign w:val="bottom"/>
            <w:shd w:val="clear" w:color="auto" w:fill="E6E6E6"/>
          </w:tcPr>
          <w:p>
            <w:pPr>
              <w:spacing w:after="0"/>
              <w:rPr>
                <w:sz w:val="24"/>
                <w:szCs w:val="24"/>
                <w:color w:val="auto"/>
              </w:rPr>
            </w:pPr>
          </w:p>
        </w:tc>
        <w:tc>
          <w:tcPr>
            <w:tcW w:w="15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7"/>
              </w:rPr>
              <w:t>December 2023</w:t>
            </w:r>
          </w:p>
        </w:tc>
        <w:tc>
          <w:tcPr>
            <w:tcW w:w="0" w:type="dxa"/>
            <w:vAlign w:val="bottom"/>
          </w:tcPr>
          <w:p>
            <w:pPr>
              <w:spacing w:after="0"/>
              <w:rPr>
                <w:sz w:val="1"/>
                <w:szCs w:val="1"/>
                <w:color w:val="auto"/>
              </w:rPr>
            </w:pPr>
          </w:p>
        </w:tc>
      </w:tr>
      <w:tr>
        <w:trPr>
          <w:trHeight w:val="384"/>
        </w:trPr>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Power supply requirements </w:t>
            </w:r>
            <w:r>
              <w:rPr>
                <w:rFonts w:ascii="Times New Roman" w:cs="Times New Roman" w:eastAsia="Times New Roman" w:hAnsi="Times New Roman"/>
                <w:sz w:val="25"/>
                <w:szCs w:val="25"/>
                <w:color w:val="auto"/>
                <w:vertAlign w:val="superscript"/>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0.4 TWh</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December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-1258570</wp:posOffset>
            </wp:positionV>
            <wp:extent cx="2065020" cy="501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29">
                      <a:extLst>
                        <a:ext uri="{28A0092B-C50C-407E-A947-70E740481C1C}"/>
                      </a:extLst>
                    </a:blip>
                    <a:srcRect/>
                    <a:stretch>
                      <a:fillRect/>
                    </a:stretch>
                  </pic:blipFill>
                  <pic:spPr bwMode="auto">
                    <a:xfrm>
                      <a:off x="0" y="0"/>
                      <a:ext cx="2065020"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64135</wp:posOffset>
                </wp:positionV>
                <wp:extent cx="222504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05pt" to="175.25pt,5.05pt" o:allowincell="f" strokecolor="#000000" strokeweight="0.99pt"/>
            </w:pict>
          </mc:Fallback>
        </mc:AlternateContent>
      </w:r>
    </w:p>
    <w:p>
      <w:pPr>
        <w:spacing w:after="0" w:line="118" w:lineRule="exact"/>
        <w:rPr>
          <w:sz w:val="20"/>
          <w:szCs w:val="20"/>
          <w:color w:val="auto"/>
        </w:rPr>
      </w:pPr>
    </w:p>
    <w:p>
      <w:pPr>
        <w:ind w:left="720" w:right="60" w:hanging="719"/>
        <w:spacing w:after="0" w:line="225" w:lineRule="auto"/>
        <w:tabs>
          <w:tab w:leader="none" w:pos="720" w:val="left"/>
        </w:tabs>
        <w:numPr>
          <w:ilvl w:val="0"/>
          <w:numId w:val="9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Positions to hedge a portion of our power supply and fuel gas requirements at our Canadian natural gas processing and fractionation plants.</w:t>
      </w:r>
    </w:p>
    <w:p>
      <w:pPr>
        <w:spacing w:after="0" w:line="217" w:lineRule="exact"/>
        <w:rPr>
          <w:sz w:val="20"/>
          <w:szCs w:val="20"/>
          <w:color w:val="auto"/>
        </w:rPr>
      </w:pPr>
    </w:p>
    <w:p>
      <w:pPr>
        <w:ind w:right="240" w:firstLine="713"/>
        <w:spacing w:after="0" w:line="258" w:lineRule="auto"/>
        <w:rPr>
          <w:sz w:val="20"/>
          <w:szCs w:val="20"/>
          <w:color w:val="auto"/>
        </w:rPr>
      </w:pPr>
      <w:r>
        <w:rPr>
          <w:rFonts w:ascii="Times New Roman" w:cs="Times New Roman" w:eastAsia="Times New Roman" w:hAnsi="Times New Roman"/>
          <w:sz w:val="20"/>
          <w:szCs w:val="20"/>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F-41</w:t>
      </w:r>
    </w:p>
    <w:p>
      <w:pPr>
        <w:sectPr>
          <w:pgSz w:w="11880" w:h="15480" w:orient="portrait"/>
          <w:cols w:equalWidth="0" w:num="1">
            <w:col w:w="10160"/>
          </w:cols>
          <w:pgMar w:left="860" w:top="435" w:right="860" w:bottom="0" w:gutter="0" w:footer="0" w:header="0"/>
          <w:type w:val="continuous"/>
        </w:sectPr>
      </w:pPr>
    </w:p>
    <w:bookmarkStart w:id="145" w:name="page146"/>
    <w:bookmarkEnd w:id="145"/>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jc w:val="both"/>
        <w:ind w:right="140" w:firstLine="713"/>
        <w:spacing w:after="0" w:line="263" w:lineRule="auto"/>
        <w:rPr>
          <w:sz w:val="20"/>
          <w:szCs w:val="20"/>
          <w:color w:val="auto"/>
        </w:rPr>
      </w:pPr>
      <w:r>
        <w:rPr>
          <w:rFonts w:ascii="Times New Roman" w:cs="Times New Roman" w:eastAsia="Times New Roman" w:hAnsi="Times New Roman"/>
          <w:sz w:val="20"/>
          <w:szCs w:val="20"/>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32"/>
        </w:trPr>
        <w:tc>
          <w:tcPr>
            <w:tcW w:w="6140" w:type="dxa"/>
            <w:vAlign w:val="bottom"/>
            <w:tcBorders>
              <w:bottom w:val="single" w:sz="8" w:color="E6E6E6"/>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E6E6E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61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Product sales revenues</w:t>
            </w:r>
          </w:p>
        </w:tc>
        <w:tc>
          <w:tcPr>
            <w:tcW w:w="860" w:type="dxa"/>
            <w:vAlign w:val="bottom"/>
            <w:shd w:val="clear" w:color="auto" w:fill="E6E6E6"/>
          </w:tcPr>
          <w:p>
            <w:pPr>
              <w:jc w:val="right"/>
              <w:ind w:right="628"/>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400" w:type="dxa"/>
            <w:vAlign w:val="bottom"/>
            <w:gridSpan w:val="2"/>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(710)</w:t>
            </w:r>
          </w:p>
        </w:tc>
        <w:tc>
          <w:tcPr>
            <w:tcW w:w="4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(302)</w:t>
            </w:r>
          </w:p>
        </w:tc>
      </w:tr>
      <w:tr>
        <w:trPr>
          <w:trHeight w:val="287"/>
        </w:trPr>
        <w:tc>
          <w:tcPr>
            <w:tcW w:w="614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Field operating costs</w:t>
            </w: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97"/>
        </w:trPr>
        <w:tc>
          <w:tcPr>
            <w:tcW w:w="614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Net gain/(loss) from commodity derivative activity</w:t>
            </w:r>
          </w:p>
        </w:tc>
        <w:tc>
          <w:tcPr>
            <w:tcW w:w="860" w:type="dxa"/>
            <w:vAlign w:val="bottom"/>
            <w:tcBorders>
              <w:bottom w:val="single" w:sz="8" w:color="auto"/>
            </w:tcBorders>
            <w:shd w:val="clear" w:color="auto" w:fill="E6E6E6"/>
          </w:tcPr>
          <w:p>
            <w:pPr>
              <w:jc w:val="right"/>
              <w:ind w:right="628"/>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-608965</wp:posOffset>
            </wp:positionV>
            <wp:extent cx="2606040" cy="501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30">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-231775</wp:posOffset>
            </wp:positionV>
            <wp:extent cx="2606040" cy="501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31">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-55880</wp:posOffset>
            </wp:positionV>
            <wp:extent cx="2606040" cy="755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32">
                      <a:extLst>
                        <a:ext uri="{28A0092B-C50C-407E-A947-70E740481C1C}"/>
                      </a:extLst>
                    </a:blip>
                    <a:srcRect/>
                    <a:stretch>
                      <a:fillRect/>
                    </a:stretch>
                  </pic:blipFill>
                  <pic:spPr bwMode="auto">
                    <a:xfrm>
                      <a:off x="0" y="0"/>
                      <a:ext cx="2606040" cy="75565"/>
                    </a:xfrm>
                    <a:prstGeom prst="rect">
                      <a:avLst/>
                    </a:prstGeom>
                    <a:noFill/>
                  </pic:spPr>
                </pic:pic>
              </a:graphicData>
            </a:graphic>
          </wp:anchor>
        </w:drawing>
      </w:r>
    </w:p>
    <w:p>
      <w:pPr>
        <w:spacing w:after="0" w:line="225" w:lineRule="exact"/>
        <w:rPr>
          <w:sz w:val="20"/>
          <w:szCs w:val="20"/>
          <w:color w:val="auto"/>
        </w:rPr>
      </w:pPr>
    </w:p>
    <w:p>
      <w:pPr>
        <w:ind w:right="120" w:firstLine="713"/>
        <w:spacing w:after="0" w:line="269" w:lineRule="auto"/>
        <w:rPr>
          <w:sz w:val="20"/>
          <w:szCs w:val="20"/>
          <w:color w:val="auto"/>
        </w:rPr>
      </w:pPr>
      <w:r>
        <w:rPr>
          <w:rFonts w:ascii="Times New Roman" w:cs="Times New Roman" w:eastAsia="Times New Roman" w:hAnsi="Times New Roman"/>
          <w:sz w:val="19"/>
          <w:szCs w:val="19"/>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r>
      <w:tr>
        <w:trPr>
          <w:trHeight w:val="232"/>
        </w:trPr>
        <w:tc>
          <w:tcPr>
            <w:tcW w:w="7500" w:type="dxa"/>
            <w:vAlign w:val="bottom"/>
            <w:tcBorders>
              <w:bottom w:val="single" w:sz="8" w:color="E6E6E6"/>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87"/>
        </w:trPr>
        <w:tc>
          <w:tcPr>
            <w:tcW w:w="75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Initial margin</w:t>
            </w:r>
          </w:p>
        </w:tc>
        <w:tc>
          <w:tcPr>
            <w:tcW w:w="820" w:type="dxa"/>
            <w:vAlign w:val="bottom"/>
            <w:shd w:val="clear" w:color="auto" w:fill="E6E6E6"/>
          </w:tcPr>
          <w:p>
            <w:pPr>
              <w:jc w:val="right"/>
              <w:ind w:right="568"/>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520" w:type="dxa"/>
            <w:vAlign w:val="bottom"/>
            <w:gridSpan w:val="2"/>
            <w:shd w:val="clear" w:color="auto" w:fill="E6E6E6"/>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91"/>
        </w:trPr>
        <w:tc>
          <w:tcPr>
            <w:tcW w:w="7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Variation margin posted/(returned)</w:t>
            </w:r>
          </w:p>
        </w:tc>
        <w:tc>
          <w:tcPr>
            <w:tcW w:w="8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r>
      <w:tr>
        <w:trPr>
          <w:trHeight w:val="293"/>
        </w:trPr>
        <w:tc>
          <w:tcPr>
            <w:tcW w:w="750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Letters of credit</w:t>
            </w:r>
          </w:p>
        </w:tc>
        <w:tc>
          <w:tcPr>
            <w:tcW w:w="820" w:type="dxa"/>
            <w:vAlign w:val="bottom"/>
            <w:tcBorders>
              <w:bottom w:val="single" w:sz="8" w:color="auto"/>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97"/>
        </w:trPr>
        <w:tc>
          <w:tcPr>
            <w:tcW w:w="7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broker receivable/(payable)</w:t>
            </w:r>
          </w:p>
        </w:tc>
        <w:tc>
          <w:tcPr>
            <w:tcW w:w="8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60" w:type="dxa"/>
            <w:vAlign w:val="bottom"/>
          </w:tcPr>
          <w:p>
            <w:pPr>
              <w:spacing w:after="0"/>
              <w:rPr>
                <w:sz w:val="24"/>
                <w:szCs w:val="24"/>
                <w:color w:val="auto"/>
              </w:rPr>
            </w:pPr>
          </w:p>
        </w:tc>
        <w:tc>
          <w:tcPr>
            <w:tcW w:w="4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-797560</wp:posOffset>
            </wp:positionV>
            <wp:extent cx="1737995" cy="501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33">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-231775</wp:posOffset>
            </wp:positionV>
            <wp:extent cx="1737995" cy="501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34">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-55880</wp:posOffset>
            </wp:positionV>
            <wp:extent cx="1737995" cy="755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35">
                      <a:extLst>
                        <a:ext uri="{28A0092B-C50C-407E-A947-70E740481C1C}"/>
                      </a:extLst>
                    </a:blip>
                    <a:srcRect/>
                    <a:stretch>
                      <a:fillRect/>
                    </a:stretch>
                  </pic:blipFill>
                  <pic:spPr bwMode="auto">
                    <a:xfrm>
                      <a:off x="0" y="0"/>
                      <a:ext cx="1737995" cy="75565"/>
                    </a:xfrm>
                    <a:prstGeom prst="rect">
                      <a:avLst/>
                    </a:prstGeom>
                    <a:noFill/>
                  </pic:spPr>
                </pic:pic>
              </a:graphicData>
            </a:graphic>
          </wp:anchor>
        </w:drawing>
      </w:r>
    </w:p>
    <w:p>
      <w:pPr>
        <w:spacing w:after="0" w:line="225" w:lineRule="exact"/>
        <w:rPr>
          <w:sz w:val="20"/>
          <w:szCs w:val="20"/>
          <w:color w:val="auto"/>
        </w:rPr>
      </w:pPr>
    </w:p>
    <w:p>
      <w:pPr>
        <w:ind w:right="160" w:firstLine="713"/>
        <w:spacing w:after="0" w:line="255" w:lineRule="auto"/>
        <w:rPr>
          <w:sz w:val="20"/>
          <w:szCs w:val="20"/>
          <w:color w:val="auto"/>
        </w:rPr>
      </w:pPr>
      <w:r>
        <w:rPr>
          <w:rFonts w:ascii="Times New Roman" w:cs="Times New Roman" w:eastAsia="Times New Roman" w:hAnsi="Times New Roman"/>
          <w:sz w:val="20"/>
          <w:szCs w:val="20"/>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151"/>
              <w:spacing w:after="0" w:line="179"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91"/>
              <w:spacing w:after="0" w:line="179"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151"/>
              <w:spacing w:after="0" w:line="158"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91"/>
              <w:spacing w:after="0" w:line="158"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6"/>
              </w:rPr>
              <w:t>Effect of</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Presented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6"/>
              </w:rPr>
              <w:t>Effect of</w:t>
            </w:r>
          </w:p>
        </w:tc>
        <w:tc>
          <w:tcPr>
            <w:tcW w:w="60" w:type="dxa"/>
            <w:vAlign w:val="bottom"/>
          </w:tcPr>
          <w:p>
            <w:pPr>
              <w:spacing w:after="0"/>
              <w:rPr>
                <w:sz w:val="13"/>
                <w:szCs w:val="13"/>
                <w:color w:val="auto"/>
              </w:rPr>
            </w:pPr>
          </w:p>
        </w:tc>
        <w:tc>
          <w:tcPr>
            <w:tcW w:w="9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Presented</w:t>
            </w: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1860" w:type="dxa"/>
            <w:vAlign w:val="bottom"/>
            <w:gridSpan w:val="6"/>
            <w:vMerge w:val="restart"/>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Commodity Derivatives</w:t>
            </w:r>
          </w:p>
        </w:tc>
        <w:tc>
          <w:tcPr>
            <w:tcW w:w="6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131"/>
              <w:spacing w:after="0" w:line="158" w:lineRule="exact"/>
              <w:rPr>
                <w:sz w:val="20"/>
                <w:szCs w:val="20"/>
                <w:color w:val="auto"/>
              </w:rPr>
            </w:pPr>
            <w:r>
              <w:rPr>
                <w:rFonts w:ascii="Times New Roman" w:cs="Times New Roman" w:eastAsia="Times New Roman" w:hAnsi="Times New Roman"/>
                <w:sz w:val="16"/>
                <w:szCs w:val="16"/>
                <w:b w:val="1"/>
                <w:bCs w:val="1"/>
                <w:color w:val="auto"/>
                <w:w w:val="99"/>
              </w:rPr>
              <w:t>on the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5"/>
            <w:vMerge w:val="restart"/>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Commodity Derivatives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71"/>
              <w:spacing w:after="0" w:line="158" w:lineRule="exact"/>
              <w:rPr>
                <w:sz w:val="20"/>
                <w:szCs w:val="20"/>
                <w:color w:val="auto"/>
              </w:rPr>
            </w:pPr>
            <w:r>
              <w:rPr>
                <w:rFonts w:ascii="Times New Roman" w:cs="Times New Roman" w:eastAsia="Times New Roman" w:hAnsi="Times New Roman"/>
                <w:sz w:val="16"/>
                <w:szCs w:val="16"/>
                <w:b w:val="1"/>
                <w:bCs w:val="1"/>
                <w:color w:val="auto"/>
                <w:w w:val="99"/>
              </w:rPr>
              <w:t>on the</w:t>
            </w:r>
          </w:p>
        </w:tc>
        <w:tc>
          <w:tcPr>
            <w:tcW w:w="0" w:type="dxa"/>
            <w:vAlign w:val="bottom"/>
          </w:tcPr>
          <w:p>
            <w:pPr>
              <w:spacing w:after="0"/>
              <w:rPr>
                <w:sz w:val="1"/>
                <w:szCs w:val="1"/>
                <w:color w:val="auto"/>
              </w:rPr>
            </w:pPr>
          </w:p>
        </w:tc>
      </w:tr>
      <w:tr>
        <w:trPr>
          <w:trHeight w:val="118"/>
        </w:trPr>
        <w:tc>
          <w:tcPr>
            <w:tcW w:w="2440" w:type="dxa"/>
            <w:vAlign w:val="bottom"/>
          </w:tcPr>
          <w:p>
            <w:pPr>
              <w:spacing w:after="0"/>
              <w:rPr>
                <w:sz w:val="10"/>
                <w:szCs w:val="10"/>
                <w:color w:val="auto"/>
              </w:rPr>
            </w:pPr>
          </w:p>
        </w:tc>
        <w:tc>
          <w:tcPr>
            <w:tcW w:w="1860" w:type="dxa"/>
            <w:vAlign w:val="bottom"/>
            <w:tcBorders>
              <w:bottom w:val="single" w:sz="8" w:color="auto"/>
            </w:tcBorders>
            <w:gridSpan w:val="6"/>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920" w:type="dxa"/>
            <w:vAlign w:val="bottom"/>
            <w:gridSpan w:val="2"/>
            <w:vMerge w:val="restart"/>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Collateral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center"/>
              <w:ind w:right="131"/>
              <w:spacing w:after="0" w:line="158"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restart"/>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Collateral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center"/>
              <w:ind w:right="71"/>
              <w:spacing w:after="0" w:line="158"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restart"/>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restart"/>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line="20" w:lineRule="exact"/>
              <w:rPr>
                <w:sz w:val="1"/>
                <w:szCs w:val="1"/>
                <w:color w:val="auto"/>
              </w:rPr>
            </w:pPr>
          </w:p>
        </w:tc>
        <w:tc>
          <w:tcPr>
            <w:tcW w:w="90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6"/>
              </w:rPr>
              <w:t>Sheet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Sheet</w:t>
            </w:r>
          </w:p>
        </w:tc>
        <w:tc>
          <w:tcPr>
            <w:tcW w:w="0" w:type="dxa"/>
            <w:vAlign w:val="bottom"/>
          </w:tcPr>
          <w:p>
            <w:pPr>
              <w:spacing w:after="0"/>
              <w:rPr>
                <w:sz w:val="1"/>
                <w:szCs w:val="1"/>
                <w:color w:val="auto"/>
              </w:rPr>
            </w:pPr>
          </w:p>
        </w:tc>
      </w:tr>
      <w:tr>
        <w:trPr>
          <w:trHeight w:val="272"/>
        </w:trPr>
        <w:tc>
          <w:tcPr>
            <w:tcW w:w="2440" w:type="dxa"/>
            <w:vAlign w:val="bottom"/>
            <w:tcBorders>
              <w:top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Derivative Assets</w:t>
            </w:r>
          </w:p>
        </w:tc>
        <w:tc>
          <w:tcPr>
            <w:tcW w:w="200" w:type="dxa"/>
            <w:vAlign w:val="bottom"/>
            <w:tcBorders>
              <w:top w:val="single" w:sz="8" w:color="auto"/>
            </w:tcBorders>
            <w:shd w:val="clear" w:color="auto" w:fill="E6E6E6"/>
          </w:tcPr>
          <w:p>
            <w:pPr>
              <w:spacing w:after="0"/>
              <w:rPr>
                <w:sz w:val="23"/>
                <w:szCs w:val="23"/>
                <w:color w:val="auto"/>
              </w:rPr>
            </w:pPr>
          </w:p>
        </w:tc>
        <w:tc>
          <w:tcPr>
            <w:tcW w:w="7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68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60" w:type="dxa"/>
            <w:vAlign w:val="bottom"/>
            <w:tcBorders>
              <w:top w:val="single" w:sz="8" w:color="auto"/>
            </w:tcBorders>
            <w:shd w:val="clear" w:color="auto" w:fill="E6E6E6"/>
          </w:tcPr>
          <w:p>
            <w:pPr>
              <w:spacing w:after="0"/>
              <w:rPr>
                <w:sz w:val="23"/>
                <w:szCs w:val="23"/>
                <w:color w:val="auto"/>
              </w:rPr>
            </w:pPr>
          </w:p>
        </w:tc>
        <w:tc>
          <w:tcPr>
            <w:tcW w:w="76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140" w:type="dxa"/>
            <w:vAlign w:val="bottom"/>
            <w:tcBorders>
              <w:top w:val="single" w:sz="8" w:color="auto"/>
            </w:tcBorders>
            <w:shd w:val="clear" w:color="auto" w:fill="E6E6E6"/>
          </w:tcPr>
          <w:p>
            <w:pPr>
              <w:spacing w:after="0"/>
              <w:rPr>
                <w:sz w:val="23"/>
                <w:szCs w:val="23"/>
                <w:color w:val="auto"/>
              </w:rPr>
            </w:pPr>
          </w:p>
        </w:tc>
        <w:tc>
          <w:tcPr>
            <w:tcW w:w="800" w:type="dxa"/>
            <w:vAlign w:val="bottom"/>
            <w:tcBorders>
              <w:top w:val="single" w:sz="8" w:color="auto"/>
              <w:right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180" w:type="dxa"/>
            <w:vAlign w:val="bottom"/>
            <w:tcBorders>
              <w:top w:val="single" w:sz="8" w:color="auto"/>
            </w:tcBorders>
            <w:shd w:val="clear" w:color="auto" w:fill="E6E6E6"/>
          </w:tcPr>
          <w:p>
            <w:pPr>
              <w:spacing w:after="0"/>
              <w:rPr>
                <w:sz w:val="23"/>
                <w:szCs w:val="23"/>
                <w:color w:val="auto"/>
              </w:rPr>
            </w:pPr>
          </w:p>
        </w:tc>
        <w:tc>
          <w:tcPr>
            <w:tcW w:w="7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20" w:type="dxa"/>
            <w:vAlign w:val="bottom"/>
            <w:tcBorders>
              <w:top w:val="single" w:sz="8" w:color="auto"/>
            </w:tcBorders>
            <w:shd w:val="clear" w:color="auto" w:fill="E6E6E6"/>
          </w:tcPr>
          <w:p>
            <w:pPr>
              <w:spacing w:after="0"/>
              <w:rPr>
                <w:sz w:val="23"/>
                <w:szCs w:val="23"/>
                <w:color w:val="auto"/>
              </w:rPr>
            </w:pPr>
          </w:p>
        </w:tc>
        <w:tc>
          <w:tcPr>
            <w:tcW w:w="68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60" w:type="dxa"/>
            <w:vAlign w:val="bottom"/>
            <w:tcBorders>
              <w:top w:val="single" w:sz="8" w:color="auto"/>
            </w:tcBorders>
            <w:shd w:val="clear" w:color="auto" w:fill="E6E6E6"/>
          </w:tcPr>
          <w:p>
            <w:pPr>
              <w:spacing w:after="0"/>
              <w:rPr>
                <w:sz w:val="23"/>
                <w:szCs w:val="23"/>
                <w:color w:val="auto"/>
              </w:rPr>
            </w:pPr>
          </w:p>
        </w:tc>
        <w:tc>
          <w:tcPr>
            <w:tcW w:w="76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60" w:type="dxa"/>
            <w:vAlign w:val="bottom"/>
            <w:tcBorders>
              <w:top w:val="single" w:sz="8" w:color="auto"/>
            </w:tcBorders>
            <w:shd w:val="clear" w:color="auto" w:fill="E6E6E6"/>
          </w:tcPr>
          <w:p>
            <w:pPr>
              <w:spacing w:after="0"/>
              <w:rPr>
                <w:sz w:val="23"/>
                <w:szCs w:val="23"/>
                <w:color w:val="auto"/>
              </w:rPr>
            </w:pPr>
          </w:p>
        </w:tc>
        <w:tc>
          <w:tcPr>
            <w:tcW w:w="74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20"/>
                <w:szCs w:val="20"/>
                <w:color w:val="auto"/>
              </w:rPr>
              <w:t>61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87"/>
        </w:trPr>
        <w:tc>
          <w:tcPr>
            <w:tcW w:w="24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 long-term assets, net</w:t>
            </w:r>
          </w:p>
        </w:tc>
        <w:tc>
          <w:tcPr>
            <w:tcW w:w="20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00" w:type="dxa"/>
            <w:vAlign w:val="bottom"/>
            <w:tcBorders>
              <w:right w:val="single" w:sz="8" w:color="auto"/>
            </w:tcBorders>
            <w:shd w:val="clear" w:color="auto" w:fill="E6E6E6"/>
          </w:tcPr>
          <w:p>
            <w:pPr>
              <w:jc w:val="right"/>
              <w:ind w:right="51"/>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76"/>
        </w:trPr>
        <w:tc>
          <w:tcPr>
            <w:tcW w:w="24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Derivative Liabilities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4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0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00" w:type="dxa"/>
            <w:vAlign w:val="bottom"/>
            <w:tcBorders>
              <w:right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191"/>
        </w:trPr>
        <w:tc>
          <w:tcPr>
            <w:tcW w:w="2440" w:type="dxa"/>
            <w:vAlign w:val="bottom"/>
          </w:tcPr>
          <w:p>
            <w:pPr>
              <w:ind w:left="60"/>
              <w:spacing w:after="0" w:line="191" w:lineRule="exact"/>
              <w:rPr>
                <w:sz w:val="20"/>
                <w:szCs w:val="20"/>
                <w:color w:val="auto"/>
              </w:rPr>
            </w:pPr>
            <w:r>
              <w:rPr>
                <w:rFonts w:ascii="Times New Roman" w:cs="Times New Roman" w:eastAsia="Times New Roman" w:hAnsi="Times New Roman"/>
                <w:sz w:val="20"/>
                <w:szCs w:val="20"/>
                <w:color w:val="auto"/>
              </w:rPr>
              <w:t>Other long-term liabilities</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39"/>
        </w:trPr>
        <w:tc>
          <w:tcPr>
            <w:tcW w:w="244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and deferred credits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44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311</w:t>
            </w:r>
          </w:p>
        </w:tc>
        <w:tc>
          <w:tcPr>
            <w:tcW w:w="80" w:type="dxa"/>
            <w:vAlign w:val="bottom"/>
            <w:tcBorders>
              <w:bottom w:val="single" w:sz="8" w:color="E6E6E6"/>
            </w:tcBorders>
            <w:gridSpan w:val="2"/>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80" w:type="dxa"/>
            <w:vAlign w:val="bottom"/>
            <w:tcBorders>
              <w:bottom w:val="single" w:sz="8" w:color="E6E6E6"/>
            </w:tcBorders>
            <w:gridSpan w:val="2"/>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bottom w:val="single" w:sz="8" w:color="auto"/>
              <w:right w:val="single" w:sz="8" w:color="auto"/>
            </w:tcBorders>
            <w:shd w:val="clear" w:color="auto" w:fill="E6E6E6"/>
          </w:tcPr>
          <w:p>
            <w:pPr>
              <w:jc w:val="right"/>
              <w:ind w:right="51"/>
              <w:spacing w:after="0"/>
              <w:rPr>
                <w:sz w:val="20"/>
                <w:szCs w:val="20"/>
                <w:color w:val="auto"/>
              </w:rPr>
            </w:pPr>
            <w:r>
              <w:rPr>
                <w:rFonts w:ascii="Times New Roman" w:cs="Times New Roman" w:eastAsia="Times New Roman" w:hAnsi="Times New Roman"/>
                <w:sz w:val="20"/>
                <w:szCs w:val="20"/>
                <w:color w:val="auto"/>
              </w:rPr>
              <w:t>54</w:t>
            </w:r>
          </w:p>
        </w:tc>
        <w:tc>
          <w:tcPr>
            <w:tcW w:w="80" w:type="dxa"/>
            <w:vAlign w:val="bottom"/>
            <w:tcBorders>
              <w:bottom w:val="single" w:sz="8" w:color="E6E6E6"/>
            </w:tcBorders>
            <w:gridSpan w:val="2"/>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-1410970</wp:posOffset>
            </wp:positionV>
            <wp:extent cx="4953635" cy="14300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36">
                      <a:extLst>
                        <a:ext uri="{28A0092B-C50C-407E-A947-70E740481C1C}"/>
                      </a:extLst>
                    </a:blip>
                    <a:srcRect/>
                    <a:stretch>
                      <a:fillRect/>
                    </a:stretch>
                  </pic:blipFill>
                  <pic:spPr bwMode="auto">
                    <a:xfrm>
                      <a:off x="0" y="0"/>
                      <a:ext cx="4953635" cy="143002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 Hedging</w:t>
      </w:r>
    </w:p>
    <w:p>
      <w:pPr>
        <w:spacing w:after="0" w:line="253" w:lineRule="exact"/>
        <w:rPr>
          <w:sz w:val="20"/>
          <w:szCs w:val="20"/>
          <w:color w:val="auto"/>
        </w:rPr>
      </w:pPr>
    </w:p>
    <w:p>
      <w:pPr>
        <w:ind w:right="180" w:firstLine="713"/>
        <w:spacing w:after="0" w:line="258" w:lineRule="auto"/>
        <w:rPr>
          <w:sz w:val="20"/>
          <w:szCs w:val="20"/>
          <w:color w:val="auto"/>
        </w:rPr>
      </w:pPr>
      <w:r>
        <w:rPr>
          <w:rFonts w:ascii="Times New Roman" w:cs="Times New Roman" w:eastAsia="Times New Roman" w:hAnsi="Times New Roman"/>
          <w:sz w:val="20"/>
          <w:szCs w:val="20"/>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F-42</w:t>
      </w:r>
    </w:p>
    <w:p>
      <w:pPr>
        <w:sectPr>
          <w:pgSz w:w="11880" w:h="15480" w:orient="portrait"/>
          <w:cols w:equalWidth="0" w:num="1">
            <w:col w:w="10160"/>
          </w:cols>
          <w:pgMar w:left="860" w:top="435" w:right="860" w:bottom="0" w:gutter="0" w:footer="0" w:header="0"/>
          <w:type w:val="continuous"/>
        </w:sectPr>
      </w:pPr>
    </w:p>
    <w:bookmarkStart w:id="146" w:name="page147"/>
    <w:bookmarkEnd w:id="146"/>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68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terms of our outstanding interest rate derivatives as of December 31, 2022 (notional amounts in millions):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Hedged Transaction</w:t>
            </w:r>
          </w:p>
        </w:tc>
        <w:tc>
          <w:tcPr>
            <w:tcW w:w="6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and Types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Expected</w:t>
            </w:r>
          </w:p>
        </w:tc>
        <w:tc>
          <w:tcPr>
            <w:tcW w:w="80" w:type="dxa"/>
            <w:vAlign w:val="bottom"/>
          </w:tcPr>
          <w:p>
            <w:pPr>
              <w:spacing w:after="0"/>
              <w:rPr>
                <w:sz w:val="16"/>
                <w:szCs w:val="16"/>
                <w:color w:val="auto"/>
              </w:rPr>
            </w:pP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Accounting</w:t>
            </w:r>
          </w:p>
        </w:tc>
        <w:tc>
          <w:tcPr>
            <w:tcW w:w="0" w:type="dxa"/>
            <w:vAlign w:val="bottom"/>
          </w:tcPr>
          <w:p>
            <w:pPr>
              <w:spacing w:after="0"/>
              <w:rPr>
                <w:sz w:val="1"/>
                <w:szCs w:val="1"/>
                <w:color w:val="auto"/>
              </w:rPr>
            </w:pPr>
          </w:p>
        </w:tc>
      </w:tr>
      <w:tr>
        <w:trPr>
          <w:trHeight w:val="212"/>
        </w:trPr>
        <w:tc>
          <w:tcPr>
            <w:tcW w:w="2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Derivatives Employed</w:t>
            </w:r>
          </w:p>
        </w:tc>
        <w:tc>
          <w:tcPr>
            <w:tcW w:w="8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E6E6E6"/>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Termination Date</w:t>
            </w:r>
          </w:p>
        </w:tc>
        <w:tc>
          <w:tcPr>
            <w:tcW w:w="80" w:type="dxa"/>
            <w:vAlign w:val="bottom"/>
            <w:tcBorders>
              <w:bottom w:val="single" w:sz="8" w:color="E6E6E6"/>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Rate Locked</w:t>
            </w:r>
          </w:p>
        </w:tc>
        <w:tc>
          <w:tcPr>
            <w:tcW w:w="60" w:type="dxa"/>
            <w:vAlign w:val="bottom"/>
            <w:tcBorders>
              <w:bottom w:val="single" w:sz="8" w:color="E6E6E6"/>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Treatment</w:t>
            </w:r>
          </w:p>
        </w:tc>
        <w:tc>
          <w:tcPr>
            <w:tcW w:w="0" w:type="dxa"/>
            <w:vAlign w:val="bottom"/>
          </w:tcPr>
          <w:p>
            <w:pPr>
              <w:spacing w:after="0"/>
              <w:rPr>
                <w:sz w:val="1"/>
                <w:szCs w:val="1"/>
                <w:color w:val="auto"/>
              </w:rPr>
            </w:pPr>
          </w:p>
        </w:tc>
      </w:tr>
      <w:tr>
        <w:trPr>
          <w:trHeight w:val="210"/>
        </w:trPr>
        <w:tc>
          <w:tcPr>
            <w:tcW w:w="2820" w:type="dxa"/>
            <w:vAlign w:val="bottom"/>
            <w:shd w:val="clear" w:color="auto" w:fill="E6E6E6"/>
          </w:tcPr>
          <w:p>
            <w:pPr>
              <w:ind w:left="60"/>
              <w:spacing w:after="0" w:line="210" w:lineRule="exact"/>
              <w:rPr>
                <w:sz w:val="20"/>
                <w:szCs w:val="20"/>
                <w:color w:val="auto"/>
              </w:rPr>
            </w:pPr>
            <w:r>
              <w:rPr>
                <w:rFonts w:ascii="Times New Roman" w:cs="Times New Roman" w:eastAsia="Times New Roman" w:hAnsi="Times New Roman"/>
                <w:sz w:val="20"/>
                <w:szCs w:val="20"/>
                <w:color w:val="auto"/>
              </w:rPr>
              <w:t>Anticipated interest payments</w:t>
            </w:r>
          </w:p>
        </w:tc>
        <w:tc>
          <w:tcPr>
            <w:tcW w:w="60" w:type="dxa"/>
            <w:vAlign w:val="bottom"/>
            <w:shd w:val="clear" w:color="auto" w:fill="E6E6E6"/>
          </w:tcPr>
          <w:p>
            <w:pPr>
              <w:spacing w:after="0"/>
              <w:rPr>
                <w:sz w:val="18"/>
                <w:szCs w:val="18"/>
                <w:color w:val="auto"/>
              </w:rPr>
            </w:pPr>
          </w:p>
        </w:tc>
        <w:tc>
          <w:tcPr>
            <w:tcW w:w="2140" w:type="dxa"/>
            <w:vAlign w:val="bottom"/>
            <w:shd w:val="clear" w:color="auto" w:fill="E6E6E6"/>
          </w:tcPr>
          <w:p>
            <w:pPr>
              <w:jc w:val="center"/>
              <w:spacing w:after="0" w:line="210" w:lineRule="exact"/>
              <w:rPr>
                <w:sz w:val="20"/>
                <w:szCs w:val="20"/>
                <w:color w:val="auto"/>
              </w:rPr>
            </w:pPr>
            <w:r>
              <w:rPr>
                <w:rFonts w:ascii="Times New Roman" w:cs="Times New Roman" w:eastAsia="Times New Roman" w:hAnsi="Times New Roman"/>
                <w:sz w:val="20"/>
                <w:szCs w:val="20"/>
                <w:color w:val="auto"/>
                <w:w w:val="98"/>
              </w:rPr>
              <w:t>8 forward starting swaps</w:t>
            </w:r>
          </w:p>
        </w:tc>
        <w:tc>
          <w:tcPr>
            <w:tcW w:w="260" w:type="dxa"/>
            <w:vAlign w:val="bottom"/>
            <w:gridSpan w:val="2"/>
            <w:shd w:val="clear" w:color="auto" w:fill="E6E6E6"/>
          </w:tcPr>
          <w:p>
            <w:pPr>
              <w:jc w:val="right"/>
              <w:ind w:right="40"/>
              <w:spacing w:after="0" w:line="210"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line="210" w:lineRule="exact"/>
              <w:rPr>
                <w:sz w:val="20"/>
                <w:szCs w:val="20"/>
                <w:color w:val="auto"/>
              </w:rPr>
            </w:pPr>
            <w:r>
              <w:rPr>
                <w:rFonts w:ascii="Times New Roman" w:cs="Times New Roman" w:eastAsia="Times New Roman" w:hAnsi="Times New Roman"/>
                <w:sz w:val="20"/>
                <w:szCs w:val="20"/>
                <w:color w:val="auto"/>
              </w:rPr>
              <w:t>200</w:t>
            </w:r>
          </w:p>
        </w:tc>
        <w:tc>
          <w:tcPr>
            <w:tcW w:w="1400" w:type="dxa"/>
            <w:vAlign w:val="bottom"/>
            <w:gridSpan w:val="2"/>
            <w:shd w:val="clear" w:color="auto" w:fill="E6E6E6"/>
          </w:tcPr>
          <w:p>
            <w:pPr>
              <w:jc w:val="center"/>
              <w:spacing w:after="0" w:line="210" w:lineRule="exact"/>
              <w:rPr>
                <w:sz w:val="20"/>
                <w:szCs w:val="20"/>
                <w:color w:val="auto"/>
              </w:rPr>
            </w:pPr>
            <w:r>
              <w:rPr>
                <w:rFonts w:ascii="Times New Roman" w:cs="Times New Roman" w:eastAsia="Times New Roman" w:hAnsi="Times New Roman"/>
                <w:sz w:val="20"/>
                <w:szCs w:val="20"/>
                <w:color w:val="auto"/>
                <w:w w:val="98"/>
              </w:rPr>
              <w:t>6/15/2023</w:t>
            </w:r>
          </w:p>
        </w:tc>
        <w:tc>
          <w:tcPr>
            <w:tcW w:w="1080" w:type="dxa"/>
            <w:vAlign w:val="bottom"/>
            <w:gridSpan w:val="2"/>
            <w:shd w:val="clear" w:color="auto" w:fill="E6E6E6"/>
          </w:tcPr>
          <w:p>
            <w:pPr>
              <w:jc w:val="right"/>
              <w:spacing w:after="0" w:line="210" w:lineRule="exact"/>
              <w:rPr>
                <w:sz w:val="20"/>
                <w:szCs w:val="20"/>
                <w:color w:val="auto"/>
              </w:rPr>
            </w:pPr>
            <w:r>
              <w:rPr>
                <w:rFonts w:ascii="Times New Roman" w:cs="Times New Roman" w:eastAsia="Times New Roman" w:hAnsi="Times New Roman"/>
                <w:sz w:val="20"/>
                <w:szCs w:val="20"/>
                <w:color w:val="auto"/>
              </w:rPr>
              <w:t>1.38 %</w:t>
            </w:r>
          </w:p>
        </w:tc>
        <w:tc>
          <w:tcPr>
            <w:tcW w:w="60" w:type="dxa"/>
            <w:vAlign w:val="bottom"/>
            <w:shd w:val="clear" w:color="auto" w:fill="E6E6E6"/>
          </w:tcPr>
          <w:p>
            <w:pPr>
              <w:spacing w:after="0"/>
              <w:rPr>
                <w:sz w:val="18"/>
                <w:szCs w:val="18"/>
                <w:color w:val="auto"/>
              </w:rPr>
            </w:pPr>
          </w:p>
        </w:tc>
        <w:tc>
          <w:tcPr>
            <w:tcW w:w="1480" w:type="dxa"/>
            <w:vAlign w:val="bottom"/>
            <w:shd w:val="clear" w:color="auto" w:fill="E6E6E6"/>
          </w:tcPr>
          <w:p>
            <w:pPr>
              <w:jc w:val="center"/>
              <w:spacing w:after="0" w:line="210" w:lineRule="exact"/>
              <w:rPr>
                <w:sz w:val="20"/>
                <w:szCs w:val="20"/>
                <w:color w:val="auto"/>
              </w:rPr>
            </w:pPr>
            <w:r>
              <w:rPr>
                <w:rFonts w:ascii="Times New Roman" w:cs="Times New Roman" w:eastAsia="Times New Roman" w:hAnsi="Times New Roman"/>
                <w:sz w:val="20"/>
                <w:szCs w:val="20"/>
                <w:color w:val="auto"/>
                <w:w w:val="98"/>
              </w:rPr>
              <w:t>Cash flow hedge</w:t>
            </w:r>
          </w:p>
        </w:tc>
        <w:tc>
          <w:tcPr>
            <w:tcW w:w="0" w:type="dxa"/>
            <w:vAlign w:val="bottom"/>
          </w:tcPr>
          <w:p>
            <w:pPr>
              <w:spacing w:after="0"/>
              <w:rPr>
                <w:sz w:val="1"/>
                <w:szCs w:val="1"/>
                <w:color w:val="auto"/>
              </w:rPr>
            </w:pPr>
          </w:p>
        </w:tc>
      </w:tr>
      <w:tr>
        <w:trPr>
          <w:trHeight w:val="270"/>
        </w:trPr>
        <w:tc>
          <w:tcPr>
            <w:tcW w:w="28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1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(30-year)</w:t>
            </w:r>
          </w:p>
        </w:tc>
        <w:tc>
          <w:tcPr>
            <w:tcW w:w="8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3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4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Anticipated interest payments</w:t>
            </w:r>
          </w:p>
        </w:tc>
        <w:tc>
          <w:tcPr>
            <w:tcW w:w="60" w:type="dxa"/>
            <w:vAlign w:val="bottom"/>
          </w:tcPr>
          <w:p>
            <w:pPr>
              <w:spacing w:after="0"/>
              <w:rPr>
                <w:sz w:val="19"/>
                <w:szCs w:val="19"/>
                <w:color w:val="auto"/>
              </w:rPr>
            </w:pPr>
          </w:p>
        </w:tc>
        <w:tc>
          <w:tcPr>
            <w:tcW w:w="214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4 forward starting swaps</w:t>
            </w:r>
          </w:p>
        </w:tc>
        <w:tc>
          <w:tcPr>
            <w:tcW w:w="2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140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6/14/2024</w:t>
            </w:r>
          </w:p>
        </w:tc>
        <w:tc>
          <w:tcPr>
            <w:tcW w:w="10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0.74 %</w:t>
            </w:r>
          </w:p>
        </w:tc>
        <w:tc>
          <w:tcPr>
            <w:tcW w:w="60" w:type="dxa"/>
            <w:vAlign w:val="bottom"/>
          </w:tcPr>
          <w:p>
            <w:pPr>
              <w:spacing w:after="0"/>
              <w:rPr>
                <w:sz w:val="19"/>
                <w:szCs w:val="19"/>
                <w:color w:val="auto"/>
              </w:rPr>
            </w:pPr>
          </w:p>
        </w:tc>
        <w:tc>
          <w:tcPr>
            <w:tcW w:w="148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Cash flow hedge</w:t>
            </w:r>
          </w:p>
        </w:tc>
        <w:tc>
          <w:tcPr>
            <w:tcW w:w="0" w:type="dxa"/>
            <w:vAlign w:val="bottom"/>
          </w:tcPr>
          <w:p>
            <w:pPr>
              <w:spacing w:after="0"/>
              <w:rPr>
                <w:sz w:val="1"/>
                <w:szCs w:val="1"/>
                <w:color w:val="auto"/>
              </w:rPr>
            </w:pPr>
          </w:p>
        </w:tc>
      </w:tr>
      <w:tr>
        <w:trPr>
          <w:trHeight w:val="259"/>
        </w:trPr>
        <w:tc>
          <w:tcPr>
            <w:tcW w:w="2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(30-year)</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-640080</wp:posOffset>
            </wp:positionV>
            <wp:extent cx="6459220" cy="501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37">
                      <a:extLst>
                        <a:ext uri="{28A0092B-C50C-407E-A947-70E740481C1C}"/>
                      </a:extLst>
                    </a:blip>
                    <a:srcRect/>
                    <a:stretch>
                      <a:fillRect/>
                    </a:stretch>
                  </pic:blipFill>
                  <pic:spPr bwMode="auto">
                    <a:xfrm>
                      <a:off x="0" y="0"/>
                      <a:ext cx="6459220" cy="50165"/>
                    </a:xfrm>
                    <a:prstGeom prst="rect">
                      <a:avLst/>
                    </a:prstGeom>
                    <a:noFill/>
                  </pic:spPr>
                </pic:pic>
              </a:graphicData>
            </a:graphic>
          </wp:anchor>
        </w:drawing>
      </w:r>
    </w:p>
    <w:p>
      <w:pPr>
        <w:spacing w:after="0" w:line="265" w:lineRule="exact"/>
        <w:rPr>
          <w:sz w:val="20"/>
          <w:szCs w:val="20"/>
          <w:color w:val="auto"/>
        </w:rPr>
      </w:pPr>
    </w:p>
    <w:p>
      <w:pPr>
        <w:ind w:right="40" w:firstLine="713"/>
        <w:spacing w:after="0" w:line="252" w:lineRule="auto"/>
        <w:rPr>
          <w:sz w:val="20"/>
          <w:szCs w:val="20"/>
          <w:color w:val="auto"/>
        </w:rPr>
      </w:pPr>
      <w:r>
        <w:rPr>
          <w:rFonts w:ascii="Times New Roman" w:cs="Times New Roman" w:eastAsia="Times New Roman" w:hAnsi="Times New Roman"/>
          <w:sz w:val="20"/>
          <w:szCs w:val="20"/>
          <w:color w:val="auto"/>
        </w:rPr>
        <w:t>As of December 31, 2022, there was a net loss of $107 million deferred in AOCI. The deferred net loss recorded in AOCI is expected to be reclassified to future earnings contemporaneously with interest expense accruals associated with underlying debt instruments. During the year ended December 31, 2022, we terminated $100 million of notional interest hedging instruments previously expected to terminate in June 2024 for proceeds of $42 million. The early termination did not result in an impact to the relationship between the hedging instrument and hedged item. We estimate that substantially all of the remaining deferred loss will be reclassified to earnings through 2054 as the underlying hedged transactions impact earnings. A portion of these amounts is based on market prices as of December 31, 2022; thus, actual amounts to be reclassified will differ and could vary materially as a result of changes in market conditions.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net unrealized gain/(loss) recognized in AOCI for derivatives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80" w:type="dxa"/>
            <w:vAlign w:val="bottom"/>
            <w:tcBorders>
              <w:bottom w:val="single" w:sz="8" w:color="auto"/>
            </w:tcBorders>
          </w:tcPr>
          <w:p>
            <w:pPr>
              <w:spacing w:after="0"/>
              <w:rPr>
                <w:sz w:val="18"/>
                <w:szCs w:val="18"/>
                <w:color w:val="auto"/>
              </w:rPr>
            </w:pPr>
          </w:p>
        </w:tc>
      </w:tr>
      <w:tr>
        <w:trPr>
          <w:trHeight w:val="232"/>
        </w:trPr>
        <w:tc>
          <w:tcPr>
            <w:tcW w:w="6120" w:type="dxa"/>
            <w:vAlign w:val="bottom"/>
            <w:tcBorders>
              <w:bottom w:val="single" w:sz="8" w:color="E6E6E6"/>
            </w:tcBorders>
          </w:tcPr>
          <w:p>
            <w:pPr>
              <w:spacing w:after="0"/>
              <w:rPr>
                <w:sz w:val="20"/>
                <w:szCs w:val="20"/>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61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Interest rate derivatives, net</w:t>
            </w:r>
          </w:p>
        </w:tc>
        <w:tc>
          <w:tcPr>
            <w:tcW w:w="920" w:type="dxa"/>
            <w:vAlign w:val="bottom"/>
            <w:shd w:val="clear" w:color="auto" w:fill="E6E6E6"/>
          </w:tcPr>
          <w:p>
            <w:pPr>
              <w:jc w:val="right"/>
              <w:ind w:right="67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-213360</wp:posOffset>
            </wp:positionV>
            <wp:extent cx="2606040" cy="501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38">
                      <a:extLst>
                        <a:ext uri="{28A0092B-C50C-407E-A947-70E740481C1C}"/>
                      </a:extLst>
                    </a:blip>
                    <a:srcRect/>
                    <a:stretch>
                      <a:fillRect/>
                    </a:stretch>
                  </pic:blipFill>
                  <pic:spPr bwMode="auto">
                    <a:xfrm>
                      <a:off x="0" y="0"/>
                      <a:ext cx="2606040" cy="50165"/>
                    </a:xfrm>
                    <a:prstGeom prst="rect">
                      <a:avLst/>
                    </a:prstGeom>
                    <a:noFill/>
                  </pic:spPr>
                </pic:pic>
              </a:graphicData>
            </a:graphic>
          </wp:anchor>
        </w:drawing>
      </w:r>
    </w:p>
    <w:p>
      <w:pPr>
        <w:spacing w:after="0" w:line="254" w:lineRule="exact"/>
        <w:rPr>
          <w:sz w:val="20"/>
          <w:szCs w:val="20"/>
          <w:color w:val="auto"/>
        </w:rPr>
      </w:pPr>
    </w:p>
    <w:p>
      <w:pPr>
        <w:ind w:right="20" w:firstLine="713"/>
        <w:spacing w:after="0" w:line="263" w:lineRule="auto"/>
        <w:rPr>
          <w:sz w:val="20"/>
          <w:szCs w:val="20"/>
          <w:color w:val="auto"/>
        </w:rPr>
      </w:pPr>
      <w:r>
        <w:rPr>
          <w:rFonts w:ascii="Times New Roman" w:cs="Times New Roman" w:eastAsia="Times New Roman" w:hAnsi="Times New Roman"/>
          <w:sz w:val="20"/>
          <w:szCs w:val="20"/>
          <w:color w:val="auto"/>
        </w:rPr>
        <w:t>At December 31, 2022, the net fair value of our interest rate hedges, which were included in “Other current assets” and “Other long-term assets, net” on our Consolidated Balance Sheet, totaled $75 million and $45 million, respectively. At December 31, 2021, the net fair value of these hedges totaled $65 million and was included in “Other long-term assets, net.”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Distribution Rate Reset Option</w:t>
      </w:r>
    </w:p>
    <w:p>
      <w:pPr>
        <w:spacing w:after="0" w:line="253" w:lineRule="exact"/>
        <w:rPr>
          <w:sz w:val="20"/>
          <w:szCs w:val="20"/>
          <w:color w:val="auto"/>
        </w:rPr>
      </w:pPr>
    </w:p>
    <w:p>
      <w:pPr>
        <w:ind w:right="100" w:firstLine="713"/>
        <w:spacing w:after="0" w:line="250" w:lineRule="auto"/>
        <w:rPr>
          <w:sz w:val="20"/>
          <w:szCs w:val="20"/>
          <w:color w:val="auto"/>
        </w:rPr>
      </w:pPr>
      <w:r>
        <w:rPr>
          <w:rFonts w:ascii="Times New Roman" w:cs="Times New Roman" w:eastAsia="Times New Roman" w:hAnsi="Times New Roman"/>
          <w:sz w:val="20"/>
          <w:szCs w:val="20"/>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Consolidated Balance Sheet. This embedded derivative is not designated in a hedging relationship for accounting purposes and corresponding changes in fair value are recognized in “Other income/(expense), net” in our Consolidated Statement of Operations. For the years ended December 31, 2022, 2021 and 2020 we recognized a net loss of $189 million, a net gain of $14 million and a net gain of $20 million, respectively. The fair value of the Preferred Distribution Rate Reset Option, which was included in “Other long-term liabilities and deferred credits” on our Consolidated Balance Sheets, totaled $189 million and less than $1 million at December 31, 2022 and 2021, respectively. In January 2023, we received notice that the Series A preferred unitholders elected the Preferred Distribution Rate Reset Option, which will be effective for the distribution paid in May 2023. See Note 12 for additional information regarding our Series A preferred units and the Preferred Distribution Rate Reset Option.</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F-43</w:t>
      </w:r>
    </w:p>
    <w:p>
      <w:pPr>
        <w:sectPr>
          <w:pgSz w:w="11880" w:h="15480" w:orient="portrait"/>
          <w:cols w:equalWidth="0" w:num="1">
            <w:col w:w="10160"/>
          </w:cols>
          <w:pgMar w:left="860" w:top="435" w:right="860" w:bottom="0" w:gutter="0" w:footer="0" w:header="0"/>
          <w:type w:val="continuous"/>
        </w:sectPr>
      </w:pPr>
    </w:p>
    <w:bookmarkStart w:id="147" w:name="page148"/>
    <w:bookmarkEnd w:id="147"/>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Recurring Fair Value Measurements</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Derivative Financial Assets and Liabilities</w:t>
      </w:r>
    </w:p>
    <w:p>
      <w:pPr>
        <w:spacing w:after="0" w:line="252" w:lineRule="exact"/>
        <w:rPr>
          <w:sz w:val="20"/>
          <w:szCs w:val="20"/>
          <w:color w:val="auto"/>
        </w:rPr>
      </w:pPr>
    </w:p>
    <w:p>
      <w:pPr>
        <w:ind w:right="52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 sets forth by level within the fair value hierarchy our financial assets and liabilities that were accounted for at fair value on a recurring basis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10"/>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Fair Value as of December 31, 2022</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10"/>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Fair Value as of December 31, 2021</w:t>
            </w:r>
          </w:p>
        </w:tc>
      </w:tr>
      <w:tr>
        <w:trPr>
          <w:trHeight w:val="233"/>
        </w:trPr>
        <w:tc>
          <w:tcPr>
            <w:tcW w:w="3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Recurring Fair Value Measures </w:t>
            </w:r>
            <w:r>
              <w:rPr>
                <w:rFonts w:ascii="Times New Roman" w:cs="Times New Roman" w:eastAsia="Times New Roman" w:hAnsi="Times New Roman"/>
                <w:sz w:val="20"/>
                <w:szCs w:val="20"/>
                <w:b w:val="1"/>
                <w:bCs w:val="1"/>
                <w:color w:val="auto"/>
                <w:vertAlign w:val="superscript"/>
              </w:rPr>
              <w:t>(1)</w:t>
            </w:r>
          </w:p>
        </w:tc>
        <w:tc>
          <w:tcPr>
            <w:tcW w:w="80" w:type="dxa"/>
            <w:vAlign w:val="bottom"/>
            <w:tcBorders>
              <w:bottom w:val="single" w:sz="8" w:color="E6E6E6"/>
            </w:tcBorders>
          </w:tcPr>
          <w:p>
            <w:pPr>
              <w:spacing w:after="0"/>
              <w:rPr>
                <w:sz w:val="20"/>
                <w:szCs w:val="20"/>
                <w:color w:val="auto"/>
              </w:rPr>
            </w:pPr>
          </w:p>
        </w:tc>
        <w:tc>
          <w:tcPr>
            <w:tcW w:w="74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Borders>
              <w:bottom w:val="single" w:sz="8" w:color="E6E6E6"/>
            </w:tcBorders>
          </w:tcPr>
          <w:p>
            <w:pPr>
              <w:spacing w:after="0"/>
              <w:rPr>
                <w:sz w:val="20"/>
                <w:szCs w:val="20"/>
                <w:color w:val="auto"/>
              </w:rPr>
            </w:pPr>
          </w:p>
        </w:tc>
        <w:tc>
          <w:tcPr>
            <w:tcW w:w="74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Borders>
              <w:bottom w:val="single" w:sz="8" w:color="E6E6E6"/>
            </w:tcBorders>
          </w:tcPr>
          <w:p>
            <w:pPr>
              <w:spacing w:after="0"/>
              <w:rPr>
                <w:sz w:val="20"/>
                <w:szCs w:val="20"/>
                <w:color w:val="auto"/>
              </w:rPr>
            </w:pPr>
          </w:p>
        </w:tc>
        <w:tc>
          <w:tcPr>
            <w:tcW w:w="74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60" w:type="dxa"/>
            <w:vAlign w:val="bottom"/>
            <w:tcBorders>
              <w:bottom w:val="single" w:sz="8" w:color="E6E6E6"/>
            </w:tcBorders>
          </w:tcPr>
          <w:p>
            <w:pPr>
              <w:spacing w:after="0"/>
              <w:rPr>
                <w:sz w:val="20"/>
                <w:szCs w:val="20"/>
                <w:color w:val="auto"/>
              </w:rPr>
            </w:pPr>
          </w:p>
        </w:tc>
        <w:tc>
          <w:tcPr>
            <w:tcW w:w="74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Borders>
              <w:bottom w:val="single" w:sz="8" w:color="E6E6E6"/>
            </w:tcBorders>
          </w:tcPr>
          <w:p>
            <w:pPr>
              <w:spacing w:after="0"/>
              <w:rPr>
                <w:sz w:val="20"/>
                <w:szCs w:val="20"/>
                <w:color w:val="auto"/>
              </w:rPr>
            </w:pPr>
          </w:p>
        </w:tc>
        <w:tc>
          <w:tcPr>
            <w:tcW w:w="74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Borders>
              <w:bottom w:val="single" w:sz="8" w:color="E6E6E6"/>
            </w:tcBorders>
          </w:tcPr>
          <w:p>
            <w:pPr>
              <w:spacing w:after="0"/>
              <w:rPr>
                <w:sz w:val="20"/>
                <w:szCs w:val="20"/>
                <w:color w:val="auto"/>
              </w:rPr>
            </w:pPr>
          </w:p>
        </w:tc>
        <w:tc>
          <w:tcPr>
            <w:tcW w:w="74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87"/>
        </w:trPr>
        <w:tc>
          <w:tcPr>
            <w:tcW w:w="374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Commodity derivatives</w:t>
            </w:r>
          </w:p>
        </w:tc>
        <w:tc>
          <w:tcPr>
            <w:tcW w:w="260" w:type="dxa"/>
            <w:vAlign w:val="bottom"/>
            <w:shd w:val="clear" w:color="auto" w:fill="E6E6E6"/>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320" w:type="dxa"/>
            <w:vAlign w:val="bottom"/>
            <w:gridSpan w:val="2"/>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right w:val="single" w:sz="8" w:color="auto"/>
            </w:tcBorders>
            <w:shd w:val="clear" w:color="auto" w:fill="E6E6E6"/>
          </w:tcPr>
          <w:p>
            <w:pPr>
              <w:jc w:val="right"/>
              <w:ind w:right="65"/>
              <w:spacing w:after="0"/>
              <w:rPr>
                <w:sz w:val="20"/>
                <w:szCs w:val="20"/>
                <w:color w:val="auto"/>
              </w:rPr>
            </w:pPr>
            <w:r>
              <w:rPr>
                <w:rFonts w:ascii="Times New Roman" w:cs="Times New Roman" w:eastAsia="Times New Roman" w:hAnsi="Times New Roman"/>
                <w:sz w:val="20"/>
                <w:szCs w:val="20"/>
                <w:color w:val="auto"/>
              </w:rPr>
              <w:t>222</w:t>
            </w:r>
          </w:p>
        </w:tc>
        <w:tc>
          <w:tcPr>
            <w:tcW w:w="320" w:type="dxa"/>
            <w:vAlign w:val="bottom"/>
            <w:gridSpan w:val="2"/>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360" w:type="dxa"/>
            <w:vAlign w:val="bottom"/>
            <w:gridSpan w:val="2"/>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91"/>
        </w:trPr>
        <w:tc>
          <w:tcPr>
            <w:tcW w:w="37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Interest rate derivatives</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right w:val="single" w:sz="8" w:color="auto"/>
            </w:tcBorders>
          </w:tcPr>
          <w:p>
            <w:pPr>
              <w:jc w:val="right"/>
              <w:ind w:right="65"/>
              <w:spacing w:after="0"/>
              <w:rPr>
                <w:sz w:val="20"/>
                <w:szCs w:val="20"/>
                <w:color w:val="auto"/>
              </w:rPr>
            </w:pPr>
            <w:r>
              <w:rPr>
                <w:rFonts w:ascii="Times New Roman" w:cs="Times New Roman" w:eastAsia="Times New Roman" w:hAnsi="Times New Roman"/>
                <w:sz w:val="20"/>
                <w:szCs w:val="20"/>
                <w:color w:val="auto"/>
              </w:rPr>
              <w:t>120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93"/>
        </w:trPr>
        <w:tc>
          <w:tcPr>
            <w:tcW w:w="3740" w:type="dxa"/>
            <w:vAlign w:val="bottom"/>
            <w:tcBorders>
              <w:bottom w:val="single" w:sz="8" w:color="E6E6E6"/>
            </w:tcBorders>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Preferred Distribution Rate Reset Option</w:t>
            </w:r>
          </w:p>
        </w:tc>
        <w:tc>
          <w:tcPr>
            <w:tcW w:w="260" w:type="dxa"/>
            <w:vAlign w:val="bottom"/>
            <w:tcBorders>
              <w:bottom w:val="single" w:sz="8" w:color="auto"/>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640" w:type="dxa"/>
            <w:vAlign w:val="bottom"/>
            <w:tcBorders>
              <w:bottom w:val="single" w:sz="8" w:color="auto"/>
              <w:right w:val="single" w:sz="8" w:color="auto"/>
            </w:tcBorders>
            <w:shd w:val="clear" w:color="auto" w:fill="E6E6E6"/>
          </w:tcPr>
          <w:p>
            <w:pPr>
              <w:jc w:val="right"/>
              <w:ind w:right="5"/>
              <w:spacing w:after="0"/>
              <w:rPr>
                <w:sz w:val="20"/>
                <w:szCs w:val="20"/>
                <w:color w:val="auto"/>
              </w:rPr>
            </w:pPr>
            <w:r>
              <w:rPr>
                <w:rFonts w:ascii="Times New Roman" w:cs="Times New Roman" w:eastAsia="Times New Roman" w:hAnsi="Times New Roman"/>
                <w:sz w:val="20"/>
                <w:szCs w:val="20"/>
                <w:color w:val="auto"/>
              </w:rPr>
              <w:t>(189)</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37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Total net derivative asset/(liability)</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3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right w:val="single" w:sz="8" w:color="auto"/>
            </w:tcBorders>
          </w:tcPr>
          <w:p>
            <w:pPr>
              <w:jc w:val="right"/>
              <w:ind w:right="65"/>
              <w:spacing w:after="0"/>
              <w:rPr>
                <w:sz w:val="20"/>
                <w:szCs w:val="20"/>
                <w:color w:val="auto"/>
              </w:rPr>
            </w:pPr>
            <w:r>
              <w:rPr>
                <w:rFonts w:ascii="Times New Roman" w:cs="Times New Roman" w:eastAsia="Times New Roman" w:hAnsi="Times New Roman"/>
                <w:sz w:val="20"/>
                <w:szCs w:val="20"/>
                <w:color w:val="auto"/>
              </w:rPr>
              <w:t>153</w:t>
            </w:r>
          </w:p>
        </w:tc>
        <w:tc>
          <w:tcPr>
            <w:tcW w:w="3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36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134"/>
        </w:trPr>
        <w:tc>
          <w:tcPr>
            <w:tcW w:w="3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-895350</wp:posOffset>
            </wp:positionV>
            <wp:extent cx="6500495" cy="8172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39">
                      <a:extLst>
                        <a:ext uri="{28A0092B-C50C-407E-A947-70E740481C1C}"/>
                      </a:extLst>
                    </a:blip>
                    <a:srcRect/>
                    <a:stretch>
                      <a:fillRect/>
                    </a:stretch>
                  </pic:blipFill>
                  <pic:spPr bwMode="auto">
                    <a:xfrm>
                      <a:off x="0" y="0"/>
                      <a:ext cx="6500495" cy="817245"/>
                    </a:xfrm>
                    <a:prstGeom prst="rect">
                      <a:avLst/>
                    </a:prstGeom>
                    <a:noFill/>
                  </pic:spPr>
                </pic:pic>
              </a:graphicData>
            </a:graphic>
          </wp:anchor>
        </w:drawing>
      </w:r>
    </w:p>
    <w:p>
      <w:pPr>
        <w:spacing w:after="0" w:line="86" w:lineRule="exact"/>
        <w:rPr>
          <w:sz w:val="20"/>
          <w:szCs w:val="20"/>
          <w:color w:val="auto"/>
        </w:rPr>
      </w:pPr>
    </w:p>
    <w:p>
      <w:pPr>
        <w:ind w:left="720" w:hanging="719"/>
        <w:spacing w:after="0"/>
        <w:tabs>
          <w:tab w:leader="none" w:pos="720" w:val="left"/>
        </w:tabs>
        <w:numPr>
          <w:ilvl w:val="0"/>
          <w:numId w:val="9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Derivative assets and liabilities are presented above on a net basis but do not include related cash margin deposits.</w:t>
      </w:r>
    </w:p>
    <w:p>
      <w:pPr>
        <w:spacing w:after="0" w:line="207" w:lineRule="exact"/>
        <w:rPr>
          <w:rFonts w:ascii="Times New Roman" w:cs="Times New Roman" w:eastAsia="Times New Roman" w:hAnsi="Times New Roman"/>
          <w:sz w:val="26"/>
          <w:szCs w:val="26"/>
          <w:color w:val="auto"/>
          <w:vertAlign w:val="superscript"/>
        </w:rPr>
      </w:pPr>
    </w:p>
    <w:p>
      <w:pPr>
        <w:ind w:left="72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b w:val="1"/>
          <w:bCs w:val="1"/>
          <w:i w:val="1"/>
          <w:iCs w:val="1"/>
          <w:color w:val="auto"/>
        </w:rPr>
        <w:t>Level 1</w:t>
      </w:r>
    </w:p>
    <w:p>
      <w:pPr>
        <w:spacing w:after="0" w:line="253" w:lineRule="exact"/>
        <w:rPr>
          <w:rFonts w:ascii="Times New Roman" w:cs="Times New Roman" w:eastAsia="Times New Roman" w:hAnsi="Times New Roman"/>
          <w:sz w:val="26"/>
          <w:szCs w:val="26"/>
          <w:color w:val="auto"/>
          <w:vertAlign w:val="superscript"/>
        </w:rPr>
      </w:pPr>
    </w:p>
    <w:p>
      <w:pPr>
        <w:ind w:left="720" w:right="160"/>
        <w:spacing w:after="0" w:line="263"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6" w:lineRule="exact"/>
        <w:rPr>
          <w:rFonts w:ascii="Times New Roman" w:cs="Times New Roman" w:eastAsia="Times New Roman" w:hAnsi="Times New Roman"/>
          <w:sz w:val="26"/>
          <w:szCs w:val="26"/>
          <w:color w:val="auto"/>
          <w:vertAlign w:val="superscript"/>
        </w:rPr>
      </w:pPr>
    </w:p>
    <w:p>
      <w:pPr>
        <w:ind w:left="72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b w:val="1"/>
          <w:bCs w:val="1"/>
          <w:i w:val="1"/>
          <w:iCs w:val="1"/>
          <w:color w:val="auto"/>
        </w:rPr>
        <w:t>Level 2</w:t>
      </w:r>
    </w:p>
    <w:p>
      <w:pPr>
        <w:spacing w:after="0" w:line="253" w:lineRule="exact"/>
        <w:rPr>
          <w:rFonts w:ascii="Times New Roman" w:cs="Times New Roman" w:eastAsia="Times New Roman" w:hAnsi="Times New Roman"/>
          <w:sz w:val="26"/>
          <w:szCs w:val="26"/>
          <w:color w:val="auto"/>
          <w:vertAlign w:val="superscript"/>
        </w:rPr>
      </w:pPr>
    </w:p>
    <w:p>
      <w:pPr>
        <w:ind w:left="720" w:right="80"/>
        <w:spacing w:after="0" w:line="258"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90" w:lineRule="exact"/>
        <w:rPr>
          <w:rFonts w:ascii="Times New Roman" w:cs="Times New Roman" w:eastAsia="Times New Roman" w:hAnsi="Times New Roman"/>
          <w:sz w:val="26"/>
          <w:szCs w:val="26"/>
          <w:color w:val="auto"/>
          <w:vertAlign w:val="superscript"/>
        </w:rPr>
      </w:pPr>
    </w:p>
    <w:p>
      <w:pPr>
        <w:ind w:left="72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b w:val="1"/>
          <w:bCs w:val="1"/>
          <w:i w:val="1"/>
          <w:iCs w:val="1"/>
          <w:color w:val="auto"/>
        </w:rPr>
        <w:t>Level 3</w:t>
      </w:r>
    </w:p>
    <w:p>
      <w:pPr>
        <w:spacing w:after="0" w:line="253" w:lineRule="exact"/>
        <w:rPr>
          <w:rFonts w:ascii="Times New Roman" w:cs="Times New Roman" w:eastAsia="Times New Roman" w:hAnsi="Times New Roman"/>
          <w:sz w:val="26"/>
          <w:szCs w:val="26"/>
          <w:color w:val="auto"/>
          <w:vertAlign w:val="superscript"/>
        </w:rPr>
      </w:pPr>
    </w:p>
    <w:p>
      <w:pPr>
        <w:ind w:left="720" w:right="180"/>
        <w:spacing w:after="0" w:line="263"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94" w:lineRule="exact"/>
        <w:rPr>
          <w:rFonts w:ascii="Times New Roman" w:cs="Times New Roman" w:eastAsia="Times New Roman" w:hAnsi="Times New Roman"/>
          <w:sz w:val="26"/>
          <w:szCs w:val="26"/>
          <w:color w:val="auto"/>
          <w:vertAlign w:val="superscript"/>
        </w:rPr>
      </w:pPr>
    </w:p>
    <w:p>
      <w:pPr>
        <w:ind w:left="720" w:right="100"/>
        <w:spacing w:after="0" w:line="272"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9"/>
          <w:szCs w:val="19"/>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Consolidated Statements of Operations as Product sales revenues.</w:t>
      </w:r>
    </w:p>
    <w:p>
      <w:pPr>
        <w:spacing w:after="0" w:line="187" w:lineRule="exact"/>
        <w:rPr>
          <w:rFonts w:ascii="Times New Roman" w:cs="Times New Roman" w:eastAsia="Times New Roman" w:hAnsi="Times New Roman"/>
          <w:sz w:val="26"/>
          <w:szCs w:val="26"/>
          <w:color w:val="auto"/>
          <w:vertAlign w:val="superscript"/>
        </w:rPr>
      </w:pPr>
    </w:p>
    <w:p>
      <w:pPr>
        <w:ind w:left="720"/>
        <w:spacing w:after="0" w:line="253"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fair value of the Preferred Distribution Rate Reset Option of our Series A preferred units contained in our partnership agreement is based on a Monte Carlo valuation model that estimates the fair value of the Series A preferred units with and without the Preferred Distribution Rate Reset Option. This model relies on assumptions for forecasts for the ten-year U.S. Treasury rate, our common unit price, and default probabilities which impact timing estimates as to when the option will be exercised. In general, an increase in ten-year U.S. Treasury rates would increase the fair value of the feature and our liability and expense. The future impact on “Other income/(expense), net” depends on how inputs change in relation to one another.</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F-44</w:t>
      </w:r>
    </w:p>
    <w:p>
      <w:pPr>
        <w:sectPr>
          <w:pgSz w:w="11880" w:h="15480" w:orient="portrait"/>
          <w:cols w:equalWidth="0" w:num="1">
            <w:col w:w="10160"/>
          </w:cols>
          <w:pgMar w:left="860" w:top="435" w:right="860" w:bottom="0" w:gutter="0" w:footer="0" w:header="0"/>
          <w:type w:val="continuous"/>
        </w:sectPr>
      </w:pPr>
    </w:p>
    <w:bookmarkStart w:id="148" w:name="page149"/>
    <w:bookmarkEnd w:id="148"/>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Rollforward of Level 3 Net Asset/(Liability)</w:t>
      </w:r>
    </w:p>
    <w:p>
      <w:pPr>
        <w:spacing w:after="0" w:line="253" w:lineRule="exact"/>
        <w:rPr>
          <w:sz w:val="20"/>
          <w:szCs w:val="20"/>
          <w:color w:val="auto"/>
        </w:rPr>
      </w:pPr>
    </w:p>
    <w:p>
      <w:pPr>
        <w:ind w:right="38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 provides a reconciliation of changes in fair value of the beginning and ending balances for our derivatives classified as Level 3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00" w:type="dxa"/>
            <w:vAlign w:val="bottom"/>
            <w:tcBorders>
              <w:bottom w:val="single" w:sz="8" w:color="E6E6E6"/>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75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Beginning Balance</w:t>
            </w:r>
          </w:p>
        </w:tc>
        <w:tc>
          <w:tcPr>
            <w:tcW w:w="820" w:type="dxa"/>
            <w:vAlign w:val="bottom"/>
            <w:shd w:val="clear" w:color="auto" w:fill="E6E6E6"/>
          </w:tcPr>
          <w:p>
            <w:pPr>
              <w:jc w:val="right"/>
              <w:ind w:right="589"/>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980" w:type="dxa"/>
            <w:vAlign w:val="bottom"/>
            <w:gridSpan w:val="2"/>
            <w:shd w:val="clear" w:color="auto" w:fill="E6E6E6"/>
          </w:tcPr>
          <w:p>
            <w:pPr>
              <w:jc w:val="right"/>
              <w:ind w:right="66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91"/>
        </w:trPr>
        <w:tc>
          <w:tcPr>
            <w:tcW w:w="7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gains/(losses) for the period included in earnings</w:t>
            </w:r>
          </w:p>
        </w:tc>
        <w:tc>
          <w:tcPr>
            <w:tcW w:w="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93"/>
        </w:trPr>
        <w:tc>
          <w:tcPr>
            <w:tcW w:w="7500" w:type="dxa"/>
            <w:vAlign w:val="bottom"/>
            <w:tcBorders>
              <w:bottom w:val="single" w:sz="8" w:color="E6E6E6"/>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Settlements</w:t>
            </w:r>
          </w:p>
        </w:tc>
        <w:tc>
          <w:tcPr>
            <w:tcW w:w="820" w:type="dxa"/>
            <w:vAlign w:val="bottom"/>
            <w:tcBorders>
              <w:bottom w:val="single" w:sz="8" w:color="auto"/>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97"/>
        </w:trPr>
        <w:tc>
          <w:tcPr>
            <w:tcW w:w="7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Ending Balance</w:t>
            </w:r>
          </w:p>
        </w:tc>
        <w:tc>
          <w:tcPr>
            <w:tcW w:w="820" w:type="dxa"/>
            <w:vAlign w:val="bottom"/>
          </w:tcPr>
          <w:p>
            <w:pPr>
              <w:jc w:val="right"/>
              <w:ind w:right="589"/>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980" w:type="dxa"/>
            <w:vAlign w:val="bottom"/>
            <w:gridSpan w:val="2"/>
          </w:tcPr>
          <w:p>
            <w:pPr>
              <w:jc w:val="right"/>
              <w:ind w:right="66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67"/>
        </w:trPr>
        <w:tc>
          <w:tcPr>
            <w:tcW w:w="7500" w:type="dxa"/>
            <w:vAlign w:val="bottom"/>
            <w:tcBorders>
              <w:top w:val="single" w:sz="8" w:color="E6E6E6"/>
            </w:tcBorders>
            <w:shd w:val="clear" w:color="auto" w:fill="E6E6E6"/>
          </w:tcPr>
          <w:p>
            <w:pPr>
              <w:spacing w:after="0"/>
              <w:rPr>
                <w:sz w:val="23"/>
                <w:szCs w:val="23"/>
                <w:color w:val="auto"/>
              </w:rPr>
            </w:pPr>
          </w:p>
        </w:tc>
        <w:tc>
          <w:tcPr>
            <w:tcW w:w="820" w:type="dxa"/>
            <w:vAlign w:val="bottom"/>
            <w:tcBorders>
              <w:top w:val="single" w:sz="8" w:color="auto"/>
            </w:tcBorders>
            <w:shd w:val="clear" w:color="auto" w:fill="E6E6E6"/>
          </w:tcPr>
          <w:p>
            <w:pPr>
              <w:spacing w:after="0"/>
              <w:rPr>
                <w:sz w:val="23"/>
                <w:szCs w:val="23"/>
                <w:color w:val="auto"/>
              </w:rPr>
            </w:pPr>
          </w:p>
        </w:tc>
        <w:tc>
          <w:tcPr>
            <w:tcW w:w="46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900" w:type="dxa"/>
            <w:vAlign w:val="bottom"/>
            <w:tcBorders>
              <w:top w:val="single" w:sz="8" w:color="auto"/>
            </w:tcBorders>
            <w:shd w:val="clear" w:color="auto" w:fill="E6E6E6"/>
          </w:tcPr>
          <w:p>
            <w:pPr>
              <w:spacing w:after="0"/>
              <w:rPr>
                <w:sz w:val="23"/>
                <w:szCs w:val="23"/>
                <w:color w:val="auto"/>
              </w:rPr>
            </w:pPr>
          </w:p>
        </w:tc>
        <w:tc>
          <w:tcPr>
            <w:tcW w:w="40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750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Change in unrealized gains/(losses) included in earnings relating to Level 3 derivatives still</w:t>
            </w:r>
          </w:p>
        </w:tc>
        <w:tc>
          <w:tcPr>
            <w:tcW w:w="820" w:type="dxa"/>
            <w:vAlign w:val="bottom"/>
            <w:vMerge w:val="restart"/>
          </w:tcPr>
          <w:p>
            <w:pPr>
              <w:jc w:val="right"/>
              <w:ind w:right="589"/>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980" w:type="dxa"/>
            <w:vAlign w:val="bottom"/>
            <w:gridSpan w:val="2"/>
            <w:vMerge w:val="restart"/>
          </w:tcPr>
          <w:p>
            <w:pPr>
              <w:jc w:val="right"/>
              <w:ind w:right="66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59"/>
        </w:trPr>
        <w:tc>
          <w:tcPr>
            <w:tcW w:w="7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held at the end of the period</w:t>
            </w:r>
          </w:p>
        </w:tc>
        <w:tc>
          <w:tcPr>
            <w:tcW w:w="82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-1271905</wp:posOffset>
            </wp:positionV>
            <wp:extent cx="1737995" cy="501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40">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-706120</wp:posOffset>
            </wp:positionV>
            <wp:extent cx="1737995" cy="501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41">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-530225</wp:posOffset>
            </wp:positionV>
            <wp:extent cx="1737995" cy="755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42">
                      <a:extLst>
                        <a:ext uri="{28A0092B-C50C-407E-A947-70E740481C1C}"/>
                      </a:extLst>
                    </a:blip>
                    <a:srcRect/>
                    <a:stretch>
                      <a:fillRect/>
                    </a:stretch>
                  </pic:blipFill>
                  <pic:spPr bwMode="auto">
                    <a:xfrm>
                      <a:off x="0" y="0"/>
                      <a:ext cx="1737995" cy="7556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14—Leases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Lessee</w:t>
      </w:r>
    </w:p>
    <w:p>
      <w:pPr>
        <w:spacing w:after="0" w:line="16" w:lineRule="exact"/>
        <w:rPr>
          <w:sz w:val="20"/>
          <w:szCs w:val="20"/>
          <w:color w:val="auto"/>
        </w:rPr>
      </w:pPr>
    </w:p>
    <w:p>
      <w:pPr>
        <w:ind w:right="40" w:firstLine="713"/>
        <w:spacing w:after="0" w:line="234" w:lineRule="auto"/>
        <w:rPr>
          <w:sz w:val="20"/>
          <w:szCs w:val="20"/>
          <w:color w:val="auto"/>
        </w:rPr>
      </w:pPr>
      <w:r>
        <w:rPr>
          <w:rFonts w:ascii="Times New Roman" w:cs="Times New Roman" w:eastAsia="Times New Roman" w:hAnsi="Times New Roman"/>
          <w:sz w:val="20"/>
          <w:szCs w:val="20"/>
          <w:color w:val="auto"/>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railcars, office space, land, vehicles, and storage tanks, and our finance leases primarily relate to tractor trailers, land,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58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203" w:lineRule="exact"/>
        <w:rPr>
          <w:sz w:val="20"/>
          <w:szCs w:val="20"/>
          <w:color w:val="auto"/>
        </w:rPr>
      </w:pPr>
    </w:p>
    <w:p>
      <w:pPr>
        <w:ind w:right="40" w:firstLine="713"/>
        <w:spacing w:after="0" w:line="258" w:lineRule="auto"/>
        <w:rPr>
          <w:sz w:val="20"/>
          <w:szCs w:val="20"/>
          <w:color w:val="auto"/>
        </w:rPr>
      </w:pPr>
      <w:r>
        <w:rPr>
          <w:rFonts w:ascii="Times New Roman" w:cs="Times New Roman" w:eastAsia="Times New Roman" w:hAnsi="Times New Roman"/>
          <w:sz w:val="20"/>
          <w:szCs w:val="20"/>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99" w:lineRule="exact"/>
        <w:rPr>
          <w:sz w:val="20"/>
          <w:szCs w:val="20"/>
          <w:color w:val="auto"/>
        </w:rPr>
      </w:pPr>
    </w:p>
    <w:p>
      <w:pPr>
        <w:ind w:right="80" w:firstLine="713"/>
        <w:spacing w:after="0" w:line="255" w:lineRule="auto"/>
        <w:rPr>
          <w:sz w:val="20"/>
          <w:szCs w:val="20"/>
          <w:color w:val="auto"/>
        </w:rPr>
      </w:pPr>
      <w:r>
        <w:rPr>
          <w:rFonts w:ascii="Times New Roman" w:cs="Times New Roman" w:eastAsia="Times New Roman" w:hAnsi="Times New Roman"/>
          <w:sz w:val="20"/>
          <w:szCs w:val="20"/>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04" w:lineRule="exact"/>
        <w:rPr>
          <w:sz w:val="20"/>
          <w:szCs w:val="20"/>
          <w:color w:val="auto"/>
        </w:rPr>
      </w:pPr>
    </w:p>
    <w:p>
      <w:pPr>
        <w:ind w:right="38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 presents components of lease cost, including both amounts recognized in income and amounts capitalized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32"/>
        </w:trPr>
        <w:tc>
          <w:tcPr>
            <w:tcW w:w="6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6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E6E6E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02"/>
        </w:trPr>
        <w:tc>
          <w:tcPr>
            <w:tcW w:w="616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Operating lease cost</w:t>
            </w:r>
          </w:p>
        </w:tc>
        <w:tc>
          <w:tcPr>
            <w:tcW w:w="320" w:type="dxa"/>
            <w:vAlign w:val="bottom"/>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3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09"/>
        </w:trPr>
        <w:tc>
          <w:tcPr>
            <w:tcW w:w="61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Short-term lease cost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05"/>
        </w:trPr>
        <w:tc>
          <w:tcPr>
            <w:tcW w:w="6160" w:type="dxa"/>
            <w:vAlign w:val="bottom"/>
            <w:tcBorders>
              <w:bottom w:val="single" w:sz="8" w:color="E6E6E6"/>
            </w:tcBorders>
            <w:gridSpan w:val="3"/>
            <w:shd w:val="clear" w:color="auto" w:fill="E6E6E6"/>
          </w:tcPr>
          <w:p>
            <w:pPr>
              <w:ind w:left="60"/>
              <w:spacing w:after="0" w:line="304" w:lineRule="exact"/>
              <w:rPr>
                <w:sz w:val="20"/>
                <w:szCs w:val="20"/>
                <w:color w:val="auto"/>
              </w:rPr>
            </w:pPr>
            <w:r>
              <w:rPr>
                <w:rFonts w:ascii="Times New Roman" w:cs="Times New Roman" w:eastAsia="Times New Roman" w:hAnsi="Times New Roman"/>
                <w:sz w:val="35"/>
                <w:szCs w:val="35"/>
                <w:color w:val="auto"/>
                <w:vertAlign w:val="subscript"/>
              </w:rPr>
              <w:t>Other</w:t>
            </w:r>
            <w:r>
              <w:rPr>
                <w:rFonts w:ascii="Times New Roman" w:cs="Times New Roman" w:eastAsia="Times New Roman" w:hAnsi="Times New Roman"/>
                <w:sz w:val="12"/>
                <w:szCs w:val="12"/>
                <w:color w:val="auto"/>
              </w:rPr>
              <w:t xml:space="preserve"> (1) (2)</w:t>
            </w:r>
          </w:p>
        </w:tc>
        <w:tc>
          <w:tcPr>
            <w:tcW w:w="3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72"/>
        </w:trPr>
        <w:tc>
          <w:tcPr>
            <w:tcW w:w="61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Total lease cost</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0"/>
        </w:trPr>
        <w:tc>
          <w:tcPr>
            <w:tcW w:w="3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3500" w:type="dxa"/>
            <w:vAlign w:val="bottom"/>
            <w:tcBorders>
              <w:bottom w:val="single" w:sz="8" w:color="auto"/>
            </w:tcBorders>
          </w:tcPr>
          <w:p>
            <w:pPr>
              <w:spacing w:after="0"/>
              <w:rPr>
                <w:sz w:val="11"/>
                <w:szCs w:val="11"/>
                <w:color w:val="auto"/>
              </w:rPr>
            </w:pPr>
          </w:p>
        </w:tc>
        <w:tc>
          <w:tcPr>
            <w:tcW w:w="2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-932815</wp:posOffset>
            </wp:positionV>
            <wp:extent cx="6500495" cy="501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43">
                      <a:extLst>
                        <a:ext uri="{28A0092B-C50C-407E-A947-70E740481C1C}"/>
                      </a:extLst>
                    </a:blip>
                    <a:srcRect/>
                    <a:stretch>
                      <a:fillRect/>
                    </a:stretch>
                  </pic:blipFill>
                  <pic:spPr bwMode="auto">
                    <a:xfrm>
                      <a:off x="0" y="0"/>
                      <a:ext cx="6500495" cy="5016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-339090</wp:posOffset>
            </wp:positionV>
            <wp:extent cx="2586990" cy="501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44">
                      <a:extLst>
                        <a:ext uri="{28A0092B-C50C-407E-A947-70E740481C1C}"/>
                      </a:extLst>
                    </a:blip>
                    <a:srcRect/>
                    <a:stretch>
                      <a:fillRect/>
                    </a:stretch>
                  </pic:blipFill>
                  <pic:spPr bwMode="auto">
                    <a:xfrm>
                      <a:off x="0" y="0"/>
                      <a:ext cx="2586990" cy="5016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-153670</wp:posOffset>
            </wp:positionV>
            <wp:extent cx="1729105" cy="755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45">
                      <a:extLst>
                        <a:ext uri="{28A0092B-C50C-407E-A947-70E740481C1C}"/>
                      </a:extLst>
                    </a:blip>
                    <a:srcRect/>
                    <a:stretch>
                      <a:fillRect/>
                    </a:stretch>
                  </pic:blipFill>
                  <pic:spPr bwMode="auto">
                    <a:xfrm>
                      <a:off x="0" y="0"/>
                      <a:ext cx="1729105" cy="75565"/>
                    </a:xfrm>
                    <a:prstGeom prst="rect">
                      <a:avLst/>
                    </a:prstGeom>
                    <a:noFill/>
                  </pic:spPr>
                </pic:pic>
              </a:graphicData>
            </a:graphic>
          </wp:anchor>
        </w:drawing>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F-45</w:t>
      </w:r>
    </w:p>
    <w:p>
      <w:pPr>
        <w:sectPr>
          <w:pgSz w:w="11880" w:h="15480" w:orient="portrait"/>
          <w:cols w:equalWidth="0" w:num="1">
            <w:col w:w="10160"/>
          </w:cols>
          <w:pgMar w:left="860" w:top="435" w:right="860" w:bottom="0" w:gutter="0" w:footer="0" w:header="0"/>
          <w:type w:val="continuous"/>
        </w:sectPr>
      </w:pPr>
    </w:p>
    <w:bookmarkStart w:id="149" w:name="page150"/>
    <w:bookmarkEnd w:id="149"/>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Includes finance lease costs, variable lease costs and sublease income.</w:t>
      </w:r>
    </w:p>
    <w:p>
      <w:pPr>
        <w:spacing w:after="0" w:line="12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color w:val="auto"/>
        </w:rPr>
        <w:t>Includes approximately $8 million, $8 million, and $6 million for the years ended December 31, 2022, 2021 and 2020, respectively, associated with leased storage tanks owned by an equity method investee, in which we own a 50% interest.</w:t>
      </w:r>
    </w:p>
    <w:p>
      <w:pPr>
        <w:spacing w:after="0" w:line="194" w:lineRule="exact"/>
        <w:rPr>
          <w:sz w:val="20"/>
          <w:szCs w:val="20"/>
          <w:color w:val="auto"/>
        </w:rPr>
      </w:pPr>
    </w:p>
    <w:p>
      <w:pPr>
        <w:sectPr>
          <w:pgSz w:w="11880" w:h="15480" w:orient="portrait"/>
          <w:cols w:equalWidth="0" w:num="2">
            <w:col w:w="160" w:space="560"/>
            <w:col w:w="9440"/>
          </w:cols>
          <w:pgMar w:left="860" w:top="435" w:right="860" w:bottom="0" w:gutter="0" w:footer="0" w:header="0"/>
        </w:sect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information related to cash flows arising from lease transactions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32"/>
        </w:trPr>
        <w:tc>
          <w:tcPr>
            <w:tcW w:w="6160" w:type="dxa"/>
            <w:vAlign w:val="bottom"/>
            <w:tcBorders>
              <w:bottom w:val="single" w:sz="8" w:color="E6E6E6"/>
            </w:tcBorders>
          </w:tcPr>
          <w:p>
            <w:pPr>
              <w:spacing w:after="0"/>
              <w:rPr>
                <w:sz w:val="20"/>
                <w:szCs w:val="20"/>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E6E6E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02"/>
        </w:trPr>
        <w:tc>
          <w:tcPr>
            <w:tcW w:w="61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92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306"/>
        </w:trPr>
        <w:tc>
          <w:tcPr>
            <w:tcW w:w="6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cash flows for operating leases</w:t>
            </w:r>
          </w:p>
        </w:tc>
        <w:tc>
          <w:tcPr>
            <w:tcW w:w="920" w:type="dxa"/>
            <w:vAlign w:val="bottom"/>
          </w:tcPr>
          <w:p>
            <w:pPr>
              <w:jc w:val="right"/>
              <w:ind w:right="664"/>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18"/>
        </w:trPr>
        <w:tc>
          <w:tcPr>
            <w:tcW w:w="616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Operating cash flows for finance leases</w:t>
            </w:r>
          </w:p>
        </w:tc>
        <w:tc>
          <w:tcPr>
            <w:tcW w:w="920" w:type="dxa"/>
            <w:vAlign w:val="bottom"/>
            <w:shd w:val="clear" w:color="auto" w:fill="E6E6E6"/>
          </w:tcPr>
          <w:p>
            <w:pPr>
              <w:jc w:val="right"/>
              <w:ind w:right="664"/>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06"/>
        </w:trPr>
        <w:tc>
          <w:tcPr>
            <w:tcW w:w="6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Financing cash flows for finance leases</w:t>
            </w:r>
          </w:p>
        </w:tc>
        <w:tc>
          <w:tcPr>
            <w:tcW w:w="920" w:type="dxa"/>
            <w:vAlign w:val="bottom"/>
          </w:tcPr>
          <w:p>
            <w:pPr>
              <w:jc w:val="right"/>
              <w:ind w:right="664"/>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18"/>
        </w:trPr>
        <w:tc>
          <w:tcPr>
            <w:tcW w:w="6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20"/>
        </w:trPr>
        <w:tc>
          <w:tcPr>
            <w:tcW w:w="616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Non-cash change in lease liabilities arising from obtaining new right-of-use</w:t>
            </w: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5"/>
        </w:trPr>
        <w:tc>
          <w:tcPr>
            <w:tcW w:w="6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assets or modifications:</w:t>
            </w: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17"/>
        </w:trPr>
        <w:tc>
          <w:tcPr>
            <w:tcW w:w="616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Operating leases</w:t>
            </w:r>
          </w:p>
        </w:tc>
        <w:tc>
          <w:tcPr>
            <w:tcW w:w="920" w:type="dxa"/>
            <w:vAlign w:val="bottom"/>
            <w:shd w:val="clear" w:color="auto" w:fill="E6E6E6"/>
          </w:tcPr>
          <w:p>
            <w:pPr>
              <w:jc w:val="right"/>
              <w:ind w:right="664"/>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3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84"/>
        </w:trPr>
        <w:tc>
          <w:tcPr>
            <w:tcW w:w="6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Finance leases </w:t>
            </w:r>
            <w:r>
              <w:rPr>
                <w:rFonts w:ascii="Times New Roman" w:cs="Times New Roman" w:eastAsia="Times New Roman" w:hAnsi="Times New Roman"/>
                <w:sz w:val="25"/>
                <w:szCs w:val="25"/>
                <w:color w:val="auto"/>
                <w:vertAlign w:val="superscript"/>
              </w:rPr>
              <w:t>(1)</w:t>
            </w:r>
          </w:p>
        </w:tc>
        <w:tc>
          <w:tcPr>
            <w:tcW w:w="920" w:type="dxa"/>
            <w:vAlign w:val="bottom"/>
          </w:tcPr>
          <w:p>
            <w:pPr>
              <w:jc w:val="right"/>
              <w:ind w:right="664"/>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-1767840</wp:posOffset>
            </wp:positionV>
            <wp:extent cx="2586990" cy="501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46">
                      <a:extLst>
                        <a:ext uri="{28A0092B-C50C-407E-A947-70E740481C1C}"/>
                      </a:extLst>
                    </a:blip>
                    <a:srcRect/>
                    <a:stretch>
                      <a:fillRect/>
                    </a:stretch>
                  </pic:blipFill>
                  <pic:spPr bwMode="auto">
                    <a:xfrm>
                      <a:off x="0" y="0"/>
                      <a:ext cx="2586990"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64135</wp:posOffset>
                </wp:positionV>
                <wp:extent cx="2225040"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05pt" to="175.25pt,5.05pt" o:allowincell="f" strokecolor="#000000" strokeweight="0.99pt"/>
            </w:pict>
          </mc:Fallback>
        </mc:AlternateContent>
      </w:r>
    </w:p>
    <w:p>
      <w:pPr>
        <w:spacing w:after="0" w:line="237" w:lineRule="exact"/>
        <w:rPr>
          <w:sz w:val="20"/>
          <w:szCs w:val="20"/>
          <w:color w:val="auto"/>
        </w:rPr>
      </w:pPr>
    </w:p>
    <w:p>
      <w:pPr>
        <w:ind w:left="720" w:right="220" w:hanging="719"/>
        <w:spacing w:after="0" w:line="225" w:lineRule="auto"/>
        <w:tabs>
          <w:tab w:leader="none" w:pos="720" w:val="left"/>
        </w:tabs>
        <w:numPr>
          <w:ilvl w:val="0"/>
          <w:numId w:val="10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$25 million for the year ended December 31, 2020 associated with leased storage tanks owned by an equity method investee, in which we own a 50% interest.</w:t>
      </w:r>
    </w:p>
    <w:p>
      <w:pPr>
        <w:spacing w:after="0" w:line="216" w:lineRule="exact"/>
        <w:rPr>
          <w:rFonts w:ascii="Times New Roman" w:cs="Times New Roman" w:eastAsia="Times New Roman" w:hAnsi="Times New Roman"/>
          <w:sz w:val="26"/>
          <w:szCs w:val="26"/>
          <w:color w:val="auto"/>
          <w:vertAlign w:val="superscript"/>
        </w:rPr>
      </w:pPr>
    </w:p>
    <w:p>
      <w:pPr>
        <w:ind w:left="72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Information related to the weighted-average remaining lease term and discount rate is presented in the table below: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8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40" w:type="dxa"/>
            <w:vAlign w:val="bottom"/>
            <w:tcBorders>
              <w:bottom w:val="single" w:sz="8" w:color="auto"/>
            </w:tcBorders>
          </w:tcPr>
          <w:p>
            <w:pPr>
              <w:spacing w:after="0"/>
              <w:rPr>
                <w:sz w:val="18"/>
                <w:szCs w:val="18"/>
                <w:color w:val="auto"/>
              </w:rPr>
            </w:pPr>
          </w:p>
        </w:tc>
      </w:tr>
      <w:tr>
        <w:trPr>
          <w:trHeight w:val="232"/>
        </w:trPr>
        <w:tc>
          <w:tcPr>
            <w:tcW w:w="7520" w:type="dxa"/>
            <w:vAlign w:val="bottom"/>
            <w:tcBorders>
              <w:bottom w:val="single" w:sz="8" w:color="E6E6E6"/>
            </w:tcBorders>
          </w:tcPr>
          <w:p>
            <w:pPr>
              <w:spacing w:after="0"/>
              <w:rPr>
                <w:sz w:val="20"/>
                <w:szCs w:val="20"/>
                <w:color w:val="auto"/>
              </w:rPr>
            </w:pPr>
          </w:p>
        </w:tc>
        <w:tc>
          <w:tcPr>
            <w:tcW w:w="12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E6E6E6"/>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02"/>
        </w:trPr>
        <w:tc>
          <w:tcPr>
            <w:tcW w:w="75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Weighted-average remaining lease term (in years):</w:t>
            </w:r>
          </w:p>
        </w:tc>
        <w:tc>
          <w:tcPr>
            <w:tcW w:w="12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r>
      <w:tr>
        <w:trPr>
          <w:trHeight w:val="306"/>
        </w:trPr>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leases</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18"/>
        </w:trPr>
        <w:tc>
          <w:tcPr>
            <w:tcW w:w="75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Finance leases</w:t>
            </w: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312"/>
        </w:trPr>
        <w:tc>
          <w:tcPr>
            <w:tcW w:w="7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2"/>
        </w:trPr>
        <w:tc>
          <w:tcPr>
            <w:tcW w:w="75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12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r>
      <w:tr>
        <w:trPr>
          <w:trHeight w:val="306"/>
        </w:trPr>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leases</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4.3 %</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4.2 %</w:t>
            </w:r>
          </w:p>
        </w:tc>
      </w:tr>
      <w:tr>
        <w:trPr>
          <w:trHeight w:val="318"/>
        </w:trPr>
        <w:tc>
          <w:tcPr>
            <w:tcW w:w="75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Finance leases</w:t>
            </w: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12.3 %</w:t>
            </w:r>
          </w:p>
        </w:tc>
        <w:tc>
          <w:tcPr>
            <w:tcW w:w="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-1410970</wp:posOffset>
            </wp:positionV>
            <wp:extent cx="1729105" cy="501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47">
                      <a:extLst>
                        <a:ext uri="{28A0092B-C50C-407E-A947-70E740481C1C}"/>
                      </a:extLst>
                    </a:blip>
                    <a:srcRect/>
                    <a:stretch>
                      <a:fillRect/>
                    </a:stretch>
                  </pic:blipFill>
                  <pic:spPr bwMode="auto">
                    <a:xfrm>
                      <a:off x="0" y="0"/>
                      <a:ext cx="1729105" cy="50165"/>
                    </a:xfrm>
                    <a:prstGeom prst="rect">
                      <a:avLst/>
                    </a:prstGeom>
                    <a:noFill/>
                  </pic:spPr>
                </pic:pic>
              </a:graphicData>
            </a:graphic>
          </wp:anchor>
        </w:drawing>
      </w:r>
    </w:p>
    <w:p>
      <w:pPr>
        <w:sectPr>
          <w:pgSz w:w="11880" w:h="15480" w:orient="portrait"/>
          <w:cols w:equalWidth="0" w:num="1">
            <w:col w:w="10160"/>
          </w:cols>
          <w:pgMar w:left="860" w:top="435"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F-46</w:t>
      </w:r>
    </w:p>
    <w:p>
      <w:pPr>
        <w:sectPr>
          <w:pgSz w:w="11880" w:h="15480" w:orient="portrait"/>
          <w:cols w:equalWidth="0" w:num="1">
            <w:col w:w="10160"/>
          </w:cols>
          <w:pgMar w:left="860" w:top="435" w:right="860" w:bottom="0" w:gutter="0" w:footer="0" w:header="0"/>
          <w:type w:val="continuous"/>
        </w:sectPr>
      </w:pPr>
    </w:p>
    <w:bookmarkStart w:id="150" w:name="page151"/>
    <w:bookmarkEnd w:id="150"/>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660" w:firstLine="713"/>
        <w:spacing w:after="0" w:line="278" w:lineRule="auto"/>
        <w:rPr>
          <w:sz w:val="20"/>
          <w:szCs w:val="20"/>
          <w:color w:val="auto"/>
        </w:rPr>
      </w:pPr>
      <w:r>
        <w:rPr>
          <w:rFonts w:ascii="Times New Roman" w:cs="Times New Roman" w:eastAsia="Times New Roman" w:hAnsi="Times New Roman"/>
          <w:sz w:val="20"/>
          <w:szCs w:val="20"/>
          <w:color w:val="auto"/>
        </w:rPr>
        <w:t>The following table presents the amount and location of our operating and finance lease right-of-use assets and liabilities on our Consolidated Balance Sheets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r>
      <w:tr>
        <w:trPr>
          <w:trHeight w:val="252"/>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Balance Sheet Location</w:t>
            </w:r>
          </w:p>
        </w:tc>
        <w:tc>
          <w:tcPr>
            <w:tcW w:w="320" w:type="dxa"/>
            <w:vAlign w:val="bottom"/>
          </w:tcPr>
          <w:p>
            <w:pPr>
              <w:spacing w:after="0"/>
              <w:rPr>
                <w:sz w:val="21"/>
                <w:szCs w:val="21"/>
                <w:color w:val="auto"/>
              </w:rPr>
            </w:pP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2"/>
        </w:trPr>
        <w:tc>
          <w:tcPr>
            <w:tcW w:w="3260" w:type="dxa"/>
            <w:vAlign w:val="bottom"/>
            <w:tcBorders>
              <w:top w:val="single" w:sz="8" w:color="auto"/>
            </w:tcBorders>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60" w:type="dxa"/>
            <w:vAlign w:val="bottom"/>
            <w:tcBorders>
              <w:top w:val="single" w:sz="8" w:color="E6E6E6"/>
            </w:tcBorders>
            <w:shd w:val="clear" w:color="auto" w:fill="E6E6E6"/>
          </w:tcPr>
          <w:p>
            <w:pPr>
              <w:spacing w:after="0"/>
              <w:rPr>
                <w:sz w:val="21"/>
                <w:szCs w:val="21"/>
                <w:color w:val="auto"/>
              </w:rPr>
            </w:pPr>
          </w:p>
        </w:tc>
        <w:tc>
          <w:tcPr>
            <w:tcW w:w="180" w:type="dxa"/>
            <w:vAlign w:val="bottom"/>
            <w:tcBorders>
              <w:top w:val="single" w:sz="8" w:color="auto"/>
            </w:tcBorders>
            <w:shd w:val="clear" w:color="auto" w:fill="E6E6E6"/>
          </w:tcPr>
          <w:p>
            <w:pPr>
              <w:spacing w:after="0"/>
              <w:rPr>
                <w:sz w:val="21"/>
                <w:szCs w:val="21"/>
                <w:color w:val="auto"/>
              </w:rPr>
            </w:pPr>
          </w:p>
        </w:tc>
        <w:tc>
          <w:tcPr>
            <w:tcW w:w="394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320" w:type="dxa"/>
            <w:vAlign w:val="bottom"/>
            <w:tcBorders>
              <w:top w:val="single" w:sz="8" w:color="auto"/>
            </w:tcBorders>
            <w:shd w:val="clear" w:color="auto" w:fill="E6E6E6"/>
          </w:tcPr>
          <w:p>
            <w:pPr>
              <w:spacing w:after="0"/>
              <w:rPr>
                <w:sz w:val="21"/>
                <w:szCs w:val="21"/>
                <w:color w:val="auto"/>
              </w:rPr>
            </w:pPr>
          </w:p>
        </w:tc>
        <w:tc>
          <w:tcPr>
            <w:tcW w:w="96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460" w:type="dxa"/>
            <w:vAlign w:val="bottom"/>
            <w:tcBorders>
              <w:top w:val="single" w:sz="8" w:color="auto"/>
            </w:tcBorders>
            <w:shd w:val="clear" w:color="auto" w:fill="E6E6E6"/>
          </w:tcPr>
          <w:p>
            <w:pPr>
              <w:spacing w:after="0"/>
              <w:rPr>
                <w:sz w:val="21"/>
                <w:szCs w:val="21"/>
                <w:color w:val="auto"/>
              </w:rPr>
            </w:pPr>
          </w:p>
        </w:tc>
        <w:tc>
          <w:tcPr>
            <w:tcW w:w="840" w:type="dxa"/>
            <w:vAlign w:val="bottom"/>
            <w:tcBorders>
              <w:top w:val="single" w:sz="8" w:color="auto"/>
            </w:tcBorders>
            <w:shd w:val="clear" w:color="auto" w:fill="E6E6E6"/>
          </w:tcPr>
          <w:p>
            <w:pPr>
              <w:spacing w:after="0"/>
              <w:rPr>
                <w:sz w:val="21"/>
                <w:szCs w:val="21"/>
                <w:color w:val="auto"/>
              </w:rPr>
            </w:pPr>
          </w:p>
        </w:tc>
      </w:tr>
      <w:tr>
        <w:trPr>
          <w:trHeight w:val="291"/>
        </w:trPr>
        <w:tc>
          <w:tcPr>
            <w:tcW w:w="3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60" w:type="dxa"/>
            <w:vAlign w:val="bottom"/>
          </w:tcPr>
          <w:p>
            <w:pPr>
              <w:spacing w:after="0"/>
              <w:rPr>
                <w:sz w:val="24"/>
                <w:szCs w:val="24"/>
                <w:color w:val="auto"/>
              </w:rPr>
            </w:pPr>
          </w:p>
        </w:tc>
        <w:tc>
          <w:tcPr>
            <w:tcW w:w="420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color w:val="auto"/>
                <w:w w:val="98"/>
              </w:rPr>
              <w:t>Long-term operating lease right-of-use assets, net</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w:t>
            </w:r>
          </w:p>
        </w:tc>
      </w:tr>
      <w:tr>
        <w:trPr>
          <w:trHeight w:val="318"/>
        </w:trPr>
        <w:tc>
          <w:tcPr>
            <w:tcW w:w="32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39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r>
      <w:tr>
        <w:trPr>
          <w:trHeight w:val="297"/>
        </w:trPr>
        <w:tc>
          <w:tcPr>
            <w:tcW w:w="3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Finance lease right-of-use assets </w:t>
            </w:r>
            <w:r>
              <w:rPr>
                <w:rFonts w:ascii="Times New Roman" w:cs="Times New Roman" w:eastAsia="Times New Roman" w:hAnsi="Times New Roman"/>
                <w:sz w:val="25"/>
                <w:szCs w:val="25"/>
                <w:color w:val="auto"/>
                <w:vertAlign w:val="superscript"/>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8"/>
              </w:rPr>
              <w:t>Property and equipment</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87"/>
        </w:trPr>
        <w:tc>
          <w:tcPr>
            <w:tcW w:w="326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4020" w:type="dxa"/>
            <w:vAlign w:val="bottom"/>
            <w:tcBorders>
              <w:bottom w:val="single" w:sz="8" w:color="E6E6E6"/>
            </w:tcBorders>
            <w:gridSpan w:val="2"/>
            <w:shd w:val="clear" w:color="auto" w:fill="E6E6E6"/>
          </w:tcPr>
          <w:p>
            <w:pPr>
              <w:jc w:val="center"/>
              <w:ind w:right="260"/>
              <w:spacing w:after="0"/>
              <w:rPr>
                <w:sz w:val="20"/>
                <w:szCs w:val="20"/>
                <w:color w:val="auto"/>
              </w:rPr>
            </w:pPr>
            <w:r>
              <w:rPr>
                <w:rFonts w:ascii="Times New Roman" w:cs="Times New Roman" w:eastAsia="Times New Roman" w:hAnsi="Times New Roman"/>
                <w:sz w:val="20"/>
                <w:szCs w:val="20"/>
                <w:color w:val="auto"/>
                <w:w w:val="98"/>
              </w:rPr>
              <w:t>Accumulated depreciation</w:t>
            </w:r>
          </w:p>
        </w:tc>
        <w:tc>
          <w:tcPr>
            <w:tcW w:w="3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81"/>
        </w:trPr>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Property and equipment, net</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28"/>
        </w:trPr>
        <w:tc>
          <w:tcPr>
            <w:tcW w:w="326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39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spacing w:after="0"/>
              <w:rPr>
                <w:sz w:val="24"/>
                <w:szCs w:val="24"/>
                <w:color w:val="auto"/>
              </w:rPr>
            </w:pPr>
          </w:p>
        </w:tc>
      </w:tr>
      <w:tr>
        <w:trPr>
          <w:trHeight w:val="277"/>
        </w:trPr>
        <w:tc>
          <w:tcPr>
            <w:tcW w:w="32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lease right-of-use assets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w:t>
            </w:r>
          </w:p>
        </w:tc>
      </w:tr>
      <w:tr>
        <w:trPr>
          <w:trHeight w:val="282"/>
        </w:trPr>
        <w:tc>
          <w:tcPr>
            <w:tcW w:w="3260" w:type="dxa"/>
            <w:vAlign w:val="bottom"/>
            <w:tcBorders>
              <w:top w:val="single" w:sz="8" w:color="E6E6E6"/>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180" w:type="dxa"/>
            <w:vAlign w:val="bottom"/>
            <w:tcBorders>
              <w:top w:val="single" w:sz="8" w:color="E6E6E6"/>
            </w:tcBorders>
            <w:shd w:val="clear" w:color="auto" w:fill="E6E6E6"/>
          </w:tcPr>
          <w:p>
            <w:pPr>
              <w:spacing w:after="0"/>
              <w:rPr>
                <w:sz w:val="24"/>
                <w:szCs w:val="24"/>
                <w:color w:val="auto"/>
              </w:rPr>
            </w:pPr>
          </w:p>
        </w:tc>
        <w:tc>
          <w:tcPr>
            <w:tcW w:w="3940" w:type="dxa"/>
            <w:vAlign w:val="bottom"/>
            <w:tcBorders>
              <w:top w:val="single" w:sz="8" w:color="E6E6E6"/>
            </w:tcBorders>
            <w:shd w:val="clear" w:color="auto" w:fill="E6E6E6"/>
          </w:tcPr>
          <w:p>
            <w:pPr>
              <w:spacing w:after="0"/>
              <w:rPr>
                <w:sz w:val="24"/>
                <w:szCs w:val="24"/>
                <w:color w:val="auto"/>
              </w:rPr>
            </w:pPr>
          </w:p>
        </w:tc>
        <w:tc>
          <w:tcPr>
            <w:tcW w:w="80" w:type="dxa"/>
            <w:vAlign w:val="bottom"/>
            <w:tcBorders>
              <w:top w:val="single" w:sz="8" w:color="E6E6E6"/>
            </w:tcBorders>
            <w:shd w:val="clear" w:color="auto" w:fill="E6E6E6"/>
          </w:tcPr>
          <w:p>
            <w:pPr>
              <w:spacing w:after="0"/>
              <w:rPr>
                <w:sz w:val="24"/>
                <w:szCs w:val="24"/>
                <w:color w:val="auto"/>
              </w:rPr>
            </w:pPr>
          </w:p>
        </w:tc>
        <w:tc>
          <w:tcPr>
            <w:tcW w:w="320" w:type="dxa"/>
            <w:vAlign w:val="bottom"/>
            <w:tcBorders>
              <w:top w:val="single" w:sz="8" w:color="auto"/>
            </w:tcBorders>
            <w:shd w:val="clear" w:color="auto" w:fill="E6E6E6"/>
          </w:tcPr>
          <w:p>
            <w:pPr>
              <w:spacing w:after="0"/>
              <w:rPr>
                <w:sz w:val="24"/>
                <w:szCs w:val="24"/>
                <w:color w:val="auto"/>
              </w:rPr>
            </w:pPr>
          </w:p>
        </w:tc>
        <w:tc>
          <w:tcPr>
            <w:tcW w:w="96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460" w:type="dxa"/>
            <w:vAlign w:val="bottom"/>
            <w:tcBorders>
              <w:top w:val="single" w:sz="8" w:color="auto"/>
            </w:tcBorders>
            <w:shd w:val="clear" w:color="auto" w:fill="E6E6E6"/>
          </w:tcPr>
          <w:p>
            <w:pPr>
              <w:spacing w:after="0"/>
              <w:rPr>
                <w:sz w:val="24"/>
                <w:szCs w:val="24"/>
                <w:color w:val="auto"/>
              </w:rPr>
            </w:pPr>
          </w:p>
        </w:tc>
        <w:tc>
          <w:tcPr>
            <w:tcW w:w="840" w:type="dxa"/>
            <w:vAlign w:val="bottom"/>
            <w:tcBorders>
              <w:top w:val="single" w:sz="8" w:color="auto"/>
            </w:tcBorders>
            <w:shd w:val="clear" w:color="auto" w:fill="E6E6E6"/>
          </w:tcPr>
          <w:p>
            <w:pPr>
              <w:spacing w:after="0"/>
              <w:rPr>
                <w:sz w:val="24"/>
                <w:szCs w:val="24"/>
                <w:color w:val="auto"/>
              </w:rPr>
            </w:pPr>
          </w:p>
        </w:tc>
      </w:tr>
      <w:tr>
        <w:trPr>
          <w:trHeight w:val="276"/>
        </w:trPr>
        <w:tc>
          <w:tcPr>
            <w:tcW w:w="32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3"/>
        </w:trPr>
        <w:tc>
          <w:tcPr>
            <w:tcW w:w="326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39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r>
      <w:tr>
        <w:trPr>
          <w:trHeight w:val="291"/>
        </w:trPr>
        <w:tc>
          <w:tcPr>
            <w:tcW w:w="32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Current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Other current liabilities</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93"/>
        </w:trPr>
        <w:tc>
          <w:tcPr>
            <w:tcW w:w="3260" w:type="dxa"/>
            <w:vAlign w:val="bottom"/>
            <w:tcBorders>
              <w:bottom w:val="single" w:sz="8" w:color="E6E6E6"/>
            </w:tcBorders>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Noncurrent</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4020" w:type="dxa"/>
            <w:vAlign w:val="bottom"/>
            <w:tcBorders>
              <w:bottom w:val="single" w:sz="8" w:color="E6E6E6"/>
            </w:tcBorders>
            <w:gridSpan w:val="2"/>
            <w:shd w:val="clear" w:color="auto" w:fill="E6E6E6"/>
          </w:tcPr>
          <w:p>
            <w:pPr>
              <w:jc w:val="center"/>
              <w:ind w:right="260"/>
              <w:spacing w:after="0"/>
              <w:rPr>
                <w:sz w:val="20"/>
                <w:szCs w:val="20"/>
                <w:color w:val="auto"/>
              </w:rPr>
            </w:pPr>
            <w:r>
              <w:rPr>
                <w:rFonts w:ascii="Times New Roman" w:cs="Times New Roman" w:eastAsia="Times New Roman" w:hAnsi="Times New Roman"/>
                <w:sz w:val="20"/>
                <w:szCs w:val="20"/>
                <w:color w:val="auto"/>
                <w:w w:val="99"/>
              </w:rPr>
              <w:t>Long-term operating lease liabilities</w:t>
            </w:r>
          </w:p>
        </w:tc>
        <w:tc>
          <w:tcPr>
            <w:tcW w:w="3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339</w:t>
            </w:r>
          </w:p>
        </w:tc>
      </w:tr>
      <w:tr>
        <w:trPr>
          <w:trHeight w:val="281"/>
        </w:trPr>
        <w:tc>
          <w:tcPr>
            <w:tcW w:w="3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w:t>
            </w:r>
          </w:p>
        </w:tc>
      </w:tr>
      <w:tr>
        <w:trPr>
          <w:trHeight w:val="318"/>
        </w:trPr>
        <w:tc>
          <w:tcPr>
            <w:tcW w:w="32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39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r>
      <w:tr>
        <w:trPr>
          <w:trHeight w:val="297"/>
        </w:trPr>
        <w:tc>
          <w:tcPr>
            <w:tcW w:w="3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Finance lease liabilities </w:t>
            </w:r>
            <w:r>
              <w:rPr>
                <w:rFonts w:ascii="Times New Roman" w:cs="Times New Roman" w:eastAsia="Times New Roman" w:hAnsi="Times New Roman"/>
                <w:sz w:val="25"/>
                <w:szCs w:val="25"/>
                <w:color w:val="auto"/>
                <w:vertAlign w:val="superscript"/>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326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Current</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4020" w:type="dxa"/>
            <w:vAlign w:val="bottom"/>
            <w:gridSpan w:val="2"/>
            <w:shd w:val="clear" w:color="auto" w:fill="E6E6E6"/>
          </w:tcPr>
          <w:p>
            <w:pPr>
              <w:jc w:val="center"/>
              <w:ind w:right="260"/>
              <w:spacing w:after="0"/>
              <w:rPr>
                <w:sz w:val="20"/>
                <w:szCs w:val="20"/>
                <w:color w:val="auto"/>
              </w:rPr>
            </w:pPr>
            <w:r>
              <w:rPr>
                <w:rFonts w:ascii="Times New Roman" w:cs="Times New Roman" w:eastAsia="Times New Roman" w:hAnsi="Times New Roman"/>
                <w:sz w:val="20"/>
                <w:szCs w:val="20"/>
                <w:color w:val="auto"/>
                <w:w w:val="98"/>
              </w:rPr>
              <w:t>Short-term debt</w:t>
            </w:r>
          </w:p>
        </w:tc>
        <w:tc>
          <w:tcPr>
            <w:tcW w:w="32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52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7"/>
        </w:trPr>
        <w:tc>
          <w:tcPr>
            <w:tcW w:w="3260" w:type="dxa"/>
            <w:vAlign w:val="bottom"/>
            <w:tcBorders>
              <w:bottom w:val="single" w:sz="8" w:color="E6E6E6"/>
            </w:tcBorders>
          </w:tcPr>
          <w:p>
            <w:pPr>
              <w:ind w:left="300"/>
              <w:spacing w:after="0"/>
              <w:rPr>
                <w:sz w:val="20"/>
                <w:szCs w:val="20"/>
                <w:color w:val="auto"/>
              </w:rPr>
            </w:pPr>
            <w:r>
              <w:rPr>
                <w:rFonts w:ascii="Times New Roman" w:cs="Times New Roman" w:eastAsia="Times New Roman" w:hAnsi="Times New Roman"/>
                <w:sz w:val="20"/>
                <w:szCs w:val="20"/>
                <w:color w:val="auto"/>
              </w:rPr>
              <w:t>Noncurrent</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4020" w:type="dxa"/>
            <w:vAlign w:val="bottom"/>
            <w:tcBorders>
              <w:bottom w:val="single" w:sz="8" w:color="E6E6E6"/>
            </w:tcBorders>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Other long-term debt, net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87"/>
        </w:trPr>
        <w:tc>
          <w:tcPr>
            <w:tcW w:w="326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Total finance lease liabilities</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39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52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02"/>
        </w:trPr>
        <w:tc>
          <w:tcPr>
            <w:tcW w:w="326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39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97"/>
        </w:trPr>
        <w:tc>
          <w:tcPr>
            <w:tcW w:w="32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Total lease liabilities</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39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52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487</w:t>
            </w:r>
          </w:p>
        </w:tc>
      </w:tr>
      <w:tr>
        <w:trPr>
          <w:trHeight w:val="134"/>
        </w:trPr>
        <w:tc>
          <w:tcPr>
            <w:tcW w:w="3260" w:type="dxa"/>
            <w:vAlign w:val="bottom"/>
            <w:tcBorders>
              <w:top w:val="single" w:sz="8" w:color="E6E6E6"/>
              <w:bottom w:val="single" w:sz="8" w:color="auto"/>
            </w:tcBorders>
          </w:tcPr>
          <w:p>
            <w:pPr>
              <w:spacing w:after="0"/>
              <w:rPr>
                <w:sz w:val="11"/>
                <w:szCs w:val="11"/>
                <w:color w:val="auto"/>
              </w:rPr>
            </w:pPr>
          </w:p>
        </w:tc>
        <w:tc>
          <w:tcPr>
            <w:tcW w:w="60" w:type="dxa"/>
            <w:vAlign w:val="bottom"/>
            <w:tcBorders>
              <w:top w:val="single" w:sz="8" w:color="E6E6E6"/>
              <w:bottom w:val="single" w:sz="8" w:color="auto"/>
            </w:tcBorders>
          </w:tcPr>
          <w:p>
            <w:pPr>
              <w:spacing w:after="0"/>
              <w:rPr>
                <w:sz w:val="11"/>
                <w:szCs w:val="11"/>
                <w:color w:val="auto"/>
              </w:rPr>
            </w:pPr>
          </w:p>
        </w:tc>
        <w:tc>
          <w:tcPr>
            <w:tcW w:w="180" w:type="dxa"/>
            <w:vAlign w:val="bottom"/>
            <w:tcBorders>
              <w:top w:val="single" w:sz="8" w:color="E6E6E6"/>
              <w:bottom w:val="single" w:sz="8" w:color="auto"/>
            </w:tcBorders>
          </w:tcPr>
          <w:p>
            <w:pPr>
              <w:spacing w:after="0"/>
              <w:rPr>
                <w:sz w:val="11"/>
                <w:szCs w:val="11"/>
                <w:color w:val="auto"/>
              </w:rPr>
            </w:pPr>
          </w:p>
        </w:tc>
        <w:tc>
          <w:tcPr>
            <w:tcW w:w="3940" w:type="dxa"/>
            <w:vAlign w:val="bottom"/>
            <w:tcBorders>
              <w:top w:val="single" w:sz="8" w:color="E6E6E6"/>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Borders>
              <w:top w:val="single" w:sz="8" w:color="E6E6E6"/>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-4142105</wp:posOffset>
            </wp:positionV>
            <wp:extent cx="6500495" cy="755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48">
                      <a:extLst>
                        <a:ext uri="{28A0092B-C50C-407E-A947-70E740481C1C}"/>
                      </a:extLst>
                    </a:blip>
                    <a:srcRect/>
                    <a:stretch>
                      <a:fillRect/>
                    </a:stretch>
                  </pic:blipFill>
                  <pic:spPr bwMode="auto">
                    <a:xfrm>
                      <a:off x="0" y="0"/>
                      <a:ext cx="6500495" cy="7556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-3186430</wp:posOffset>
            </wp:positionV>
            <wp:extent cx="1729105" cy="501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49">
                      <a:extLst>
                        <a:ext uri="{28A0092B-C50C-407E-A947-70E740481C1C}"/>
                      </a:extLst>
                    </a:blip>
                    <a:srcRect/>
                    <a:stretch>
                      <a:fillRect/>
                    </a:stretch>
                  </pic:blipFill>
                  <pic:spPr bwMode="auto">
                    <a:xfrm>
                      <a:off x="0" y="0"/>
                      <a:ext cx="1729105" cy="5016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-2799715</wp:posOffset>
            </wp:positionV>
            <wp:extent cx="1729105" cy="501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50">
                      <a:extLst>
                        <a:ext uri="{28A0092B-C50C-407E-A947-70E740481C1C}"/>
                      </a:extLst>
                    </a:blip>
                    <a:srcRect/>
                    <a:stretch>
                      <a:fillRect/>
                    </a:stretch>
                  </pic:blipFill>
                  <pic:spPr bwMode="auto">
                    <a:xfrm>
                      <a:off x="0" y="0"/>
                      <a:ext cx="1729105" cy="5016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-2623820</wp:posOffset>
            </wp:positionV>
            <wp:extent cx="1729105" cy="755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51">
                      <a:extLst>
                        <a:ext uri="{28A0092B-C50C-407E-A947-70E740481C1C}"/>
                      </a:extLst>
                    </a:blip>
                    <a:srcRect/>
                    <a:stretch>
                      <a:fillRect/>
                    </a:stretch>
                  </pic:blipFill>
                  <pic:spPr bwMode="auto">
                    <a:xfrm>
                      <a:off x="0" y="0"/>
                      <a:ext cx="1729105" cy="7556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-1668145</wp:posOffset>
            </wp:positionV>
            <wp:extent cx="1729105" cy="501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52">
                      <a:extLst>
                        <a:ext uri="{28A0092B-C50C-407E-A947-70E740481C1C}"/>
                      </a:extLst>
                    </a:blip>
                    <a:srcRect/>
                    <a:stretch>
                      <a:fillRect/>
                    </a:stretch>
                  </pic:blipFill>
                  <pic:spPr bwMode="auto">
                    <a:xfrm>
                      <a:off x="0" y="0"/>
                      <a:ext cx="1729105" cy="5016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-716280</wp:posOffset>
            </wp:positionV>
            <wp:extent cx="1729105" cy="501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53">
                      <a:extLst>
                        <a:ext uri="{28A0092B-C50C-407E-A947-70E740481C1C}"/>
                      </a:extLst>
                    </a:blip>
                    <a:srcRect/>
                    <a:stretch>
                      <a:fillRect/>
                    </a:stretch>
                  </pic:blipFill>
                  <pic:spPr bwMode="auto">
                    <a:xfrm>
                      <a:off x="0" y="0"/>
                      <a:ext cx="1729105" cy="5016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-329565</wp:posOffset>
            </wp:positionV>
            <wp:extent cx="1729105" cy="501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54">
                      <a:extLst>
                        <a:ext uri="{28A0092B-C50C-407E-A947-70E740481C1C}"/>
                      </a:extLst>
                    </a:blip>
                    <a:srcRect/>
                    <a:stretch>
                      <a:fillRect/>
                    </a:stretch>
                  </pic:blipFill>
                  <pic:spPr bwMode="auto">
                    <a:xfrm>
                      <a:off x="0" y="0"/>
                      <a:ext cx="1729105" cy="5016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-153670</wp:posOffset>
            </wp:positionV>
            <wp:extent cx="1729105" cy="755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55">
                      <a:extLst>
                        <a:ext uri="{28A0092B-C50C-407E-A947-70E740481C1C}"/>
                      </a:extLst>
                    </a:blip>
                    <a:srcRect/>
                    <a:stretch>
                      <a:fillRect/>
                    </a:stretch>
                  </pic:blipFill>
                  <pic:spPr bwMode="auto">
                    <a:xfrm>
                      <a:off x="0" y="0"/>
                      <a:ext cx="1729105" cy="75565"/>
                    </a:xfrm>
                    <a:prstGeom prst="rect">
                      <a:avLst/>
                    </a:prstGeom>
                    <a:noFill/>
                  </pic:spPr>
                </pic:pic>
              </a:graphicData>
            </a:graphic>
          </wp:anchor>
        </w:drawing>
      </w:r>
    </w:p>
    <w:p>
      <w:pPr>
        <w:spacing w:after="0" w:line="126" w:lineRule="exact"/>
        <w:rPr>
          <w:sz w:val="20"/>
          <w:szCs w:val="20"/>
          <w:color w:val="auto"/>
        </w:rPr>
      </w:pPr>
    </w:p>
    <w:p>
      <w:pPr>
        <w:ind w:left="720" w:right="120" w:hanging="719"/>
        <w:spacing w:after="0" w:line="232" w:lineRule="auto"/>
        <w:tabs>
          <w:tab w:leader="none" w:pos="720" w:val="left"/>
        </w:tabs>
        <w:numPr>
          <w:ilvl w:val="0"/>
          <w:numId w:val="101"/>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20"/>
          <w:szCs w:val="20"/>
          <w:color w:val="auto"/>
        </w:rPr>
        <w:t>Includes right-of-use assets of $30 million and $33 million and lease liabilities of $35 million and $35 million as of December 31, 2022 and 2021, respectively, associated with leased storage tanks owned by an equity method investee, in which we own a 50% interest.</w:t>
      </w:r>
    </w:p>
    <w:p>
      <w:pPr>
        <w:spacing w:after="0" w:line="336" w:lineRule="exact"/>
        <w:rPr>
          <w:sz w:val="20"/>
          <w:szCs w:val="20"/>
          <w:color w:val="auto"/>
        </w:rPr>
      </w:pPr>
    </w:p>
    <w:p>
      <w:pPr>
        <w:ind w:right="40" w:firstLine="713"/>
        <w:spacing w:after="0" w:line="263" w:lineRule="auto"/>
        <w:rPr>
          <w:sz w:val="20"/>
          <w:szCs w:val="20"/>
          <w:color w:val="auto"/>
        </w:rPr>
      </w:pPr>
      <w:r>
        <w:rPr>
          <w:rFonts w:ascii="Times New Roman" w:cs="Times New Roman" w:eastAsia="Times New Roman" w:hAnsi="Times New Roman"/>
          <w:sz w:val="20"/>
          <w:szCs w:val="20"/>
          <w:color w:val="auto"/>
        </w:rPr>
        <w:t>The following table presents the maturity of undiscounted cash flows for future minimum lease payments under noncancelable leases as of December 31, 2022 reconciled to our lease liabilities on our Consolidated Balance Sheet (amounts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Borders>
              <w:bottom w:val="single" w:sz="8" w:color="E6E6E6"/>
            </w:tcBorders>
          </w:tcPr>
          <w:p>
            <w:pPr>
              <w:spacing w:after="0"/>
              <w:rPr>
                <w:sz w:val="20"/>
                <w:szCs w:val="20"/>
                <w:color w:val="auto"/>
              </w:rPr>
            </w:pPr>
          </w:p>
        </w:tc>
        <w:tc>
          <w:tcPr>
            <w:tcW w:w="400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 xml:space="preserve">Finance </w:t>
            </w:r>
            <w:r>
              <w:rPr>
                <w:rFonts w:ascii="Times New Roman" w:cs="Times New Roman" w:eastAsia="Times New Roman" w:hAnsi="Times New Roman"/>
                <w:sz w:val="20"/>
                <w:szCs w:val="20"/>
                <w:b w:val="1"/>
                <w:bCs w:val="1"/>
                <w:color w:val="auto"/>
                <w:vertAlign w:val="superscript"/>
              </w:rPr>
              <w:t>(2)</w:t>
            </w:r>
          </w:p>
        </w:tc>
      </w:tr>
      <w:tr>
        <w:trPr>
          <w:trHeight w:val="302"/>
        </w:trPr>
        <w:tc>
          <w:tcPr>
            <w:tcW w:w="75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Future minimum lease payments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r>
      <w:tr>
        <w:trPr>
          <w:trHeight w:val="306"/>
        </w:trPr>
        <w:tc>
          <w:tcPr>
            <w:tcW w:w="3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2023</w:t>
            </w:r>
          </w:p>
        </w:tc>
        <w:tc>
          <w:tcPr>
            <w:tcW w:w="40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18"/>
        </w:trPr>
        <w:tc>
          <w:tcPr>
            <w:tcW w:w="35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2024</w:t>
            </w:r>
          </w:p>
        </w:tc>
        <w:tc>
          <w:tcPr>
            <w:tcW w:w="40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06"/>
        </w:trPr>
        <w:tc>
          <w:tcPr>
            <w:tcW w:w="3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2025</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18"/>
        </w:trPr>
        <w:tc>
          <w:tcPr>
            <w:tcW w:w="35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2026</w:t>
            </w:r>
          </w:p>
        </w:tc>
        <w:tc>
          <w:tcPr>
            <w:tcW w:w="40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06"/>
        </w:trPr>
        <w:tc>
          <w:tcPr>
            <w:tcW w:w="3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2027</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08"/>
        </w:trPr>
        <w:tc>
          <w:tcPr>
            <w:tcW w:w="7500" w:type="dxa"/>
            <w:vAlign w:val="bottom"/>
            <w:tcBorders>
              <w:bottom w:val="single" w:sz="8" w:color="E6E6E6"/>
            </w:tcBorders>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Thereafter</w:t>
            </w:r>
          </w:p>
        </w:tc>
        <w:tc>
          <w:tcPr>
            <w:tcW w:w="22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96"/>
        </w:trPr>
        <w:tc>
          <w:tcPr>
            <w:tcW w:w="75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08"/>
        </w:trPr>
        <w:tc>
          <w:tcPr>
            <w:tcW w:w="7500" w:type="dxa"/>
            <w:vAlign w:val="bottom"/>
            <w:tcBorders>
              <w:bottom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Less: Present value discount</w:t>
            </w:r>
          </w:p>
        </w:tc>
        <w:tc>
          <w:tcPr>
            <w:tcW w:w="22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72"/>
        </w:trPr>
        <w:tc>
          <w:tcPr>
            <w:tcW w:w="75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Lease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0"/>
        </w:trPr>
        <w:tc>
          <w:tcPr>
            <w:tcW w:w="35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350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-2120900</wp:posOffset>
            </wp:positionV>
            <wp:extent cx="1737995" cy="501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56">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-734695</wp:posOffset>
            </wp:positionV>
            <wp:extent cx="1737995" cy="501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57">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-339090</wp:posOffset>
            </wp:positionV>
            <wp:extent cx="1737995" cy="501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58">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-153670</wp:posOffset>
            </wp:positionV>
            <wp:extent cx="870585" cy="755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59">
                      <a:extLst>
                        <a:ext uri="{28A0092B-C50C-407E-A947-70E740481C1C}"/>
                      </a:extLst>
                    </a:blip>
                    <a:srcRect/>
                    <a:stretch>
                      <a:fillRect/>
                    </a:stretch>
                  </pic:blipFill>
                  <pic:spPr bwMode="auto">
                    <a:xfrm>
                      <a:off x="0" y="0"/>
                      <a:ext cx="870585" cy="75565"/>
                    </a:xfrm>
                    <a:prstGeom prst="rect">
                      <a:avLst/>
                    </a:prstGeom>
                    <a:noFill/>
                  </pic:spPr>
                </pic:pic>
              </a:graphicData>
            </a:graphic>
          </wp:anchor>
        </w:drawing>
      </w:r>
    </w:p>
    <w:p>
      <w:pPr>
        <w:sectPr>
          <w:pgSz w:w="11880" w:h="15480" w:orient="portrait"/>
          <w:cols w:equalWidth="0" w:num="1">
            <w:col w:w="10160"/>
          </w:cols>
          <w:pgMar w:left="860" w:top="435" w:right="860" w:bottom="0"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F-47</w:t>
      </w:r>
    </w:p>
    <w:p>
      <w:pPr>
        <w:sectPr>
          <w:pgSz w:w="11880" w:h="15480" w:orient="portrait"/>
          <w:cols w:equalWidth="0" w:num="1">
            <w:col w:w="10160"/>
          </w:cols>
          <w:pgMar w:left="860" w:top="435" w:right="860" w:bottom="0" w:gutter="0" w:footer="0" w:header="0"/>
          <w:type w:val="continuous"/>
        </w:sectPr>
      </w:pPr>
    </w:p>
    <w:bookmarkStart w:id="151" w:name="page152"/>
    <w:bookmarkEnd w:id="151"/>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left="720" w:right="520" w:hanging="719"/>
        <w:spacing w:after="0" w:line="225" w:lineRule="auto"/>
        <w:tabs>
          <w:tab w:leader="none" w:pos="720" w:val="left"/>
        </w:tabs>
        <w:numPr>
          <w:ilvl w:val="0"/>
          <w:numId w:val="10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Excludes future minimum payments for short-term and other immaterial leases not included on our Consolidated Balance Sheet.</w:t>
      </w:r>
    </w:p>
    <w:p>
      <w:pPr>
        <w:spacing w:after="0" w:line="98" w:lineRule="exact"/>
        <w:rPr>
          <w:rFonts w:ascii="Times New Roman" w:cs="Times New Roman" w:eastAsia="Times New Roman" w:hAnsi="Times New Roman"/>
          <w:sz w:val="26"/>
          <w:szCs w:val="26"/>
          <w:color w:val="auto"/>
          <w:vertAlign w:val="superscript"/>
        </w:rPr>
      </w:pPr>
    </w:p>
    <w:p>
      <w:pPr>
        <w:ind w:left="720" w:right="280" w:hanging="719"/>
        <w:spacing w:after="0" w:line="232" w:lineRule="auto"/>
        <w:tabs>
          <w:tab w:leader="none" w:pos="720" w:val="left"/>
        </w:tabs>
        <w:numPr>
          <w:ilvl w:val="0"/>
          <w:numId w:val="10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payments of approximately $6 million for each of the years ending 2023 through 2027 and approximately $51 million thereafter associated with leased storage tanks owned by an equity method investee, in which we own a 50% interest.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Lessor</w:t>
      </w:r>
    </w:p>
    <w:p>
      <w:pPr>
        <w:spacing w:after="0" w:line="253" w:lineRule="exact"/>
        <w:rPr>
          <w:sz w:val="20"/>
          <w:szCs w:val="20"/>
          <w:color w:val="auto"/>
        </w:rPr>
      </w:pPr>
    </w:p>
    <w:p>
      <w:pPr>
        <w:ind w:right="120" w:firstLine="713"/>
        <w:spacing w:after="0" w:line="255" w:lineRule="auto"/>
        <w:rPr>
          <w:sz w:val="20"/>
          <w:szCs w:val="20"/>
          <w:color w:val="auto"/>
        </w:rPr>
      </w:pPr>
      <w:r>
        <w:rPr>
          <w:rFonts w:ascii="Times New Roman" w:cs="Times New Roman" w:eastAsia="Times New Roman" w:hAnsi="Times New Roman"/>
          <w:sz w:val="20"/>
          <w:szCs w:val="20"/>
          <w:color w:val="auto"/>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spacing w:after="0" w:line="204" w:lineRule="exact"/>
        <w:rPr>
          <w:sz w:val="20"/>
          <w:szCs w:val="20"/>
          <w:color w:val="auto"/>
        </w:rPr>
      </w:pPr>
    </w:p>
    <w:p>
      <w:pPr>
        <w:ind w:firstLine="713"/>
        <w:spacing w:after="0" w:line="254" w:lineRule="auto"/>
        <w:rPr>
          <w:sz w:val="20"/>
          <w:szCs w:val="20"/>
          <w:color w:val="auto"/>
        </w:rPr>
      </w:pPr>
      <w:r>
        <w:rPr>
          <w:rFonts w:ascii="Times New Roman" w:cs="Times New Roman" w:eastAsia="Times New Roman" w:hAnsi="Times New Roman"/>
          <w:sz w:val="20"/>
          <w:szCs w:val="20"/>
          <w:color w:val="auto"/>
        </w:rPr>
        <w:t>We enter into agreements to conduct activities associated with (i) providing storage services primarily for crude oil and NGL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our lease revenue for the periods indicated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60" w:type="dxa"/>
            <w:vAlign w:val="bottom"/>
            <w:tcBorders>
              <w:bottom w:val="single" w:sz="8" w:color="auto"/>
            </w:tcBorders>
          </w:tcPr>
          <w:p>
            <w:pPr>
              <w:spacing w:after="0"/>
              <w:rPr>
                <w:sz w:val="18"/>
                <w:szCs w:val="18"/>
                <w:color w:val="auto"/>
              </w:rPr>
            </w:pPr>
          </w:p>
        </w:tc>
      </w:tr>
      <w:tr>
        <w:trPr>
          <w:trHeight w:val="232"/>
        </w:trPr>
        <w:tc>
          <w:tcPr>
            <w:tcW w:w="6180" w:type="dxa"/>
            <w:vAlign w:val="bottom"/>
            <w:tcBorders>
              <w:bottom w:val="single" w:sz="8" w:color="E6E6E6"/>
            </w:tcBorders>
          </w:tcPr>
          <w:p>
            <w:pPr>
              <w:spacing w:after="0"/>
              <w:rPr>
                <w:sz w:val="20"/>
                <w:szCs w:val="20"/>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E6E6E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02"/>
        </w:trPr>
        <w:tc>
          <w:tcPr>
            <w:tcW w:w="61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Operating lease revenue </w:t>
            </w:r>
            <w:r>
              <w:rPr>
                <w:rFonts w:ascii="Times New Roman" w:cs="Times New Roman" w:eastAsia="Times New Roman" w:hAnsi="Times New Roman"/>
                <w:sz w:val="25"/>
                <w:szCs w:val="25"/>
                <w:color w:val="auto"/>
                <w:vertAlign w:val="superscript"/>
              </w:rPr>
              <w:t>(1)</w:t>
            </w:r>
          </w:p>
        </w:tc>
        <w:tc>
          <w:tcPr>
            <w:tcW w:w="900" w:type="dxa"/>
            <w:vAlign w:val="bottom"/>
            <w:shd w:val="clear" w:color="auto" w:fill="E6E6E6"/>
          </w:tcPr>
          <w:p>
            <w:pPr>
              <w:jc w:val="right"/>
              <w:ind w:right="65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3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-222250</wp:posOffset>
            </wp:positionV>
            <wp:extent cx="2577465" cy="501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60">
                      <a:extLst>
                        <a:ext uri="{28A0092B-C50C-407E-A947-70E740481C1C}"/>
                      </a:extLst>
                    </a:blip>
                    <a:srcRect/>
                    <a:stretch>
                      <a:fillRect/>
                    </a:stretch>
                  </pic:blipFill>
                  <pic:spPr bwMode="auto">
                    <a:xfrm>
                      <a:off x="0" y="0"/>
                      <a:ext cx="2577465"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109855</wp:posOffset>
                </wp:positionV>
                <wp:extent cx="222504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040"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8.65pt" to="175.25pt,8.65pt" o:allowincell="f" strokecolor="#000000" strokeweight="0.99pt"/>
            </w:pict>
          </mc:Fallback>
        </mc:AlternateContent>
      </w:r>
    </w:p>
    <w:p>
      <w:pPr>
        <w:spacing w:after="0" w:line="150" w:lineRule="exact"/>
        <w:rPr>
          <w:sz w:val="20"/>
          <w:szCs w:val="20"/>
          <w:color w:val="auto"/>
        </w:rPr>
      </w:pPr>
    </w:p>
    <w:p>
      <w:pPr>
        <w:ind w:left="720" w:hanging="719"/>
        <w:spacing w:after="0"/>
        <w:tabs>
          <w:tab w:leader="none" w:pos="720" w:val="left"/>
        </w:tabs>
        <w:numPr>
          <w:ilvl w:val="0"/>
          <w:numId w:val="10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These amounts are included in “Services revenues” on our Consolidated Statements of Operations.</w:t>
      </w:r>
    </w:p>
    <w:p>
      <w:pPr>
        <w:spacing w:after="0" w:line="216" w:lineRule="exact"/>
        <w:rPr>
          <w:sz w:val="20"/>
          <w:szCs w:val="20"/>
          <w:color w:val="auto"/>
        </w:rPr>
      </w:pPr>
    </w:p>
    <w:p>
      <w:pPr>
        <w:ind w:right="240" w:firstLine="713"/>
        <w:spacing w:after="0" w:line="258" w:lineRule="auto"/>
        <w:rPr>
          <w:sz w:val="20"/>
          <w:szCs w:val="20"/>
          <w:color w:val="auto"/>
        </w:rPr>
      </w:pPr>
      <w:r>
        <w:rPr>
          <w:rFonts w:ascii="Times New Roman" w:cs="Times New Roman" w:eastAsia="Times New Roman" w:hAnsi="Times New Roman"/>
          <w:sz w:val="20"/>
          <w:szCs w:val="20"/>
          <w:color w:val="auto"/>
        </w:rPr>
        <w:t>The table below presents the maturity of lease payments for operating lease agreements in effect as of December 31, 2022. This presentation includes minimum fixed lease payments and does not include an estimate of variable lease consideration. These agreements have remaining lease terms ranging from one year to 19 years. The following table presents the undiscounted cash flows expected to be received related to these agreements (in millions):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80" w:type="dxa"/>
            <w:vAlign w:val="bottom"/>
            <w:tcBorders>
              <w:bottom w:val="single" w:sz="8" w:color="E6E6E6"/>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7"/>
              </w:rPr>
              <w:t>Thereafter</w:t>
            </w:r>
          </w:p>
        </w:tc>
      </w:tr>
      <w:tr>
        <w:trPr>
          <w:trHeight w:val="302"/>
        </w:trPr>
        <w:tc>
          <w:tcPr>
            <w:tcW w:w="34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Future minimum lease revenue</w:t>
            </w:r>
          </w:p>
        </w:tc>
        <w:tc>
          <w:tcPr>
            <w:tcW w:w="720" w:type="dxa"/>
            <w:vAlign w:val="bottom"/>
            <w:shd w:val="clear" w:color="auto" w:fill="E6E6E6"/>
          </w:tcPr>
          <w:p>
            <w:pPr>
              <w:jc w:val="right"/>
              <w:ind w:right="47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0" w:type="dxa"/>
            <w:vAlign w:val="bottom"/>
            <w:gridSpan w:val="2"/>
            <w:shd w:val="clear" w:color="auto" w:fill="E6E6E6"/>
          </w:tcPr>
          <w:p>
            <w:pPr>
              <w:jc w:val="right"/>
              <w:ind w:right="50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780" w:type="dxa"/>
            <w:vAlign w:val="bottom"/>
            <w:gridSpan w:val="2"/>
            <w:shd w:val="clear" w:color="auto" w:fill="E6E6E6"/>
          </w:tcPr>
          <w:p>
            <w:pPr>
              <w:jc w:val="right"/>
              <w:ind w:right="48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0" w:type="dxa"/>
            <w:vAlign w:val="bottom"/>
            <w:gridSpan w:val="2"/>
            <w:shd w:val="clear" w:color="auto" w:fill="E6E6E6"/>
          </w:tcPr>
          <w:p>
            <w:pPr>
              <w:jc w:val="right"/>
              <w:ind w:right="48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0" w:type="dxa"/>
            <w:vAlign w:val="bottom"/>
            <w:gridSpan w:val="2"/>
            <w:shd w:val="clear" w:color="auto" w:fill="E6E6E6"/>
          </w:tcPr>
          <w:p>
            <w:pPr>
              <w:jc w:val="right"/>
              <w:ind w:right="50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2210435</wp:posOffset>
            </wp:positionH>
            <wp:positionV relativeFrom="paragraph">
              <wp:posOffset>-222250</wp:posOffset>
            </wp:positionV>
            <wp:extent cx="4246245" cy="501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61">
                      <a:extLst>
                        <a:ext uri="{28A0092B-C50C-407E-A947-70E740481C1C}"/>
                      </a:extLst>
                    </a:blip>
                    <a:srcRect/>
                    <a:stretch>
                      <a:fillRect/>
                    </a:stretch>
                  </pic:blipFill>
                  <pic:spPr bwMode="auto">
                    <a:xfrm>
                      <a:off x="0" y="0"/>
                      <a:ext cx="4246245" cy="5016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15—Income Taxes</w:t>
      </w:r>
    </w:p>
    <w:p>
      <w:pPr>
        <w:spacing w:after="0" w:line="252" w:lineRule="exact"/>
        <w:rPr>
          <w:sz w:val="20"/>
          <w:szCs w:val="20"/>
          <w:color w:val="auto"/>
        </w:rPr>
      </w:pPr>
    </w:p>
    <w:p>
      <w:pPr>
        <w:ind w:right="80" w:firstLine="713"/>
        <w:spacing w:after="0" w:line="253" w:lineRule="auto"/>
        <w:rPr>
          <w:sz w:val="20"/>
          <w:szCs w:val="20"/>
          <w:color w:val="auto"/>
        </w:rPr>
      </w:pPr>
      <w:r>
        <w:rPr>
          <w:rFonts w:ascii="Times New Roman" w:cs="Times New Roman" w:eastAsia="Times New Roman" w:hAnsi="Times New Roman"/>
          <w:sz w:val="20"/>
          <w:szCs w:val="20"/>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204" w:lineRule="exact"/>
        <w:rPr>
          <w:sz w:val="20"/>
          <w:szCs w:val="20"/>
          <w:color w:val="auto"/>
        </w:rPr>
      </w:pPr>
    </w:p>
    <w:p>
      <w:pPr>
        <w:ind w:right="160" w:firstLine="713"/>
        <w:spacing w:after="0" w:line="255" w:lineRule="auto"/>
        <w:rPr>
          <w:sz w:val="20"/>
          <w:szCs w:val="20"/>
          <w:color w:val="auto"/>
        </w:rPr>
      </w:pPr>
      <w:r>
        <w:rPr>
          <w:rFonts w:ascii="Times New Roman" w:cs="Times New Roman" w:eastAsia="Times New Roman" w:hAnsi="Times New Roman"/>
          <w:sz w:val="20"/>
          <w:szCs w:val="20"/>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2022 and 2021, we had not recognized any material amounts in connection with uncertainty in income taxes.</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F-48</w:t>
      </w:r>
    </w:p>
    <w:p>
      <w:pPr>
        <w:sectPr>
          <w:pgSz w:w="11880" w:h="15480" w:orient="portrait"/>
          <w:cols w:equalWidth="0" w:num="1">
            <w:col w:w="10160"/>
          </w:cols>
          <w:pgMar w:left="860" w:top="435" w:right="860" w:bottom="0" w:gutter="0" w:footer="0" w:header="0"/>
          <w:type w:val="continuous"/>
        </w:sectPr>
      </w:pPr>
    </w:p>
    <w:bookmarkStart w:id="152" w:name="page153"/>
    <w:bookmarkEnd w:id="152"/>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Federal and State Taxes</w:t>
      </w:r>
    </w:p>
    <w:p>
      <w:pPr>
        <w:spacing w:after="0" w:line="253" w:lineRule="exact"/>
        <w:rPr>
          <w:sz w:val="20"/>
          <w:szCs w:val="20"/>
          <w:color w:val="auto"/>
        </w:rPr>
      </w:pPr>
    </w:p>
    <w:p>
      <w:pPr>
        <w:ind w:right="40" w:firstLine="713"/>
        <w:spacing w:after="0" w:line="263" w:lineRule="auto"/>
        <w:rPr>
          <w:sz w:val="20"/>
          <w:szCs w:val="20"/>
          <w:color w:val="auto"/>
        </w:rPr>
      </w:pPr>
      <w:r>
        <w:rPr>
          <w:rFonts w:ascii="Times New Roman" w:cs="Times New Roman" w:eastAsia="Times New Roman" w:hAnsi="Times New Roman"/>
          <w:sz w:val="20"/>
          <w:szCs w:val="20"/>
          <w:color w:val="auto"/>
        </w:rPr>
        <w:t>As an MLP, we are not subject to U.S. federal income taxes; rather the tax effect of our operations is passed through to our unitholders. Although we are subject to state income taxes in some states, the impact to the years ended December 31, 2022, 2021, and 2020 was immaterial.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Canadian Federal and Provincial Taxes</w:t>
      </w:r>
    </w:p>
    <w:p>
      <w:pPr>
        <w:spacing w:after="0" w:line="253" w:lineRule="exact"/>
        <w:rPr>
          <w:sz w:val="20"/>
          <w:szCs w:val="20"/>
          <w:color w:val="auto"/>
        </w:rPr>
      </w:pPr>
    </w:p>
    <w:p>
      <w:pPr>
        <w:ind w:right="220" w:firstLine="713"/>
        <w:spacing w:after="0" w:line="258" w:lineRule="auto"/>
        <w:rPr>
          <w:sz w:val="20"/>
          <w:szCs w:val="20"/>
          <w:color w:val="auto"/>
        </w:rPr>
      </w:pPr>
      <w:r>
        <w:rPr>
          <w:rFonts w:ascii="Times New Roman" w:cs="Times New Roman" w:eastAsia="Times New Roman" w:hAnsi="Times New Roman"/>
          <w:sz w:val="20"/>
          <w:szCs w:val="20"/>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Components</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Components of income tax expense are as follows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18"/>
        </w:trPr>
        <w:tc>
          <w:tcPr>
            <w:tcW w:w="6120" w:type="dxa"/>
            <w:vAlign w:val="bottom"/>
            <w:tcBorders>
              <w:bottom w:val="single" w:sz="8" w:color="E6E6E6"/>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2"/>
        </w:trPr>
        <w:tc>
          <w:tcPr>
            <w:tcW w:w="61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Current income tax expense:</w:t>
            </w:r>
          </w:p>
        </w:tc>
        <w:tc>
          <w:tcPr>
            <w:tcW w:w="860" w:type="dxa"/>
            <w:vAlign w:val="bottom"/>
            <w:shd w:val="clear" w:color="auto" w:fill="E6E6E6"/>
          </w:tcPr>
          <w:p>
            <w:pPr>
              <w:spacing w:after="0"/>
              <w:rPr>
                <w:sz w:val="23"/>
                <w:szCs w:val="23"/>
                <w:color w:val="auto"/>
              </w:rPr>
            </w:pPr>
          </w:p>
        </w:tc>
        <w:tc>
          <w:tcPr>
            <w:tcW w:w="4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980" w:type="dxa"/>
            <w:vAlign w:val="bottom"/>
            <w:shd w:val="clear" w:color="auto" w:fill="E6E6E6"/>
          </w:tcPr>
          <w:p>
            <w:pPr>
              <w:spacing w:after="0"/>
              <w:rPr>
                <w:sz w:val="23"/>
                <w:szCs w:val="23"/>
                <w:color w:val="auto"/>
              </w:rPr>
            </w:pPr>
          </w:p>
        </w:tc>
      </w:tr>
      <w:tr>
        <w:trPr>
          <w:trHeight w:val="276"/>
        </w:trPr>
        <w:tc>
          <w:tcPr>
            <w:tcW w:w="6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 income tax</w:t>
            </w:r>
          </w:p>
        </w:tc>
        <w:tc>
          <w:tcPr>
            <w:tcW w:w="860" w:type="dxa"/>
            <w:vAlign w:val="bottom"/>
          </w:tcPr>
          <w:p>
            <w:pPr>
              <w:jc w:val="right"/>
              <w:ind w:right="604"/>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0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40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6120" w:type="dxa"/>
            <w:vAlign w:val="bottom"/>
            <w:tcBorders>
              <w:bottom w:val="single" w:sz="8" w:color="E6E6E6"/>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Canadian federal and provincial income tax</w:t>
            </w:r>
          </w:p>
        </w:tc>
        <w:tc>
          <w:tcPr>
            <w:tcW w:w="860" w:type="dxa"/>
            <w:vAlign w:val="bottom"/>
            <w:tcBorders>
              <w:bottom w:val="single" w:sz="8" w:color="auto"/>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43"/>
        </w:trPr>
        <w:tc>
          <w:tcPr>
            <w:tcW w:w="6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current income tax expense</w:t>
            </w:r>
          </w:p>
        </w:tc>
        <w:tc>
          <w:tcPr>
            <w:tcW w:w="860" w:type="dxa"/>
            <w:vAlign w:val="bottom"/>
          </w:tcPr>
          <w:p>
            <w:pPr>
              <w:jc w:val="right"/>
              <w:ind w:right="604"/>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40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40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72"/>
        </w:trPr>
        <w:tc>
          <w:tcPr>
            <w:tcW w:w="6120" w:type="dxa"/>
            <w:vAlign w:val="bottom"/>
            <w:tcBorders>
              <w:top w:val="single" w:sz="8" w:color="E6E6E6"/>
            </w:tcBorders>
            <w:shd w:val="clear" w:color="auto" w:fill="E6E6E6"/>
          </w:tcPr>
          <w:p>
            <w:pPr>
              <w:spacing w:after="0"/>
              <w:rPr>
                <w:sz w:val="23"/>
                <w:szCs w:val="23"/>
                <w:color w:val="auto"/>
              </w:rPr>
            </w:pPr>
          </w:p>
        </w:tc>
        <w:tc>
          <w:tcPr>
            <w:tcW w:w="860" w:type="dxa"/>
            <w:vAlign w:val="bottom"/>
            <w:tcBorders>
              <w:top w:val="single" w:sz="8" w:color="auto"/>
            </w:tcBorders>
            <w:shd w:val="clear" w:color="auto" w:fill="E6E6E6"/>
          </w:tcPr>
          <w:p>
            <w:pPr>
              <w:spacing w:after="0"/>
              <w:rPr>
                <w:sz w:val="23"/>
                <w:szCs w:val="23"/>
                <w:color w:val="auto"/>
              </w:rPr>
            </w:pPr>
          </w:p>
        </w:tc>
        <w:tc>
          <w:tcPr>
            <w:tcW w:w="44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320" w:type="dxa"/>
            <w:vAlign w:val="bottom"/>
            <w:tcBorders>
              <w:top w:val="single" w:sz="8" w:color="auto"/>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320" w:type="dxa"/>
            <w:vAlign w:val="bottom"/>
            <w:tcBorders>
              <w:top w:val="single" w:sz="8" w:color="auto"/>
            </w:tcBorders>
            <w:shd w:val="clear" w:color="auto" w:fill="E6E6E6"/>
          </w:tcPr>
          <w:p>
            <w:pPr>
              <w:spacing w:after="0"/>
              <w:rPr>
                <w:sz w:val="23"/>
                <w:szCs w:val="23"/>
                <w:color w:val="auto"/>
              </w:rPr>
            </w:pPr>
          </w:p>
        </w:tc>
        <w:tc>
          <w:tcPr>
            <w:tcW w:w="980" w:type="dxa"/>
            <w:vAlign w:val="bottom"/>
            <w:tcBorders>
              <w:top w:val="single" w:sz="8" w:color="auto"/>
            </w:tcBorders>
            <w:shd w:val="clear" w:color="auto" w:fill="E6E6E6"/>
          </w:tcPr>
          <w:p>
            <w:pPr>
              <w:spacing w:after="0"/>
              <w:rPr>
                <w:sz w:val="23"/>
                <w:szCs w:val="23"/>
                <w:color w:val="auto"/>
              </w:rPr>
            </w:pPr>
          </w:p>
        </w:tc>
      </w:tr>
      <w:tr>
        <w:trPr>
          <w:trHeight w:val="276"/>
        </w:trPr>
        <w:tc>
          <w:tcPr>
            <w:tcW w:w="6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Deferred income tax expense/(benefit):</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6120" w:type="dxa"/>
            <w:vAlign w:val="bottom"/>
            <w:tcBorders>
              <w:bottom w:val="single" w:sz="8" w:color="E6E6E6"/>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Canadian federal and provincial income tax</w:t>
            </w:r>
          </w:p>
        </w:tc>
        <w:tc>
          <w:tcPr>
            <w:tcW w:w="860" w:type="dxa"/>
            <w:vAlign w:val="bottom"/>
            <w:tcBorders>
              <w:bottom w:val="single" w:sz="8" w:color="auto"/>
            </w:tcBorders>
            <w:shd w:val="clear" w:color="auto" w:fill="E6E6E6"/>
          </w:tcPr>
          <w:p>
            <w:pPr>
              <w:jc w:val="right"/>
              <w:ind w:right="604"/>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43"/>
        </w:trPr>
        <w:tc>
          <w:tcPr>
            <w:tcW w:w="61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Total deferred income tax expense/(benefit)</w:t>
            </w:r>
          </w:p>
        </w:tc>
        <w:tc>
          <w:tcPr>
            <w:tcW w:w="8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82"/>
        </w:trPr>
        <w:tc>
          <w:tcPr>
            <w:tcW w:w="612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Total income tax expense/(benefit)</w:t>
            </w:r>
          </w:p>
        </w:tc>
        <w:tc>
          <w:tcPr>
            <w:tcW w:w="860" w:type="dxa"/>
            <w:vAlign w:val="bottom"/>
            <w:tcBorders>
              <w:bottom w:val="single" w:sz="8" w:color="auto"/>
            </w:tcBorders>
            <w:shd w:val="clear" w:color="auto" w:fill="E6E6E6"/>
          </w:tcPr>
          <w:p>
            <w:pPr>
              <w:jc w:val="right"/>
              <w:ind w:right="604"/>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-1656080</wp:posOffset>
            </wp:positionV>
            <wp:extent cx="2606040" cy="501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62">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-1118235</wp:posOffset>
            </wp:positionV>
            <wp:extent cx="2606040" cy="501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63">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-939165</wp:posOffset>
            </wp:positionV>
            <wp:extent cx="2606040" cy="501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64">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-401955</wp:posOffset>
            </wp:positionV>
            <wp:extent cx="2606040" cy="501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65">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-222250</wp:posOffset>
            </wp:positionV>
            <wp:extent cx="2606040" cy="501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66">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-55880</wp:posOffset>
            </wp:positionV>
            <wp:extent cx="2606040" cy="755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67">
                      <a:extLst>
                        <a:ext uri="{28A0092B-C50C-407E-A947-70E740481C1C}"/>
                      </a:extLst>
                    </a:blip>
                    <a:srcRect/>
                    <a:stretch>
                      <a:fillRect/>
                    </a:stretch>
                  </pic:blipFill>
                  <pic:spPr bwMode="auto">
                    <a:xfrm>
                      <a:off x="0" y="0"/>
                      <a:ext cx="2606040" cy="75565"/>
                    </a:xfrm>
                    <a:prstGeom prst="rect">
                      <a:avLst/>
                    </a:prstGeom>
                    <a:noFill/>
                  </pic:spPr>
                </pic:pic>
              </a:graphicData>
            </a:graphic>
          </wp:anchor>
        </w:drawing>
      </w:r>
    </w:p>
    <w:p>
      <w:pPr>
        <w:spacing w:after="0" w:line="225" w:lineRule="exact"/>
        <w:rPr>
          <w:sz w:val="20"/>
          <w:szCs w:val="20"/>
          <w:color w:val="auto"/>
        </w:rPr>
      </w:pPr>
    </w:p>
    <w:p>
      <w:pPr>
        <w:jc w:val="both"/>
        <w:ind w:right="20" w:firstLine="713"/>
        <w:spacing w:after="0" w:line="278" w:lineRule="auto"/>
        <w:rPr>
          <w:sz w:val="20"/>
          <w:szCs w:val="20"/>
          <w:color w:val="auto"/>
        </w:rPr>
      </w:pPr>
      <w:r>
        <w:rPr>
          <w:rFonts w:ascii="Times New Roman" w:cs="Times New Roman" w:eastAsia="Times New Roman" w:hAnsi="Times New Roman"/>
          <w:sz w:val="20"/>
          <w:szCs w:val="20"/>
          <w:color w:val="auto"/>
        </w:rPr>
        <w:t>The difference between income tax expense based on the statutory federal income tax rate and our effective income tax expense is summarized as follows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2"/>
        </w:trPr>
        <w:tc>
          <w:tcPr>
            <w:tcW w:w="61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61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Income/(loss) before tax</w:t>
            </w:r>
          </w:p>
        </w:tc>
        <w:tc>
          <w:tcPr>
            <w:tcW w:w="320" w:type="dxa"/>
            <w:vAlign w:val="bottom"/>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ind w:right="45"/>
              <w:spacing w:after="0"/>
              <w:rPr>
                <w:sz w:val="20"/>
                <w:szCs w:val="20"/>
                <w:color w:val="auto"/>
              </w:rPr>
            </w:pPr>
            <w:r>
              <w:rPr>
                <w:rFonts w:ascii="Times New Roman" w:cs="Times New Roman" w:eastAsia="Times New Roman" w:hAnsi="Times New Roman"/>
                <w:sz w:val="20"/>
                <w:szCs w:val="20"/>
                <w:color w:val="auto"/>
              </w:rPr>
              <w:t>1,417</w:t>
            </w:r>
          </w:p>
        </w:tc>
        <w:tc>
          <w:tcPr>
            <w:tcW w:w="4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ind w:right="23"/>
              <w:spacing w:after="0"/>
              <w:rPr>
                <w:sz w:val="20"/>
                <w:szCs w:val="20"/>
                <w:color w:val="auto"/>
              </w:rPr>
            </w:pPr>
            <w:r>
              <w:rPr>
                <w:rFonts w:ascii="Times New Roman" w:cs="Times New Roman" w:eastAsia="Times New Roman" w:hAnsi="Times New Roman"/>
                <w:sz w:val="20"/>
                <w:szCs w:val="20"/>
                <w:color w:val="auto"/>
              </w:rPr>
              <w:t>721</w:t>
            </w:r>
          </w:p>
        </w:tc>
        <w:tc>
          <w:tcPr>
            <w:tcW w:w="400" w:type="dxa"/>
            <w:vAlign w:val="bottom"/>
            <w:gridSpan w:val="2"/>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ind w:right="43"/>
              <w:spacing w:after="0"/>
              <w:rPr>
                <w:sz w:val="20"/>
                <w:szCs w:val="20"/>
                <w:color w:val="auto"/>
              </w:rPr>
            </w:pPr>
            <w:r>
              <w:rPr>
                <w:rFonts w:ascii="Times New Roman" w:cs="Times New Roman" w:eastAsia="Times New Roman" w:hAnsi="Times New Roman"/>
                <w:sz w:val="20"/>
                <w:szCs w:val="20"/>
                <w:color w:val="auto"/>
              </w:rPr>
              <w:t>(2,599)</w:t>
            </w:r>
          </w:p>
        </w:tc>
      </w:tr>
      <w:tr>
        <w:trPr>
          <w:trHeight w:val="287"/>
        </w:trPr>
        <w:tc>
          <w:tcPr>
            <w:tcW w:w="61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Partnership (earnings)/loss not subject to current Canadian tax</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20"/>
                <w:szCs w:val="20"/>
                <w:color w:val="auto"/>
              </w:rPr>
              <w:t>(686)</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(370)</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20"/>
                <w:szCs w:val="20"/>
                <w:color w:val="auto"/>
              </w:rPr>
              <w:t>2,221</w:t>
            </w:r>
          </w:p>
        </w:tc>
      </w:tr>
      <w:tr>
        <w:trPr>
          <w:trHeight w:val="287"/>
        </w:trPr>
        <w:tc>
          <w:tcPr>
            <w:tcW w:w="612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ind w:right="45"/>
              <w:spacing w:after="0"/>
              <w:rPr>
                <w:sz w:val="20"/>
                <w:szCs w:val="20"/>
                <w:color w:val="auto"/>
              </w:rPr>
            </w:pPr>
            <w:r>
              <w:rPr>
                <w:rFonts w:ascii="Times New Roman" w:cs="Times New Roman" w:eastAsia="Times New Roman" w:hAnsi="Times New Roman"/>
                <w:sz w:val="20"/>
                <w:szCs w:val="20"/>
                <w:color w:val="auto"/>
              </w:rPr>
              <w:t>731</w:t>
            </w:r>
          </w:p>
        </w:tc>
        <w:tc>
          <w:tcPr>
            <w:tcW w:w="4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ind w:right="23"/>
              <w:spacing w:after="0"/>
              <w:rPr>
                <w:sz w:val="20"/>
                <w:szCs w:val="20"/>
                <w:color w:val="auto"/>
              </w:rPr>
            </w:pPr>
            <w:r>
              <w:rPr>
                <w:rFonts w:ascii="Times New Roman" w:cs="Times New Roman" w:eastAsia="Times New Roman" w:hAnsi="Times New Roman"/>
                <w:sz w:val="20"/>
                <w:szCs w:val="20"/>
                <w:color w:val="auto"/>
              </w:rPr>
              <w:t>351</w:t>
            </w:r>
          </w:p>
        </w:tc>
        <w:tc>
          <w:tcPr>
            <w:tcW w:w="400" w:type="dxa"/>
            <w:vAlign w:val="bottom"/>
            <w:gridSpan w:val="2"/>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ind w:right="43"/>
              <w:spacing w:after="0"/>
              <w:rPr>
                <w:sz w:val="20"/>
                <w:szCs w:val="20"/>
                <w:color w:val="auto"/>
              </w:rPr>
            </w:pPr>
            <w:r>
              <w:rPr>
                <w:rFonts w:ascii="Times New Roman" w:cs="Times New Roman" w:eastAsia="Times New Roman" w:hAnsi="Times New Roman"/>
                <w:sz w:val="20"/>
                <w:szCs w:val="20"/>
                <w:color w:val="auto"/>
              </w:rPr>
              <w:t>(378)</w:t>
            </w:r>
          </w:p>
        </w:tc>
      </w:tr>
      <w:tr>
        <w:trPr>
          <w:trHeight w:val="287"/>
        </w:trPr>
        <w:tc>
          <w:tcPr>
            <w:tcW w:w="61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Canadian federal and provincial corporate tax rate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20"/>
                <w:szCs w:val="20"/>
                <w:color w:val="auto"/>
              </w:rPr>
              <w:t>24%</w:t>
            </w:r>
          </w:p>
        </w:tc>
      </w:tr>
      <w:tr>
        <w:trPr>
          <w:trHeight w:val="287"/>
        </w:trPr>
        <w:tc>
          <w:tcPr>
            <w:tcW w:w="61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Income tax expense/(benefit) at statutory rate</w:t>
            </w:r>
          </w:p>
        </w:tc>
        <w:tc>
          <w:tcPr>
            <w:tcW w:w="320" w:type="dxa"/>
            <w:vAlign w:val="bottom"/>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ind w:right="45"/>
              <w:spacing w:after="0"/>
              <w:rPr>
                <w:sz w:val="20"/>
                <w:szCs w:val="20"/>
                <w:color w:val="auto"/>
              </w:rPr>
            </w:pPr>
            <w:r>
              <w:rPr>
                <w:rFonts w:ascii="Times New Roman" w:cs="Times New Roman" w:eastAsia="Times New Roman" w:hAnsi="Times New Roman"/>
                <w:sz w:val="20"/>
                <w:szCs w:val="20"/>
                <w:color w:val="auto"/>
              </w:rPr>
              <w:t>175</w:t>
            </w:r>
          </w:p>
        </w:tc>
        <w:tc>
          <w:tcPr>
            <w:tcW w:w="4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ind w:right="23"/>
              <w:spacing w:after="0"/>
              <w:rPr>
                <w:sz w:val="20"/>
                <w:szCs w:val="20"/>
                <w:color w:val="auto"/>
              </w:rPr>
            </w:pPr>
            <w:r>
              <w:rPr>
                <w:rFonts w:ascii="Times New Roman" w:cs="Times New Roman" w:eastAsia="Times New Roman" w:hAnsi="Times New Roman"/>
                <w:sz w:val="20"/>
                <w:szCs w:val="20"/>
                <w:color w:val="auto"/>
              </w:rPr>
              <w:t>84</w:t>
            </w:r>
          </w:p>
        </w:tc>
        <w:tc>
          <w:tcPr>
            <w:tcW w:w="400" w:type="dxa"/>
            <w:vAlign w:val="bottom"/>
            <w:gridSpan w:val="2"/>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ind w:right="43"/>
              <w:spacing w:after="0"/>
              <w:rPr>
                <w:sz w:val="20"/>
                <w:szCs w:val="20"/>
                <w:color w:val="auto"/>
              </w:rPr>
            </w:pPr>
            <w:r>
              <w:rPr>
                <w:rFonts w:ascii="Times New Roman" w:cs="Times New Roman" w:eastAsia="Times New Roman" w:hAnsi="Times New Roman"/>
                <w:sz w:val="20"/>
                <w:szCs w:val="20"/>
                <w:color w:val="auto"/>
              </w:rPr>
              <w:t>(91)</w:t>
            </w:r>
          </w:p>
        </w:tc>
      </w:tr>
      <w:tr>
        <w:trPr>
          <w:trHeight w:val="282"/>
        </w:trPr>
        <w:tc>
          <w:tcPr>
            <w:tcW w:w="6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61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Canadian permanent differences and rate changes</w:t>
            </w:r>
          </w:p>
        </w:tc>
        <w:tc>
          <w:tcPr>
            <w:tcW w:w="320" w:type="dxa"/>
            <w:vAlign w:val="bottom"/>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ind w:right="45"/>
              <w:spacing w:after="0"/>
              <w:rPr>
                <w:sz w:val="20"/>
                <w:szCs w:val="20"/>
                <w:color w:val="auto"/>
              </w:rPr>
            </w:pPr>
            <w:r>
              <w:rPr>
                <w:rFonts w:ascii="Times New Roman" w:cs="Times New Roman" w:eastAsia="Times New Roman" w:hAnsi="Times New Roman"/>
                <w:sz w:val="20"/>
                <w:szCs w:val="20"/>
                <w:color w:val="auto"/>
              </w:rPr>
              <w:t>13</w:t>
            </w:r>
          </w:p>
        </w:tc>
        <w:tc>
          <w:tcPr>
            <w:tcW w:w="4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ind w:right="23"/>
              <w:spacing w:after="0"/>
              <w:rPr>
                <w:sz w:val="20"/>
                <w:szCs w:val="20"/>
                <w:color w:val="auto"/>
              </w:rPr>
            </w:pPr>
            <w:r>
              <w:rPr>
                <w:rFonts w:ascii="Times New Roman" w:cs="Times New Roman" w:eastAsia="Times New Roman" w:hAnsi="Times New Roman"/>
                <w:sz w:val="20"/>
                <w:szCs w:val="20"/>
                <w:color w:val="auto"/>
              </w:rPr>
              <w:t>(13)</w:t>
            </w:r>
          </w:p>
        </w:tc>
        <w:tc>
          <w:tcPr>
            <w:tcW w:w="400" w:type="dxa"/>
            <w:vAlign w:val="bottom"/>
            <w:gridSpan w:val="2"/>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ind w:right="43"/>
              <w:spacing w:after="0"/>
              <w:rPr>
                <w:sz w:val="20"/>
                <w:szCs w:val="20"/>
                <w:color w:val="auto"/>
              </w:rPr>
            </w:pPr>
            <w:r>
              <w:rPr>
                <w:rFonts w:ascii="Times New Roman" w:cs="Times New Roman" w:eastAsia="Times New Roman" w:hAnsi="Times New Roman"/>
                <w:sz w:val="20"/>
                <w:szCs w:val="20"/>
                <w:color w:val="auto"/>
              </w:rPr>
              <w:t>72</w:t>
            </w:r>
          </w:p>
        </w:tc>
      </w:tr>
      <w:tr>
        <w:trPr>
          <w:trHeight w:val="287"/>
        </w:trPr>
        <w:tc>
          <w:tcPr>
            <w:tcW w:w="612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State income tax</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6120" w:type="dxa"/>
            <w:vAlign w:val="bottom"/>
            <w:tcBorders>
              <w:bottom w:val="single" w:sz="8" w:color="E6E6E6"/>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Total income tax expense/(benefit)</w:t>
            </w:r>
          </w:p>
        </w:tc>
        <w:tc>
          <w:tcPr>
            <w:tcW w:w="320" w:type="dxa"/>
            <w:vAlign w:val="bottom"/>
            <w:tcBorders>
              <w:bottom w:val="single" w:sz="8" w:color="auto"/>
            </w:tcBorders>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6E6E6"/>
          </w:tcPr>
          <w:p>
            <w:pPr>
              <w:jc w:val="right"/>
              <w:ind w:right="45"/>
              <w:spacing w:after="0"/>
              <w:rPr>
                <w:sz w:val="20"/>
                <w:szCs w:val="20"/>
                <w:color w:val="auto"/>
              </w:rPr>
            </w:pPr>
            <w:r>
              <w:rPr>
                <w:rFonts w:ascii="Times New Roman" w:cs="Times New Roman" w:eastAsia="Times New Roman" w:hAnsi="Times New Roman"/>
                <w:sz w:val="20"/>
                <w:szCs w:val="20"/>
                <w:color w:val="auto"/>
              </w:rPr>
              <w:t>189</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E6E6E6"/>
          </w:tcPr>
          <w:p>
            <w:pPr>
              <w:jc w:val="right"/>
              <w:ind w:right="23"/>
              <w:spacing w:after="0"/>
              <w:rPr>
                <w:sz w:val="20"/>
                <w:szCs w:val="20"/>
                <w:color w:val="auto"/>
              </w:rPr>
            </w:pPr>
            <w:r>
              <w:rPr>
                <w:rFonts w:ascii="Times New Roman" w:cs="Times New Roman" w:eastAsia="Times New Roman" w:hAnsi="Times New Roman"/>
                <w:sz w:val="20"/>
                <w:szCs w:val="20"/>
                <w:color w:val="auto"/>
              </w:rPr>
              <w:t>73</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6E6E6"/>
          </w:tcPr>
          <w:p>
            <w:pPr>
              <w:jc w:val="right"/>
              <w:ind w:right="43"/>
              <w:spacing w:after="0"/>
              <w:rPr>
                <w:sz w:val="20"/>
                <w:szCs w:val="20"/>
                <w:color w:val="auto"/>
              </w:rPr>
            </w:pPr>
            <w:r>
              <w:rPr>
                <w:rFonts w:ascii="Times New Roman" w:cs="Times New Roman" w:eastAsia="Times New Roman" w:hAnsi="Times New Roman"/>
                <w:sz w:val="20"/>
                <w:szCs w:val="20"/>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-1731010</wp:posOffset>
            </wp:positionV>
            <wp:extent cx="2606040" cy="501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68">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-1353820</wp:posOffset>
            </wp:positionV>
            <wp:extent cx="2606040" cy="501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69">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-976630</wp:posOffset>
            </wp:positionV>
            <wp:extent cx="2606040" cy="501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70">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-231775</wp:posOffset>
            </wp:positionV>
            <wp:extent cx="2606040" cy="501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71">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-55880</wp:posOffset>
            </wp:positionV>
            <wp:extent cx="2606040" cy="755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72">
                      <a:extLst>
                        <a:ext uri="{28A0092B-C50C-407E-A947-70E740481C1C}"/>
                      </a:extLst>
                    </a:blip>
                    <a:srcRect/>
                    <a:stretch>
                      <a:fillRect/>
                    </a:stretch>
                  </pic:blipFill>
                  <pic:spPr bwMode="auto">
                    <a:xfrm>
                      <a:off x="0" y="0"/>
                      <a:ext cx="2606040" cy="75565"/>
                    </a:xfrm>
                    <a:prstGeom prst="rect">
                      <a:avLst/>
                    </a:prstGeom>
                    <a:noFill/>
                  </pic:spPr>
                </pic:pic>
              </a:graphicData>
            </a:graphic>
          </wp:anchor>
        </w:drawing>
      </w:r>
    </w:p>
    <w:p>
      <w:pPr>
        <w:spacing w:after="0" w:line="225" w:lineRule="exact"/>
        <w:rPr>
          <w:sz w:val="20"/>
          <w:szCs w:val="20"/>
          <w:color w:val="auto"/>
        </w:rPr>
      </w:pPr>
    </w:p>
    <w:p>
      <w:pPr>
        <w:ind w:right="180" w:firstLine="713"/>
        <w:spacing w:after="0" w:line="271" w:lineRule="auto"/>
        <w:rPr>
          <w:sz w:val="20"/>
          <w:szCs w:val="20"/>
          <w:color w:val="auto"/>
        </w:rPr>
      </w:pPr>
      <w:r>
        <w:rPr>
          <w:rFonts w:ascii="Times New Roman" w:cs="Times New Roman" w:eastAsia="Times New Roman" w:hAnsi="Times New Roman"/>
          <w:sz w:val="19"/>
          <w:szCs w:val="19"/>
          <w:color w:val="auto"/>
        </w:rPr>
        <w:t>The Canadian permanent differences and rate changes for the year ended December 31, 2020 primarily related to an impairment of goodwill that was recognized during the year. A portion of the goodwill that was impaired had no basis for Canadian income tax purposes and thus was not a deductible expense in determining taxable income, resulting in a permanent</w:t>
      </w:r>
    </w:p>
    <w:p>
      <w:pPr>
        <w:spacing w:after="0"/>
        <w:rPr>
          <w:sz w:val="20"/>
          <w:szCs w:val="20"/>
          <w:color w:val="auto"/>
        </w:rPr>
      </w:pPr>
      <w:r>
        <w:rPr>
          <w:rFonts w:ascii="Times New Roman" w:cs="Times New Roman" w:eastAsia="Times New Roman" w:hAnsi="Times New Roman"/>
          <w:sz w:val="20"/>
          <w:szCs w:val="20"/>
          <w:color w:val="auto"/>
        </w:rPr>
        <w:t>difference for Canadian tax purposes. See Note 8 for additional information regarding this impairment.</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F-49</w:t>
      </w:r>
    </w:p>
    <w:p>
      <w:pPr>
        <w:sectPr>
          <w:pgSz w:w="11880" w:h="15480" w:orient="portrait"/>
          <w:cols w:equalWidth="0" w:num="1">
            <w:col w:w="10160"/>
          </w:cols>
          <w:pgMar w:left="860" w:top="435" w:right="860" w:bottom="0" w:gutter="0" w:footer="0" w:header="0"/>
          <w:type w:val="continuous"/>
        </w:sectPr>
      </w:pPr>
    </w:p>
    <w:bookmarkStart w:id="153" w:name="page154"/>
    <w:bookmarkEnd w:id="153"/>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280" w:firstLine="713"/>
        <w:spacing w:after="0" w:line="278" w:lineRule="auto"/>
        <w:rPr>
          <w:sz w:val="20"/>
          <w:szCs w:val="20"/>
          <w:color w:val="auto"/>
        </w:rPr>
      </w:pPr>
      <w:r>
        <w:rPr>
          <w:rFonts w:ascii="Times New Roman" w:cs="Times New Roman" w:eastAsia="Times New Roman" w:hAnsi="Times New Roman"/>
          <w:sz w:val="20"/>
          <w:szCs w:val="20"/>
          <w:color w:val="auto"/>
        </w:rPr>
        <w:t>Deferred tax assets and liabilities are aggregated by the applicable tax paying entity and jurisdiction and result from the following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r>
      <w:tr>
        <w:trPr>
          <w:trHeight w:val="232"/>
        </w:trPr>
        <w:tc>
          <w:tcPr>
            <w:tcW w:w="7500" w:type="dxa"/>
            <w:vAlign w:val="bottom"/>
            <w:tcBorders>
              <w:bottom w:val="single" w:sz="8" w:color="E6E6E6"/>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87"/>
        </w:trPr>
        <w:tc>
          <w:tcPr>
            <w:tcW w:w="75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Deferred tax assets:</w:t>
            </w:r>
          </w:p>
        </w:tc>
        <w:tc>
          <w:tcPr>
            <w:tcW w:w="82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r>
      <w:tr>
        <w:trPr>
          <w:trHeight w:val="291"/>
        </w:trPr>
        <w:tc>
          <w:tcPr>
            <w:tcW w:w="7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instruments</w:t>
            </w:r>
          </w:p>
        </w:tc>
        <w:tc>
          <w:tcPr>
            <w:tcW w:w="820" w:type="dxa"/>
            <w:vAlign w:val="bottom"/>
          </w:tcPr>
          <w:p>
            <w:pPr>
              <w:jc w:val="right"/>
              <w:ind w:right="585"/>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03"/>
        </w:trPr>
        <w:tc>
          <w:tcPr>
            <w:tcW w:w="75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Lease liabilities</w:t>
            </w:r>
          </w:p>
        </w:tc>
        <w:tc>
          <w:tcPr>
            <w:tcW w:w="820" w:type="dxa"/>
            <w:vAlign w:val="bottom"/>
            <w:shd w:val="clear" w:color="auto" w:fill="E6E6E6"/>
          </w:tcPr>
          <w:p>
            <w:pPr>
              <w:spacing w:after="0"/>
              <w:rPr>
                <w:sz w:val="24"/>
                <w:szCs w:val="24"/>
                <w:color w:val="auto"/>
              </w:rPr>
            </w:pPr>
          </w:p>
        </w:tc>
        <w:tc>
          <w:tcPr>
            <w:tcW w:w="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91"/>
        </w:trPr>
        <w:tc>
          <w:tcPr>
            <w:tcW w:w="7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losses</w:t>
            </w:r>
          </w:p>
        </w:tc>
        <w:tc>
          <w:tcPr>
            <w:tcW w:w="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93"/>
        </w:trPr>
        <w:tc>
          <w:tcPr>
            <w:tcW w:w="750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820" w:type="dxa"/>
            <w:vAlign w:val="bottom"/>
            <w:tcBorders>
              <w:bottom w:val="single" w:sz="8" w:color="auto"/>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1"/>
        </w:trPr>
        <w:tc>
          <w:tcPr>
            <w:tcW w:w="7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88"/>
        </w:trPr>
        <w:tc>
          <w:tcPr>
            <w:tcW w:w="750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r>
      <w:tr>
        <w:trPr>
          <w:trHeight w:val="291"/>
        </w:trPr>
        <w:tc>
          <w:tcPr>
            <w:tcW w:w="7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Deferred tax liabilities:</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75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Property and equipment in excess of tax values</w:t>
            </w:r>
          </w:p>
        </w:tc>
        <w:tc>
          <w:tcPr>
            <w:tcW w:w="820" w:type="dxa"/>
            <w:vAlign w:val="bottom"/>
            <w:shd w:val="clear" w:color="auto" w:fill="E6E6E6"/>
          </w:tcPr>
          <w:p>
            <w:pPr>
              <w:spacing w:after="0"/>
              <w:rPr>
                <w:sz w:val="24"/>
                <w:szCs w:val="24"/>
                <w:color w:val="auto"/>
              </w:rPr>
            </w:pPr>
          </w:p>
        </w:tc>
        <w:tc>
          <w:tcPr>
            <w:tcW w:w="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(515)</w:t>
            </w: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(531)</w:t>
            </w:r>
          </w:p>
        </w:tc>
      </w:tr>
      <w:tr>
        <w:trPr>
          <w:trHeight w:val="276"/>
        </w:trPr>
        <w:tc>
          <w:tcPr>
            <w:tcW w:w="7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instruments</w:t>
            </w:r>
          </w:p>
        </w:tc>
        <w:tc>
          <w:tcPr>
            <w:tcW w:w="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5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Lease assets</w:t>
            </w:r>
          </w:p>
        </w:tc>
        <w:tc>
          <w:tcPr>
            <w:tcW w:w="820" w:type="dxa"/>
            <w:vAlign w:val="bottom"/>
            <w:shd w:val="clear" w:color="auto" w:fill="E6E6E6"/>
          </w:tcPr>
          <w:p>
            <w:pPr>
              <w:spacing w:after="0"/>
              <w:rPr>
                <w:sz w:val="24"/>
                <w:szCs w:val="24"/>
                <w:color w:val="auto"/>
              </w:rPr>
            </w:pPr>
          </w:p>
        </w:tc>
        <w:tc>
          <w:tcPr>
            <w:tcW w:w="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72"/>
        </w:trPr>
        <w:tc>
          <w:tcPr>
            <w:tcW w:w="750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8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Borders>
              <w:bottom w:val="single" w:sz="8" w:color="E6E6E6"/>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77"/>
        </w:trPr>
        <w:tc>
          <w:tcPr>
            <w:tcW w:w="750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820" w:type="dxa"/>
            <w:vAlign w:val="bottom"/>
            <w:tcBorders>
              <w:bottom w:val="single" w:sz="8" w:color="auto"/>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(606)</w:t>
            </w:r>
          </w:p>
        </w:tc>
        <w:tc>
          <w:tcPr>
            <w:tcW w:w="8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(581)</w:t>
            </w:r>
          </w:p>
        </w:tc>
      </w:tr>
      <w:tr>
        <w:trPr>
          <w:trHeight w:val="297"/>
        </w:trPr>
        <w:tc>
          <w:tcPr>
            <w:tcW w:w="7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deferred tax liabilities</w:t>
            </w:r>
          </w:p>
        </w:tc>
        <w:tc>
          <w:tcPr>
            <w:tcW w:w="820" w:type="dxa"/>
            <w:vAlign w:val="bottom"/>
          </w:tcPr>
          <w:p>
            <w:pPr>
              <w:jc w:val="right"/>
              <w:ind w:right="585"/>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54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w:t>
            </w:r>
          </w:p>
        </w:tc>
      </w:tr>
      <w:tr>
        <w:trPr>
          <w:trHeight w:val="252"/>
        </w:trPr>
        <w:tc>
          <w:tcPr>
            <w:tcW w:w="7500" w:type="dxa"/>
            <w:vAlign w:val="bottom"/>
            <w:tcBorders>
              <w:top w:val="single" w:sz="8" w:color="E6E6E6"/>
            </w:tcBorders>
            <w:shd w:val="clear" w:color="auto" w:fill="E6E6E6"/>
          </w:tcPr>
          <w:p>
            <w:pPr>
              <w:spacing w:after="0"/>
              <w:rPr>
                <w:sz w:val="21"/>
                <w:szCs w:val="21"/>
                <w:color w:val="auto"/>
              </w:rPr>
            </w:pPr>
          </w:p>
        </w:tc>
        <w:tc>
          <w:tcPr>
            <w:tcW w:w="820" w:type="dxa"/>
            <w:vAlign w:val="bottom"/>
            <w:tcBorders>
              <w:top w:val="single" w:sz="8" w:color="auto"/>
            </w:tcBorders>
            <w:shd w:val="clear" w:color="auto" w:fill="E6E6E6"/>
          </w:tcPr>
          <w:p>
            <w:pPr>
              <w:spacing w:after="0"/>
              <w:rPr>
                <w:sz w:val="21"/>
                <w:szCs w:val="21"/>
                <w:color w:val="auto"/>
              </w:rPr>
            </w:pPr>
          </w:p>
        </w:tc>
        <w:tc>
          <w:tcPr>
            <w:tcW w:w="46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460" w:type="dxa"/>
            <w:vAlign w:val="bottom"/>
            <w:tcBorders>
              <w:top w:val="single" w:sz="8" w:color="auto"/>
            </w:tcBorders>
            <w:shd w:val="clear" w:color="auto" w:fill="E6E6E6"/>
          </w:tcPr>
          <w:p>
            <w:pPr>
              <w:spacing w:after="0"/>
              <w:rPr>
                <w:sz w:val="21"/>
                <w:szCs w:val="21"/>
                <w:color w:val="auto"/>
              </w:rPr>
            </w:pPr>
          </w:p>
        </w:tc>
        <w:tc>
          <w:tcPr>
            <w:tcW w:w="840" w:type="dxa"/>
            <w:vAlign w:val="bottom"/>
            <w:tcBorders>
              <w:top w:val="single" w:sz="8" w:color="auto"/>
            </w:tcBorders>
            <w:shd w:val="clear" w:color="auto" w:fill="E6E6E6"/>
          </w:tcPr>
          <w:p>
            <w:pPr>
              <w:spacing w:after="0"/>
              <w:rPr>
                <w:sz w:val="21"/>
                <w:szCs w:val="21"/>
                <w:color w:val="auto"/>
              </w:rPr>
            </w:pPr>
          </w:p>
        </w:tc>
      </w:tr>
      <w:tr>
        <w:trPr>
          <w:trHeight w:val="291"/>
        </w:trPr>
        <w:tc>
          <w:tcPr>
            <w:tcW w:w="7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Balance sheet classification of deferred tax assets/(liabilities):</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3"/>
        </w:trPr>
        <w:tc>
          <w:tcPr>
            <w:tcW w:w="75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Other long-term assets, net</w:t>
            </w:r>
          </w:p>
        </w:tc>
        <w:tc>
          <w:tcPr>
            <w:tcW w:w="820" w:type="dxa"/>
            <w:vAlign w:val="bottom"/>
            <w:shd w:val="clear" w:color="auto" w:fill="E6E6E6"/>
          </w:tcPr>
          <w:p>
            <w:pPr>
              <w:jc w:val="right"/>
              <w:ind w:right="585"/>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2"/>
            <w:shd w:val="clear" w:color="auto" w:fill="E6E6E6"/>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7"/>
        </w:trPr>
        <w:tc>
          <w:tcPr>
            <w:tcW w:w="750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20"/>
                <w:szCs w:val="20"/>
                <w:color w:val="auto"/>
              </w:rPr>
              <w:t>Other long-term liabilities and deferred credits</w:t>
            </w: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8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(477)</w:t>
            </w:r>
          </w:p>
        </w:tc>
      </w:tr>
      <w:tr>
        <w:trPr>
          <w:trHeight w:val="297"/>
        </w:trPr>
        <w:tc>
          <w:tcPr>
            <w:tcW w:w="750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ind w:right="585"/>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8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-3569970</wp:posOffset>
            </wp:positionV>
            <wp:extent cx="1737995" cy="501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73">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-2626995</wp:posOffset>
            </wp:positionV>
            <wp:extent cx="1737995" cy="501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74">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-1353820</wp:posOffset>
            </wp:positionV>
            <wp:extent cx="1737995" cy="501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75">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-1165225</wp:posOffset>
            </wp:positionV>
            <wp:extent cx="1737995" cy="501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76">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-989330</wp:posOffset>
            </wp:positionV>
            <wp:extent cx="1737995" cy="755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77">
                      <a:extLst>
                        <a:ext uri="{28A0092B-C50C-407E-A947-70E740481C1C}"/>
                      </a:extLst>
                    </a:blip>
                    <a:srcRect/>
                    <a:stretch>
                      <a:fillRect/>
                    </a:stretch>
                  </pic:blipFill>
                  <pic:spPr bwMode="auto">
                    <a:xfrm>
                      <a:off x="0" y="0"/>
                      <a:ext cx="1737995" cy="755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-231775</wp:posOffset>
            </wp:positionV>
            <wp:extent cx="1737995" cy="501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78">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-55880</wp:posOffset>
            </wp:positionV>
            <wp:extent cx="1737995" cy="755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79">
                      <a:extLst>
                        <a:ext uri="{28A0092B-C50C-407E-A947-70E740481C1C}"/>
                      </a:extLst>
                    </a:blip>
                    <a:srcRect/>
                    <a:stretch>
                      <a:fillRect/>
                    </a:stretch>
                  </pic:blipFill>
                  <pic:spPr bwMode="auto">
                    <a:xfrm>
                      <a:off x="0" y="0"/>
                      <a:ext cx="1737995" cy="75565"/>
                    </a:xfrm>
                    <a:prstGeom prst="rect">
                      <a:avLst/>
                    </a:prstGeom>
                    <a:noFill/>
                  </pic:spPr>
                </pic:pic>
              </a:graphicData>
            </a:graphic>
          </wp:anchor>
        </w:drawing>
      </w:r>
    </w:p>
    <w:p>
      <w:pPr>
        <w:spacing w:after="0" w:line="225" w:lineRule="exact"/>
        <w:rPr>
          <w:sz w:val="20"/>
          <w:szCs w:val="20"/>
          <w:color w:val="auto"/>
        </w:rPr>
      </w:pPr>
    </w:p>
    <w:p>
      <w:pPr>
        <w:jc w:val="both"/>
        <w:ind w:right="40" w:firstLine="713"/>
        <w:spacing w:after="0" w:line="278" w:lineRule="auto"/>
        <w:rPr>
          <w:sz w:val="20"/>
          <w:szCs w:val="20"/>
          <w:color w:val="auto"/>
        </w:rPr>
      </w:pPr>
      <w:r>
        <w:rPr>
          <w:rFonts w:ascii="Times New Roman" w:cs="Times New Roman" w:eastAsia="Times New Roman" w:hAnsi="Times New Roman"/>
          <w:sz w:val="20"/>
          <w:szCs w:val="20"/>
          <w:color w:val="auto"/>
        </w:rPr>
        <w:t>Generally, tax returns for our Canadian entities are open to audit from 2016 through 2022. Our U.S. and state tax years are generally open to examination from 2019 to 2022.</w:t>
      </w:r>
    </w:p>
    <w:p>
      <w:pPr>
        <w:spacing w:after="0" w:line="180" w:lineRule="exact"/>
        <w:rPr>
          <w:sz w:val="20"/>
          <w:szCs w:val="20"/>
          <w:color w:val="auto"/>
        </w:rPr>
      </w:pPr>
    </w:p>
    <w:p>
      <w:pPr>
        <w:ind w:right="60" w:firstLine="713"/>
        <w:spacing w:after="0" w:line="250" w:lineRule="auto"/>
        <w:rPr>
          <w:sz w:val="20"/>
          <w:szCs w:val="20"/>
          <w:color w:val="auto"/>
        </w:rPr>
      </w:pPr>
      <w:r>
        <w:rPr>
          <w:rFonts w:ascii="Times New Roman" w:cs="Times New Roman" w:eastAsia="Times New Roman" w:hAnsi="Times New Roman"/>
          <w:sz w:val="20"/>
          <w:szCs w:val="20"/>
          <w:color w:val="auto"/>
        </w:rPr>
        <w:t>As of December 31, 2022, in reference to tax years 2008 to 2017,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$142 million (based on the exchange rate as of December 31, 2022). Payment of a portion of the assessment is required in order to file a notice of objection to dispute the reassessment. Accordingly, we have remitted approximately $115 million (based on the exchange rate as of December 31, 2022)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2022, we believe that our tax position associated with these matters is “more likely than not” to be sustained and have not recognized any amounts for uncertainty in income taxes related to these notices.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16—Major Customers and Concentration of Credit Risk</w:t>
      </w:r>
    </w:p>
    <w:p>
      <w:pPr>
        <w:spacing w:after="0" w:line="252" w:lineRule="exact"/>
        <w:rPr>
          <w:sz w:val="20"/>
          <w:szCs w:val="20"/>
          <w:color w:val="auto"/>
        </w:rPr>
      </w:pPr>
    </w:p>
    <w:p>
      <w:pPr>
        <w:ind w:right="40" w:firstLine="713"/>
        <w:spacing w:after="0" w:line="268" w:lineRule="auto"/>
        <w:rPr>
          <w:sz w:val="20"/>
          <w:szCs w:val="20"/>
          <w:color w:val="auto"/>
        </w:rPr>
      </w:pPr>
      <w:r>
        <w:rPr>
          <w:rFonts w:ascii="Times New Roman" w:cs="Times New Roman" w:eastAsia="Times New Roman" w:hAnsi="Times New Roman"/>
          <w:sz w:val="19"/>
          <w:szCs w:val="19"/>
          <w:color w:val="auto"/>
        </w:rPr>
        <w:t>ExxonMobil Corporation and its subsidiaries accounted for 20%, 15% and 12% of our revenues for the years ended December 31, 2022, 2021 and 2020, respectively. Marathon Petroleum Corporation and its subsidiaries accounted for 12% and 13% of our revenues for the years ended December 31, 2021 and 2020, respectively. BP p.l.c. and its subsidiaries accounted for 10% of our revenues for the year ended December 31, 2021. No other customers accounted for 10% or more of our revenues during any of the three years ended December 31, 2022.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F-50</w:t>
      </w:r>
    </w:p>
    <w:p>
      <w:pPr>
        <w:sectPr>
          <w:pgSz w:w="11880" w:h="15480" w:orient="portrait"/>
          <w:cols w:equalWidth="0" w:num="1">
            <w:col w:w="10160"/>
          </w:cols>
          <w:pgMar w:left="860" w:top="435" w:right="860" w:bottom="0" w:gutter="0" w:footer="0" w:header="0"/>
          <w:type w:val="continuous"/>
        </w:sectPr>
      </w:pPr>
    </w:p>
    <w:bookmarkStart w:id="154" w:name="page155"/>
    <w:bookmarkEnd w:id="154"/>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firstLine="713"/>
        <w:spacing w:after="0" w:line="253" w:lineRule="auto"/>
        <w:rPr>
          <w:sz w:val="20"/>
          <w:szCs w:val="20"/>
          <w:color w:val="auto"/>
        </w:rPr>
      </w:pPr>
      <w:r>
        <w:rPr>
          <w:rFonts w:ascii="Times New Roman" w:cs="Times New Roman" w:eastAsia="Times New Roman" w:hAnsi="Times New Roman"/>
          <w:sz w:val="20"/>
          <w:szCs w:val="20"/>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17—Related Party Transactions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Ownership of PAGP Class C Shares</w:t>
      </w:r>
    </w:p>
    <w:p>
      <w:pPr>
        <w:spacing w:after="0" w:line="253" w:lineRule="exact"/>
        <w:rPr>
          <w:sz w:val="20"/>
          <w:szCs w:val="20"/>
          <w:color w:val="auto"/>
        </w:rPr>
      </w:pPr>
    </w:p>
    <w:p>
      <w:pPr>
        <w:ind w:firstLine="713"/>
        <w:spacing w:after="0" w:line="253" w:lineRule="auto"/>
        <w:rPr>
          <w:sz w:val="20"/>
          <w:szCs w:val="20"/>
          <w:color w:val="auto"/>
        </w:rPr>
      </w:pPr>
      <w:r>
        <w:rPr>
          <w:rFonts w:ascii="Times New Roman" w:cs="Times New Roman" w:eastAsia="Times New Roman" w:hAnsi="Times New Roman"/>
          <w:sz w:val="20"/>
          <w:szCs w:val="20"/>
          <w:color w:val="auto"/>
        </w:rPr>
        <w:t>As of December 31, 2022 and 2021, we owned 528,442,538 and 534,596,831, respectively, Class C shares of PAGP. Each Class C share represents a non-economic limited partner interest in PAGP. The number of Class C shares that we own is equal to the number of outstanding common units and Series A preferred units that are entitled to vote, pro rata with the holders of PAGP Class A and Class B shares, for the election of eligible PAGP GP directors. The Class C shares function as a “pass-through” voting mechanism through which we vote at the direction of and as proxy for our common unitholders and Series A preferred unitholders in such director elections. Common units held by AAP and Series B preferred units are not entitled to vote in the election of directors.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Reimbursement of Our General Partner and its Affiliates</w:t>
      </w:r>
    </w:p>
    <w:p>
      <w:pPr>
        <w:spacing w:after="0" w:line="253"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color w:val="auto"/>
        </w:rPr>
        <w:t>Our general partner provides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conduct our business. We record these costs on the accrual basis in the period in which our general partner incurs them. Our partnership agreement provides that our general partner will, in a manner it deems in its sole discretion to be reasonable, determine the expenses that are allocable to us. Total costs reimbursed by us to our general partner for the years ended December 31, 2022, 2021 and 2020 were $476 million, $467 million and $553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Omnibus Agreement</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Plains Entities entered into an Omnibus Agreement on November 15, 2016, which provides for the following:</w:t>
      </w:r>
    </w:p>
    <w:p>
      <w:pPr>
        <w:spacing w:after="0" w:line="245" w:lineRule="exact"/>
        <w:rPr>
          <w:sz w:val="20"/>
          <w:szCs w:val="20"/>
          <w:color w:val="auto"/>
        </w:rPr>
      </w:pPr>
    </w:p>
    <w:p>
      <w:pPr>
        <w:ind w:left="720" w:right="40" w:hanging="362"/>
        <w:spacing w:after="0" w:line="238" w:lineRule="auto"/>
        <w:tabs>
          <w:tab w:leader="none" w:pos="720" w:val="left"/>
        </w:tabs>
        <w:numPr>
          <w:ilvl w:val="0"/>
          <w:numId w:val="104"/>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20"/>
          <w:szCs w:val="20"/>
          <w:color w:val="auto"/>
        </w:rPr>
        <w:t>that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Amounts paid on behalf of the PAGP Entities during the years ended December 31, 2022, 2021 and 2020 were not material;</w:t>
      </w:r>
    </w:p>
    <w:p>
      <w:pPr>
        <w:spacing w:after="0" w:line="216" w:lineRule="exact"/>
        <w:rPr>
          <w:rFonts w:ascii="Times New Roman" w:cs="Times New Roman" w:eastAsia="Times New Roman" w:hAnsi="Times New Roman"/>
          <w:sz w:val="26"/>
          <w:szCs w:val="26"/>
          <w:b w:val="1"/>
          <w:bCs w:val="1"/>
          <w:color w:val="auto"/>
          <w:vertAlign w:val="superscript"/>
        </w:rPr>
      </w:pPr>
    </w:p>
    <w:p>
      <w:pPr>
        <w:ind w:left="720" w:right="40" w:hanging="362"/>
        <w:spacing w:after="0" w:line="263" w:lineRule="auto"/>
        <w:tabs>
          <w:tab w:leader="none" w:pos="7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PAGP to issue additional Class A shares and use the net proceeds therefrom to purchase a like number of AAP units from AAP, and the corresponding ability of AAP to use the net proceeds therefrom to purchase a like number of our common units from us; and</w:t>
      </w:r>
    </w:p>
    <w:p>
      <w:pPr>
        <w:spacing w:after="0" w:line="194" w:lineRule="exact"/>
        <w:rPr>
          <w:rFonts w:ascii="Times New Roman" w:cs="Times New Roman" w:eastAsia="Times New Roman" w:hAnsi="Times New Roman"/>
          <w:sz w:val="20"/>
          <w:szCs w:val="20"/>
          <w:color w:val="auto"/>
        </w:rPr>
      </w:pPr>
    </w:p>
    <w:p>
      <w:pPr>
        <w:ind w:left="720" w:right="460" w:hanging="362"/>
        <w:spacing w:after="0" w:line="305" w:lineRule="auto"/>
        <w:tabs>
          <w:tab w:leader="none" w:pos="72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of PAGP to lend proceeds of any future indebtedness incurred by it to AAP, and AAP’s corresponding ability to lend such proceeds to us, in each case on substantially the same terms as incurred by PAGP.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Transactions with Other Related Parties</w:t>
      </w:r>
    </w:p>
    <w:p>
      <w:pPr>
        <w:spacing w:after="0" w:line="253" w:lineRule="exact"/>
        <w:rPr>
          <w:sz w:val="20"/>
          <w:szCs w:val="20"/>
          <w:color w:val="auto"/>
        </w:rPr>
      </w:pPr>
    </w:p>
    <w:p>
      <w:pPr>
        <w:ind w:firstLine="713"/>
        <w:spacing w:after="0" w:line="269" w:lineRule="auto"/>
        <w:rPr>
          <w:sz w:val="20"/>
          <w:szCs w:val="20"/>
          <w:color w:val="auto"/>
        </w:rPr>
      </w:pPr>
      <w:r>
        <w:rPr>
          <w:rFonts w:ascii="Times New Roman" w:cs="Times New Roman" w:eastAsia="Times New Roman" w:hAnsi="Times New Roman"/>
          <w:sz w:val="19"/>
          <w:szCs w:val="19"/>
          <w:color w:val="auto"/>
        </w:rPr>
        <w:t>Our other related parties include (i) entities in which we hold investments and account for under the equity method of accounting (see Note 9 for information regarding such entities) and (ii) principal owners and their affiliated entities. We recognize as our principal owners entities that have a designated representative on the board of directors of PAGP GP and/or own greater than 10% of the limited partner interests in AAP. Such limited partner interests in AAP translate into a significantly smaller indirect ownership interest in PAA. We also consider subsidiaries or funds identified as affiliated with principal owners to be related parties. As of December 31, 2022, no entities met the criteria to be recognized as a principal owner.</w:t>
      </w:r>
    </w:p>
    <w:p>
      <w:pPr>
        <w:sectPr>
          <w:pgSz w:w="11880" w:h="15480" w:orient="portrait"/>
          <w:cols w:equalWidth="0" w:num="1">
            <w:col w:w="10140"/>
          </w:cols>
          <w:pgMar w:left="860" w:top="435" w:right="88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F-51</w:t>
      </w:r>
    </w:p>
    <w:p>
      <w:pPr>
        <w:sectPr>
          <w:pgSz w:w="11880" w:h="15480" w:orient="portrait"/>
          <w:cols w:equalWidth="0" w:num="1">
            <w:col w:w="10140"/>
          </w:cols>
          <w:pgMar w:left="860" w:top="435" w:right="880" w:bottom="0" w:gutter="0" w:footer="0" w:header="0"/>
          <w:type w:val="continuous"/>
        </w:sectPr>
      </w:pPr>
    </w:p>
    <w:bookmarkStart w:id="155" w:name="page156"/>
    <w:bookmarkEnd w:id="155"/>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40" w:firstLine="713"/>
        <w:spacing w:after="0" w:line="253" w:lineRule="auto"/>
        <w:rPr>
          <w:sz w:val="20"/>
          <w:szCs w:val="20"/>
          <w:color w:val="auto"/>
        </w:rPr>
      </w:pPr>
      <w:r>
        <w:rPr>
          <w:rFonts w:ascii="Times New Roman" w:cs="Times New Roman" w:eastAsia="Times New Roman" w:hAnsi="Times New Roman"/>
          <w:sz w:val="20"/>
          <w:szCs w:val="20"/>
          <w:color w:val="auto"/>
        </w:rPr>
        <w:t>In August 2021, the board of directors of PAGP GP approved and adopted an amendment to PAGP GP’s limited liability company agreement (the “Amendment”) which eliminated all previously negotiated “director designation” rights and requires that all directors be subject to public election, including Kayne Anderson Capital Advisors, L.P.’s (“Kayne Anderson”) legacy contractual right to designate an individual to serve on the PAGP GP board without being subject to public election. The Amendment also eliminated all previously negotiated rights, including Kayne Anderson’s right, to appoint a PAGP GP board observer under certain circumstances. As a result of these changes, we no longer recognize Kayne Anderson and its affiliates as related parties.</w:t>
      </w:r>
    </w:p>
    <w:p>
      <w:pPr>
        <w:spacing w:after="0" w:line="204" w:lineRule="exact"/>
        <w:rPr>
          <w:sz w:val="20"/>
          <w:szCs w:val="20"/>
          <w:color w:val="auto"/>
        </w:rPr>
      </w:pPr>
    </w:p>
    <w:p>
      <w:pPr>
        <w:ind w:right="80" w:firstLine="713"/>
        <w:spacing w:after="0" w:line="263" w:lineRule="auto"/>
        <w:rPr>
          <w:sz w:val="20"/>
          <w:szCs w:val="20"/>
          <w:color w:val="auto"/>
        </w:rPr>
      </w:pPr>
      <w:r>
        <w:rPr>
          <w:rFonts w:ascii="Times New Roman" w:cs="Times New Roman" w:eastAsia="Times New Roman" w:hAnsi="Times New Roman"/>
          <w:sz w:val="20"/>
          <w:szCs w:val="20"/>
          <w:color w:val="auto"/>
        </w:rPr>
        <w:t>During the three years ended December 31, 2022,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impact to our Consolidated Statements of Operations from these transactions is included below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2"/>
        </w:trPr>
        <w:tc>
          <w:tcPr>
            <w:tcW w:w="3500" w:type="dxa"/>
            <w:vAlign w:val="bottom"/>
            <w:tcBorders>
              <w:bottom w:val="single" w:sz="8" w:color="E6E6E6"/>
            </w:tcBorders>
          </w:tcPr>
          <w:p>
            <w:pPr>
              <w:spacing w:after="0"/>
              <w:rPr>
                <w:sz w:val="20"/>
                <w:szCs w:val="20"/>
                <w:color w:val="auto"/>
              </w:rPr>
            </w:pPr>
          </w:p>
        </w:tc>
        <w:tc>
          <w:tcPr>
            <w:tcW w:w="2620" w:type="dxa"/>
            <w:vAlign w:val="bottom"/>
            <w:tcBorders>
              <w:bottom w:val="single" w:sz="8" w:color="E6E6E6"/>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61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Revenues from related parties </w:t>
            </w:r>
            <w:r>
              <w:rPr>
                <w:rFonts w:ascii="Times New Roman" w:cs="Times New Roman" w:eastAsia="Times New Roman" w:hAnsi="Times New Roman"/>
                <w:sz w:val="25"/>
                <w:szCs w:val="25"/>
                <w:color w:val="auto"/>
                <w:vertAlign w:val="superscript"/>
              </w:rPr>
              <w:t>(1)</w:t>
            </w:r>
          </w:p>
        </w:tc>
        <w:tc>
          <w:tcPr>
            <w:tcW w:w="860" w:type="dxa"/>
            <w:vAlign w:val="bottom"/>
            <w:shd w:val="clear" w:color="auto" w:fill="E6E6E6"/>
          </w:tcPr>
          <w:p>
            <w:pPr>
              <w:jc w:val="right"/>
              <w:ind w:right="608"/>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97"/>
        </w:trPr>
        <w:tc>
          <w:tcPr>
            <w:tcW w:w="3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61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Purchases and related costs from related parties </w:t>
            </w:r>
            <w:r>
              <w:rPr>
                <w:rFonts w:ascii="Times New Roman" w:cs="Times New Roman" w:eastAsia="Times New Roman" w:hAnsi="Times New Roman"/>
                <w:sz w:val="25"/>
                <w:szCs w:val="25"/>
                <w:color w:val="auto"/>
                <w:vertAlign w:val="superscript"/>
              </w:rPr>
              <w:t>(1)</w:t>
            </w:r>
          </w:p>
        </w:tc>
        <w:tc>
          <w:tcPr>
            <w:tcW w:w="860" w:type="dxa"/>
            <w:vAlign w:val="bottom"/>
            <w:shd w:val="clear" w:color="auto" w:fill="E6E6E6"/>
          </w:tcPr>
          <w:p>
            <w:pPr>
              <w:jc w:val="right"/>
              <w:ind w:right="608"/>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451</w:t>
            </w:r>
          </w:p>
        </w:tc>
      </w:tr>
      <w:tr>
        <w:trPr>
          <w:trHeight w:val="163"/>
        </w:trPr>
        <w:tc>
          <w:tcPr>
            <w:tcW w:w="3500" w:type="dxa"/>
            <w:vAlign w:val="bottom"/>
            <w:tcBorders>
              <w:bottom w:val="single" w:sz="8" w:color="auto"/>
            </w:tcBorders>
          </w:tcPr>
          <w:p>
            <w:pPr>
              <w:spacing w:after="0"/>
              <w:rPr>
                <w:sz w:val="14"/>
                <w:szCs w:val="14"/>
                <w:color w:val="auto"/>
              </w:rPr>
            </w:pPr>
          </w:p>
        </w:tc>
        <w:tc>
          <w:tcPr>
            <w:tcW w:w="2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-706755</wp:posOffset>
            </wp:positionV>
            <wp:extent cx="2606040" cy="501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80">
                      <a:extLst>
                        <a:ext uri="{28A0092B-C50C-407E-A947-70E740481C1C}"/>
                      </a:extLst>
                    </a:blip>
                    <a:srcRect/>
                    <a:stretch>
                      <a:fillRect/>
                    </a:stretch>
                  </pic:blipFill>
                  <pic:spPr bwMode="auto">
                    <a:xfrm>
                      <a:off x="0" y="0"/>
                      <a:ext cx="2606040" cy="50165"/>
                    </a:xfrm>
                    <a:prstGeom prst="rect">
                      <a:avLst/>
                    </a:prstGeom>
                    <a:noFill/>
                  </pic:spPr>
                </pic:pic>
              </a:graphicData>
            </a:graphic>
          </wp:anchor>
        </w:drawing>
      </w:r>
    </w:p>
    <w:p>
      <w:pPr>
        <w:spacing w:after="0" w:line="126" w:lineRule="exact"/>
        <w:rPr>
          <w:sz w:val="20"/>
          <w:szCs w:val="20"/>
          <w:color w:val="auto"/>
        </w:rPr>
      </w:pPr>
    </w:p>
    <w:p>
      <w:pPr>
        <w:ind w:left="720" w:right="220" w:hanging="719"/>
        <w:spacing w:after="0" w:line="225" w:lineRule="auto"/>
        <w:tabs>
          <w:tab w:leader="none" w:pos="720" w:val="left"/>
        </w:tabs>
        <w:numPr>
          <w:ilvl w:val="0"/>
          <w:numId w:val="10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217" w:lineRule="exact"/>
        <w:rPr>
          <w:sz w:val="20"/>
          <w:szCs w:val="20"/>
          <w:color w:val="auto"/>
        </w:rPr>
      </w:pPr>
    </w:p>
    <w:p>
      <w:pPr>
        <w:ind w:right="20" w:firstLine="713"/>
        <w:spacing w:after="0" w:line="278" w:lineRule="auto"/>
        <w:rPr>
          <w:sz w:val="20"/>
          <w:szCs w:val="20"/>
          <w:color w:val="auto"/>
        </w:rPr>
      </w:pPr>
      <w:r>
        <w:rPr>
          <w:rFonts w:ascii="Times New Roman" w:cs="Times New Roman" w:eastAsia="Times New Roman" w:hAnsi="Times New Roman"/>
          <w:sz w:val="20"/>
          <w:szCs w:val="20"/>
          <w:color w:val="auto"/>
        </w:rPr>
        <w:t>Our receivable and payable amounts with these related parties as reflected on our Consolidated Balance Sheets were as follows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r>
      <w:tr>
        <w:trPr>
          <w:trHeight w:val="232"/>
        </w:trPr>
        <w:tc>
          <w:tcPr>
            <w:tcW w:w="3500" w:type="dxa"/>
            <w:vAlign w:val="bottom"/>
            <w:tcBorders>
              <w:bottom w:val="single" w:sz="8" w:color="E6E6E6"/>
            </w:tcBorders>
          </w:tcPr>
          <w:p>
            <w:pPr>
              <w:spacing w:after="0"/>
              <w:rPr>
                <w:sz w:val="20"/>
                <w:szCs w:val="20"/>
                <w:color w:val="auto"/>
              </w:rPr>
            </w:pPr>
          </w:p>
        </w:tc>
        <w:tc>
          <w:tcPr>
            <w:tcW w:w="4000" w:type="dxa"/>
            <w:vAlign w:val="bottom"/>
            <w:tcBorders>
              <w:bottom w:val="single" w:sz="8" w:color="E6E6E6"/>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87"/>
        </w:trPr>
        <w:tc>
          <w:tcPr>
            <w:tcW w:w="75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Trade accounts receivable and other receivables, net from related parties </w:t>
            </w:r>
            <w:r>
              <w:rPr>
                <w:rFonts w:ascii="Times New Roman" w:cs="Times New Roman" w:eastAsia="Times New Roman" w:hAnsi="Times New Roman"/>
                <w:sz w:val="25"/>
                <w:szCs w:val="25"/>
                <w:color w:val="auto"/>
                <w:vertAlign w:val="superscript"/>
              </w:rPr>
              <w:t>(1)</w:t>
            </w:r>
          </w:p>
        </w:tc>
        <w:tc>
          <w:tcPr>
            <w:tcW w:w="820" w:type="dxa"/>
            <w:vAlign w:val="bottom"/>
            <w:shd w:val="clear" w:color="auto" w:fill="E6E6E6"/>
          </w:tcPr>
          <w:p>
            <w:pPr>
              <w:jc w:val="right"/>
              <w:ind w:right="588"/>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54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82"/>
        </w:trPr>
        <w:tc>
          <w:tcPr>
            <w:tcW w:w="35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75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Trade accounts payable to related parties </w:t>
            </w:r>
            <w:r>
              <w:rPr>
                <w:rFonts w:ascii="Times New Roman" w:cs="Times New Roman" w:eastAsia="Times New Roman" w:hAnsi="Times New Roman"/>
                <w:sz w:val="25"/>
                <w:szCs w:val="25"/>
                <w:color w:val="auto"/>
                <w:vertAlign w:val="superscript"/>
              </w:rPr>
              <w:t>(1) (2)</w:t>
            </w:r>
          </w:p>
        </w:tc>
        <w:tc>
          <w:tcPr>
            <w:tcW w:w="820" w:type="dxa"/>
            <w:vAlign w:val="bottom"/>
            <w:shd w:val="clear" w:color="auto" w:fill="E6E6E6"/>
          </w:tcPr>
          <w:p>
            <w:pPr>
              <w:jc w:val="right"/>
              <w:ind w:right="588"/>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54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163"/>
        </w:trPr>
        <w:tc>
          <w:tcPr>
            <w:tcW w:w="3500" w:type="dxa"/>
            <w:vAlign w:val="bottom"/>
            <w:tcBorders>
              <w:bottom w:val="single" w:sz="8" w:color="auto"/>
            </w:tcBorders>
          </w:tcPr>
          <w:p>
            <w:pPr>
              <w:spacing w:after="0"/>
              <w:rPr>
                <w:sz w:val="14"/>
                <w:szCs w:val="14"/>
                <w:color w:val="auto"/>
              </w:rPr>
            </w:pPr>
          </w:p>
        </w:tc>
        <w:tc>
          <w:tcPr>
            <w:tcW w:w="4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-697230</wp:posOffset>
            </wp:positionV>
            <wp:extent cx="1737995" cy="501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81">
                      <a:extLst>
                        <a:ext uri="{28A0092B-C50C-407E-A947-70E740481C1C}"/>
                      </a:extLst>
                    </a:blip>
                    <a:srcRect/>
                    <a:stretch>
                      <a:fillRect/>
                    </a:stretch>
                  </pic:blipFill>
                  <pic:spPr bwMode="auto">
                    <a:xfrm>
                      <a:off x="0" y="0"/>
                      <a:ext cx="1737995" cy="50165"/>
                    </a:xfrm>
                    <a:prstGeom prst="rect">
                      <a:avLst/>
                    </a:prstGeom>
                    <a:noFill/>
                  </pic:spPr>
                </pic:pic>
              </a:graphicData>
            </a:graphic>
          </wp:anchor>
        </w:drawing>
      </w:r>
    </w:p>
    <w:p>
      <w:pPr>
        <w:spacing w:after="0" w:line="126" w:lineRule="exact"/>
        <w:rPr>
          <w:sz w:val="20"/>
          <w:szCs w:val="20"/>
          <w:color w:val="auto"/>
        </w:rPr>
      </w:pPr>
    </w:p>
    <w:p>
      <w:pPr>
        <w:ind w:left="720" w:right="120" w:hanging="719"/>
        <w:spacing w:after="0" w:line="232" w:lineRule="auto"/>
        <w:tabs>
          <w:tab w:leader="none" w:pos="720" w:val="left"/>
        </w:tabs>
        <w:numPr>
          <w:ilvl w:val="0"/>
          <w:numId w:val="10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97" w:lineRule="exact"/>
        <w:rPr>
          <w:rFonts w:ascii="Times New Roman" w:cs="Times New Roman" w:eastAsia="Times New Roman" w:hAnsi="Times New Roman"/>
          <w:sz w:val="26"/>
          <w:szCs w:val="26"/>
          <w:color w:val="auto"/>
          <w:vertAlign w:val="superscript"/>
        </w:rPr>
      </w:pPr>
    </w:p>
    <w:p>
      <w:pPr>
        <w:ind w:left="720" w:right="420" w:hanging="719"/>
        <w:spacing w:after="0" w:line="232" w:lineRule="auto"/>
        <w:tabs>
          <w:tab w:leader="none" w:pos="720" w:val="left"/>
        </w:tabs>
        <w:numPr>
          <w:ilvl w:val="0"/>
          <w:numId w:val="10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18—Equity-Indexed Compensation Plans</w:t>
      </w:r>
    </w:p>
    <w:p>
      <w:pPr>
        <w:spacing w:after="0" w:line="252" w:lineRule="exact"/>
        <w:rPr>
          <w:sz w:val="20"/>
          <w:szCs w:val="20"/>
          <w:color w:val="auto"/>
        </w:rPr>
      </w:pPr>
    </w:p>
    <w:p>
      <w:pPr>
        <w:ind w:right="140" w:firstLine="713"/>
        <w:spacing w:after="0" w:line="253" w:lineRule="auto"/>
        <w:rPr>
          <w:sz w:val="20"/>
          <w:szCs w:val="20"/>
          <w:color w:val="auto"/>
        </w:rPr>
      </w:pPr>
      <w:r>
        <w:rPr>
          <w:rFonts w:ascii="Times New Roman" w:cs="Times New Roman" w:eastAsia="Times New Roman" w:hAnsi="Times New Roman"/>
          <w:sz w:val="20"/>
          <w:szCs w:val="20"/>
          <w:color w:val="auto"/>
        </w:rPr>
        <w:t>Our equity-indexed compensation plans primarily include LTIPs. Although other types of awards are contemplated under certain of the LTIPs, currently outstanding awards are limited to “phantom units,” which mature into the right to receive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PAA common unit. The DERs terminate with the vesting or forfeiture of the underlying LTIP award.</w:t>
      </w:r>
    </w:p>
    <w:p>
      <w:pPr>
        <w:spacing w:after="0" w:line="201" w:lineRule="exact"/>
        <w:rPr>
          <w:sz w:val="20"/>
          <w:szCs w:val="20"/>
          <w:color w:val="auto"/>
        </w:rPr>
      </w:pPr>
    </w:p>
    <w:p>
      <w:pPr>
        <w:ind w:right="160" w:firstLine="713"/>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Plains All American 2021 Long-Term Incentive Plan. </w:t>
      </w:r>
      <w:r>
        <w:rPr>
          <w:rFonts w:ascii="Times New Roman" w:cs="Times New Roman" w:eastAsia="Times New Roman" w:hAnsi="Times New Roman"/>
          <w:sz w:val="20"/>
          <w:szCs w:val="20"/>
          <w:color w:val="auto"/>
        </w:rPr>
        <w:t>In May 2021, PAA unitholders approved the Plains 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American 2021 Long-Term Incentive Plan, which amends, restates, and renames the Plains All American 2013 Long-Term Incentive Plan and authorizes an incremental 20 million PAA common units deliverable upon vesting of awards granted under the plan.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F-52</w:t>
      </w:r>
    </w:p>
    <w:p>
      <w:pPr>
        <w:sectPr>
          <w:pgSz w:w="11880" w:h="15480" w:orient="portrait"/>
          <w:cols w:equalWidth="0" w:num="1">
            <w:col w:w="10160"/>
          </w:cols>
          <w:pgMar w:left="860" w:top="435" w:right="860" w:bottom="0" w:gutter="0" w:footer="0" w:header="0"/>
        </w:sectPr>
      </w:pPr>
    </w:p>
    <w:bookmarkStart w:id="156" w:name="page157"/>
    <w:bookmarkEnd w:id="156"/>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340" w:firstLine="713"/>
        <w:spacing w:after="0" w:line="253" w:lineRule="auto"/>
        <w:rPr>
          <w:sz w:val="20"/>
          <w:szCs w:val="20"/>
          <w:color w:val="auto"/>
        </w:rPr>
      </w:pPr>
      <w:r>
        <w:rPr>
          <w:rFonts w:ascii="Times New Roman" w:cs="Times New Roman" w:eastAsia="Times New Roman" w:hAnsi="Times New Roman"/>
          <w:sz w:val="20"/>
          <w:szCs w:val="20"/>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pacing w:after="0" w:line="204" w:lineRule="exact"/>
        <w:rPr>
          <w:sz w:val="20"/>
          <w:szCs w:val="20"/>
          <w:color w:val="auto"/>
        </w:rPr>
      </w:pPr>
    </w:p>
    <w:p>
      <w:pPr>
        <w:ind w:right="220" w:firstLine="713"/>
        <w:spacing w:after="0" w:line="252" w:lineRule="auto"/>
        <w:rPr>
          <w:sz w:val="20"/>
          <w:szCs w:val="20"/>
          <w:color w:val="auto"/>
        </w:rPr>
      </w:pPr>
      <w:r>
        <w:rPr>
          <w:rFonts w:ascii="Times New Roman" w:cs="Times New Roman" w:eastAsia="Times New Roman" w:hAnsi="Times New Roman"/>
          <w:sz w:val="20"/>
          <w:szCs w:val="20"/>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following is a summary of the awards authorized under our LTIPs as of December 31, 2022 (in millions):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LTIP</w:t>
            </w:r>
          </w:p>
        </w:tc>
        <w:tc>
          <w:tcPr>
            <w:tcW w:w="60" w:type="dxa"/>
            <w:vAlign w:val="bottom"/>
          </w:tcPr>
          <w:p>
            <w:pPr>
              <w:spacing w:after="0"/>
              <w:rPr>
                <w:sz w:val="16"/>
                <w:szCs w:val="16"/>
                <w:color w:val="auto"/>
              </w:rPr>
            </w:pPr>
          </w:p>
        </w:tc>
        <w:tc>
          <w:tcPr>
            <w:tcW w:w="1980" w:type="dxa"/>
            <w:vAlign w:val="bottom"/>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LTIP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8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9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Awards Authorized</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80" w:type="dxa"/>
            <w:vAlign w:val="bottom"/>
            <w:gridSpan w:val="2"/>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Plains All American 2021 Long-Term Incentive Plan</w:t>
            </w:r>
          </w:p>
        </w:tc>
        <w:tc>
          <w:tcPr>
            <w:tcW w:w="20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Plains All American PNG Successor Long-Term Incentive Plan</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080" w:type="dxa"/>
            <w:vAlign w:val="bottom"/>
            <w:tcBorders>
              <w:bottom w:val="single" w:sz="8" w:color="E6E6E6"/>
            </w:tcBorders>
            <w:gridSpan w:val="2"/>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Plains All American GP LLC 2006 Long-Term Incentive Tracking Unit Plan</w:t>
            </w:r>
          </w:p>
        </w:tc>
        <w:tc>
          <w:tcPr>
            <w:tcW w:w="60" w:type="dxa"/>
            <w:vAlign w:val="bottom"/>
            <w:tcBorders>
              <w:bottom w:val="single" w:sz="8" w:color="E6E6E6"/>
            </w:tcBorders>
            <w:shd w:val="clear" w:color="auto" w:fill="E6E6E6"/>
          </w:tcPr>
          <w:p>
            <w:pPr>
              <w:spacing w:after="0"/>
              <w:rPr>
                <w:sz w:val="24"/>
                <w:szCs w:val="24"/>
                <w:color w:val="auto"/>
              </w:rPr>
            </w:pPr>
          </w:p>
        </w:tc>
        <w:tc>
          <w:tcPr>
            <w:tcW w:w="1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80" w:type="dxa"/>
            <w:vAlign w:val="bottom"/>
            <w:gridSpan w:val="2"/>
          </w:tcPr>
          <w:p>
            <w:pPr>
              <w:ind w:left="180"/>
              <w:spacing w:after="0" w:line="239" w:lineRule="exact"/>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5"/>
                <w:szCs w:val="25"/>
                <w:color w:val="auto"/>
                <w:vertAlign w:val="superscript"/>
              </w:rPr>
              <w:t>(1)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c>
          <w:tcPr>
            <w:tcW w:w="4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-895350</wp:posOffset>
            </wp:positionV>
            <wp:extent cx="6468745" cy="501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82">
                      <a:extLst>
                        <a:ext uri="{28A0092B-C50C-407E-A947-70E740481C1C}"/>
                      </a:extLst>
                    </a:blip>
                    <a:srcRect/>
                    <a:stretch>
                      <a:fillRect/>
                    </a:stretch>
                  </pic:blipFill>
                  <pic:spPr bwMode="auto">
                    <a:xfrm>
                      <a:off x="0" y="0"/>
                      <a:ext cx="6468745" cy="50165"/>
                    </a:xfrm>
                    <a:prstGeom prst="rect">
                      <a:avLst/>
                    </a:prstGeom>
                    <a:noFill/>
                  </pic:spPr>
                </pic:pic>
              </a:graphicData>
            </a:graphic>
          </wp:anchor>
        </w:drawing>
        <w:drawing>
          <wp:anchor simplePos="0" relativeHeight="251657728" behindDoc="1" locked="0" layoutInCell="0" allowOverlap="1">
            <wp:simplePos x="0" y="0"/>
            <wp:positionH relativeFrom="column">
              <wp:posOffset>5161915</wp:posOffset>
            </wp:positionH>
            <wp:positionV relativeFrom="paragraph">
              <wp:posOffset>-329565</wp:posOffset>
            </wp:positionV>
            <wp:extent cx="1304290" cy="501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83">
                      <a:extLst>
                        <a:ext uri="{28A0092B-C50C-407E-A947-70E740481C1C}"/>
                      </a:extLst>
                    </a:blip>
                    <a:srcRect/>
                    <a:stretch>
                      <a:fillRect/>
                    </a:stretch>
                  </pic:blipFill>
                  <pic:spPr bwMode="auto">
                    <a:xfrm>
                      <a:off x="0" y="0"/>
                      <a:ext cx="1304290" cy="50165"/>
                    </a:xfrm>
                    <a:prstGeom prst="rect">
                      <a:avLst/>
                    </a:prstGeom>
                    <a:noFill/>
                  </pic:spPr>
                </pic:pic>
              </a:graphicData>
            </a:graphic>
          </wp:anchor>
        </w:drawing>
      </w:r>
    </w:p>
    <w:p>
      <w:pPr>
        <w:spacing w:after="0" w:line="126" w:lineRule="exact"/>
        <w:rPr>
          <w:sz w:val="20"/>
          <w:szCs w:val="20"/>
          <w:color w:val="auto"/>
        </w:rPr>
      </w:pPr>
    </w:p>
    <w:p>
      <w:pPr>
        <w:ind w:left="720" w:right="20" w:hanging="719"/>
        <w:spacing w:after="0" w:line="225" w:lineRule="auto"/>
        <w:tabs>
          <w:tab w:leader="none" w:pos="720" w:val="left"/>
        </w:tabs>
        <w:numPr>
          <w:ilvl w:val="0"/>
          <w:numId w:val="10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the 43.5 million total awards authorized, 19.7 million awards are currently available for future grant. The remaining balance has already vested or is currently outstanding.</w:t>
      </w:r>
    </w:p>
    <w:p>
      <w:pPr>
        <w:spacing w:after="0" w:line="217" w:lineRule="exact"/>
        <w:rPr>
          <w:sz w:val="20"/>
          <w:szCs w:val="20"/>
          <w:color w:val="auto"/>
        </w:rPr>
      </w:pPr>
    </w:p>
    <w:p>
      <w:pPr>
        <w:ind w:right="180" w:firstLine="713"/>
        <w:spacing w:after="0" w:line="255" w:lineRule="auto"/>
        <w:rPr>
          <w:sz w:val="20"/>
          <w:szCs w:val="20"/>
          <w:color w:val="auto"/>
        </w:rPr>
      </w:pPr>
      <w:r>
        <w:rPr>
          <w:rFonts w:ascii="Times New Roman" w:cs="Times New Roman" w:eastAsia="Times New Roman" w:hAnsi="Times New Roman"/>
          <w:sz w:val="20"/>
          <w:szCs w:val="20"/>
          <w:color w:val="auto"/>
        </w:rPr>
        <w:t>As of December 31, 2022, 12.9 million LTIP awards were outstanding. Of the awards outstanding, 10.2 million include associated DERs. At December 31, 2022, certain of the outstanding LTIP awards were considered probable of vesting and such awards are expected to vest at various dates between January 2023 and August 2026. As of December 31, 2022, the outstanding awards that are considered probable of vesting have a remaining unrecognized fair value of approximately $65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Commitments</w:t>
      </w:r>
    </w:p>
    <w:p>
      <w:pPr>
        <w:spacing w:after="0" w:line="253" w:lineRule="exact"/>
        <w:rPr>
          <w:sz w:val="20"/>
          <w:szCs w:val="20"/>
          <w:color w:val="auto"/>
        </w:rPr>
      </w:pPr>
    </w:p>
    <w:p>
      <w:pPr>
        <w:jc w:val="both"/>
        <w:ind w:right="80" w:firstLine="713"/>
        <w:spacing w:after="0" w:line="263" w:lineRule="auto"/>
        <w:rPr>
          <w:sz w:val="20"/>
          <w:szCs w:val="20"/>
          <w:color w:val="auto"/>
        </w:rPr>
      </w:pPr>
      <w:r>
        <w:rPr>
          <w:rFonts w:ascii="Times New Roman" w:cs="Times New Roman" w:eastAsia="Times New Roman" w:hAnsi="Times New Roman"/>
          <w:sz w:val="20"/>
          <w:szCs w:val="20"/>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2022 are summarized below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Borders>
              <w:bottom w:val="single" w:sz="8" w:color="E6E6E6"/>
            </w:tcBorders>
          </w:tcPr>
          <w:p>
            <w:pPr>
              <w:spacing w:after="0"/>
              <w:rPr>
                <w:sz w:val="18"/>
                <w:szCs w:val="18"/>
                <w:color w:val="auto"/>
              </w:rPr>
            </w:pPr>
          </w:p>
        </w:tc>
        <w:tc>
          <w:tcPr>
            <w:tcW w:w="32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2027</w:t>
            </w:r>
          </w:p>
        </w:tc>
        <w:tc>
          <w:tcPr>
            <w:tcW w:w="60" w:type="dxa"/>
            <w:vAlign w:val="bottom"/>
            <w:tcBorders>
              <w:bottom w:val="single" w:sz="8" w:color="E6E6E6"/>
            </w:tcBorders>
          </w:tcPr>
          <w:p>
            <w:pPr>
              <w:spacing w:after="0"/>
              <w:rPr>
                <w:sz w:val="18"/>
                <w:szCs w:val="18"/>
                <w:color w:val="auto"/>
              </w:rPr>
            </w:pPr>
          </w:p>
        </w:tc>
        <w:tc>
          <w:tcPr>
            <w:tcW w:w="100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8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87"/>
        </w:trPr>
        <w:tc>
          <w:tcPr>
            <w:tcW w:w="384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xml:space="preserve">Leases </w:t>
            </w:r>
            <w:r>
              <w:rPr>
                <w:rFonts w:ascii="Times New Roman" w:cs="Times New Roman" w:eastAsia="Times New Roman" w:hAnsi="Times New Roman"/>
                <w:sz w:val="25"/>
                <w:szCs w:val="25"/>
                <w:color w:val="auto"/>
                <w:vertAlign w:val="superscript"/>
              </w:rPr>
              <w:t>(1)</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8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2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8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440" w:type="dxa"/>
            <w:vAlign w:val="bottom"/>
            <w:gridSpan w:val="2"/>
            <w:shd w:val="clear" w:color="auto" w:fill="E6E6E6"/>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2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637</w:t>
            </w:r>
          </w:p>
        </w:tc>
      </w:tr>
      <w:tr>
        <w:trPr>
          <w:trHeight w:val="287"/>
        </w:trPr>
        <w:tc>
          <w:tcPr>
            <w:tcW w:w="3840" w:type="dxa"/>
            <w:vAlign w:val="bottom"/>
            <w:tcBorders>
              <w:bottom w:val="single" w:sz="8" w:color="E6E6E6"/>
            </w:tcBorders>
            <w:gridSpan w:val="3"/>
          </w:tcPr>
          <w:p>
            <w:pPr>
              <w:ind w:left="60"/>
              <w:spacing w:after="0"/>
              <w:rPr>
                <w:sz w:val="20"/>
                <w:szCs w:val="20"/>
                <w:color w:val="auto"/>
              </w:rPr>
            </w:pPr>
            <w:r>
              <w:rPr>
                <w:rFonts w:ascii="Times New Roman" w:cs="Times New Roman" w:eastAsia="Times New Roman" w:hAnsi="Times New Roman"/>
                <w:sz w:val="20"/>
                <w:szCs w:val="20"/>
                <w:color w:val="auto"/>
              </w:rPr>
              <w:t xml:space="preserve">Other commitments </w:t>
            </w:r>
            <w:r>
              <w:rPr>
                <w:rFonts w:ascii="Times New Roman" w:cs="Times New Roman" w:eastAsia="Times New Roman" w:hAnsi="Times New Roman"/>
                <w:sz w:val="25"/>
                <w:szCs w:val="25"/>
                <w:color w:val="auto"/>
                <w:vertAlign w:val="superscript"/>
              </w:rPr>
              <w:t>(2)</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6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1,939</w:t>
            </w:r>
          </w:p>
        </w:tc>
      </w:tr>
      <w:tr>
        <w:trPr>
          <w:trHeight w:val="297"/>
        </w:trPr>
        <w:tc>
          <w:tcPr>
            <w:tcW w:w="3840" w:type="dxa"/>
            <w:vAlign w:val="bottom"/>
            <w:gridSpan w:val="3"/>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2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28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2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28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440" w:type="dxa"/>
            <w:vAlign w:val="bottom"/>
            <w:gridSpan w:val="2"/>
            <w:shd w:val="clear" w:color="auto" w:fill="E6E6E6"/>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814</w:t>
            </w:r>
          </w:p>
        </w:tc>
        <w:tc>
          <w:tcPr>
            <w:tcW w:w="2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2,576</w:t>
            </w:r>
          </w:p>
        </w:tc>
      </w:tr>
      <w:tr>
        <w:trPr>
          <w:trHeight w:val="134"/>
        </w:trPr>
        <w:tc>
          <w:tcPr>
            <w:tcW w:w="3500" w:type="dxa"/>
            <w:vAlign w:val="bottom"/>
            <w:tcBorders>
              <w:top w:val="single" w:sz="8" w:color="E6E6E6"/>
              <w:bottom w:val="single" w:sz="8" w:color="auto"/>
            </w:tcBorders>
          </w:tcPr>
          <w:p>
            <w:pPr>
              <w:spacing w:after="0"/>
              <w:rPr>
                <w:sz w:val="11"/>
                <w:szCs w:val="11"/>
                <w:color w:val="auto"/>
              </w:rPr>
            </w:pPr>
          </w:p>
        </w:tc>
        <w:tc>
          <w:tcPr>
            <w:tcW w:w="320" w:type="dxa"/>
            <w:vAlign w:val="bottom"/>
            <w:tcBorders>
              <w:top w:val="single" w:sz="8" w:color="E6E6E6"/>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E6E6E6"/>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-706755</wp:posOffset>
            </wp:positionV>
            <wp:extent cx="4076700" cy="501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84">
                      <a:extLst>
                        <a:ext uri="{28A0092B-C50C-407E-A947-70E740481C1C}"/>
                      </a:extLst>
                    </a:blip>
                    <a:srcRect/>
                    <a:stretch>
                      <a:fillRect/>
                    </a:stretch>
                  </pic:blipFill>
                  <pic:spPr bwMode="auto">
                    <a:xfrm>
                      <a:off x="0" y="0"/>
                      <a:ext cx="4076700" cy="5016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-329565</wp:posOffset>
            </wp:positionV>
            <wp:extent cx="4076700" cy="501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85">
                      <a:extLst>
                        <a:ext uri="{28A0092B-C50C-407E-A947-70E740481C1C}"/>
                      </a:extLst>
                    </a:blip>
                    <a:srcRect/>
                    <a:stretch>
                      <a:fillRect/>
                    </a:stretch>
                  </pic:blipFill>
                  <pic:spPr bwMode="auto">
                    <a:xfrm>
                      <a:off x="0" y="0"/>
                      <a:ext cx="4076700" cy="5016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-153670</wp:posOffset>
            </wp:positionV>
            <wp:extent cx="4076700" cy="755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86">
                      <a:extLst>
                        <a:ext uri="{28A0092B-C50C-407E-A947-70E740481C1C}"/>
                      </a:extLst>
                    </a:blip>
                    <a:srcRect/>
                    <a:stretch>
                      <a:fillRect/>
                    </a:stretch>
                  </pic:blipFill>
                  <pic:spPr bwMode="auto">
                    <a:xfrm>
                      <a:off x="0" y="0"/>
                      <a:ext cx="4076700" cy="75565"/>
                    </a:xfrm>
                    <a:prstGeom prst="rect">
                      <a:avLst/>
                    </a:prstGeom>
                    <a:noFill/>
                  </pic:spPr>
                </pic:pic>
              </a:graphicData>
            </a:graphic>
          </wp:anchor>
        </w:drawing>
      </w:r>
    </w:p>
    <w:p>
      <w:pPr>
        <w:spacing w:after="0" w:line="126" w:lineRule="exact"/>
        <w:rPr>
          <w:sz w:val="20"/>
          <w:szCs w:val="20"/>
          <w:color w:val="auto"/>
        </w:rPr>
      </w:pPr>
    </w:p>
    <w:p>
      <w:pPr>
        <w:ind w:left="720" w:right="160" w:hanging="719"/>
        <w:spacing w:after="0" w:line="235" w:lineRule="auto"/>
        <w:tabs>
          <w:tab w:leader="none" w:pos="720" w:val="left"/>
        </w:tabs>
        <w:numPr>
          <w:ilvl w:val="0"/>
          <w:numId w:val="10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both operating and finance leases as defined by FASB guidance. Leases are primarily for (i) railcars, (ii) office space, (iii) land, (iv) vehicles, (v) storage tanks and (vi) tractor trailers. See Note 14 for additional information.</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F-53</w:t>
      </w:r>
    </w:p>
    <w:p>
      <w:pPr>
        <w:sectPr>
          <w:pgSz w:w="11880" w:h="15480" w:orient="portrait"/>
          <w:cols w:equalWidth="0" w:num="1">
            <w:col w:w="10160"/>
          </w:cols>
          <w:pgMar w:left="860" w:top="435" w:right="860" w:bottom="0" w:gutter="0" w:footer="0" w:header="0"/>
          <w:type w:val="continuous"/>
        </w:sectPr>
      </w:pPr>
    </w:p>
    <w:bookmarkStart w:id="157" w:name="page158"/>
    <w:bookmarkEnd w:id="157"/>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left="720" w:right="20" w:hanging="719"/>
        <w:spacing w:after="0" w:line="241" w:lineRule="auto"/>
        <w:tabs>
          <w:tab w:leader="none" w:pos="720" w:val="left"/>
        </w:tabs>
        <w:numPr>
          <w:ilvl w:val="0"/>
          <w:numId w:val="10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Primarily includes storage, transportation and pipeline throughput agreements, as well as certain rights-of-way easements. Expense associated with our storage, transportation and pipeline throughput agreements was approximately $336 million, $270 million and $265 million for 2022, 2021 and 2020,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Contingencies — General</w:t>
      </w:r>
    </w:p>
    <w:p>
      <w:pPr>
        <w:spacing w:after="0" w:line="253" w:lineRule="exact"/>
        <w:rPr>
          <w:sz w:val="20"/>
          <w:szCs w:val="20"/>
          <w:color w:val="auto"/>
        </w:rPr>
      </w:pPr>
    </w:p>
    <w:p>
      <w:pPr>
        <w:ind w:right="280" w:firstLine="713"/>
        <w:spacing w:after="0" w:line="269" w:lineRule="auto"/>
        <w:rPr>
          <w:sz w:val="20"/>
          <w:szCs w:val="20"/>
          <w:color w:val="auto"/>
        </w:rPr>
      </w:pPr>
      <w:r>
        <w:rPr>
          <w:rFonts w:ascii="Times New Roman" w:cs="Times New Roman" w:eastAsia="Times New Roman" w:hAnsi="Times New Roman"/>
          <w:sz w:val="19"/>
          <w:szCs w:val="19"/>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94" w:lineRule="exact"/>
        <w:rPr>
          <w:sz w:val="20"/>
          <w:szCs w:val="20"/>
          <w:color w:val="auto"/>
        </w:rPr>
      </w:pPr>
    </w:p>
    <w:p>
      <w:pPr>
        <w:ind w:right="300" w:firstLine="713"/>
        <w:spacing w:after="0" w:line="258" w:lineRule="auto"/>
        <w:rPr>
          <w:sz w:val="20"/>
          <w:szCs w:val="20"/>
          <w:color w:val="auto"/>
        </w:rPr>
      </w:pPr>
      <w:r>
        <w:rPr>
          <w:rFonts w:ascii="Times New Roman" w:cs="Times New Roman" w:eastAsia="Times New Roman" w:hAnsi="Times New Roman"/>
          <w:sz w:val="20"/>
          <w:szCs w:val="20"/>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 — General</w:t>
      </w:r>
    </w:p>
    <w:p>
      <w:pPr>
        <w:spacing w:after="0" w:line="253" w:lineRule="exact"/>
        <w:rPr>
          <w:sz w:val="20"/>
          <w:szCs w:val="20"/>
          <w:color w:val="auto"/>
        </w:rPr>
      </w:pPr>
    </w:p>
    <w:p>
      <w:pPr>
        <w:ind w:right="80" w:firstLine="713"/>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04" w:lineRule="exact"/>
        <w:rPr>
          <w:sz w:val="20"/>
          <w:szCs w:val="20"/>
          <w:color w:val="auto"/>
        </w:rPr>
      </w:pPr>
    </w:p>
    <w:p>
      <w:pPr>
        <w:ind w:right="60" w:firstLine="713"/>
        <w:spacing w:after="0" w:line="263" w:lineRule="auto"/>
        <w:rPr>
          <w:sz w:val="20"/>
          <w:szCs w:val="20"/>
          <w:color w:val="auto"/>
        </w:rPr>
      </w:pPr>
      <w:r>
        <w:rPr>
          <w:rFonts w:ascii="Times New Roman" w:cs="Times New Roman" w:eastAsia="Times New Roman" w:hAnsi="Times New Roman"/>
          <w:sz w:val="20"/>
          <w:szCs w:val="20"/>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 General</w:t>
      </w:r>
    </w:p>
    <w:p>
      <w:pPr>
        <w:spacing w:after="0" w:line="253" w:lineRule="exact"/>
        <w:rPr>
          <w:sz w:val="20"/>
          <w:szCs w:val="20"/>
          <w:color w:val="auto"/>
        </w:rPr>
      </w:pPr>
    </w:p>
    <w:p>
      <w:pPr>
        <w:ind w:firstLine="713"/>
        <w:spacing w:after="0" w:line="252" w:lineRule="auto"/>
        <w:rPr>
          <w:sz w:val="20"/>
          <w:szCs w:val="20"/>
          <w:color w:val="auto"/>
        </w:rPr>
      </w:pPr>
      <w:r>
        <w:rPr>
          <w:rFonts w:ascii="Times New Roman" w:cs="Times New Roman" w:eastAsia="Times New Roman" w:hAnsi="Times New Roman"/>
          <w:sz w:val="20"/>
          <w:szCs w:val="20"/>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07" w:lineRule="exact"/>
        <w:rPr>
          <w:sz w:val="20"/>
          <w:szCs w:val="20"/>
          <w:color w:val="auto"/>
        </w:rPr>
      </w:pPr>
    </w:p>
    <w:p>
      <w:pPr>
        <w:ind w:right="60" w:firstLine="713"/>
        <w:spacing w:after="0" w:line="253" w:lineRule="auto"/>
        <w:rPr>
          <w:sz w:val="20"/>
          <w:szCs w:val="20"/>
          <w:color w:val="auto"/>
        </w:rPr>
      </w:pPr>
      <w:r>
        <w:rPr>
          <w:rFonts w:ascii="Times New Roman" w:cs="Times New Roman" w:eastAsia="Times New Roman" w:hAnsi="Times New Roman"/>
          <w:sz w:val="20"/>
          <w:szCs w:val="20"/>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F-54</w:t>
      </w:r>
    </w:p>
    <w:p>
      <w:pPr>
        <w:sectPr>
          <w:pgSz w:w="11880" w:h="15480" w:orient="portrait"/>
          <w:cols w:equalWidth="0" w:num="1">
            <w:col w:w="10160"/>
          </w:cols>
          <w:pgMar w:left="860" w:top="435" w:right="860" w:bottom="0" w:gutter="0" w:footer="0" w:header="0"/>
          <w:type w:val="continuous"/>
        </w:sectPr>
      </w:pPr>
    </w:p>
    <w:bookmarkStart w:id="158" w:name="page159"/>
    <w:bookmarkEnd w:id="158"/>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40" w:firstLine="713"/>
        <w:spacing w:after="0" w:line="253" w:lineRule="auto"/>
        <w:rPr>
          <w:sz w:val="20"/>
          <w:szCs w:val="20"/>
          <w:color w:val="auto"/>
        </w:rPr>
      </w:pPr>
      <w:r>
        <w:rPr>
          <w:rFonts w:ascii="Times New Roman" w:cs="Times New Roman" w:eastAsia="Times New Roman" w:hAnsi="Times New Roman"/>
          <w:sz w:val="20"/>
          <w:szCs w:val="20"/>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204" w:lineRule="exact"/>
        <w:rPr>
          <w:sz w:val="20"/>
          <w:szCs w:val="20"/>
          <w:color w:val="auto"/>
        </w:rPr>
      </w:pPr>
    </w:p>
    <w:p>
      <w:pPr>
        <w:jc w:val="both"/>
        <w:ind w:right="600" w:firstLine="713"/>
        <w:spacing w:after="0" w:line="283" w:lineRule="auto"/>
        <w:rPr>
          <w:sz w:val="20"/>
          <w:szCs w:val="20"/>
          <w:color w:val="auto"/>
        </w:rPr>
      </w:pPr>
      <w:r>
        <w:rPr>
          <w:rFonts w:ascii="Times New Roman" w:cs="Times New Roman" w:eastAsia="Times New Roman" w:hAnsi="Times New Roman"/>
          <w:sz w:val="19"/>
          <w:szCs w:val="19"/>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78" w:lineRule="exact"/>
        <w:rPr>
          <w:sz w:val="20"/>
          <w:szCs w:val="20"/>
          <w:color w:val="auto"/>
        </w:rPr>
      </w:pPr>
    </w:p>
    <w:p>
      <w:pPr>
        <w:ind w:firstLine="713"/>
        <w:spacing w:after="0" w:line="251" w:lineRule="auto"/>
        <w:rPr>
          <w:sz w:val="20"/>
          <w:szCs w:val="20"/>
          <w:color w:val="auto"/>
        </w:rPr>
      </w:pPr>
      <w:r>
        <w:rPr>
          <w:rFonts w:ascii="Times New Roman" w:cs="Times New Roman" w:eastAsia="Times New Roman" w:hAnsi="Times New Roman"/>
          <w:sz w:val="20"/>
          <w:szCs w:val="20"/>
          <w:color w:val="auto"/>
        </w:rPr>
        <w:t>At December 31, 2022, our estimated undiscounted reserve for environmental liabilities (excluding liabilities related to the Line 901 incident, as discussed further below) totaled $55 million, of which $10 million was classified as short-term and $45 million was classified as long-term. At December 31, 2021, our estimated undiscounted reserve for environmental liabilities (excluding liabilities related to the Line 901 incident) totaled $57 million, of which $11 million was classified as short-term and $46 million was classified as long-term. Such short-term liabilities are reflected in “Other current liabilities” and long-term liabilities are reflected in “Other long-term liabilities and deferred credits” on our Consolidated Balance Sheets. At December 31, 2022 and 2021, we had recorded receivables (excluding receivables related to the Line 901 incident) totaling $4 million and $11 million, respectively, for amounts probable of recovery under insurance and from third parties under indemnification agreements, $1 million of which for each period is reflected in “Other long-term assets, net” and the remainder is reflected in “Trade accounts receivable and other receivables, net” on our Consolidated Balance Sheets.</w:t>
      </w:r>
    </w:p>
    <w:p>
      <w:pPr>
        <w:spacing w:after="0" w:line="208" w:lineRule="exact"/>
        <w:rPr>
          <w:sz w:val="20"/>
          <w:szCs w:val="20"/>
          <w:color w:val="auto"/>
        </w:rPr>
      </w:pPr>
    </w:p>
    <w:p>
      <w:pPr>
        <w:ind w:right="60" w:firstLine="713"/>
        <w:spacing w:after="0" w:line="251" w:lineRule="auto"/>
        <w:rPr>
          <w:sz w:val="20"/>
          <w:szCs w:val="20"/>
          <w:color w:val="auto"/>
        </w:rPr>
      </w:pPr>
      <w:r>
        <w:rPr>
          <w:rFonts w:ascii="Times New Roman" w:cs="Times New Roman" w:eastAsia="Times New Roman" w:hAnsi="Times New Roman"/>
          <w:sz w:val="20"/>
          <w:szCs w:val="20"/>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Specific Legal, Environmental or Regulatory Matters</w:t>
      </w:r>
    </w:p>
    <w:p>
      <w:pPr>
        <w:spacing w:after="0" w:line="250" w:lineRule="exact"/>
        <w:rPr>
          <w:sz w:val="20"/>
          <w:szCs w:val="20"/>
          <w:color w:val="auto"/>
        </w:rPr>
      </w:pPr>
    </w:p>
    <w:p>
      <w:pPr>
        <w:ind w:firstLine="713"/>
        <w:spacing w:after="0" w:line="267" w:lineRule="auto"/>
        <w:rPr>
          <w:sz w:val="20"/>
          <w:szCs w:val="20"/>
          <w:color w:val="auto"/>
        </w:rPr>
      </w:pPr>
      <w:r>
        <w:rPr>
          <w:rFonts w:ascii="Times New Roman" w:cs="Times New Roman" w:eastAsia="Times New Roman" w:hAnsi="Times New Roman"/>
          <w:sz w:val="19"/>
          <w:szCs w:val="19"/>
          <w:b w:val="1"/>
          <w:bCs w:val="1"/>
          <w:i w:val="1"/>
          <w:iCs w:val="1"/>
          <w:color w:val="auto"/>
        </w:rPr>
        <w:t>Line 901 Incident</w:t>
      </w:r>
      <w:r>
        <w:rPr>
          <w:rFonts w:ascii="Times New Roman" w:cs="Times New Roman" w:eastAsia="Times New Roman" w:hAnsi="Times New Roman"/>
          <w:sz w:val="19"/>
          <w:szCs w:val="19"/>
          <w:color w:val="auto"/>
        </w:rPr>
        <w:t>. In May 2015, we experienced a crude oil release from our Las Flores to Gaviota Pipeline (Line 901)</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191" w:lineRule="exact"/>
        <w:rPr>
          <w:sz w:val="20"/>
          <w:szCs w:val="20"/>
          <w:color w:val="auto"/>
        </w:rPr>
      </w:pPr>
    </w:p>
    <w:p>
      <w:pPr>
        <w:ind w:right="20" w:firstLine="713"/>
        <w:spacing w:after="0" w:line="258" w:lineRule="auto"/>
        <w:rPr>
          <w:sz w:val="20"/>
          <w:szCs w:val="20"/>
          <w:color w:val="auto"/>
        </w:rPr>
      </w:pPr>
      <w:r>
        <w:rPr>
          <w:rFonts w:ascii="Times New Roman" w:cs="Times New Roman" w:eastAsia="Times New Roman" w:hAnsi="Times New Roman"/>
          <w:sz w:val="20"/>
          <w:szCs w:val="20"/>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ectPr>
          <w:pgSz w:w="11880" w:h="15480" w:orient="portrait"/>
          <w:cols w:equalWidth="0" w:num="1">
            <w:col w:w="10140"/>
          </w:cols>
          <w:pgMar w:left="860" w:top="43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F-55</w:t>
      </w:r>
    </w:p>
    <w:p>
      <w:pPr>
        <w:sectPr>
          <w:pgSz w:w="11880" w:h="15480" w:orient="portrait"/>
          <w:cols w:equalWidth="0" w:num="1">
            <w:col w:w="10140"/>
          </w:cols>
          <w:pgMar w:left="860" w:top="435" w:right="880" w:bottom="0" w:gutter="0" w:footer="0" w:header="0"/>
          <w:type w:val="continuous"/>
        </w:sectPr>
      </w:pPr>
    </w:p>
    <w:bookmarkStart w:id="159" w:name="page160"/>
    <w:bookmarkEnd w:id="159"/>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firstLine="713"/>
        <w:spacing w:after="0" w:line="263" w:lineRule="auto"/>
        <w:rPr>
          <w:sz w:val="20"/>
          <w:szCs w:val="20"/>
          <w:color w:val="auto"/>
        </w:rPr>
      </w:pPr>
      <w:r>
        <w:rPr>
          <w:rFonts w:ascii="Times New Roman" w:cs="Times New Roman" w:eastAsia="Times New Roman" w:hAnsi="Times New Roman"/>
          <w:sz w:val="19"/>
          <w:szCs w:val="19"/>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spacing w:after="0" w:line="201" w:lineRule="exact"/>
        <w:rPr>
          <w:sz w:val="20"/>
          <w:szCs w:val="20"/>
          <w:color w:val="auto"/>
        </w:rPr>
      </w:pPr>
    </w:p>
    <w:p>
      <w:pPr>
        <w:ind w:right="120" w:firstLine="713"/>
        <w:spacing w:after="0" w:line="250" w:lineRule="auto"/>
        <w:rPr>
          <w:sz w:val="20"/>
          <w:szCs w:val="20"/>
          <w:color w:val="auto"/>
        </w:rPr>
      </w:pPr>
      <w:r>
        <w:rPr>
          <w:rFonts w:ascii="Times New Roman" w:cs="Times New Roman" w:eastAsia="Times New Roman" w:hAnsi="Times New Roman"/>
          <w:sz w:val="20"/>
          <w:szCs w:val="20"/>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206" w:lineRule="exact"/>
        <w:rPr>
          <w:sz w:val="20"/>
          <w:szCs w:val="20"/>
          <w:color w:val="auto"/>
        </w:rPr>
      </w:pPr>
    </w:p>
    <w:p>
      <w:pPr>
        <w:ind w:right="40" w:firstLine="713"/>
        <w:spacing w:after="0" w:line="251" w:lineRule="auto"/>
        <w:rPr>
          <w:sz w:val="20"/>
          <w:szCs w:val="20"/>
          <w:color w:val="auto"/>
        </w:rPr>
      </w:pPr>
      <w:r>
        <w:rPr>
          <w:rFonts w:ascii="Times New Roman" w:cs="Times New Roman" w:eastAsia="Times New Roman" w:hAnsi="Times New Roman"/>
          <w:sz w:val="20"/>
          <w:szCs w:val="20"/>
          <w:color w:val="auto"/>
        </w:rPr>
        <w:t>In addition, after various other unitholder derivative lawsuits were either dismissed or consolidated, one derivative suit proceeded in Delaware Chancery Court. Generally, the plaintiffs in the derivative lawsuit claimed that PAGP’s Board of Directors failed to exercise proper oversight over PAA’s pipeline integrity efforts. In April 2022, Plains entered into a settlement agreement to settle this lawsuit, subject to court approval and notice to all PAA unitholders (the “Derivative Settlement”). Following preliminary court approval, on May 23, 2022 we filed a Current Report on Form 8-K with the SEC. We also posted notice on our website and mailed copies of the notice to all record holders of PAA common units as of August 10, 2022. The key terms of the Derivative Settlement include a payment of Plaintiff’s attorneys’ fees by our insurers in the amount of approximately $1.0 million and the agreement of Plains to comply with various covenants regarding the implementation or continuation of certain Board oversight practices with respect to pipeline integrity. At a settlement hearing held on November 1, 2022, the Delaware Chancery Court approved the terms of the Derivative Settlement.</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F-56</w:t>
      </w:r>
    </w:p>
    <w:p>
      <w:pPr>
        <w:sectPr>
          <w:pgSz w:w="11880" w:h="15480" w:orient="portrait"/>
          <w:cols w:equalWidth="0" w:num="1">
            <w:col w:w="10160"/>
          </w:cols>
          <w:pgMar w:left="860" w:top="435" w:right="860" w:bottom="0" w:gutter="0" w:footer="0" w:header="0"/>
          <w:type w:val="continuous"/>
        </w:sectPr>
      </w:pPr>
    </w:p>
    <w:bookmarkStart w:id="160" w:name="page161"/>
    <w:bookmarkEnd w:id="160"/>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80" w:firstLine="713"/>
        <w:spacing w:after="0" w:line="250" w:lineRule="auto"/>
        <w:rPr>
          <w:sz w:val="20"/>
          <w:szCs w:val="20"/>
          <w:color w:val="auto"/>
        </w:rPr>
      </w:pPr>
      <w:r>
        <w:rPr>
          <w:rFonts w:ascii="Times New Roman" w:cs="Times New Roman" w:eastAsia="Times New Roman" w:hAnsi="Times New Roman"/>
          <w:sz w:val="20"/>
          <w:szCs w:val="20"/>
          <w:color w:val="auto"/>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costs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 including a lack of duty owed to the claimants to keep Line 901 in service.</w:t>
      </w:r>
    </w:p>
    <w:p>
      <w:pPr>
        <w:spacing w:after="0" w:line="214" w:lineRule="exact"/>
        <w:rPr>
          <w:sz w:val="20"/>
          <w:szCs w:val="20"/>
          <w:color w:val="auto"/>
        </w:rPr>
      </w:pPr>
    </w:p>
    <w:p>
      <w:pPr>
        <w:ind w:right="180" w:firstLine="713"/>
        <w:spacing w:after="0" w:line="255" w:lineRule="auto"/>
        <w:rPr>
          <w:sz w:val="20"/>
          <w:szCs w:val="20"/>
          <w:color w:val="auto"/>
        </w:rPr>
      </w:pPr>
      <w:r>
        <w:rPr>
          <w:rFonts w:ascii="Times New Roman" w:cs="Times New Roman" w:eastAsia="Times New Roman" w:hAnsi="Times New Roman"/>
          <w:sz w:val="20"/>
          <w:szCs w:val="20"/>
          <w:color w:val="auto"/>
        </w:rPr>
        <w:t>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remained pending in the United States District Court for the Central District of California.</w:t>
      </w:r>
    </w:p>
    <w:p>
      <w:pPr>
        <w:spacing w:after="0" w:line="204" w:lineRule="exact"/>
        <w:rPr>
          <w:sz w:val="20"/>
          <w:szCs w:val="20"/>
          <w:color w:val="auto"/>
        </w:rPr>
      </w:pPr>
    </w:p>
    <w:p>
      <w:pPr>
        <w:ind w:right="40" w:firstLine="713"/>
        <w:spacing w:after="0" w:line="258" w:lineRule="auto"/>
        <w:rPr>
          <w:sz w:val="20"/>
          <w:szCs w:val="20"/>
          <w:color w:val="auto"/>
        </w:rPr>
      </w:pPr>
      <w:r>
        <w:rPr>
          <w:rFonts w:ascii="Times New Roman" w:cs="Times New Roman" w:eastAsia="Times New Roman" w:hAnsi="Times New Roman"/>
          <w:sz w:val="20"/>
          <w:szCs w:val="20"/>
          <w:color w:val="auto"/>
        </w:rPr>
        <w:t>In the first proceeding, the plaintiffs seek a declaratory judgment that Plains’ right-of-way agreements would not allow Plains to lay a new pipeline to replace Line 901 and/or the non-operating segment of Line 903 without paying additional compensation. No trial date has been set in that action and the purchaser of Line 901 and the Sisquoc to Pentland portion of Line 903 will be joining this proceeding as a co-defendant with respect to its interest in such acquired pipelines.</w:t>
      </w:r>
    </w:p>
    <w:p>
      <w:pPr>
        <w:spacing w:after="0" w:line="199" w:lineRule="exact"/>
        <w:rPr>
          <w:sz w:val="20"/>
          <w:szCs w:val="20"/>
          <w:color w:val="auto"/>
        </w:rPr>
      </w:pPr>
    </w:p>
    <w:p>
      <w:pPr>
        <w:ind w:firstLine="713"/>
        <w:spacing w:after="0" w:line="261" w:lineRule="auto"/>
        <w:rPr>
          <w:sz w:val="20"/>
          <w:szCs w:val="20"/>
          <w:color w:val="auto"/>
        </w:rPr>
      </w:pPr>
      <w:r>
        <w:rPr>
          <w:rFonts w:ascii="Times New Roman" w:cs="Times New Roman" w:eastAsia="Times New Roman" w:hAnsi="Times New Roman"/>
          <w:sz w:val="19"/>
          <w:szCs w:val="19"/>
          <w:color w:val="auto"/>
        </w:rPr>
        <w:t>In the second proceeding,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December 31, 2022. Insurers responsible for $185 million of the remaining $225 million of coverage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yet responded to our reimbursement demand. We intend to vigorously pursue recovery from our insurers of all amounts for which we have claimed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w:t>
      </w:r>
    </w:p>
    <w:p>
      <w:pPr>
        <w:ind w:right="80" w:firstLine="1"/>
        <w:spacing w:after="0" w:line="252" w:lineRule="auto"/>
        <w:tabs>
          <w:tab w:leader="none" w:pos="34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F-57</w:t>
      </w:r>
    </w:p>
    <w:p>
      <w:pPr>
        <w:sectPr>
          <w:pgSz w:w="11880" w:h="15480" w:orient="portrait"/>
          <w:cols w:equalWidth="0" w:num="1">
            <w:col w:w="10160"/>
          </w:cols>
          <w:pgMar w:left="860" w:top="435" w:right="860" w:bottom="0" w:gutter="0" w:footer="0" w:header="0"/>
          <w:type w:val="continuous"/>
        </w:sectPr>
      </w:pPr>
    </w:p>
    <w:bookmarkStart w:id="161" w:name="page162"/>
    <w:bookmarkEnd w:id="161"/>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right="20" w:firstLine="713"/>
        <w:spacing w:after="0" w:line="261" w:lineRule="auto"/>
        <w:rPr>
          <w:sz w:val="20"/>
          <w:szCs w:val="20"/>
          <w:color w:val="auto"/>
        </w:rPr>
      </w:pPr>
      <w:r>
        <w:rPr>
          <w:rFonts w:ascii="Times New Roman" w:cs="Times New Roman" w:eastAsia="Times New Roman" w:hAnsi="Times New Roman"/>
          <w:sz w:val="19"/>
          <w:szCs w:val="19"/>
          <w:color w:val="auto"/>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December 31, 2022, we estimate that the aggregate total costs we have incurred or will incur with respect to the Line 901 incident will be approximately $740 million, which includes actual and projected emergency response and clean-up costs, natural resource damage assessments, fines and penalties payable pursuant to the Consent Decree, certain third-party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w:t>
      </w:r>
    </w:p>
    <w:p>
      <w:pPr>
        <w:ind w:firstLine="1"/>
        <w:spacing w:after="0" w:line="249" w:lineRule="auto"/>
        <w:tabs>
          <w:tab w:leader="none" w:pos="23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18" w:lineRule="exact"/>
        <w:rPr>
          <w:sz w:val="20"/>
          <w:szCs w:val="20"/>
          <w:color w:val="auto"/>
        </w:rPr>
      </w:pPr>
    </w:p>
    <w:p>
      <w:pPr>
        <w:ind w:firstLine="713"/>
        <w:spacing w:after="0" w:line="250" w:lineRule="auto"/>
        <w:rPr>
          <w:sz w:val="20"/>
          <w:szCs w:val="20"/>
          <w:color w:val="auto"/>
        </w:rPr>
      </w:pPr>
      <w:r>
        <w:rPr>
          <w:rFonts w:ascii="Times New Roman" w:cs="Times New Roman" w:eastAsia="Times New Roman" w:hAnsi="Times New Roman"/>
          <w:sz w:val="20"/>
          <w:szCs w:val="20"/>
          <w:color w:val="auto"/>
        </w:rPr>
        <w:t>During the years ended December 31, 2022 and 2021, we recognized costs, net of amounts probable of recovery from insurance carriers, of $95 million and $15 million, respectively. We did not recognize any such costs during the year ended December 31, 2020. As of December 31, 2022, we had a remaining undiscounted gross liability of approximately $105 million related to the Line 901 incident, which aggregate amount is reflected in “Current liabilities” on our Consolidated Balance Sheet. As discussed above, we maintain insurance coverage, which is subject to certain exclusions and deductibles, in the event of such liabilities. As of December 31, 2022, our incurred costs for the Line 901 incident have exceeded our insurance coverage limit of $500 million related to our 2015 insurance program applicable to the Line 901 incident by $240 million. Through December 31, 2022,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December 31, 2022, we have recognized a long-term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recognized such amount as a long-term asset in “Other assets” on our Consolidated Balance Sheet.</w:t>
      </w:r>
    </w:p>
    <w:p>
      <w:pPr>
        <w:spacing w:after="0" w:line="210" w:lineRule="exact"/>
        <w:rPr>
          <w:sz w:val="20"/>
          <w:szCs w:val="20"/>
          <w:color w:val="auto"/>
        </w:rPr>
      </w:pPr>
    </w:p>
    <w:p>
      <w:pPr>
        <w:ind w:right="100" w:firstLine="713"/>
        <w:spacing w:after="0" w:line="254" w:lineRule="auto"/>
        <w:rPr>
          <w:sz w:val="20"/>
          <w:szCs w:val="20"/>
          <w:color w:val="auto"/>
        </w:rPr>
      </w:pPr>
      <w:r>
        <w:rPr>
          <w:rFonts w:ascii="Times New Roman" w:cs="Times New Roman" w:eastAsia="Times New Roman" w:hAnsi="Times New Roman"/>
          <w:sz w:val="20"/>
          <w:szCs w:val="20"/>
          <w:color w:val="auto"/>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ectPr>
          <w:pgSz w:w="11880" w:h="15480" w:orient="portrait"/>
          <w:cols w:equalWidth="0" w:num="1">
            <w:col w:w="10140"/>
          </w:cols>
          <w:pgMar w:left="860" w:top="43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F-58</w:t>
      </w:r>
    </w:p>
    <w:p>
      <w:pPr>
        <w:sectPr>
          <w:pgSz w:w="11880" w:h="15480" w:orient="portrait"/>
          <w:cols w:equalWidth="0" w:num="1">
            <w:col w:w="10140"/>
          </w:cols>
          <w:pgMar w:left="860" w:top="435" w:right="880" w:bottom="0" w:gutter="0" w:footer="0" w:header="0"/>
          <w:type w:val="continuous"/>
        </w:sectPr>
      </w:pPr>
    </w:p>
    <w:bookmarkStart w:id="162" w:name="page163"/>
    <w:bookmarkEnd w:id="162"/>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3" w:lineRule="exact"/>
        <w:rPr>
          <w:sz w:val="20"/>
          <w:szCs w:val="20"/>
          <w:color w:val="auto"/>
        </w:rPr>
      </w:pPr>
    </w:p>
    <w:p>
      <w:pPr>
        <w:ind w:firstLine="713"/>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Litigation Matters. </w:t>
      </w:r>
      <w:r>
        <w:rPr>
          <w:rFonts w:ascii="Times New Roman" w:cs="Times New Roman" w:eastAsia="Times New Roman" w:hAnsi="Times New Roman"/>
          <w:sz w:val="20"/>
          <w:szCs w:val="20"/>
          <w:color w:val="auto"/>
        </w:rPr>
        <w:t>On July 19, 2022 Hartree Natural Gas Storage, LLC (“Hartree”) filed a lawsuit under seal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Superior Court for the 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Insurance</w:t>
      </w:r>
    </w:p>
    <w:p>
      <w:pPr>
        <w:spacing w:after="0" w:line="213" w:lineRule="exact"/>
        <w:rPr>
          <w:sz w:val="20"/>
          <w:szCs w:val="20"/>
          <w:color w:val="auto"/>
        </w:rPr>
      </w:pPr>
    </w:p>
    <w:p>
      <w:pPr>
        <w:ind w:right="40" w:firstLine="713"/>
        <w:spacing w:after="0" w:line="251" w:lineRule="auto"/>
        <w:rPr>
          <w:sz w:val="20"/>
          <w:szCs w:val="20"/>
          <w:color w:val="auto"/>
        </w:rPr>
      </w:pPr>
      <w:r>
        <w:rPr>
          <w:rFonts w:ascii="Times New Roman" w:cs="Times New Roman" w:eastAsia="Times New Roman" w:hAnsi="Times New Roman"/>
          <w:sz w:val="20"/>
          <w:szCs w:val="20"/>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associated with operating pipelines, terminals and other facilities and equipment, including the potential loss of significant revenues and cash flows.</w:t>
      </w:r>
    </w:p>
    <w:p>
      <w:pPr>
        <w:spacing w:after="0" w:line="211" w:lineRule="exact"/>
        <w:rPr>
          <w:sz w:val="20"/>
          <w:szCs w:val="20"/>
          <w:color w:val="auto"/>
        </w:rPr>
      </w:pPr>
    </w:p>
    <w:p>
      <w:pPr>
        <w:ind w:right="40" w:firstLine="713"/>
        <w:spacing w:after="0" w:line="251" w:lineRule="auto"/>
        <w:rPr>
          <w:sz w:val="20"/>
          <w:szCs w:val="20"/>
          <w:color w:val="auto"/>
        </w:rPr>
      </w:pPr>
      <w:r>
        <w:rPr>
          <w:rFonts w:ascii="Times New Roman" w:cs="Times New Roman" w:eastAsia="Times New Roman" w:hAnsi="Times New Roman"/>
          <w:sz w:val="20"/>
          <w:szCs w:val="20"/>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F-59</w:t>
      </w:r>
    </w:p>
    <w:p>
      <w:pPr>
        <w:sectPr>
          <w:pgSz w:w="11880" w:h="15480" w:orient="portrait"/>
          <w:cols w:equalWidth="0" w:num="1">
            <w:col w:w="10160"/>
          </w:cols>
          <w:pgMar w:left="860" w:top="435" w:right="860" w:bottom="0" w:gutter="0" w:footer="0" w:header="0"/>
          <w:type w:val="continuous"/>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right="2200" w:firstLine="2228"/>
        <w:spacing w:after="0" w:line="409" w:lineRule="auto"/>
        <w:rPr>
          <w:sz w:val="20"/>
          <w:szCs w:val="20"/>
          <w:color w:val="auto"/>
        </w:rPr>
      </w:pPr>
      <w:r>
        <w:rPr>
          <w:rFonts w:ascii="Times New Roman" w:cs="Times New Roman" w:eastAsia="Times New Roman" w:hAnsi="Times New Roman"/>
          <w:sz w:val="20"/>
          <w:szCs w:val="20"/>
          <w:b w:val="1"/>
          <w:bCs w:val="1"/>
          <w:color w:val="auto"/>
        </w:rPr>
        <w:t>NOTES TO THE CONSOLIDATED FINANCIAL STATEMENTS Note 20—Segment Information</w:t>
      </w:r>
    </w:p>
    <w:p>
      <w:pPr>
        <w:spacing w:after="0" w:line="58" w:lineRule="exact"/>
        <w:rPr>
          <w:sz w:val="20"/>
          <w:szCs w:val="20"/>
          <w:color w:val="auto"/>
        </w:rPr>
      </w:pPr>
    </w:p>
    <w:p>
      <w:pPr>
        <w:ind w:firstLine="713"/>
        <w:spacing w:after="0" w:line="268" w:lineRule="auto"/>
        <w:rPr>
          <w:sz w:val="20"/>
          <w:szCs w:val="20"/>
          <w:color w:val="auto"/>
        </w:rPr>
      </w:pPr>
      <w:r>
        <w:rPr>
          <w:rFonts w:ascii="Times New Roman" w:cs="Times New Roman" w:eastAsia="Times New Roman" w:hAnsi="Times New Roman"/>
          <w:sz w:val="19"/>
          <w:szCs w:val="19"/>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Our crude oil and NGL marketing activities are included in the respective reporting segments as their primary purpose is to support the utilization of our assets by entering into transactions that facilitate increased volumes handled by our assets, resulting in additional earnings for each of our segments.</w:t>
      </w:r>
    </w:p>
    <w:p>
      <w:pPr>
        <w:spacing w:after="0" w:line="193" w:lineRule="exact"/>
        <w:rPr>
          <w:sz w:val="20"/>
          <w:szCs w:val="20"/>
          <w:color w:val="auto"/>
        </w:rPr>
      </w:pPr>
    </w:p>
    <w:p>
      <w:pPr>
        <w:ind w:right="40" w:firstLine="713"/>
        <w:spacing w:after="0" w:line="250" w:lineRule="auto"/>
        <w:rPr>
          <w:sz w:val="20"/>
          <w:szCs w:val="20"/>
          <w:color w:val="auto"/>
        </w:rPr>
      </w:pPr>
      <w:r>
        <w:rPr>
          <w:rFonts w:ascii="Times New Roman" w:cs="Times New Roman" w:eastAsia="Times New Roman" w:hAnsi="Times New Roman"/>
          <w:sz w:val="20"/>
          <w:szCs w:val="20"/>
          <w:color w:val="auto"/>
        </w:rPr>
        <w:t>Our CODM (our Chief Executive Officer) evaluates segment performance based on measures including Segment Adjusted EBITDA (as defined below) and maintenance capital. 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w:t>
      </w:r>
    </w:p>
    <w:p>
      <w:pPr>
        <w:spacing w:after="0" w:line="208" w:lineRule="exact"/>
        <w:rPr>
          <w:sz w:val="20"/>
          <w:szCs w:val="20"/>
          <w:color w:val="auto"/>
        </w:rPr>
      </w:pPr>
    </w:p>
    <w:p>
      <w:pPr>
        <w:ind w:firstLine="713"/>
        <w:spacing w:after="0" w:line="264" w:lineRule="auto"/>
        <w:rPr>
          <w:sz w:val="20"/>
          <w:szCs w:val="20"/>
          <w:color w:val="auto"/>
        </w:rPr>
      </w:pPr>
      <w:r>
        <w:rPr>
          <w:rFonts w:ascii="Times New Roman" w:cs="Times New Roman" w:eastAsia="Times New Roman" w:hAnsi="Times New Roman"/>
          <w:sz w:val="19"/>
          <w:szCs w:val="19"/>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 Assets are not reviewed by our CODM on a segmented basis; therefore, such information is not presented.</w:t>
      </w:r>
    </w:p>
    <w:p>
      <w:pPr>
        <w:sectPr>
          <w:pgSz w:w="11880" w:h="15480" w:orient="portrait"/>
          <w:cols w:equalWidth="0" w:num="1">
            <w:col w:w="10140"/>
          </w:cols>
          <w:pgMar w:left="860" w:top="43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F-60</w:t>
      </w:r>
    </w:p>
    <w:p>
      <w:pPr>
        <w:sectPr>
          <w:pgSz w:w="11880" w:h="15480" w:orient="portrait"/>
          <w:cols w:equalWidth="0" w:num="1">
            <w:col w:w="10140"/>
          </w:cols>
          <w:pgMar w:left="860" w:top="435" w:right="880" w:bottom="0" w:gutter="0" w:footer="0" w:header="0"/>
          <w:type w:val="continuous"/>
        </w:sectPr>
      </w:pPr>
    </w:p>
    <w:bookmarkStart w:id="164" w:name="page165"/>
    <w:bookmarkEnd w:id="164"/>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tables reflect certain financial data for each segment (in millions):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NGL</w:t>
            </w:r>
          </w:p>
        </w:tc>
        <w:tc>
          <w:tcPr>
            <w:tcW w:w="180" w:type="dxa"/>
            <w:vAlign w:val="bottom"/>
          </w:tcPr>
          <w:p>
            <w:pPr>
              <w:spacing w:after="0"/>
              <w:rPr>
                <w:sz w:val="13"/>
                <w:szCs w:val="13"/>
                <w:color w:val="auto"/>
              </w:rPr>
            </w:pPr>
          </w:p>
        </w:tc>
        <w:tc>
          <w:tcPr>
            <w:tcW w:w="10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Revenues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560" w:type="dxa"/>
            <w:vAlign w:val="bottom"/>
            <w:tcBorders>
              <w:bottom w:val="single" w:sz="8" w:color="E6E6E6"/>
            </w:tcBorders>
          </w:tcPr>
          <w:p>
            <w:pPr>
              <w:spacing w:after="0"/>
              <w:rPr>
                <w:sz w:val="18"/>
                <w:szCs w:val="18"/>
                <w:color w:val="auto"/>
              </w:rPr>
            </w:pPr>
          </w:p>
        </w:tc>
        <w:tc>
          <w:tcPr>
            <w:tcW w:w="62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Elimination</w:t>
            </w: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45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tc>
        <w:tc>
          <w:tcPr>
            <w:tcW w:w="6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Revenues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6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Product sales</w:t>
            </w:r>
          </w:p>
        </w:tc>
        <w:tc>
          <w:tcPr>
            <w:tcW w:w="820" w:type="dxa"/>
            <w:vAlign w:val="bottom"/>
            <w:gridSpan w:val="5"/>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53,840</w:t>
            </w:r>
          </w:p>
        </w:tc>
        <w:tc>
          <w:tcPr>
            <w:tcW w:w="340" w:type="dxa"/>
            <w:vAlign w:val="bottom"/>
            <w:gridSpan w:val="8"/>
            <w:shd w:val="clear" w:color="auto" w:fill="E6E6E6"/>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2,575</w:t>
            </w: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20" w:type="dxa"/>
            <w:vAlign w:val="bottom"/>
            <w:shd w:val="clear" w:color="auto" w:fill="E6E6E6"/>
          </w:tcPr>
          <w:p>
            <w:pPr>
              <w:spacing w:after="0"/>
              <w:rPr>
                <w:sz w:val="24"/>
                <w:szCs w:val="24"/>
                <w:color w:val="auto"/>
              </w:rPr>
            </w:pPr>
          </w:p>
        </w:tc>
        <w:tc>
          <w:tcPr>
            <w:tcW w:w="340" w:type="dxa"/>
            <w:vAlign w:val="bottom"/>
            <w:gridSpan w:val="4"/>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55,948</w:t>
            </w:r>
          </w:p>
        </w:tc>
        <w:tc>
          <w:tcPr>
            <w:tcW w:w="0" w:type="dxa"/>
            <w:vAlign w:val="bottom"/>
          </w:tcPr>
          <w:p>
            <w:pPr>
              <w:spacing w:after="0"/>
              <w:rPr>
                <w:sz w:val="1"/>
                <w:szCs w:val="1"/>
                <w:color w:val="auto"/>
              </w:rPr>
            </w:pPr>
          </w:p>
        </w:tc>
      </w:tr>
      <w:tr>
        <w:trPr>
          <w:trHeight w:val="287"/>
        </w:trPr>
        <w:tc>
          <w:tcPr>
            <w:tcW w:w="456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Services</w:t>
            </w:r>
          </w:p>
        </w:tc>
        <w:tc>
          <w:tcPr>
            <w:tcW w:w="62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1,394</w:t>
            </w:r>
          </w:p>
        </w:tc>
        <w:tc>
          <w:tcPr>
            <w:tcW w:w="0" w:type="dxa"/>
            <w:vAlign w:val="bottom"/>
          </w:tcPr>
          <w:p>
            <w:pPr>
              <w:spacing w:after="0"/>
              <w:rPr>
                <w:sz w:val="1"/>
                <w:szCs w:val="1"/>
                <w:color w:val="auto"/>
              </w:rPr>
            </w:pPr>
          </w:p>
        </w:tc>
      </w:tr>
      <w:tr>
        <w:trPr>
          <w:trHeight w:val="317"/>
        </w:trPr>
        <w:tc>
          <w:tcPr>
            <w:tcW w:w="456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Total revenues</w:t>
            </w:r>
          </w:p>
        </w:tc>
        <w:tc>
          <w:tcPr>
            <w:tcW w:w="820" w:type="dxa"/>
            <w:vAlign w:val="bottom"/>
            <w:gridSpan w:val="5"/>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55,080</w:t>
            </w:r>
          </w:p>
        </w:tc>
        <w:tc>
          <w:tcPr>
            <w:tcW w:w="340" w:type="dxa"/>
            <w:vAlign w:val="bottom"/>
            <w:gridSpan w:val="8"/>
            <w:shd w:val="clear" w:color="auto" w:fill="E6E6E6"/>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2,761</w:t>
            </w: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20" w:type="dxa"/>
            <w:vAlign w:val="bottom"/>
            <w:shd w:val="clear" w:color="auto" w:fill="E6E6E6"/>
          </w:tcPr>
          <w:p>
            <w:pPr>
              <w:spacing w:after="0"/>
              <w:rPr>
                <w:sz w:val="24"/>
                <w:szCs w:val="24"/>
                <w:color w:val="auto"/>
              </w:rPr>
            </w:pPr>
          </w:p>
        </w:tc>
        <w:tc>
          <w:tcPr>
            <w:tcW w:w="340" w:type="dxa"/>
            <w:vAlign w:val="bottom"/>
            <w:gridSpan w:val="4"/>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57,342</w:t>
            </w:r>
          </w:p>
        </w:tc>
        <w:tc>
          <w:tcPr>
            <w:tcW w:w="0" w:type="dxa"/>
            <w:vAlign w:val="bottom"/>
          </w:tcPr>
          <w:p>
            <w:pPr>
              <w:spacing w:after="0"/>
              <w:rPr>
                <w:sz w:val="1"/>
                <w:szCs w:val="1"/>
                <w:color w:val="auto"/>
              </w:rPr>
            </w:pPr>
          </w:p>
        </w:tc>
      </w:tr>
      <w:tr>
        <w:trPr>
          <w:trHeight w:val="282"/>
        </w:trPr>
        <w:tc>
          <w:tcPr>
            <w:tcW w:w="4560" w:type="dxa"/>
            <w:vAlign w:val="bottom"/>
            <w:tcBorders>
              <w:top w:val="single" w:sz="8" w:color="E6E6E6"/>
              <w:bottom w:val="single" w:sz="8" w:color="E6E6E6"/>
            </w:tcBorders>
          </w:tcPr>
          <w:p>
            <w:pPr>
              <w:ind w:left="60"/>
              <w:spacing w:after="0" w:line="218" w:lineRule="exact"/>
              <w:rPr>
                <w:sz w:val="20"/>
                <w:szCs w:val="20"/>
                <w:color w:val="auto"/>
              </w:rPr>
            </w:pPr>
            <w:r>
              <w:rPr>
                <w:rFonts w:ascii="Times New Roman" w:cs="Times New Roman" w:eastAsia="Times New Roman" w:hAnsi="Times New Roman"/>
                <w:sz w:val="20"/>
                <w:szCs w:val="20"/>
                <w:color w:val="auto"/>
              </w:rPr>
              <w:t>Equity earnings in unconsolidated entities</w:t>
            </w:r>
          </w:p>
        </w:tc>
        <w:tc>
          <w:tcPr>
            <w:tcW w:w="620" w:type="dxa"/>
            <w:vAlign w:val="bottom"/>
            <w:tcBorders>
              <w:top w:val="single" w:sz="8" w:color="E6E6E6"/>
              <w:bottom w:val="single" w:sz="8" w:color="E6E6E6"/>
            </w:tcBorders>
          </w:tcPr>
          <w:p>
            <w:pPr>
              <w:spacing w:after="0"/>
              <w:rPr>
                <w:sz w:val="24"/>
                <w:szCs w:val="24"/>
                <w:color w:val="auto"/>
              </w:rPr>
            </w:pPr>
          </w:p>
        </w:tc>
        <w:tc>
          <w:tcPr>
            <w:tcW w:w="200" w:type="dxa"/>
            <w:vAlign w:val="bottom"/>
            <w:tcBorders>
              <w:top w:val="single" w:sz="8" w:color="auto"/>
              <w:bottom w:val="single" w:sz="8" w:color="auto"/>
            </w:tcBorders>
            <w:gridSpan w:val="4"/>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403</w:t>
            </w:r>
          </w:p>
        </w:tc>
        <w:tc>
          <w:tcPr>
            <w:tcW w:w="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gridSpan w:val="4"/>
          </w:tcPr>
          <w:p>
            <w:pPr>
              <w:jc w:val="right"/>
              <w:ind w:right="120"/>
              <w:spacing w:after="0" w:line="218"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E6E6E6"/>
              <w:bottom w:val="single" w:sz="8" w:color="E6E6E6"/>
            </w:tcBorders>
          </w:tcPr>
          <w:p>
            <w:pPr>
              <w:spacing w:after="0"/>
              <w:rPr>
                <w:sz w:val="24"/>
                <w:szCs w:val="24"/>
                <w:color w:val="auto"/>
              </w:rPr>
            </w:pPr>
          </w:p>
        </w:tc>
        <w:tc>
          <w:tcPr>
            <w:tcW w:w="180" w:type="dxa"/>
            <w:vAlign w:val="bottom"/>
            <w:tcBorders>
              <w:top w:val="single" w:sz="8" w:color="auto"/>
              <w:bottom w:val="single" w:sz="8" w:color="E6E6E6"/>
            </w:tcBorders>
          </w:tcPr>
          <w:p>
            <w:pPr>
              <w:spacing w:after="0"/>
              <w:rPr>
                <w:sz w:val="24"/>
                <w:szCs w:val="24"/>
                <w:color w:val="auto"/>
              </w:rPr>
            </w:pPr>
          </w:p>
        </w:tc>
        <w:tc>
          <w:tcPr>
            <w:tcW w:w="1000" w:type="dxa"/>
            <w:vAlign w:val="bottom"/>
            <w:tcBorders>
              <w:top w:val="single" w:sz="8" w:color="auto"/>
              <w:bottom w:val="single" w:sz="8" w:color="E6E6E6"/>
            </w:tcBorders>
          </w:tcPr>
          <w:p>
            <w:pPr>
              <w:spacing w:after="0"/>
              <w:rPr>
                <w:sz w:val="24"/>
                <w:szCs w:val="24"/>
                <w:color w:val="auto"/>
              </w:rPr>
            </w:pPr>
          </w:p>
        </w:tc>
        <w:tc>
          <w:tcPr>
            <w:tcW w:w="20" w:type="dxa"/>
            <w:vAlign w:val="bottom"/>
            <w:tcBorders>
              <w:top w:val="single" w:sz="8" w:color="auto"/>
              <w:bottom w:val="single" w:sz="8" w:color="E6E6E6"/>
            </w:tcBorders>
          </w:tcPr>
          <w:p>
            <w:pPr>
              <w:spacing w:after="0"/>
              <w:rPr>
                <w:sz w:val="24"/>
                <w:szCs w:val="24"/>
                <w:color w:val="auto"/>
              </w:rPr>
            </w:pPr>
          </w:p>
        </w:tc>
        <w:tc>
          <w:tcPr>
            <w:tcW w:w="6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21"/>
              <w:spacing w:after="0" w:line="218"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403</w:t>
            </w:r>
          </w:p>
        </w:tc>
        <w:tc>
          <w:tcPr>
            <w:tcW w:w="0" w:type="dxa"/>
            <w:vAlign w:val="bottom"/>
          </w:tcPr>
          <w:p>
            <w:pPr>
              <w:spacing w:after="0"/>
              <w:rPr>
                <w:sz w:val="1"/>
                <w:szCs w:val="1"/>
                <w:color w:val="auto"/>
              </w:rPr>
            </w:pPr>
          </w:p>
        </w:tc>
      </w:tr>
      <w:tr>
        <w:trPr>
          <w:trHeight w:val="277"/>
        </w:trPr>
        <w:tc>
          <w:tcPr>
            <w:tcW w:w="4560" w:type="dxa"/>
            <w:vAlign w:val="bottom"/>
            <w:tcBorders>
              <w:top w:val="single" w:sz="8" w:color="E6E6E6"/>
              <w:bottom w:val="single" w:sz="8" w:color="E6E6E6"/>
            </w:tcBorders>
            <w:shd w:val="clear" w:color="auto" w:fill="E6E6E6"/>
          </w:tcPr>
          <w:p>
            <w:pPr>
              <w:ind w:left="60"/>
              <w:spacing w:after="0" w:line="218" w:lineRule="exact"/>
              <w:rPr>
                <w:sz w:val="20"/>
                <w:szCs w:val="20"/>
                <w:color w:val="auto"/>
              </w:rPr>
            </w:pPr>
            <w:r>
              <w:rPr>
                <w:rFonts w:ascii="Times New Roman" w:cs="Times New Roman" w:eastAsia="Times New Roman" w:hAnsi="Times New Roman"/>
                <w:sz w:val="20"/>
                <w:szCs w:val="20"/>
                <w:color w:val="auto"/>
              </w:rPr>
              <w:t>Segment Adjusted EBITDA</w:t>
            </w:r>
          </w:p>
        </w:tc>
        <w:tc>
          <w:tcPr>
            <w:tcW w:w="620" w:type="dxa"/>
            <w:vAlign w:val="bottom"/>
            <w:tcBorders>
              <w:top w:val="single" w:sz="8" w:color="E6E6E6"/>
              <w:bottom w:val="single" w:sz="8" w:color="E6E6E6"/>
            </w:tcBorders>
            <w:shd w:val="clear" w:color="auto" w:fill="E6E6E6"/>
          </w:tcPr>
          <w:p>
            <w:pPr>
              <w:spacing w:after="0"/>
              <w:rPr>
                <w:sz w:val="24"/>
                <w:szCs w:val="24"/>
                <w:color w:val="auto"/>
              </w:rPr>
            </w:pPr>
          </w:p>
        </w:tc>
        <w:tc>
          <w:tcPr>
            <w:tcW w:w="200" w:type="dxa"/>
            <w:vAlign w:val="bottom"/>
            <w:tcBorders>
              <w:top w:val="single" w:sz="8" w:color="auto"/>
              <w:bottom w:val="single" w:sz="8" w:color="auto"/>
            </w:tcBorders>
            <w:gridSpan w:val="4"/>
            <w:shd w:val="clear" w:color="auto" w:fill="E6E6E6"/>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shd w:val="clear" w:color="auto" w:fill="E6E6E6"/>
          </w:tcPr>
          <w:p>
            <w:pPr>
              <w:jc w:val="right"/>
              <w:spacing w:after="0" w:line="218" w:lineRule="exact"/>
              <w:rPr>
                <w:sz w:val="20"/>
                <w:szCs w:val="20"/>
                <w:color w:val="auto"/>
              </w:rPr>
            </w:pPr>
            <w:r>
              <w:rPr>
                <w:rFonts w:ascii="Times New Roman" w:cs="Times New Roman" w:eastAsia="Times New Roman" w:hAnsi="Times New Roman"/>
                <w:sz w:val="20"/>
                <w:szCs w:val="20"/>
                <w:color w:val="auto"/>
              </w:rPr>
              <w:t>1,986</w:t>
            </w: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0" w:type="dxa"/>
            <w:vAlign w:val="bottom"/>
            <w:tcBorders>
              <w:top w:val="single" w:sz="8" w:color="auto"/>
              <w:bottom w:val="single" w:sz="8" w:color="auto"/>
            </w:tcBorders>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E6E6E6"/>
          </w:tcPr>
          <w:p>
            <w:pPr>
              <w:jc w:val="right"/>
              <w:spacing w:after="0" w:line="218" w:lineRule="exact"/>
              <w:rPr>
                <w:sz w:val="20"/>
                <w:szCs w:val="20"/>
                <w:color w:val="auto"/>
              </w:rPr>
            </w:pPr>
            <w:r>
              <w:rPr>
                <w:rFonts w:ascii="Times New Roman" w:cs="Times New Roman" w:eastAsia="Times New Roman" w:hAnsi="Times New Roman"/>
                <w:sz w:val="20"/>
                <w:szCs w:val="20"/>
                <w:color w:val="auto"/>
              </w:rPr>
              <w:t>518</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180" w:type="dxa"/>
            <w:vAlign w:val="bottom"/>
            <w:tcBorders>
              <w:top w:val="single" w:sz="8" w:color="E6E6E6"/>
              <w:bottom w:val="single" w:sz="8" w:color="E6E6E6"/>
            </w:tcBorders>
            <w:shd w:val="clear" w:color="auto" w:fill="E6E6E6"/>
          </w:tcPr>
          <w:p>
            <w:pPr>
              <w:spacing w:after="0"/>
              <w:rPr>
                <w:sz w:val="24"/>
                <w:szCs w:val="24"/>
                <w:color w:val="auto"/>
              </w:rPr>
            </w:pPr>
          </w:p>
        </w:tc>
        <w:tc>
          <w:tcPr>
            <w:tcW w:w="100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6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40" w:type="dxa"/>
            <w:vAlign w:val="bottom"/>
            <w:tcBorders>
              <w:top w:val="single" w:sz="8" w:color="E6E6E6"/>
              <w:bottom w:val="single" w:sz="8" w:color="auto"/>
            </w:tcBorders>
            <w:shd w:val="clear" w:color="auto" w:fill="E6E6E6"/>
          </w:tcPr>
          <w:p>
            <w:pPr>
              <w:jc w:val="right"/>
              <w:ind w:right="21"/>
              <w:spacing w:after="0" w:line="218"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E6E6E6"/>
              <w:bottom w:val="single" w:sz="8" w:color="auto"/>
            </w:tcBorders>
            <w:shd w:val="clear" w:color="auto" w:fill="E6E6E6"/>
          </w:tcPr>
          <w:p>
            <w:pPr>
              <w:jc w:val="right"/>
              <w:spacing w:after="0" w:line="218" w:lineRule="exact"/>
              <w:rPr>
                <w:sz w:val="20"/>
                <w:szCs w:val="20"/>
                <w:color w:val="auto"/>
              </w:rPr>
            </w:pPr>
            <w:r>
              <w:rPr>
                <w:rFonts w:ascii="Times New Roman" w:cs="Times New Roman" w:eastAsia="Times New Roman" w:hAnsi="Times New Roman"/>
                <w:sz w:val="20"/>
                <w:szCs w:val="20"/>
                <w:color w:val="auto"/>
              </w:rPr>
              <w:t>2,504</w:t>
            </w:r>
          </w:p>
        </w:tc>
        <w:tc>
          <w:tcPr>
            <w:tcW w:w="0" w:type="dxa"/>
            <w:vAlign w:val="bottom"/>
          </w:tcPr>
          <w:p>
            <w:pPr>
              <w:spacing w:after="0"/>
              <w:rPr>
                <w:sz w:val="1"/>
                <w:szCs w:val="1"/>
                <w:color w:val="auto"/>
              </w:rPr>
            </w:pPr>
          </w:p>
        </w:tc>
      </w:tr>
      <w:tr>
        <w:trPr>
          <w:trHeight w:val="282"/>
        </w:trPr>
        <w:tc>
          <w:tcPr>
            <w:tcW w:w="4560" w:type="dxa"/>
            <w:vAlign w:val="bottom"/>
            <w:tcBorders>
              <w:bottom w:val="single" w:sz="8" w:color="E6E6E6"/>
            </w:tcBorders>
          </w:tcPr>
          <w:p>
            <w:pPr>
              <w:ind w:left="60"/>
              <w:spacing w:after="0" w:line="217" w:lineRule="exact"/>
              <w:rPr>
                <w:sz w:val="20"/>
                <w:szCs w:val="20"/>
                <w:color w:val="auto"/>
              </w:rPr>
            </w:pPr>
            <w:r>
              <w:rPr>
                <w:rFonts w:ascii="Times New Roman" w:cs="Times New Roman" w:eastAsia="Times New Roman" w:hAnsi="Times New Roman"/>
                <w:sz w:val="20"/>
                <w:szCs w:val="20"/>
                <w:color w:val="auto"/>
              </w:rPr>
              <w:t xml:space="preserve">Investment and acquisition capital expenditures </w:t>
            </w:r>
            <w:r>
              <w:rPr>
                <w:rFonts w:ascii="Times New Roman" w:cs="Times New Roman" w:eastAsia="Times New Roman" w:hAnsi="Times New Roman"/>
                <w:sz w:val="25"/>
                <w:szCs w:val="25"/>
                <w:color w:val="auto"/>
                <w:vertAlign w:val="superscript"/>
              </w:rPr>
              <w:t>(2) (3)</w:t>
            </w:r>
          </w:p>
        </w:tc>
        <w:tc>
          <w:tcPr>
            <w:tcW w:w="62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gridSpan w:val="4"/>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461</w:t>
            </w: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157</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00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jc w:val="right"/>
              <w:ind w:right="21"/>
              <w:spacing w:after="0" w:line="218"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618</w:t>
            </w:r>
          </w:p>
        </w:tc>
        <w:tc>
          <w:tcPr>
            <w:tcW w:w="0" w:type="dxa"/>
            <w:vAlign w:val="bottom"/>
          </w:tcPr>
          <w:p>
            <w:pPr>
              <w:spacing w:after="0"/>
              <w:rPr>
                <w:sz w:val="1"/>
                <w:szCs w:val="1"/>
                <w:color w:val="auto"/>
              </w:rPr>
            </w:pPr>
          </w:p>
        </w:tc>
      </w:tr>
      <w:tr>
        <w:trPr>
          <w:trHeight w:val="257"/>
        </w:trPr>
        <w:tc>
          <w:tcPr>
            <w:tcW w:w="4560" w:type="dxa"/>
            <w:vAlign w:val="bottom"/>
            <w:tcBorders>
              <w:top w:val="single" w:sz="8" w:color="E6E6E6"/>
              <w:bottom w:val="single" w:sz="8" w:color="E6E6E6"/>
            </w:tcBorders>
            <w:shd w:val="clear" w:color="auto" w:fill="E6E6E6"/>
          </w:tcPr>
          <w:p>
            <w:pPr>
              <w:ind w:left="60"/>
              <w:spacing w:after="0" w:line="217" w:lineRule="exact"/>
              <w:rPr>
                <w:sz w:val="20"/>
                <w:szCs w:val="20"/>
                <w:color w:val="auto"/>
              </w:rPr>
            </w:pPr>
            <w:r>
              <w:rPr>
                <w:rFonts w:ascii="Times New Roman" w:cs="Times New Roman" w:eastAsia="Times New Roman" w:hAnsi="Times New Roman"/>
                <w:sz w:val="20"/>
                <w:szCs w:val="20"/>
                <w:color w:val="auto"/>
              </w:rPr>
              <w:t xml:space="preserve">Maintenance capital expenditures </w:t>
            </w:r>
            <w:r>
              <w:rPr>
                <w:rFonts w:ascii="Times New Roman" w:cs="Times New Roman" w:eastAsia="Times New Roman" w:hAnsi="Times New Roman"/>
                <w:sz w:val="25"/>
                <w:szCs w:val="25"/>
                <w:color w:val="auto"/>
                <w:vertAlign w:val="superscript"/>
              </w:rPr>
              <w:t>(3)</w:t>
            </w:r>
          </w:p>
        </w:tc>
        <w:tc>
          <w:tcPr>
            <w:tcW w:w="620" w:type="dxa"/>
            <w:vAlign w:val="bottom"/>
            <w:tcBorders>
              <w:top w:val="single" w:sz="8" w:color="E6E6E6"/>
              <w:bottom w:val="single" w:sz="8" w:color="E6E6E6"/>
            </w:tcBorders>
            <w:shd w:val="clear" w:color="auto" w:fill="E6E6E6"/>
          </w:tcPr>
          <w:p>
            <w:pPr>
              <w:spacing w:after="0"/>
              <w:rPr>
                <w:sz w:val="22"/>
                <w:szCs w:val="22"/>
                <w:color w:val="auto"/>
              </w:rPr>
            </w:pPr>
          </w:p>
        </w:tc>
        <w:tc>
          <w:tcPr>
            <w:tcW w:w="200" w:type="dxa"/>
            <w:vAlign w:val="bottom"/>
            <w:tcBorders>
              <w:top w:val="single" w:sz="8" w:color="auto"/>
              <w:bottom w:val="single" w:sz="8" w:color="auto"/>
            </w:tcBorders>
            <w:gridSpan w:val="4"/>
            <w:shd w:val="clear" w:color="auto" w:fill="E6E6E6"/>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shd w:val="clear" w:color="auto" w:fill="E6E6E6"/>
          </w:tcPr>
          <w:p>
            <w:pPr>
              <w:jc w:val="right"/>
              <w:spacing w:after="0" w:line="218" w:lineRule="exact"/>
              <w:rPr>
                <w:sz w:val="20"/>
                <w:szCs w:val="20"/>
                <w:color w:val="auto"/>
              </w:rPr>
            </w:pPr>
            <w:r>
              <w:rPr>
                <w:rFonts w:ascii="Times New Roman" w:cs="Times New Roman" w:eastAsia="Times New Roman" w:hAnsi="Times New Roman"/>
                <w:sz w:val="20"/>
                <w:szCs w:val="20"/>
                <w:color w:val="auto"/>
              </w:rPr>
              <w:t>112</w:t>
            </w: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200" w:type="dxa"/>
            <w:vAlign w:val="bottom"/>
            <w:tcBorders>
              <w:top w:val="single" w:sz="8" w:color="auto"/>
              <w:bottom w:val="single" w:sz="8" w:color="auto"/>
            </w:tcBorders>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E6E6E6"/>
          </w:tcPr>
          <w:p>
            <w:pPr>
              <w:jc w:val="right"/>
              <w:spacing w:after="0" w:line="218" w:lineRule="exact"/>
              <w:rPr>
                <w:sz w:val="20"/>
                <w:szCs w:val="20"/>
                <w:color w:val="auto"/>
              </w:rPr>
            </w:pPr>
            <w:r>
              <w:rPr>
                <w:rFonts w:ascii="Times New Roman" w:cs="Times New Roman" w:eastAsia="Times New Roman" w:hAnsi="Times New Roman"/>
                <w:sz w:val="20"/>
                <w:szCs w:val="20"/>
                <w:color w:val="auto"/>
              </w:rPr>
              <w:t>99</w:t>
            </w:r>
          </w:p>
        </w:tc>
        <w:tc>
          <w:tcPr>
            <w:tcW w:w="20" w:type="dxa"/>
            <w:vAlign w:val="bottom"/>
            <w:tcBorders>
              <w:top w:val="single" w:sz="8" w:color="auto"/>
              <w:bottom w:val="single" w:sz="8" w:color="auto"/>
            </w:tcBorders>
            <w:shd w:val="clear" w:color="auto" w:fill="E6E6E6"/>
          </w:tcPr>
          <w:p>
            <w:pPr>
              <w:spacing w:after="0"/>
              <w:rPr>
                <w:sz w:val="22"/>
                <w:szCs w:val="22"/>
                <w:color w:val="auto"/>
              </w:rPr>
            </w:pPr>
          </w:p>
        </w:tc>
        <w:tc>
          <w:tcPr>
            <w:tcW w:w="20" w:type="dxa"/>
            <w:vAlign w:val="bottom"/>
            <w:tcBorders>
              <w:top w:val="single" w:sz="8" w:color="auto"/>
              <w:bottom w:val="single" w:sz="8" w:color="auto"/>
            </w:tcBorders>
            <w:shd w:val="clear" w:color="auto" w:fill="E6E6E6"/>
          </w:tcPr>
          <w:p>
            <w:pPr>
              <w:spacing w:after="0"/>
              <w:rPr>
                <w:sz w:val="22"/>
                <w:szCs w:val="22"/>
                <w:color w:val="auto"/>
              </w:rPr>
            </w:pPr>
          </w:p>
        </w:tc>
        <w:tc>
          <w:tcPr>
            <w:tcW w:w="20" w:type="dxa"/>
            <w:vAlign w:val="bottom"/>
            <w:tcBorders>
              <w:top w:val="single" w:sz="8" w:color="auto"/>
              <w:bottom w:val="single" w:sz="8" w:color="auto"/>
            </w:tcBorders>
            <w:shd w:val="clear" w:color="auto" w:fill="E6E6E6"/>
          </w:tcPr>
          <w:p>
            <w:pPr>
              <w:spacing w:after="0"/>
              <w:rPr>
                <w:sz w:val="22"/>
                <w:szCs w:val="22"/>
                <w:color w:val="auto"/>
              </w:rPr>
            </w:pP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180" w:type="dxa"/>
            <w:vAlign w:val="bottom"/>
            <w:tcBorders>
              <w:top w:val="single" w:sz="8" w:color="E6E6E6"/>
              <w:bottom w:val="single" w:sz="8" w:color="E6E6E6"/>
            </w:tcBorders>
            <w:shd w:val="clear" w:color="auto" w:fill="E6E6E6"/>
          </w:tcPr>
          <w:p>
            <w:pPr>
              <w:spacing w:after="0"/>
              <w:rPr>
                <w:sz w:val="22"/>
                <w:szCs w:val="22"/>
                <w:color w:val="auto"/>
              </w:rPr>
            </w:pPr>
          </w:p>
        </w:tc>
        <w:tc>
          <w:tcPr>
            <w:tcW w:w="1000" w:type="dxa"/>
            <w:vAlign w:val="bottom"/>
            <w:tcBorders>
              <w:top w:val="single" w:sz="8" w:color="E6E6E6"/>
              <w:bottom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240" w:type="dxa"/>
            <w:vAlign w:val="bottom"/>
            <w:tcBorders>
              <w:top w:val="single" w:sz="8" w:color="E6E6E6"/>
              <w:bottom w:val="single" w:sz="8" w:color="auto"/>
            </w:tcBorders>
            <w:shd w:val="clear" w:color="auto" w:fill="E6E6E6"/>
          </w:tcPr>
          <w:p>
            <w:pPr>
              <w:jc w:val="right"/>
              <w:ind w:right="21"/>
              <w:spacing w:after="0" w:line="218"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E6E6E6"/>
              <w:bottom w:val="single" w:sz="8" w:color="auto"/>
            </w:tcBorders>
            <w:shd w:val="clear" w:color="auto" w:fill="E6E6E6"/>
          </w:tcPr>
          <w:p>
            <w:pPr>
              <w:jc w:val="right"/>
              <w:spacing w:after="0" w:line="218" w:lineRule="exact"/>
              <w:rPr>
                <w:sz w:val="20"/>
                <w:szCs w:val="20"/>
                <w:color w:val="auto"/>
              </w:rPr>
            </w:pPr>
            <w:r>
              <w:rPr>
                <w:rFonts w:ascii="Times New Roman" w:cs="Times New Roman" w:eastAsia="Times New Roman" w:hAnsi="Times New Roman"/>
                <w:sz w:val="20"/>
                <w:szCs w:val="20"/>
                <w:color w:val="auto"/>
              </w:rPr>
              <w:t>211</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5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As of December 31, 2022</w:t>
            </w:r>
          </w:p>
        </w:tc>
        <w:tc>
          <w:tcPr>
            <w:tcW w:w="6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Investments in unconsolidated entities</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3,084</w:t>
            </w:r>
          </w:p>
        </w:tc>
        <w:tc>
          <w:tcPr>
            <w:tcW w:w="340" w:type="dxa"/>
            <w:vAlign w:val="bottom"/>
            <w:gridSpan w:val="8"/>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gridSpan w:val="4"/>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NGL</w:t>
            </w:r>
          </w:p>
        </w:tc>
        <w:tc>
          <w:tcPr>
            <w:tcW w:w="180" w:type="dxa"/>
            <w:vAlign w:val="bottom"/>
          </w:tcPr>
          <w:p>
            <w:pPr>
              <w:spacing w:after="0"/>
              <w:rPr>
                <w:sz w:val="13"/>
                <w:szCs w:val="13"/>
                <w:color w:val="auto"/>
              </w:rPr>
            </w:pPr>
          </w:p>
        </w:tc>
        <w:tc>
          <w:tcPr>
            <w:tcW w:w="10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Revenues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Elimination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4560" w:type="dxa"/>
            <w:vAlign w:val="bottom"/>
            <w:tcBorders>
              <w:top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Year Ended December 31, 2021</w:t>
            </w:r>
          </w:p>
        </w:tc>
        <w:tc>
          <w:tcPr>
            <w:tcW w:w="6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140" w:type="dxa"/>
            <w:vAlign w:val="bottom"/>
            <w:tcBorders>
              <w:top w:val="single" w:sz="8" w:color="auto"/>
            </w:tcBorders>
            <w:shd w:val="clear" w:color="auto" w:fill="E6E6E6"/>
          </w:tcPr>
          <w:p>
            <w:pPr>
              <w:spacing w:after="0"/>
              <w:rPr>
                <w:sz w:val="24"/>
                <w:szCs w:val="24"/>
                <w:color w:val="auto"/>
              </w:rPr>
            </w:pPr>
          </w:p>
        </w:tc>
        <w:tc>
          <w:tcPr>
            <w:tcW w:w="100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0" w:type="dxa"/>
            <w:vAlign w:val="bottom"/>
            <w:tcBorders>
              <w:top w:val="single" w:sz="8" w:color="auto"/>
            </w:tcBorders>
            <w:shd w:val="clear" w:color="auto" w:fill="E6E6E6"/>
          </w:tcPr>
          <w:p>
            <w:pPr>
              <w:spacing w:after="0"/>
              <w:rPr>
                <w:sz w:val="24"/>
                <w:szCs w:val="24"/>
                <w:color w:val="auto"/>
              </w:rPr>
            </w:pPr>
          </w:p>
        </w:tc>
        <w:tc>
          <w:tcPr>
            <w:tcW w:w="90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00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40" w:type="dxa"/>
            <w:vAlign w:val="bottom"/>
            <w:tcBorders>
              <w:top w:val="single" w:sz="8" w:color="auto"/>
            </w:tcBorders>
            <w:shd w:val="clear" w:color="auto" w:fill="E6E6E6"/>
          </w:tcPr>
          <w:p>
            <w:pPr>
              <w:spacing w:after="0"/>
              <w:rPr>
                <w:sz w:val="24"/>
                <w:szCs w:val="24"/>
                <w:color w:val="auto"/>
              </w:rPr>
            </w:pPr>
          </w:p>
        </w:tc>
        <w:tc>
          <w:tcPr>
            <w:tcW w:w="920" w:type="dxa"/>
            <w:vAlign w:val="bottom"/>
            <w:tcBorders>
              <w:top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Revenues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Product sales</w:t>
            </w:r>
          </w:p>
        </w:tc>
        <w:tc>
          <w:tcPr>
            <w:tcW w:w="820" w:type="dxa"/>
            <w:vAlign w:val="bottom"/>
            <w:gridSpan w:val="5"/>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39,395</w:t>
            </w:r>
          </w:p>
        </w:tc>
        <w:tc>
          <w:tcPr>
            <w:tcW w:w="340" w:type="dxa"/>
            <w:vAlign w:val="bottom"/>
            <w:gridSpan w:val="8"/>
            <w:shd w:val="clear" w:color="auto" w:fill="E6E6E6"/>
          </w:tcPr>
          <w:p>
            <w:pPr>
              <w:jc w:val="right"/>
              <w:ind w:right="58"/>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1,829</w:t>
            </w: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20" w:type="dxa"/>
            <w:vAlign w:val="bottom"/>
            <w:shd w:val="clear" w:color="auto" w:fill="E6E6E6"/>
          </w:tcPr>
          <w:p>
            <w:pPr>
              <w:spacing w:after="0"/>
              <w:rPr>
                <w:sz w:val="24"/>
                <w:szCs w:val="24"/>
                <w:color w:val="auto"/>
              </w:rPr>
            </w:pPr>
          </w:p>
        </w:tc>
        <w:tc>
          <w:tcPr>
            <w:tcW w:w="340" w:type="dxa"/>
            <w:vAlign w:val="bottom"/>
            <w:gridSpan w:val="4"/>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40,883</w:t>
            </w:r>
          </w:p>
        </w:tc>
        <w:tc>
          <w:tcPr>
            <w:tcW w:w="0" w:type="dxa"/>
            <w:vAlign w:val="bottom"/>
          </w:tcPr>
          <w:p>
            <w:pPr>
              <w:spacing w:after="0"/>
              <w:rPr>
                <w:sz w:val="1"/>
                <w:szCs w:val="1"/>
                <w:color w:val="auto"/>
              </w:rPr>
            </w:pPr>
          </w:p>
        </w:tc>
      </w:tr>
      <w:tr>
        <w:trPr>
          <w:trHeight w:val="287"/>
        </w:trPr>
        <w:tc>
          <w:tcPr>
            <w:tcW w:w="456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20"/>
                <w:szCs w:val="20"/>
                <w:color w:val="auto"/>
              </w:rPr>
              <w:t>Services</w:t>
            </w:r>
          </w:p>
        </w:tc>
        <w:tc>
          <w:tcPr>
            <w:tcW w:w="6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1,195</w:t>
            </w:r>
          </w:p>
        </w:tc>
        <w:tc>
          <w:tcPr>
            <w:tcW w:w="0" w:type="dxa"/>
            <w:vAlign w:val="bottom"/>
          </w:tcPr>
          <w:p>
            <w:pPr>
              <w:spacing w:after="0"/>
              <w:rPr>
                <w:sz w:val="1"/>
                <w:szCs w:val="1"/>
                <w:color w:val="auto"/>
              </w:rPr>
            </w:pPr>
          </w:p>
        </w:tc>
      </w:tr>
      <w:tr>
        <w:trPr>
          <w:trHeight w:val="297"/>
        </w:trPr>
        <w:tc>
          <w:tcPr>
            <w:tcW w:w="4560" w:type="dxa"/>
            <w:vAlign w:val="bottom"/>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Total revenues</w:t>
            </w:r>
          </w:p>
        </w:tc>
        <w:tc>
          <w:tcPr>
            <w:tcW w:w="820" w:type="dxa"/>
            <w:vAlign w:val="bottom"/>
            <w:gridSpan w:val="5"/>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40,470</w:t>
            </w:r>
          </w:p>
        </w:tc>
        <w:tc>
          <w:tcPr>
            <w:tcW w:w="340" w:type="dxa"/>
            <w:vAlign w:val="bottom"/>
            <w:gridSpan w:val="8"/>
            <w:shd w:val="clear" w:color="auto" w:fill="E6E6E6"/>
          </w:tcPr>
          <w:p>
            <w:pPr>
              <w:jc w:val="right"/>
              <w:ind w:right="58"/>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1,968</w:t>
            </w: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20" w:type="dxa"/>
            <w:vAlign w:val="bottom"/>
            <w:shd w:val="clear" w:color="auto" w:fill="E6E6E6"/>
          </w:tcPr>
          <w:p>
            <w:pPr>
              <w:spacing w:after="0"/>
              <w:rPr>
                <w:sz w:val="24"/>
                <w:szCs w:val="24"/>
                <w:color w:val="auto"/>
              </w:rPr>
            </w:pPr>
          </w:p>
        </w:tc>
        <w:tc>
          <w:tcPr>
            <w:tcW w:w="340" w:type="dxa"/>
            <w:vAlign w:val="bottom"/>
            <w:gridSpan w:val="4"/>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42,078</w:t>
            </w:r>
          </w:p>
        </w:tc>
        <w:tc>
          <w:tcPr>
            <w:tcW w:w="0" w:type="dxa"/>
            <w:vAlign w:val="bottom"/>
          </w:tcPr>
          <w:p>
            <w:pPr>
              <w:spacing w:after="0"/>
              <w:rPr>
                <w:sz w:val="1"/>
                <w:szCs w:val="1"/>
                <w:color w:val="auto"/>
              </w:rPr>
            </w:pPr>
          </w:p>
        </w:tc>
      </w:tr>
      <w:tr>
        <w:trPr>
          <w:trHeight w:val="277"/>
        </w:trPr>
        <w:tc>
          <w:tcPr>
            <w:tcW w:w="4560" w:type="dxa"/>
            <w:vAlign w:val="bottom"/>
            <w:tcBorders>
              <w:top w:val="single" w:sz="8" w:color="E6E6E6"/>
            </w:tcBorders>
          </w:tcPr>
          <w:p>
            <w:pPr>
              <w:ind w:left="60"/>
              <w:spacing w:after="0"/>
              <w:rPr>
                <w:sz w:val="20"/>
                <w:szCs w:val="20"/>
                <w:color w:val="auto"/>
              </w:rPr>
            </w:pPr>
            <w:r>
              <w:rPr>
                <w:rFonts w:ascii="Times New Roman" w:cs="Times New Roman" w:eastAsia="Times New Roman" w:hAnsi="Times New Roman"/>
                <w:sz w:val="20"/>
                <w:szCs w:val="20"/>
                <w:color w:val="auto"/>
              </w:rPr>
              <w:t>Equity earnings in unconsolidated entities</w:t>
            </w:r>
          </w:p>
        </w:tc>
        <w:tc>
          <w:tcPr>
            <w:tcW w:w="640" w:type="dxa"/>
            <w:vAlign w:val="bottom"/>
            <w:tcBorders>
              <w:top w:val="single" w:sz="8" w:color="E6E6E6"/>
            </w:tcBorders>
            <w:gridSpan w:val="2"/>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220" w:type="dxa"/>
            <w:vAlign w:val="bottom"/>
            <w:tcBorders>
              <w:top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top w:val="single" w:sz="8" w:color="E6E6E6"/>
            </w:tcBorders>
            <w:gridSpan w:val="2"/>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60" w:type="dxa"/>
            <w:vAlign w:val="bottom"/>
            <w:tcBorders>
              <w:top w:val="single" w:sz="8" w:color="E6E6E6"/>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260" w:type="dxa"/>
            <w:vAlign w:val="bottom"/>
            <w:tcBorders>
              <w:top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0" w:type="dxa"/>
            <w:vAlign w:val="bottom"/>
          </w:tcPr>
          <w:p>
            <w:pPr>
              <w:spacing w:after="0"/>
              <w:rPr>
                <w:sz w:val="1"/>
                <w:szCs w:val="1"/>
                <w:color w:val="auto"/>
              </w:rPr>
            </w:pPr>
          </w:p>
        </w:tc>
      </w:tr>
      <w:tr>
        <w:trPr>
          <w:trHeight w:val="277"/>
        </w:trPr>
        <w:tc>
          <w:tcPr>
            <w:tcW w:w="456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Segment Adjusted EBITDA</w:t>
            </w:r>
          </w:p>
        </w:tc>
        <w:tc>
          <w:tcPr>
            <w:tcW w:w="640" w:type="dxa"/>
            <w:vAlign w:val="bottom"/>
            <w:tcBorders>
              <w:top w:val="single" w:sz="8" w:color="E6E6E6"/>
              <w:bottom w:val="single" w:sz="8" w:color="E6E6E6"/>
            </w:tcBorders>
            <w:gridSpan w:val="2"/>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160" w:type="dxa"/>
            <w:vAlign w:val="bottom"/>
            <w:tcBorders>
              <w:top w:val="single" w:sz="8" w:color="auto"/>
              <w:bottom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1,909</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40" w:type="dxa"/>
            <w:vAlign w:val="bottom"/>
            <w:tcBorders>
              <w:top w:val="single" w:sz="8" w:color="E6E6E6"/>
              <w:bottom w:val="single" w:sz="8" w:color="E6E6E6"/>
            </w:tcBorders>
            <w:gridSpan w:val="2"/>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40" w:type="dxa"/>
            <w:vAlign w:val="bottom"/>
            <w:tcBorders>
              <w:top w:val="single" w:sz="8" w:color="auto"/>
              <w:bottom w:val="single" w:sz="8" w:color="auto"/>
            </w:tcBorders>
            <w:gridSpan w:val="3"/>
            <w:shd w:val="clear" w:color="auto" w:fill="E6E6E6"/>
          </w:tcPr>
          <w:p>
            <w:pPr>
              <w:jc w:val="right"/>
              <w:ind w:right="58"/>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180" w:type="dxa"/>
            <w:vAlign w:val="bottom"/>
            <w:tcBorders>
              <w:top w:val="single" w:sz="8" w:color="E6E6E6"/>
              <w:bottom w:val="single" w:sz="8" w:color="E6E6E6"/>
            </w:tcBorders>
            <w:shd w:val="clear" w:color="auto" w:fill="E6E6E6"/>
          </w:tcPr>
          <w:p>
            <w:pPr>
              <w:spacing w:after="0"/>
              <w:rPr>
                <w:sz w:val="24"/>
                <w:szCs w:val="24"/>
                <w:color w:val="auto"/>
              </w:rPr>
            </w:pPr>
          </w:p>
        </w:tc>
        <w:tc>
          <w:tcPr>
            <w:tcW w:w="100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6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60" w:type="dxa"/>
            <w:vAlign w:val="bottom"/>
            <w:tcBorders>
              <w:top w:val="single" w:sz="8" w:color="auto"/>
              <w:bottom w:val="single" w:sz="8" w:color="auto"/>
            </w:tcBorders>
            <w:gridSpan w:val="2"/>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2,194</w:t>
            </w:r>
          </w:p>
        </w:tc>
        <w:tc>
          <w:tcPr>
            <w:tcW w:w="0" w:type="dxa"/>
            <w:vAlign w:val="bottom"/>
          </w:tcPr>
          <w:p>
            <w:pPr>
              <w:spacing w:after="0"/>
              <w:rPr>
                <w:sz w:val="1"/>
                <w:szCs w:val="1"/>
                <w:color w:val="auto"/>
              </w:rPr>
            </w:pPr>
          </w:p>
        </w:tc>
      </w:tr>
      <w:tr>
        <w:trPr>
          <w:trHeight w:val="277"/>
        </w:trPr>
        <w:tc>
          <w:tcPr>
            <w:tcW w:w="4560" w:type="dxa"/>
            <w:vAlign w:val="bottom"/>
            <w:tcBorders>
              <w:bottom w:val="single" w:sz="8" w:color="E6E6E6"/>
            </w:tcBorders>
          </w:tcPr>
          <w:p>
            <w:pPr>
              <w:ind w:left="60"/>
              <w:spacing w:after="0" w:line="238" w:lineRule="exact"/>
              <w:rPr>
                <w:sz w:val="20"/>
                <w:szCs w:val="20"/>
                <w:color w:val="auto"/>
              </w:rPr>
            </w:pPr>
            <w:r>
              <w:rPr>
                <w:rFonts w:ascii="Times New Roman" w:cs="Times New Roman" w:eastAsia="Times New Roman" w:hAnsi="Times New Roman"/>
                <w:sz w:val="20"/>
                <w:szCs w:val="20"/>
                <w:color w:val="auto"/>
              </w:rPr>
              <w:t xml:space="preserve">Investment and acquisition capital expenditures </w:t>
            </w:r>
            <w:r>
              <w:rPr>
                <w:rFonts w:ascii="Times New Roman" w:cs="Times New Roman" w:eastAsia="Times New Roman" w:hAnsi="Times New Roman"/>
                <w:sz w:val="25"/>
                <w:szCs w:val="25"/>
                <w:color w:val="auto"/>
                <w:vertAlign w:val="superscript"/>
              </w:rPr>
              <w:t>(2) (3)</w:t>
            </w:r>
          </w:p>
        </w:tc>
        <w:tc>
          <w:tcPr>
            <w:tcW w:w="640" w:type="dxa"/>
            <w:vAlign w:val="bottom"/>
            <w:tcBorders>
              <w:bottom w:val="single" w:sz="8" w:color="E6E6E6"/>
            </w:tcBorders>
            <w:gridSpan w:val="2"/>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gridSpan w:val="2"/>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gridSpan w:val="3"/>
          </w:tcPr>
          <w:p>
            <w:pPr>
              <w:jc w:val="right"/>
              <w:ind w:right="58"/>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00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0" w:type="dxa"/>
            <w:vAlign w:val="bottom"/>
          </w:tcPr>
          <w:p>
            <w:pPr>
              <w:spacing w:after="0"/>
              <w:rPr>
                <w:sz w:val="1"/>
                <w:szCs w:val="1"/>
                <w:color w:val="auto"/>
              </w:rPr>
            </w:pPr>
          </w:p>
        </w:tc>
      </w:tr>
      <w:tr>
        <w:trPr>
          <w:trHeight w:val="277"/>
        </w:trPr>
        <w:tc>
          <w:tcPr>
            <w:tcW w:w="4560" w:type="dxa"/>
            <w:vAlign w:val="bottom"/>
            <w:tcBorders>
              <w:bottom w:val="single" w:sz="8" w:color="E6E6E6"/>
            </w:tcBorders>
            <w:shd w:val="clear" w:color="auto" w:fill="E6E6E6"/>
          </w:tcPr>
          <w:p>
            <w:pPr>
              <w:ind w:left="60"/>
              <w:spacing w:after="0" w:line="238" w:lineRule="exact"/>
              <w:rPr>
                <w:sz w:val="20"/>
                <w:szCs w:val="20"/>
                <w:color w:val="auto"/>
              </w:rPr>
            </w:pPr>
            <w:r>
              <w:rPr>
                <w:rFonts w:ascii="Times New Roman" w:cs="Times New Roman" w:eastAsia="Times New Roman" w:hAnsi="Times New Roman"/>
                <w:sz w:val="20"/>
                <w:szCs w:val="20"/>
                <w:color w:val="auto"/>
              </w:rPr>
              <w:t xml:space="preserve">Maintenance capital expenditures </w:t>
            </w:r>
            <w:r>
              <w:rPr>
                <w:rFonts w:ascii="Times New Roman" w:cs="Times New Roman" w:eastAsia="Times New Roman" w:hAnsi="Times New Roman"/>
                <w:sz w:val="25"/>
                <w:szCs w:val="25"/>
                <w:color w:val="auto"/>
                <w:vertAlign w:val="superscript"/>
              </w:rPr>
              <w:t>(3)</w:t>
            </w:r>
          </w:p>
        </w:tc>
        <w:tc>
          <w:tcPr>
            <w:tcW w:w="640" w:type="dxa"/>
            <w:vAlign w:val="bottom"/>
            <w:tcBorders>
              <w:bottom w:val="single" w:sz="8" w:color="E6E6E6"/>
            </w:tcBorders>
            <w:gridSpan w:val="2"/>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E6E6E6"/>
            </w:tcBorders>
            <w:gridSpan w:val="2"/>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gridSpan w:val="3"/>
            <w:shd w:val="clear" w:color="auto" w:fill="E6E6E6"/>
          </w:tcPr>
          <w:p>
            <w:pPr>
              <w:jc w:val="right"/>
              <w:ind w:right="58"/>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gridSpan w:val="2"/>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5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As of December 31, 2021</w:t>
            </w:r>
          </w:p>
        </w:tc>
        <w:tc>
          <w:tcPr>
            <w:tcW w:w="6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Investments in unconsolidated entities</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3,805</w:t>
            </w:r>
          </w:p>
        </w:tc>
        <w:tc>
          <w:tcPr>
            <w:tcW w:w="340" w:type="dxa"/>
            <w:vAlign w:val="bottom"/>
            <w:gridSpan w:val="8"/>
          </w:tcPr>
          <w:p>
            <w:pPr>
              <w:jc w:val="right"/>
              <w:ind w:right="58"/>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gridSpan w:val="4"/>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NGL</w:t>
            </w:r>
          </w:p>
        </w:tc>
        <w:tc>
          <w:tcPr>
            <w:tcW w:w="180" w:type="dxa"/>
            <w:vAlign w:val="bottom"/>
          </w:tcPr>
          <w:p>
            <w:pPr>
              <w:spacing w:after="0"/>
              <w:rPr>
                <w:sz w:val="13"/>
                <w:szCs w:val="13"/>
                <w:color w:val="auto"/>
              </w:rPr>
            </w:pPr>
          </w:p>
        </w:tc>
        <w:tc>
          <w:tcPr>
            <w:tcW w:w="10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Revenues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Elimination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4560" w:type="dxa"/>
            <w:vAlign w:val="bottom"/>
            <w:tcBorders>
              <w:top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Year Ended December 31, 2020</w:t>
            </w:r>
          </w:p>
        </w:tc>
        <w:tc>
          <w:tcPr>
            <w:tcW w:w="6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140" w:type="dxa"/>
            <w:vAlign w:val="bottom"/>
            <w:tcBorders>
              <w:top w:val="single" w:sz="8" w:color="auto"/>
            </w:tcBorders>
            <w:shd w:val="clear" w:color="auto" w:fill="E6E6E6"/>
          </w:tcPr>
          <w:p>
            <w:pPr>
              <w:spacing w:after="0"/>
              <w:rPr>
                <w:sz w:val="24"/>
                <w:szCs w:val="24"/>
                <w:color w:val="auto"/>
              </w:rPr>
            </w:pPr>
          </w:p>
        </w:tc>
        <w:tc>
          <w:tcPr>
            <w:tcW w:w="100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0" w:type="dxa"/>
            <w:vAlign w:val="bottom"/>
            <w:tcBorders>
              <w:top w:val="single" w:sz="8" w:color="auto"/>
            </w:tcBorders>
            <w:shd w:val="clear" w:color="auto" w:fill="E6E6E6"/>
          </w:tcPr>
          <w:p>
            <w:pPr>
              <w:spacing w:after="0"/>
              <w:rPr>
                <w:sz w:val="24"/>
                <w:szCs w:val="24"/>
                <w:color w:val="auto"/>
              </w:rPr>
            </w:pPr>
          </w:p>
        </w:tc>
        <w:tc>
          <w:tcPr>
            <w:tcW w:w="90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00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40" w:type="dxa"/>
            <w:vAlign w:val="bottom"/>
            <w:tcBorders>
              <w:top w:val="single" w:sz="8" w:color="auto"/>
            </w:tcBorders>
            <w:shd w:val="clear" w:color="auto" w:fill="E6E6E6"/>
          </w:tcPr>
          <w:p>
            <w:pPr>
              <w:spacing w:after="0"/>
              <w:rPr>
                <w:sz w:val="24"/>
                <w:szCs w:val="24"/>
                <w:color w:val="auto"/>
              </w:rPr>
            </w:pPr>
          </w:p>
        </w:tc>
        <w:tc>
          <w:tcPr>
            <w:tcW w:w="920" w:type="dxa"/>
            <w:vAlign w:val="bottom"/>
            <w:tcBorders>
              <w:top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Revenues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Product sales</w:t>
            </w:r>
          </w:p>
        </w:tc>
        <w:tc>
          <w:tcPr>
            <w:tcW w:w="820" w:type="dxa"/>
            <w:vAlign w:val="bottom"/>
            <w:gridSpan w:val="5"/>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21,089</w:t>
            </w:r>
          </w:p>
        </w:tc>
        <w:tc>
          <w:tcPr>
            <w:tcW w:w="340" w:type="dxa"/>
            <w:vAlign w:val="bottom"/>
            <w:gridSpan w:val="8"/>
            <w:shd w:val="clear" w:color="auto" w:fill="E6E6E6"/>
          </w:tcPr>
          <w:p>
            <w:pPr>
              <w:jc w:val="right"/>
              <w:ind w:right="58"/>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1,218</w:t>
            </w: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20" w:type="dxa"/>
            <w:vAlign w:val="bottom"/>
            <w:shd w:val="clear" w:color="auto" w:fill="E6E6E6"/>
          </w:tcPr>
          <w:p>
            <w:pPr>
              <w:spacing w:after="0"/>
              <w:rPr>
                <w:sz w:val="24"/>
                <w:szCs w:val="24"/>
                <w:color w:val="auto"/>
              </w:rPr>
            </w:pPr>
          </w:p>
        </w:tc>
        <w:tc>
          <w:tcPr>
            <w:tcW w:w="340" w:type="dxa"/>
            <w:vAlign w:val="bottom"/>
            <w:gridSpan w:val="4"/>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22,058</w:t>
            </w:r>
          </w:p>
        </w:tc>
        <w:tc>
          <w:tcPr>
            <w:tcW w:w="0" w:type="dxa"/>
            <w:vAlign w:val="bottom"/>
          </w:tcPr>
          <w:p>
            <w:pPr>
              <w:spacing w:after="0"/>
              <w:rPr>
                <w:sz w:val="1"/>
                <w:szCs w:val="1"/>
                <w:color w:val="auto"/>
              </w:rPr>
            </w:pPr>
          </w:p>
        </w:tc>
      </w:tr>
      <w:tr>
        <w:trPr>
          <w:trHeight w:val="287"/>
        </w:trPr>
        <w:tc>
          <w:tcPr>
            <w:tcW w:w="456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20"/>
                <w:szCs w:val="20"/>
                <w:color w:val="auto"/>
              </w:rPr>
              <w:t>Services</w:t>
            </w:r>
          </w:p>
        </w:tc>
        <w:tc>
          <w:tcPr>
            <w:tcW w:w="6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1,232</w:t>
            </w:r>
          </w:p>
        </w:tc>
        <w:tc>
          <w:tcPr>
            <w:tcW w:w="0" w:type="dxa"/>
            <w:vAlign w:val="bottom"/>
          </w:tcPr>
          <w:p>
            <w:pPr>
              <w:spacing w:after="0"/>
              <w:rPr>
                <w:sz w:val="1"/>
                <w:szCs w:val="1"/>
                <w:color w:val="auto"/>
              </w:rPr>
            </w:pPr>
          </w:p>
        </w:tc>
      </w:tr>
      <w:tr>
        <w:trPr>
          <w:trHeight w:val="297"/>
        </w:trPr>
        <w:tc>
          <w:tcPr>
            <w:tcW w:w="4560" w:type="dxa"/>
            <w:vAlign w:val="bottom"/>
            <w:tcBorders>
              <w:bottom w:val="single" w:sz="8" w:color="E6E6E6"/>
            </w:tcBorders>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Total revenues</w:t>
            </w:r>
          </w:p>
        </w:tc>
        <w:tc>
          <w:tcPr>
            <w:tcW w:w="660" w:type="dxa"/>
            <w:vAlign w:val="bottom"/>
            <w:tcBorders>
              <w:bottom w:val="single" w:sz="8" w:color="E6E6E6"/>
            </w:tcBorders>
            <w:gridSpan w:val="3"/>
            <w:shd w:val="clear" w:color="auto" w:fill="E6E6E6"/>
          </w:tcPr>
          <w:p>
            <w:pPr>
              <w:spacing w:after="0"/>
              <w:rPr>
                <w:sz w:val="24"/>
                <w:szCs w:val="24"/>
                <w:color w:val="auto"/>
              </w:rPr>
            </w:pPr>
          </w:p>
        </w:tc>
        <w:tc>
          <w:tcPr>
            <w:tcW w:w="160" w:type="dxa"/>
            <w:vAlign w:val="bottom"/>
            <w:tcBorders>
              <w:bottom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22,199</w:t>
            </w:r>
          </w:p>
        </w:tc>
        <w:tc>
          <w:tcPr>
            <w:tcW w:w="40" w:type="dxa"/>
            <w:vAlign w:val="bottom"/>
            <w:tcBorders>
              <w:bottom w:val="single" w:sz="8" w:color="auto"/>
            </w:tcBorders>
            <w:gridSpan w:val="2"/>
            <w:shd w:val="clear" w:color="auto" w:fill="E6E6E6"/>
          </w:tcPr>
          <w:p>
            <w:pPr>
              <w:spacing w:after="0"/>
              <w:rPr>
                <w:sz w:val="24"/>
                <w:szCs w:val="24"/>
                <w:color w:val="auto"/>
              </w:rPr>
            </w:pPr>
          </w:p>
        </w:tc>
        <w:tc>
          <w:tcPr>
            <w:tcW w:w="60" w:type="dxa"/>
            <w:vAlign w:val="bottom"/>
            <w:tcBorders>
              <w:bottom w:val="single" w:sz="8" w:color="E6E6E6"/>
            </w:tcBorders>
            <w:gridSpan w:val="3"/>
            <w:shd w:val="clear" w:color="auto" w:fill="E6E6E6"/>
          </w:tcPr>
          <w:p>
            <w:pPr>
              <w:spacing w:after="0"/>
              <w:rPr>
                <w:sz w:val="24"/>
                <w:szCs w:val="24"/>
                <w:color w:val="auto"/>
              </w:rPr>
            </w:pPr>
          </w:p>
        </w:tc>
        <w:tc>
          <w:tcPr>
            <w:tcW w:w="240" w:type="dxa"/>
            <w:vAlign w:val="bottom"/>
            <w:tcBorders>
              <w:bottom w:val="single" w:sz="8" w:color="auto"/>
            </w:tcBorders>
            <w:gridSpan w:val="3"/>
            <w:shd w:val="clear" w:color="auto" w:fill="E6E6E6"/>
          </w:tcPr>
          <w:p>
            <w:pPr>
              <w:jc w:val="right"/>
              <w:ind w:right="58"/>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1,360</w:t>
            </w:r>
          </w:p>
        </w:tc>
        <w:tc>
          <w:tcPr>
            <w:tcW w:w="2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gridSpan w:val="3"/>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23,290</w:t>
            </w:r>
          </w:p>
        </w:tc>
        <w:tc>
          <w:tcPr>
            <w:tcW w:w="0" w:type="dxa"/>
            <w:vAlign w:val="bottom"/>
          </w:tcPr>
          <w:p>
            <w:pPr>
              <w:spacing w:after="0"/>
              <w:rPr>
                <w:sz w:val="1"/>
                <w:szCs w:val="1"/>
                <w:color w:val="auto"/>
              </w:rPr>
            </w:pPr>
          </w:p>
        </w:tc>
      </w:tr>
      <w:tr>
        <w:trPr>
          <w:trHeight w:val="277"/>
        </w:trPr>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Equity earnings in unconsolidated entities</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340" w:type="dxa"/>
            <w:vAlign w:val="bottom"/>
            <w:gridSpan w:val="8"/>
          </w:tcPr>
          <w:p>
            <w:pPr>
              <w:jc w:val="right"/>
              <w:ind w:right="58"/>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0" w:type="dxa"/>
            <w:vAlign w:val="bottom"/>
          </w:tcPr>
          <w:p>
            <w:pPr>
              <w:spacing w:after="0"/>
              <w:rPr>
                <w:sz w:val="1"/>
                <w:szCs w:val="1"/>
                <w:color w:val="auto"/>
              </w:rPr>
            </w:pPr>
          </w:p>
        </w:tc>
      </w:tr>
      <w:tr>
        <w:trPr>
          <w:trHeight w:val="277"/>
        </w:trPr>
        <w:tc>
          <w:tcPr>
            <w:tcW w:w="456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Segment Adjusted EBITDA</w:t>
            </w:r>
          </w:p>
        </w:tc>
        <w:tc>
          <w:tcPr>
            <w:tcW w:w="640" w:type="dxa"/>
            <w:vAlign w:val="bottom"/>
            <w:tcBorders>
              <w:top w:val="single" w:sz="8" w:color="E6E6E6"/>
              <w:bottom w:val="single" w:sz="8" w:color="E6E6E6"/>
            </w:tcBorders>
            <w:gridSpan w:val="2"/>
            <w:shd w:val="clear" w:color="auto" w:fill="E6E6E6"/>
          </w:tcPr>
          <w:p>
            <w:pPr>
              <w:spacing w:after="0"/>
              <w:rPr>
                <w:sz w:val="24"/>
                <w:szCs w:val="24"/>
                <w:color w:val="auto"/>
              </w:rPr>
            </w:pPr>
          </w:p>
        </w:tc>
        <w:tc>
          <w:tcPr>
            <w:tcW w:w="180" w:type="dxa"/>
            <w:vAlign w:val="bottom"/>
            <w:tcBorders>
              <w:top w:val="single" w:sz="8" w:color="auto"/>
              <w:bottom w:val="single" w:sz="8" w:color="auto"/>
            </w:tcBorders>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2,216</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60" w:type="dxa"/>
            <w:vAlign w:val="bottom"/>
            <w:tcBorders>
              <w:top w:val="single" w:sz="8" w:color="E6E6E6"/>
              <w:bottom w:val="single" w:sz="8" w:color="E6E6E6"/>
            </w:tcBorders>
            <w:gridSpan w:val="3"/>
            <w:shd w:val="clear" w:color="auto" w:fill="E6E6E6"/>
          </w:tcPr>
          <w:p>
            <w:pPr>
              <w:spacing w:after="0"/>
              <w:rPr>
                <w:sz w:val="24"/>
                <w:szCs w:val="24"/>
                <w:color w:val="auto"/>
              </w:rPr>
            </w:pPr>
          </w:p>
        </w:tc>
        <w:tc>
          <w:tcPr>
            <w:tcW w:w="260" w:type="dxa"/>
            <w:vAlign w:val="bottom"/>
            <w:tcBorders>
              <w:top w:val="single" w:sz="8" w:color="auto"/>
              <w:bottom w:val="single" w:sz="8" w:color="auto"/>
            </w:tcBorders>
            <w:gridSpan w:val="4"/>
            <w:shd w:val="clear" w:color="auto" w:fill="E6E6E6"/>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180" w:type="dxa"/>
            <w:vAlign w:val="bottom"/>
            <w:tcBorders>
              <w:top w:val="single" w:sz="8" w:color="E6E6E6"/>
              <w:bottom w:val="single" w:sz="8" w:color="E6E6E6"/>
            </w:tcBorders>
            <w:shd w:val="clear" w:color="auto" w:fill="E6E6E6"/>
          </w:tcPr>
          <w:p>
            <w:pPr>
              <w:spacing w:after="0"/>
              <w:rPr>
                <w:sz w:val="24"/>
                <w:szCs w:val="24"/>
                <w:color w:val="auto"/>
              </w:rPr>
            </w:pPr>
          </w:p>
        </w:tc>
        <w:tc>
          <w:tcPr>
            <w:tcW w:w="100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60" w:type="dxa"/>
            <w:vAlign w:val="bottom"/>
            <w:tcBorders>
              <w:top w:val="single" w:sz="8" w:color="E6E6E6"/>
              <w:bottom w:val="single" w:sz="8" w:color="E6E6E6"/>
            </w:tcBorders>
            <w:shd w:val="clear" w:color="auto" w:fill="E6E6E6"/>
          </w:tcPr>
          <w:p>
            <w:pPr>
              <w:spacing w:after="0"/>
              <w:rPr>
                <w:sz w:val="24"/>
                <w:szCs w:val="24"/>
                <w:color w:val="auto"/>
              </w:rPr>
            </w:pPr>
          </w:p>
        </w:tc>
        <w:tc>
          <w:tcPr>
            <w:tcW w:w="280" w:type="dxa"/>
            <w:vAlign w:val="bottom"/>
            <w:tcBorders>
              <w:top w:val="single" w:sz="8" w:color="auto"/>
              <w:bottom w:val="single" w:sz="8" w:color="auto"/>
            </w:tcBorders>
            <w:gridSpan w:val="3"/>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2,543</w:t>
            </w:r>
          </w:p>
        </w:tc>
        <w:tc>
          <w:tcPr>
            <w:tcW w:w="0" w:type="dxa"/>
            <w:vAlign w:val="bottom"/>
          </w:tcPr>
          <w:p>
            <w:pPr>
              <w:spacing w:after="0"/>
              <w:rPr>
                <w:sz w:val="1"/>
                <w:szCs w:val="1"/>
                <w:color w:val="auto"/>
              </w:rPr>
            </w:pPr>
          </w:p>
        </w:tc>
      </w:tr>
      <w:tr>
        <w:trPr>
          <w:trHeight w:val="277"/>
        </w:trPr>
        <w:tc>
          <w:tcPr>
            <w:tcW w:w="4560" w:type="dxa"/>
            <w:vAlign w:val="bottom"/>
            <w:tcBorders>
              <w:bottom w:val="single" w:sz="8" w:color="E6E6E6"/>
            </w:tcBorders>
          </w:tcPr>
          <w:p>
            <w:pPr>
              <w:ind w:left="60"/>
              <w:spacing w:after="0" w:line="238" w:lineRule="exact"/>
              <w:rPr>
                <w:sz w:val="20"/>
                <w:szCs w:val="20"/>
                <w:color w:val="auto"/>
              </w:rPr>
            </w:pPr>
            <w:r>
              <w:rPr>
                <w:rFonts w:ascii="Times New Roman" w:cs="Times New Roman" w:eastAsia="Times New Roman" w:hAnsi="Times New Roman"/>
                <w:sz w:val="20"/>
                <w:szCs w:val="20"/>
                <w:color w:val="auto"/>
              </w:rPr>
              <w:t xml:space="preserve">Investment and acquisition capital expenditures </w:t>
            </w:r>
            <w:r>
              <w:rPr>
                <w:rFonts w:ascii="Times New Roman" w:cs="Times New Roman" w:eastAsia="Times New Roman" w:hAnsi="Times New Roman"/>
                <w:sz w:val="25"/>
                <w:szCs w:val="25"/>
                <w:color w:val="auto"/>
                <w:vertAlign w:val="superscript"/>
              </w:rPr>
              <w:t>(2) (3)</w:t>
            </w:r>
          </w:p>
        </w:tc>
        <w:tc>
          <w:tcPr>
            <w:tcW w:w="640" w:type="dxa"/>
            <w:vAlign w:val="bottom"/>
            <w:tcBorders>
              <w:bottom w:val="single" w:sz="8" w:color="E6E6E6"/>
            </w:tcBorders>
            <w:gridSpan w:val="2"/>
          </w:tcPr>
          <w:p>
            <w:pPr>
              <w:spacing w:after="0"/>
              <w:rPr>
                <w:sz w:val="24"/>
                <w:szCs w:val="24"/>
                <w:color w:val="auto"/>
              </w:rPr>
            </w:pPr>
          </w:p>
        </w:tc>
        <w:tc>
          <w:tcPr>
            <w:tcW w:w="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1,182</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E6E6E6"/>
            </w:tcBorders>
            <w:gridSpan w:val="3"/>
          </w:tcPr>
          <w:p>
            <w:pPr>
              <w:spacing w:after="0"/>
              <w:rPr>
                <w:sz w:val="24"/>
                <w:szCs w:val="24"/>
                <w:color w:val="auto"/>
              </w:rPr>
            </w:pPr>
          </w:p>
        </w:tc>
        <w:tc>
          <w:tcPr>
            <w:tcW w:w="260" w:type="dxa"/>
            <w:vAlign w:val="bottom"/>
            <w:tcBorders>
              <w:bottom w:val="single" w:sz="8" w:color="auto"/>
            </w:tcBorders>
            <w:gridSpan w:val="4"/>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00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1,231</w:t>
            </w:r>
          </w:p>
        </w:tc>
        <w:tc>
          <w:tcPr>
            <w:tcW w:w="0" w:type="dxa"/>
            <w:vAlign w:val="bottom"/>
          </w:tcPr>
          <w:p>
            <w:pPr>
              <w:spacing w:after="0"/>
              <w:rPr>
                <w:sz w:val="1"/>
                <w:szCs w:val="1"/>
                <w:color w:val="auto"/>
              </w:rPr>
            </w:pPr>
          </w:p>
        </w:tc>
      </w:tr>
      <w:tr>
        <w:trPr>
          <w:trHeight w:val="277"/>
        </w:trPr>
        <w:tc>
          <w:tcPr>
            <w:tcW w:w="4560" w:type="dxa"/>
            <w:vAlign w:val="bottom"/>
            <w:tcBorders>
              <w:bottom w:val="single" w:sz="8" w:color="E6E6E6"/>
            </w:tcBorders>
            <w:shd w:val="clear" w:color="auto" w:fill="E6E6E6"/>
          </w:tcPr>
          <w:p>
            <w:pPr>
              <w:ind w:left="60"/>
              <w:spacing w:after="0" w:line="238" w:lineRule="exact"/>
              <w:rPr>
                <w:sz w:val="20"/>
                <w:szCs w:val="20"/>
                <w:color w:val="auto"/>
              </w:rPr>
            </w:pPr>
            <w:r>
              <w:rPr>
                <w:rFonts w:ascii="Times New Roman" w:cs="Times New Roman" w:eastAsia="Times New Roman" w:hAnsi="Times New Roman"/>
                <w:sz w:val="20"/>
                <w:szCs w:val="20"/>
                <w:color w:val="auto"/>
              </w:rPr>
              <w:t xml:space="preserve">Maintenance capital expenditures </w:t>
            </w:r>
            <w:r>
              <w:rPr>
                <w:rFonts w:ascii="Times New Roman" w:cs="Times New Roman" w:eastAsia="Times New Roman" w:hAnsi="Times New Roman"/>
                <w:sz w:val="25"/>
                <w:szCs w:val="25"/>
                <w:color w:val="auto"/>
                <w:vertAlign w:val="superscript"/>
              </w:rPr>
              <w:t>(3)</w:t>
            </w:r>
          </w:p>
        </w:tc>
        <w:tc>
          <w:tcPr>
            <w:tcW w:w="640" w:type="dxa"/>
            <w:vAlign w:val="bottom"/>
            <w:tcBorders>
              <w:bottom w:val="single" w:sz="8" w:color="E6E6E6"/>
            </w:tcBorders>
            <w:gridSpan w:val="2"/>
            <w:shd w:val="clear" w:color="auto" w:fill="E6E6E6"/>
          </w:tcPr>
          <w:p>
            <w:pPr>
              <w:spacing w:after="0"/>
              <w:rPr>
                <w:sz w:val="24"/>
                <w:szCs w:val="24"/>
                <w:color w:val="auto"/>
              </w:rPr>
            </w:pPr>
          </w:p>
        </w:tc>
        <w:tc>
          <w:tcPr>
            <w:tcW w:w="180" w:type="dxa"/>
            <w:vAlign w:val="bottom"/>
            <w:tcBorders>
              <w:bottom w:val="single" w:sz="8" w:color="auto"/>
            </w:tcBorders>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gridSpan w:val="3"/>
            <w:shd w:val="clear" w:color="auto" w:fill="E6E6E6"/>
          </w:tcPr>
          <w:p>
            <w:pPr>
              <w:spacing w:after="0"/>
              <w:rPr>
                <w:sz w:val="24"/>
                <w:szCs w:val="24"/>
                <w:color w:val="auto"/>
              </w:rPr>
            </w:pPr>
          </w:p>
        </w:tc>
        <w:tc>
          <w:tcPr>
            <w:tcW w:w="260" w:type="dxa"/>
            <w:vAlign w:val="bottom"/>
            <w:tcBorders>
              <w:bottom w:val="single" w:sz="8" w:color="auto"/>
            </w:tcBorders>
            <w:gridSpan w:val="4"/>
            <w:shd w:val="clear" w:color="auto" w:fill="E6E6E6"/>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gridSpan w:val="3"/>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5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b w:val="1"/>
                <w:bCs w:val="1"/>
                <w:color w:val="auto"/>
              </w:rPr>
              <w:t>As of December 31, 2020</w:t>
            </w:r>
          </w:p>
        </w:tc>
        <w:tc>
          <w:tcPr>
            <w:tcW w:w="6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Investments in unconsolidated entities</w:t>
            </w:r>
          </w:p>
        </w:tc>
        <w:tc>
          <w:tcPr>
            <w:tcW w:w="640" w:type="dxa"/>
            <w:vAlign w:val="bottom"/>
            <w:gridSpan w:val="2"/>
          </w:tcPr>
          <w:p>
            <w:pPr>
              <w:spacing w:after="0"/>
              <w:rPr>
                <w:sz w:val="24"/>
                <w:szCs w:val="24"/>
                <w:color w:val="auto"/>
              </w:rPr>
            </w:pPr>
          </w:p>
        </w:tc>
        <w:tc>
          <w:tcPr>
            <w:tcW w:w="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3,764</w:t>
            </w:r>
          </w:p>
        </w:tc>
        <w:tc>
          <w:tcPr>
            <w:tcW w:w="20" w:type="dxa"/>
            <w:vAlign w:val="bottom"/>
            <w:tcBorders>
              <w:bottom w:val="single" w:sz="8" w:color="auto"/>
            </w:tcBorders>
          </w:tcPr>
          <w:p>
            <w:pPr>
              <w:spacing w:after="0"/>
              <w:rPr>
                <w:sz w:val="24"/>
                <w:szCs w:val="24"/>
                <w:color w:val="auto"/>
              </w:rPr>
            </w:pPr>
          </w:p>
        </w:tc>
        <w:tc>
          <w:tcPr>
            <w:tcW w:w="60" w:type="dxa"/>
            <w:vAlign w:val="bottom"/>
            <w:gridSpan w:val="3"/>
          </w:tcPr>
          <w:p>
            <w:pPr>
              <w:spacing w:after="0"/>
              <w:rPr>
                <w:sz w:val="24"/>
                <w:szCs w:val="24"/>
                <w:color w:val="auto"/>
              </w:rPr>
            </w:pPr>
          </w:p>
        </w:tc>
        <w:tc>
          <w:tcPr>
            <w:tcW w:w="260" w:type="dxa"/>
            <w:vAlign w:val="bottom"/>
            <w:tcBorders>
              <w:bottom w:val="single" w:sz="8" w:color="auto"/>
            </w:tcBorders>
            <w:gridSpan w:val="4"/>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3,764</w:t>
            </w:r>
          </w:p>
        </w:tc>
        <w:tc>
          <w:tcPr>
            <w:tcW w:w="0" w:type="dxa"/>
            <w:vAlign w:val="bottom"/>
          </w:tcPr>
          <w:p>
            <w:pPr>
              <w:spacing w:after="0"/>
              <w:rPr>
                <w:sz w:val="1"/>
                <w:szCs w:val="1"/>
                <w:color w:val="auto"/>
              </w:rPr>
            </w:pPr>
          </w:p>
        </w:tc>
      </w:tr>
      <w:tr>
        <w:trPr>
          <w:trHeight w:val="599"/>
        </w:trPr>
        <w:tc>
          <w:tcPr>
            <w:tcW w:w="4560" w:type="dxa"/>
            <w:vAlign w:val="bottom"/>
          </w:tcPr>
          <w:p>
            <w:pPr>
              <w:spacing w:after="0"/>
              <w:rPr>
                <w:sz w:val="24"/>
                <w:szCs w:val="24"/>
                <w:color w:val="auto"/>
              </w:rPr>
            </w:pPr>
          </w:p>
        </w:tc>
        <w:tc>
          <w:tcPr>
            <w:tcW w:w="820" w:type="dxa"/>
            <w:vAlign w:val="bottom"/>
            <w:gridSpan w:val="5"/>
          </w:tcPr>
          <w:p>
            <w:pPr>
              <w:jc w:val="right"/>
              <w:ind w:right="21"/>
              <w:spacing w:after="0"/>
              <w:rPr>
                <w:sz w:val="20"/>
                <w:szCs w:val="20"/>
                <w:color w:val="auto"/>
              </w:rPr>
            </w:pPr>
            <w:r>
              <w:rPr>
                <w:rFonts w:ascii="Times New Roman" w:cs="Times New Roman" w:eastAsia="Times New Roman" w:hAnsi="Times New Roman"/>
                <w:sz w:val="20"/>
                <w:szCs w:val="20"/>
                <w:color w:val="auto"/>
              </w:rPr>
              <w:t>F-61</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-8291195</wp:posOffset>
            </wp:positionV>
            <wp:extent cx="3196590" cy="501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87">
                      <a:extLst>
                        <a:ext uri="{28A0092B-C50C-407E-A947-70E740481C1C}"/>
                      </a:extLst>
                    </a:blip>
                    <a:srcRect/>
                    <a:stretch>
                      <a:fillRect/>
                    </a:stretch>
                  </pic:blipFill>
                  <pic:spPr bwMode="auto">
                    <a:xfrm>
                      <a:off x="0" y="0"/>
                      <a:ext cx="3196590" cy="5016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-7536815</wp:posOffset>
            </wp:positionV>
            <wp:extent cx="3209290" cy="501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88">
                      <a:extLst>
                        <a:ext uri="{28A0092B-C50C-407E-A947-70E740481C1C}"/>
                      </a:extLst>
                    </a:blip>
                    <a:srcRect/>
                    <a:stretch>
                      <a:fillRect/>
                    </a:stretch>
                  </pic:blipFill>
                  <pic:spPr bwMode="auto">
                    <a:xfrm>
                      <a:off x="0" y="0"/>
                      <a:ext cx="3209290" cy="5016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-7360920</wp:posOffset>
            </wp:positionV>
            <wp:extent cx="3209290" cy="755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89">
                      <a:extLst>
                        <a:ext uri="{28A0092B-C50C-407E-A947-70E740481C1C}"/>
                      </a:extLst>
                    </a:blip>
                    <a:srcRect/>
                    <a:stretch>
                      <a:fillRect/>
                    </a:stretch>
                  </pic:blipFill>
                  <pic:spPr bwMode="auto">
                    <a:xfrm>
                      <a:off x="0" y="0"/>
                      <a:ext cx="3209290" cy="7556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-7172325</wp:posOffset>
            </wp:positionV>
            <wp:extent cx="3209290" cy="755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90">
                      <a:extLst>
                        <a:ext uri="{28A0092B-C50C-407E-A947-70E740481C1C}"/>
                      </a:extLst>
                    </a:blip>
                    <a:srcRect/>
                    <a:stretch>
                      <a:fillRect/>
                    </a:stretch>
                  </pic:blipFill>
                  <pic:spPr bwMode="auto">
                    <a:xfrm>
                      <a:off x="0" y="0"/>
                      <a:ext cx="3209290" cy="7556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-6983730</wp:posOffset>
            </wp:positionV>
            <wp:extent cx="3209290" cy="755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91">
                      <a:extLst>
                        <a:ext uri="{28A0092B-C50C-407E-A947-70E740481C1C}"/>
                      </a:extLst>
                    </a:blip>
                    <a:srcRect/>
                    <a:stretch>
                      <a:fillRect/>
                    </a:stretch>
                  </pic:blipFill>
                  <pic:spPr bwMode="auto">
                    <a:xfrm>
                      <a:off x="0" y="0"/>
                      <a:ext cx="3209290" cy="7556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-6795135</wp:posOffset>
            </wp:positionV>
            <wp:extent cx="3209290" cy="755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92">
                      <a:extLst>
                        <a:ext uri="{28A0092B-C50C-407E-A947-70E740481C1C}"/>
                      </a:extLst>
                    </a:blip>
                    <a:srcRect/>
                    <a:stretch>
                      <a:fillRect/>
                    </a:stretch>
                  </pic:blipFill>
                  <pic:spPr bwMode="auto">
                    <a:xfrm>
                      <a:off x="0" y="0"/>
                      <a:ext cx="3209290" cy="7556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-6606540</wp:posOffset>
            </wp:positionV>
            <wp:extent cx="3209290" cy="755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93">
                      <a:extLst>
                        <a:ext uri="{28A0092B-C50C-407E-A947-70E740481C1C}"/>
                      </a:extLst>
                    </a:blip>
                    <a:srcRect/>
                    <a:stretch>
                      <a:fillRect/>
                    </a:stretch>
                  </pic:blipFill>
                  <pic:spPr bwMode="auto">
                    <a:xfrm>
                      <a:off x="0" y="0"/>
                      <a:ext cx="3209290" cy="7556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-6068695</wp:posOffset>
            </wp:positionV>
            <wp:extent cx="804545" cy="755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94">
                      <a:extLst>
                        <a:ext uri="{28A0092B-C50C-407E-A947-70E740481C1C}"/>
                      </a:extLst>
                    </a:blip>
                    <a:srcRect/>
                    <a:stretch>
                      <a:fillRect/>
                    </a:stretch>
                  </pic:blipFill>
                  <pic:spPr bwMode="auto">
                    <a:xfrm>
                      <a:off x="0" y="0"/>
                      <a:ext cx="804545" cy="755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-5474970</wp:posOffset>
            </wp:positionV>
            <wp:extent cx="3199765" cy="501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95">
                      <a:extLst>
                        <a:ext uri="{28A0092B-C50C-407E-A947-70E740481C1C}"/>
                      </a:extLst>
                    </a:blip>
                    <a:srcRect/>
                    <a:stretch>
                      <a:fillRect/>
                    </a:stretch>
                  </pic:blipFill>
                  <pic:spPr bwMode="auto">
                    <a:xfrm>
                      <a:off x="0" y="0"/>
                      <a:ext cx="3199765" cy="501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-4720590</wp:posOffset>
            </wp:positionV>
            <wp:extent cx="3199765" cy="501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96">
                      <a:extLst>
                        <a:ext uri="{28A0092B-C50C-407E-A947-70E740481C1C}"/>
                      </a:extLst>
                    </a:blip>
                    <a:srcRect/>
                    <a:stretch>
                      <a:fillRect/>
                    </a:stretch>
                  </pic:blipFill>
                  <pic:spPr bwMode="auto">
                    <a:xfrm>
                      <a:off x="0" y="0"/>
                      <a:ext cx="3199765" cy="501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-4544695</wp:posOffset>
            </wp:positionV>
            <wp:extent cx="3199765" cy="755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97">
                      <a:extLst>
                        <a:ext uri="{28A0092B-C50C-407E-A947-70E740481C1C}"/>
                      </a:extLst>
                    </a:blip>
                    <a:srcRect/>
                    <a:stretch>
                      <a:fillRect/>
                    </a:stretch>
                  </pic:blipFill>
                  <pic:spPr bwMode="auto">
                    <a:xfrm>
                      <a:off x="0" y="0"/>
                      <a:ext cx="3199765" cy="755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-4356100</wp:posOffset>
            </wp:positionV>
            <wp:extent cx="3199765" cy="755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98">
                      <a:extLst>
                        <a:ext uri="{28A0092B-C50C-407E-A947-70E740481C1C}"/>
                      </a:extLst>
                    </a:blip>
                    <a:srcRect/>
                    <a:stretch>
                      <a:fillRect/>
                    </a:stretch>
                  </pic:blipFill>
                  <pic:spPr bwMode="auto">
                    <a:xfrm>
                      <a:off x="0" y="0"/>
                      <a:ext cx="3199765" cy="755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-4167505</wp:posOffset>
            </wp:positionV>
            <wp:extent cx="3199765" cy="755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99">
                      <a:extLst>
                        <a:ext uri="{28A0092B-C50C-407E-A947-70E740481C1C}"/>
                      </a:extLst>
                    </a:blip>
                    <a:srcRect/>
                    <a:stretch>
                      <a:fillRect/>
                    </a:stretch>
                  </pic:blipFill>
                  <pic:spPr bwMode="auto">
                    <a:xfrm>
                      <a:off x="0" y="0"/>
                      <a:ext cx="3199765" cy="755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-3978910</wp:posOffset>
            </wp:positionV>
            <wp:extent cx="3199765" cy="755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00">
                      <a:extLst>
                        <a:ext uri="{28A0092B-C50C-407E-A947-70E740481C1C}"/>
                      </a:extLst>
                    </a:blip>
                    <a:srcRect/>
                    <a:stretch>
                      <a:fillRect/>
                    </a:stretch>
                  </pic:blipFill>
                  <pic:spPr bwMode="auto">
                    <a:xfrm>
                      <a:off x="0" y="0"/>
                      <a:ext cx="3199765" cy="755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-3790315</wp:posOffset>
            </wp:positionV>
            <wp:extent cx="3199765" cy="755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01">
                      <a:extLst>
                        <a:ext uri="{28A0092B-C50C-407E-A947-70E740481C1C}"/>
                      </a:extLst>
                    </a:blip>
                    <a:srcRect/>
                    <a:stretch>
                      <a:fillRect/>
                    </a:stretch>
                  </pic:blipFill>
                  <pic:spPr bwMode="auto">
                    <a:xfrm>
                      <a:off x="0" y="0"/>
                      <a:ext cx="3199765" cy="7556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-3252470</wp:posOffset>
            </wp:positionV>
            <wp:extent cx="804545" cy="755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02">
                      <a:extLst>
                        <a:ext uri="{28A0092B-C50C-407E-A947-70E740481C1C}"/>
                      </a:extLst>
                    </a:blip>
                    <a:srcRect/>
                    <a:stretch>
                      <a:fillRect/>
                    </a:stretch>
                  </pic:blipFill>
                  <pic:spPr bwMode="auto">
                    <a:xfrm>
                      <a:off x="0" y="0"/>
                      <a:ext cx="804545" cy="7556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-2658745</wp:posOffset>
            </wp:positionV>
            <wp:extent cx="2407920" cy="501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03">
                      <a:extLst>
                        <a:ext uri="{28A0092B-C50C-407E-A947-70E740481C1C}"/>
                      </a:extLst>
                    </a:blip>
                    <a:srcRect/>
                    <a:stretch>
                      <a:fillRect/>
                    </a:stretch>
                  </pic:blipFill>
                  <pic:spPr bwMode="auto">
                    <a:xfrm>
                      <a:off x="0" y="0"/>
                      <a:ext cx="2407920" cy="501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-1904365</wp:posOffset>
            </wp:positionV>
            <wp:extent cx="3199765" cy="501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04">
                      <a:extLst>
                        <a:ext uri="{28A0092B-C50C-407E-A947-70E740481C1C}"/>
                      </a:extLst>
                    </a:blip>
                    <a:srcRect/>
                    <a:stretch>
                      <a:fillRect/>
                    </a:stretch>
                  </pic:blipFill>
                  <pic:spPr bwMode="auto">
                    <a:xfrm>
                      <a:off x="0" y="0"/>
                      <a:ext cx="3199765" cy="501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-1727835</wp:posOffset>
            </wp:positionV>
            <wp:extent cx="3199765" cy="755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05">
                      <a:extLst>
                        <a:ext uri="{28A0092B-C50C-407E-A947-70E740481C1C}"/>
                      </a:extLst>
                    </a:blip>
                    <a:srcRect/>
                    <a:stretch>
                      <a:fillRect/>
                    </a:stretch>
                  </pic:blipFill>
                  <pic:spPr bwMode="auto">
                    <a:xfrm>
                      <a:off x="0" y="0"/>
                      <a:ext cx="3199765" cy="755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-1539240</wp:posOffset>
            </wp:positionV>
            <wp:extent cx="3199765" cy="755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06">
                      <a:extLst>
                        <a:ext uri="{28A0092B-C50C-407E-A947-70E740481C1C}"/>
                      </a:extLst>
                    </a:blip>
                    <a:srcRect/>
                    <a:stretch>
                      <a:fillRect/>
                    </a:stretch>
                  </pic:blipFill>
                  <pic:spPr bwMode="auto">
                    <a:xfrm>
                      <a:off x="0" y="0"/>
                      <a:ext cx="3199765" cy="755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-1350645</wp:posOffset>
            </wp:positionV>
            <wp:extent cx="3199765" cy="755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07">
                      <a:extLst>
                        <a:ext uri="{28A0092B-C50C-407E-A947-70E740481C1C}"/>
                      </a:extLst>
                    </a:blip>
                    <a:srcRect/>
                    <a:stretch>
                      <a:fillRect/>
                    </a:stretch>
                  </pic:blipFill>
                  <pic:spPr bwMode="auto">
                    <a:xfrm>
                      <a:off x="0" y="0"/>
                      <a:ext cx="3199765" cy="755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-1162050</wp:posOffset>
            </wp:positionV>
            <wp:extent cx="3199765" cy="755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08">
                      <a:extLst>
                        <a:ext uri="{28A0092B-C50C-407E-A947-70E740481C1C}"/>
                      </a:extLst>
                    </a:blip>
                    <a:srcRect/>
                    <a:stretch>
                      <a:fillRect/>
                    </a:stretch>
                  </pic:blipFill>
                  <pic:spPr bwMode="auto">
                    <a:xfrm>
                      <a:off x="0" y="0"/>
                      <a:ext cx="3199765" cy="755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-973455</wp:posOffset>
            </wp:positionV>
            <wp:extent cx="3199765" cy="755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09">
                      <a:extLst>
                        <a:ext uri="{28A0092B-C50C-407E-A947-70E740481C1C}"/>
                      </a:extLst>
                    </a:blip>
                    <a:srcRect/>
                    <a:stretch>
                      <a:fillRect/>
                    </a:stretch>
                  </pic:blipFill>
                  <pic:spPr bwMode="auto">
                    <a:xfrm>
                      <a:off x="0" y="0"/>
                      <a:ext cx="3199765" cy="7556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-436245</wp:posOffset>
            </wp:positionV>
            <wp:extent cx="3199765" cy="755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10">
                      <a:extLst>
                        <a:ext uri="{28A0092B-C50C-407E-A947-70E740481C1C}"/>
                      </a:extLst>
                    </a:blip>
                    <a:srcRect/>
                    <a:stretch>
                      <a:fillRect/>
                    </a:stretch>
                  </pic:blipFill>
                  <pic:spPr bwMode="auto">
                    <a:xfrm>
                      <a:off x="0" y="0"/>
                      <a:ext cx="3199765" cy="75565"/>
                    </a:xfrm>
                    <a:prstGeom prst="rect">
                      <a:avLst/>
                    </a:prstGeom>
                    <a:noFill/>
                  </pic:spPr>
                </pic:pic>
              </a:graphicData>
            </a:graphic>
          </wp:anchor>
        </w:drawing>
      </w:r>
    </w:p>
    <w:p>
      <w:pPr>
        <w:sectPr>
          <w:pgSz w:w="11880" w:h="15480" w:orient="portrait"/>
          <w:cols w:equalWidth="0" w:num="1">
            <w:col w:w="10160"/>
          </w:cols>
          <w:pgMar w:left="860" w:top="435" w:right="860" w:bottom="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-455930</wp:posOffset>
                </wp:positionH>
                <wp:positionV relativeFrom="paragraph">
                  <wp:posOffset>323850</wp:posOffset>
                </wp:positionV>
                <wp:extent cx="2224405"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4405" cy="4763"/>
                        </a:xfrm>
                        <a:prstGeom prst="line">
                          <a:avLst/>
                        </a:prstGeom>
                        <a:solidFill>
                          <a:srgbClr val="FFFFFF"/>
                        </a:solidFill>
                        <a:ln w="12573">
                          <a:solidFill>
                            <a:srgbClr val="00000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999pt,25.5pt" to="139.25pt,25.5pt" o:allowincell="f" strokecolor="#000000" strokeweight="0.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20"/>
          <w:szCs w:val="20"/>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 and acquisition capital expenditures, including investments in unconsolidated entities.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amounts combined represent total capital expenditures.</w:t>
      </w:r>
    </w:p>
    <w:p>
      <w:pPr>
        <w:spacing w:after="0" w:line="200" w:lineRule="exact"/>
        <w:rPr>
          <w:sz w:val="20"/>
          <w:szCs w:val="20"/>
          <w:color w:val="auto"/>
        </w:rPr>
      </w:pPr>
    </w:p>
    <w:p>
      <w:pPr>
        <w:sectPr>
          <w:pgSz w:w="11880" w:h="15480" w:orient="portrait"/>
          <w:cols w:equalWidth="0" w:num="2">
            <w:col w:w="160" w:space="560"/>
            <w:col w:w="9400"/>
          </w:cols>
          <w:pgMar w:left="860" w:top="435" w:right="900" w:bottom="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Adjusted EBITDA Reconciliation</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reconciles Segment Adjusted EBITDA to Net income/(loss) attributable to PAA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32"/>
        </w:trPr>
        <w:tc>
          <w:tcPr>
            <w:tcW w:w="80" w:type="dxa"/>
            <w:vAlign w:val="bottom"/>
          </w:tcPr>
          <w:p>
            <w:pPr>
              <w:spacing w:after="0"/>
              <w:rPr>
                <w:sz w:val="20"/>
                <w:szCs w:val="20"/>
                <w:color w:val="auto"/>
              </w:rPr>
            </w:pPr>
          </w:p>
        </w:tc>
        <w:tc>
          <w:tcPr>
            <w:tcW w:w="3420" w:type="dxa"/>
            <w:vAlign w:val="bottom"/>
            <w:tcBorders>
              <w:bottom w:val="single" w:sz="8" w:color="E6E6E6"/>
            </w:tcBorders>
          </w:tcPr>
          <w:p>
            <w:pPr>
              <w:spacing w:after="0"/>
              <w:rPr>
                <w:sz w:val="20"/>
                <w:szCs w:val="20"/>
                <w:color w:val="auto"/>
              </w:rPr>
            </w:pPr>
          </w:p>
        </w:tc>
        <w:tc>
          <w:tcPr>
            <w:tcW w:w="286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E6E6E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80" w:type="dxa"/>
            <w:vAlign w:val="bottom"/>
          </w:tcPr>
          <w:p>
            <w:pPr>
              <w:spacing w:after="0"/>
              <w:rPr>
                <w:sz w:val="24"/>
                <w:szCs w:val="24"/>
                <w:color w:val="auto"/>
              </w:rPr>
            </w:pPr>
          </w:p>
        </w:tc>
        <w:tc>
          <w:tcPr>
            <w:tcW w:w="628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Segment Adjusted EBITDA</w:t>
            </w:r>
          </w:p>
        </w:tc>
        <w:tc>
          <w:tcPr>
            <w:tcW w:w="300" w:type="dxa"/>
            <w:vAlign w:val="bottom"/>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2,504</w:t>
            </w:r>
          </w:p>
        </w:tc>
        <w:tc>
          <w:tcPr>
            <w:tcW w:w="3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2,194</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2,543</w:t>
            </w:r>
          </w:p>
        </w:tc>
      </w:tr>
      <w:tr>
        <w:trPr>
          <w:trHeight w:val="297"/>
        </w:trPr>
        <w:tc>
          <w:tcPr>
            <w:tcW w:w="80" w:type="dxa"/>
            <w:vAlign w:val="bottom"/>
          </w:tcPr>
          <w:p>
            <w:pPr>
              <w:spacing w:after="0"/>
              <w:rPr>
                <w:sz w:val="24"/>
                <w:szCs w:val="24"/>
                <w:color w:val="auto"/>
              </w:rPr>
            </w:pPr>
          </w:p>
        </w:tc>
        <w:tc>
          <w:tcPr>
            <w:tcW w:w="6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Adjustments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80" w:type="dxa"/>
            <w:vAlign w:val="bottom"/>
          </w:tcPr>
          <w:p>
            <w:pPr>
              <w:spacing w:after="0"/>
              <w:rPr>
                <w:sz w:val="24"/>
                <w:szCs w:val="24"/>
                <w:color w:val="auto"/>
              </w:rPr>
            </w:pPr>
          </w:p>
        </w:tc>
        <w:tc>
          <w:tcPr>
            <w:tcW w:w="6280" w:type="dxa"/>
            <w:vAlign w:val="bottom"/>
            <w:gridSpan w:val="2"/>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 xml:space="preserve">Depreciation and amortization of unconsolidated entities </w:t>
            </w:r>
            <w:r>
              <w:rPr>
                <w:rFonts w:ascii="Times New Roman" w:cs="Times New Roman" w:eastAsia="Times New Roman" w:hAnsi="Times New Roman"/>
                <w:sz w:val="25"/>
                <w:szCs w:val="25"/>
                <w:color w:val="auto"/>
                <w:vertAlign w:val="superscript"/>
              </w:rPr>
              <w:t>(2)</w:t>
            </w: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97"/>
        </w:trPr>
        <w:tc>
          <w:tcPr>
            <w:tcW w:w="80" w:type="dxa"/>
            <w:vAlign w:val="bottom"/>
          </w:tcPr>
          <w:p>
            <w:pPr>
              <w:spacing w:after="0"/>
              <w:rPr>
                <w:sz w:val="24"/>
                <w:szCs w:val="24"/>
                <w:color w:val="auto"/>
              </w:rPr>
            </w:pPr>
          </w:p>
        </w:tc>
        <w:tc>
          <w:tcPr>
            <w:tcW w:w="62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 xml:space="preserve">Derivative activities and inventory valuation adjustments </w:t>
            </w:r>
            <w:r>
              <w:rPr>
                <w:rFonts w:ascii="Times New Roman" w:cs="Times New Roman" w:eastAsia="Times New Roman" w:hAnsi="Times New Roman"/>
                <w:sz w:val="25"/>
                <w:szCs w:val="25"/>
                <w:color w:val="auto"/>
                <w:vertAlign w:val="superscript"/>
              </w:rPr>
              <w:t>(3)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w:t>
            </w:r>
          </w:p>
        </w:tc>
      </w:tr>
      <w:tr>
        <w:trPr>
          <w:trHeight w:val="297"/>
        </w:trPr>
        <w:tc>
          <w:tcPr>
            <w:tcW w:w="80" w:type="dxa"/>
            <w:vAlign w:val="bottom"/>
          </w:tcPr>
          <w:p>
            <w:pPr>
              <w:spacing w:after="0"/>
              <w:rPr>
                <w:sz w:val="24"/>
                <w:szCs w:val="24"/>
                <w:color w:val="auto"/>
              </w:rPr>
            </w:pPr>
          </w:p>
        </w:tc>
        <w:tc>
          <w:tcPr>
            <w:tcW w:w="6280" w:type="dxa"/>
            <w:vAlign w:val="bottom"/>
            <w:gridSpan w:val="2"/>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 xml:space="preserve">Long-term inventory costing adjustments </w:t>
            </w:r>
            <w:r>
              <w:rPr>
                <w:rFonts w:ascii="Times New Roman" w:cs="Times New Roman" w:eastAsia="Times New Roman" w:hAnsi="Times New Roman"/>
                <w:sz w:val="25"/>
                <w:szCs w:val="25"/>
                <w:color w:val="auto"/>
                <w:vertAlign w:val="superscript"/>
              </w:rPr>
              <w:t>(4)</w:t>
            </w: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97"/>
        </w:trPr>
        <w:tc>
          <w:tcPr>
            <w:tcW w:w="80" w:type="dxa"/>
            <w:vAlign w:val="bottom"/>
          </w:tcPr>
          <w:p>
            <w:pPr>
              <w:spacing w:after="0"/>
              <w:rPr>
                <w:sz w:val="24"/>
                <w:szCs w:val="24"/>
                <w:color w:val="auto"/>
              </w:rPr>
            </w:pPr>
          </w:p>
        </w:tc>
        <w:tc>
          <w:tcPr>
            <w:tcW w:w="62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 xml:space="preserve">Deficiencies under minimum volume commitments, net </w:t>
            </w:r>
            <w:r>
              <w:rPr>
                <w:rFonts w:ascii="Times New Roman" w:cs="Times New Roman" w:eastAsia="Times New Roman" w:hAnsi="Times New Roman"/>
                <w:sz w:val="25"/>
                <w:szCs w:val="25"/>
                <w:color w:val="auto"/>
                <w:vertAlign w:val="superscript"/>
              </w:rPr>
              <w:t>(5)</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97"/>
        </w:trPr>
        <w:tc>
          <w:tcPr>
            <w:tcW w:w="80" w:type="dxa"/>
            <w:vAlign w:val="bottom"/>
          </w:tcPr>
          <w:p>
            <w:pPr>
              <w:spacing w:after="0"/>
              <w:rPr>
                <w:sz w:val="24"/>
                <w:szCs w:val="24"/>
                <w:color w:val="auto"/>
              </w:rPr>
            </w:pPr>
          </w:p>
        </w:tc>
        <w:tc>
          <w:tcPr>
            <w:tcW w:w="6280" w:type="dxa"/>
            <w:vAlign w:val="bottom"/>
            <w:gridSpan w:val="2"/>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 xml:space="preserve">Equity-indexed compensation expense </w:t>
            </w:r>
            <w:r>
              <w:rPr>
                <w:rFonts w:ascii="Times New Roman" w:cs="Times New Roman" w:eastAsia="Times New Roman" w:hAnsi="Times New Roman"/>
                <w:sz w:val="25"/>
                <w:szCs w:val="25"/>
                <w:color w:val="auto"/>
                <w:vertAlign w:val="superscript"/>
              </w:rPr>
              <w:t>(6)</w:t>
            </w: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97"/>
        </w:trPr>
        <w:tc>
          <w:tcPr>
            <w:tcW w:w="80" w:type="dxa"/>
            <w:vAlign w:val="bottom"/>
          </w:tcPr>
          <w:p>
            <w:pPr>
              <w:spacing w:after="0"/>
              <w:rPr>
                <w:sz w:val="24"/>
                <w:szCs w:val="24"/>
                <w:color w:val="auto"/>
              </w:rPr>
            </w:pPr>
          </w:p>
        </w:tc>
        <w:tc>
          <w:tcPr>
            <w:tcW w:w="62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 xml:space="preserve">Foreign currency revaluation </w:t>
            </w:r>
            <w:r>
              <w:rPr>
                <w:rFonts w:ascii="Times New Roman" w:cs="Times New Roman" w:eastAsia="Times New Roman" w:hAnsi="Times New Roman"/>
                <w:sz w:val="25"/>
                <w:szCs w:val="25"/>
                <w:color w:val="auto"/>
                <w:vertAlign w:val="superscript"/>
              </w:rPr>
              <w:t>(7)</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97"/>
        </w:trPr>
        <w:tc>
          <w:tcPr>
            <w:tcW w:w="80" w:type="dxa"/>
            <w:vAlign w:val="bottom"/>
          </w:tcPr>
          <w:p>
            <w:pPr>
              <w:spacing w:after="0"/>
              <w:rPr>
                <w:sz w:val="24"/>
                <w:szCs w:val="24"/>
                <w:color w:val="auto"/>
              </w:rPr>
            </w:pPr>
          </w:p>
        </w:tc>
        <w:tc>
          <w:tcPr>
            <w:tcW w:w="6280" w:type="dxa"/>
            <w:vAlign w:val="bottom"/>
            <w:gridSpan w:val="2"/>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 xml:space="preserve">Line 901 incident </w:t>
            </w:r>
            <w:r>
              <w:rPr>
                <w:rFonts w:ascii="Times New Roman" w:cs="Times New Roman" w:eastAsia="Times New Roman" w:hAnsi="Times New Roman"/>
                <w:sz w:val="25"/>
                <w:szCs w:val="25"/>
                <w:color w:val="auto"/>
                <w:vertAlign w:val="superscript"/>
              </w:rPr>
              <w:t>(8)</w:t>
            </w: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80" w:type="dxa"/>
            <w:vAlign w:val="bottom"/>
          </w:tcPr>
          <w:p>
            <w:pPr>
              <w:spacing w:after="0"/>
              <w:rPr>
                <w:sz w:val="24"/>
                <w:szCs w:val="24"/>
                <w:color w:val="auto"/>
              </w:rPr>
            </w:pPr>
          </w:p>
        </w:tc>
        <w:tc>
          <w:tcPr>
            <w:tcW w:w="62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 xml:space="preserve">Significant transaction-related expenses </w:t>
            </w:r>
            <w:r>
              <w:rPr>
                <w:rFonts w:ascii="Times New Roman" w:cs="Times New Roman" w:eastAsia="Times New Roman" w:hAnsi="Times New Roman"/>
                <w:sz w:val="25"/>
                <w:szCs w:val="25"/>
                <w:color w:val="auto"/>
                <w:vertAlign w:val="superscript"/>
              </w:rPr>
              <w:t>(9)</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97"/>
        </w:trPr>
        <w:tc>
          <w:tcPr>
            <w:tcW w:w="80" w:type="dxa"/>
            <w:vAlign w:val="bottom"/>
          </w:tcPr>
          <w:p>
            <w:pPr>
              <w:spacing w:after="0"/>
              <w:rPr>
                <w:sz w:val="24"/>
                <w:szCs w:val="24"/>
                <w:color w:val="auto"/>
              </w:rPr>
            </w:pPr>
          </w:p>
        </w:tc>
        <w:tc>
          <w:tcPr>
            <w:tcW w:w="6280" w:type="dxa"/>
            <w:vAlign w:val="bottom"/>
            <w:gridSpan w:val="2"/>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 xml:space="preserve">Adjusted EBITDA attributable to noncontrolling interests </w:t>
            </w:r>
            <w:r>
              <w:rPr>
                <w:rFonts w:ascii="Times New Roman" w:cs="Times New Roman" w:eastAsia="Times New Roman" w:hAnsi="Times New Roman"/>
                <w:sz w:val="25"/>
                <w:szCs w:val="25"/>
                <w:color w:val="auto"/>
                <w:vertAlign w:val="superscript"/>
              </w:rPr>
              <w:t>(10)</w:t>
            </w: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91"/>
        </w:trPr>
        <w:tc>
          <w:tcPr>
            <w:tcW w:w="80" w:type="dxa"/>
            <w:vAlign w:val="bottom"/>
          </w:tcPr>
          <w:p>
            <w:pPr>
              <w:spacing w:after="0"/>
              <w:rPr>
                <w:sz w:val="24"/>
                <w:szCs w:val="24"/>
                <w:color w:val="auto"/>
              </w:rPr>
            </w:pPr>
          </w:p>
        </w:tc>
        <w:tc>
          <w:tcPr>
            <w:tcW w:w="6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w:t>
            </w:r>
          </w:p>
        </w:tc>
      </w:tr>
      <w:tr>
        <w:trPr>
          <w:trHeight w:val="303"/>
        </w:trPr>
        <w:tc>
          <w:tcPr>
            <w:tcW w:w="80" w:type="dxa"/>
            <w:vAlign w:val="bottom"/>
          </w:tcPr>
          <w:p>
            <w:pPr>
              <w:spacing w:after="0"/>
              <w:rPr>
                <w:sz w:val="24"/>
                <w:szCs w:val="24"/>
                <w:color w:val="auto"/>
              </w:rPr>
            </w:pPr>
          </w:p>
        </w:tc>
        <w:tc>
          <w:tcPr>
            <w:tcW w:w="628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Gains/(losses) on asset sales and asset impairments, net</w:t>
            </w: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(719)</w:t>
            </w:r>
          </w:p>
        </w:tc>
      </w:tr>
      <w:tr>
        <w:trPr>
          <w:trHeight w:val="291"/>
        </w:trPr>
        <w:tc>
          <w:tcPr>
            <w:tcW w:w="80" w:type="dxa"/>
            <w:vAlign w:val="bottom"/>
          </w:tcPr>
          <w:p>
            <w:pPr>
              <w:spacing w:after="0"/>
              <w:rPr>
                <w:sz w:val="24"/>
                <w:szCs w:val="24"/>
                <w:color w:val="auto"/>
              </w:rPr>
            </w:pPr>
          </w:p>
        </w:tc>
        <w:tc>
          <w:tcPr>
            <w:tcW w:w="6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Goodwill impairment loss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(2,515)</w:t>
            </w:r>
          </w:p>
        </w:tc>
      </w:tr>
      <w:tr>
        <w:trPr>
          <w:trHeight w:val="303"/>
        </w:trPr>
        <w:tc>
          <w:tcPr>
            <w:tcW w:w="80" w:type="dxa"/>
            <w:vAlign w:val="bottom"/>
          </w:tcPr>
          <w:p>
            <w:pPr>
              <w:spacing w:after="0"/>
              <w:rPr>
                <w:sz w:val="24"/>
                <w:szCs w:val="24"/>
                <w:color w:val="auto"/>
              </w:rPr>
            </w:pPr>
          </w:p>
        </w:tc>
        <w:tc>
          <w:tcPr>
            <w:tcW w:w="628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Gains (losses) on/(impairment of) investments in unconsolidated entities, net</w:t>
            </w: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291"/>
        </w:trPr>
        <w:tc>
          <w:tcPr>
            <w:tcW w:w="80" w:type="dxa"/>
            <w:vAlign w:val="bottom"/>
          </w:tcPr>
          <w:p>
            <w:pPr>
              <w:spacing w:after="0"/>
              <w:rPr>
                <w:sz w:val="24"/>
                <w:szCs w:val="24"/>
                <w:color w:val="auto"/>
              </w:rPr>
            </w:pPr>
          </w:p>
        </w:tc>
        <w:tc>
          <w:tcPr>
            <w:tcW w:w="6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Interest expense, net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w:t>
            </w:r>
          </w:p>
        </w:tc>
      </w:tr>
      <w:tr>
        <w:trPr>
          <w:trHeight w:val="293"/>
        </w:trPr>
        <w:tc>
          <w:tcPr>
            <w:tcW w:w="80" w:type="dxa"/>
            <w:vAlign w:val="bottom"/>
          </w:tcPr>
          <w:p>
            <w:pPr>
              <w:spacing w:after="0"/>
              <w:rPr>
                <w:sz w:val="24"/>
                <w:szCs w:val="24"/>
                <w:color w:val="auto"/>
              </w:rPr>
            </w:pPr>
          </w:p>
        </w:tc>
        <w:tc>
          <w:tcPr>
            <w:tcW w:w="6280" w:type="dxa"/>
            <w:vAlign w:val="bottom"/>
            <w:tcBorders>
              <w:bottom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Other income/(expense), net</w:t>
            </w:r>
          </w:p>
        </w:tc>
        <w:tc>
          <w:tcPr>
            <w:tcW w:w="30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81"/>
        </w:trPr>
        <w:tc>
          <w:tcPr>
            <w:tcW w:w="80" w:type="dxa"/>
            <w:vAlign w:val="bottom"/>
          </w:tcPr>
          <w:p>
            <w:pPr>
              <w:spacing w:after="0"/>
              <w:rPr>
                <w:sz w:val="24"/>
                <w:szCs w:val="24"/>
                <w:color w:val="auto"/>
              </w:rPr>
            </w:pPr>
          </w:p>
        </w:tc>
        <w:tc>
          <w:tcPr>
            <w:tcW w:w="6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Income/(loss) before tax</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w:t>
            </w:r>
          </w:p>
        </w:tc>
      </w:tr>
      <w:tr>
        <w:trPr>
          <w:trHeight w:val="293"/>
        </w:trPr>
        <w:tc>
          <w:tcPr>
            <w:tcW w:w="80" w:type="dxa"/>
            <w:vAlign w:val="bottom"/>
          </w:tcPr>
          <w:p>
            <w:pPr>
              <w:spacing w:after="0"/>
              <w:rPr>
                <w:sz w:val="24"/>
                <w:szCs w:val="24"/>
                <w:color w:val="auto"/>
              </w:rPr>
            </w:pPr>
          </w:p>
        </w:tc>
        <w:tc>
          <w:tcPr>
            <w:tcW w:w="6280" w:type="dxa"/>
            <w:vAlign w:val="bottom"/>
            <w:tcBorders>
              <w:bottom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Income tax (expense)/benefit</w:t>
            </w:r>
          </w:p>
        </w:tc>
        <w:tc>
          <w:tcPr>
            <w:tcW w:w="30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81"/>
        </w:trPr>
        <w:tc>
          <w:tcPr>
            <w:tcW w:w="80" w:type="dxa"/>
            <w:vAlign w:val="bottom"/>
          </w:tcPr>
          <w:p>
            <w:pPr>
              <w:spacing w:after="0"/>
              <w:rPr>
                <w:sz w:val="24"/>
                <w:szCs w:val="24"/>
                <w:color w:val="auto"/>
              </w:rPr>
            </w:pPr>
          </w:p>
        </w:tc>
        <w:tc>
          <w:tcPr>
            <w:tcW w:w="6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Net income/(loss)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(2,580)</w:t>
            </w:r>
          </w:p>
        </w:tc>
      </w:tr>
      <w:tr>
        <w:trPr>
          <w:trHeight w:val="293"/>
        </w:trPr>
        <w:tc>
          <w:tcPr>
            <w:tcW w:w="80" w:type="dxa"/>
            <w:vAlign w:val="bottom"/>
          </w:tcPr>
          <w:p>
            <w:pPr>
              <w:spacing w:after="0"/>
              <w:rPr>
                <w:sz w:val="24"/>
                <w:szCs w:val="24"/>
                <w:color w:val="auto"/>
              </w:rPr>
            </w:pPr>
          </w:p>
        </w:tc>
        <w:tc>
          <w:tcPr>
            <w:tcW w:w="6280" w:type="dxa"/>
            <w:vAlign w:val="bottom"/>
            <w:tcBorders>
              <w:bottom w:val="single" w:sz="8" w:color="E6E6E6"/>
            </w:tcBorders>
            <w:gridSpan w:val="2"/>
            <w:shd w:val="clear" w:color="auto" w:fill="E6E6E6"/>
          </w:tcPr>
          <w:p>
            <w:pPr>
              <w:ind w:left="280"/>
              <w:spacing w:after="0"/>
              <w:rPr>
                <w:sz w:val="20"/>
                <w:szCs w:val="20"/>
                <w:color w:val="auto"/>
              </w:rPr>
            </w:pPr>
            <w:r>
              <w:rPr>
                <w:rFonts w:ascii="Times New Roman" w:cs="Times New Roman" w:eastAsia="Times New Roman" w:hAnsi="Times New Roman"/>
                <w:sz w:val="20"/>
                <w:szCs w:val="20"/>
                <w:color w:val="auto"/>
              </w:rPr>
              <w:t>Net income attributable to noncontrolling interests</w:t>
            </w:r>
          </w:p>
        </w:tc>
        <w:tc>
          <w:tcPr>
            <w:tcW w:w="30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57"/>
        </w:trPr>
        <w:tc>
          <w:tcPr>
            <w:tcW w:w="80" w:type="dxa"/>
            <w:vAlign w:val="bottom"/>
          </w:tcPr>
          <w:p>
            <w:pPr>
              <w:spacing w:after="0"/>
              <w:rPr>
                <w:sz w:val="22"/>
                <w:szCs w:val="22"/>
                <w:color w:val="auto"/>
              </w:rPr>
            </w:pPr>
          </w:p>
        </w:tc>
        <w:tc>
          <w:tcPr>
            <w:tcW w:w="6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Net income/(loss) attributable to PAA</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(2,590)</w:t>
            </w:r>
          </w:p>
        </w:tc>
      </w:tr>
      <w:tr>
        <w:trPr>
          <w:trHeight w:val="20"/>
        </w:trPr>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8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-4290060</wp:posOffset>
            </wp:positionV>
            <wp:extent cx="2407920" cy="501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11">
                      <a:extLst>
                        <a:ext uri="{28A0092B-C50C-407E-A947-70E740481C1C}"/>
                      </a:extLst>
                    </a:blip>
                    <a:srcRect/>
                    <a:stretch>
                      <a:fillRect/>
                    </a:stretch>
                  </pic:blipFill>
                  <pic:spPr bwMode="auto">
                    <a:xfrm>
                      <a:off x="0" y="0"/>
                      <a:ext cx="2407920" cy="5016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-1083945</wp:posOffset>
            </wp:positionV>
            <wp:extent cx="2407920" cy="501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12">
                      <a:extLst>
                        <a:ext uri="{28A0092B-C50C-407E-A947-70E740481C1C}"/>
                      </a:extLst>
                    </a:blip>
                    <a:srcRect/>
                    <a:stretch>
                      <a:fillRect/>
                    </a:stretch>
                  </pic:blipFill>
                  <pic:spPr bwMode="auto">
                    <a:xfrm>
                      <a:off x="0" y="0"/>
                      <a:ext cx="2407920" cy="5016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-706755</wp:posOffset>
            </wp:positionV>
            <wp:extent cx="2407920" cy="501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13">
                      <a:extLst>
                        <a:ext uri="{28A0092B-C50C-407E-A947-70E740481C1C}"/>
                      </a:extLst>
                    </a:blip>
                    <a:srcRect/>
                    <a:stretch>
                      <a:fillRect/>
                    </a:stretch>
                  </pic:blipFill>
                  <pic:spPr bwMode="auto">
                    <a:xfrm>
                      <a:off x="0" y="0"/>
                      <a:ext cx="2407920" cy="5016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-329565</wp:posOffset>
            </wp:positionV>
            <wp:extent cx="2407920" cy="501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14">
                      <a:extLst>
                        <a:ext uri="{28A0092B-C50C-407E-A947-70E740481C1C}"/>
                      </a:extLst>
                    </a:blip>
                    <a:srcRect/>
                    <a:stretch>
                      <a:fillRect/>
                    </a:stretch>
                  </pic:blipFill>
                  <pic:spPr bwMode="auto">
                    <a:xfrm>
                      <a:off x="0" y="0"/>
                      <a:ext cx="2407920" cy="50165"/>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-153670</wp:posOffset>
            </wp:positionV>
            <wp:extent cx="1605915" cy="755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15">
                      <a:extLst>
                        <a:ext uri="{28A0092B-C50C-407E-A947-70E740481C1C}"/>
                      </a:extLst>
                    </a:blip>
                    <a:srcRect/>
                    <a:stretch>
                      <a:fillRect/>
                    </a:stretch>
                  </pic:blipFill>
                  <pic:spPr bwMode="auto">
                    <a:xfrm>
                      <a:off x="0" y="0"/>
                      <a:ext cx="1605915" cy="75565"/>
                    </a:xfrm>
                    <a:prstGeom prst="rect">
                      <a:avLst/>
                    </a:prstGeom>
                    <a:noFill/>
                  </pic:spPr>
                </pic:pic>
              </a:graphicData>
            </a:graphic>
          </wp:anchor>
        </w:drawing>
      </w:r>
    </w:p>
    <w:p>
      <w:pPr>
        <w:sectPr>
          <w:pgSz w:w="11880" w:h="15480" w:orient="portrait"/>
          <w:cols w:equalWidth="0" w:num="1">
            <w:col w:w="10120"/>
          </w:cols>
          <w:pgMar w:left="860" w:top="435" w:right="900" w:bottom="0" w:gutter="0" w:footer="0" w:header="0"/>
          <w:type w:val="continuous"/>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Represents adjustments utilized by our CODM in the evaluation of segment results.</w:t>
      </w:r>
    </w:p>
    <w:p>
      <w:pPr>
        <w:spacing w:after="0" w:line="126"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color w:val="auto"/>
        </w:rPr>
        <w:t>Includes our proportionate share of the depreciation and amortization expense (including write-downs related to cancelled projects and impairments) of unconsolidated entities.</w:t>
      </w:r>
    </w:p>
    <w:p>
      <w:pPr>
        <w:spacing w:after="0" w:line="6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18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color w:val="auto"/>
        </w:rPr>
        <w:t>F-62</w:t>
      </w:r>
    </w:p>
    <w:p>
      <w:pPr>
        <w:sectPr>
          <w:pgSz w:w="11880" w:h="15480" w:orient="portrait"/>
          <w:cols w:equalWidth="0" w:num="2">
            <w:col w:w="160" w:space="560"/>
            <w:col w:w="9400"/>
          </w:cols>
          <w:pgMar w:left="860" w:top="435" w:right="900" w:bottom="0" w:gutter="0" w:footer="0" w:header="0"/>
          <w:type w:val="continuous"/>
        </w:sectPr>
      </w:pPr>
    </w:p>
    <w:bookmarkStart w:id="166" w:name="page167"/>
    <w:bookmarkEnd w:id="166"/>
    <w:p>
      <w:pPr>
        <w:ind w:left="2219"/>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1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6" w:lineRule="exact"/>
        <w:rPr>
          <w:sz w:val="20"/>
          <w:szCs w:val="20"/>
          <w:color w:val="auto"/>
        </w:rPr>
      </w:pPr>
    </w:p>
    <w:p>
      <w:pPr>
        <w:ind w:left="719" w:right="20" w:hanging="719"/>
        <w:spacing w:after="0" w:line="241" w:lineRule="auto"/>
        <w:tabs>
          <w:tab w:leader="none" w:pos="719" w:val="left"/>
        </w:tabs>
        <w:numPr>
          <w:ilvl w:val="0"/>
          <w:numId w:val="1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96" w:lineRule="exact"/>
        <w:rPr>
          <w:rFonts w:ascii="Times New Roman" w:cs="Times New Roman" w:eastAsia="Times New Roman" w:hAnsi="Times New Roman"/>
          <w:sz w:val="26"/>
          <w:szCs w:val="26"/>
          <w:color w:val="auto"/>
          <w:vertAlign w:val="superscript"/>
        </w:rPr>
      </w:pPr>
    </w:p>
    <w:p>
      <w:pPr>
        <w:ind w:left="719" w:hanging="719"/>
        <w:spacing w:after="0" w:line="244" w:lineRule="auto"/>
        <w:tabs>
          <w:tab w:leader="none" w:pos="719" w:val="left"/>
        </w:tabs>
        <w:numPr>
          <w:ilvl w:val="0"/>
          <w:numId w:val="1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101" w:lineRule="exact"/>
        <w:rPr>
          <w:rFonts w:ascii="Times New Roman" w:cs="Times New Roman" w:eastAsia="Times New Roman" w:hAnsi="Times New Roman"/>
          <w:sz w:val="26"/>
          <w:szCs w:val="26"/>
          <w:color w:val="auto"/>
          <w:vertAlign w:val="superscript"/>
        </w:rPr>
      </w:pPr>
    </w:p>
    <w:p>
      <w:pPr>
        <w:ind w:left="719" w:right="20" w:hanging="719"/>
        <w:spacing w:after="0" w:line="241" w:lineRule="auto"/>
        <w:tabs>
          <w:tab w:leader="none" w:pos="719" w:val="left"/>
        </w:tabs>
        <w:numPr>
          <w:ilvl w:val="0"/>
          <w:numId w:val="1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settle in cash is not excluded in determining Segment Adjusted EBITDA. See Note 18 for information regarding our equity-indexed compensation plans.</w:t>
      </w:r>
    </w:p>
    <w:p>
      <w:pPr>
        <w:spacing w:after="0" w:line="96" w:lineRule="exact"/>
        <w:rPr>
          <w:rFonts w:ascii="Times New Roman" w:cs="Times New Roman" w:eastAsia="Times New Roman" w:hAnsi="Times New Roman"/>
          <w:sz w:val="26"/>
          <w:szCs w:val="26"/>
          <w:color w:val="auto"/>
          <w:vertAlign w:val="superscript"/>
        </w:rPr>
      </w:pPr>
    </w:p>
    <w:p>
      <w:pPr>
        <w:ind w:left="719" w:right="220" w:hanging="719"/>
        <w:spacing w:after="0" w:line="235" w:lineRule="auto"/>
        <w:tabs>
          <w:tab w:leader="none" w:pos="719" w:val="left"/>
        </w:tabs>
        <w:numPr>
          <w:ilvl w:val="0"/>
          <w:numId w:val="1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100" w:lineRule="exact"/>
        <w:rPr>
          <w:rFonts w:ascii="Times New Roman" w:cs="Times New Roman" w:eastAsia="Times New Roman" w:hAnsi="Times New Roman"/>
          <w:sz w:val="26"/>
          <w:szCs w:val="26"/>
          <w:color w:val="auto"/>
          <w:vertAlign w:val="superscript"/>
        </w:rPr>
      </w:pPr>
    </w:p>
    <w:p>
      <w:pPr>
        <w:ind w:left="719" w:right="40" w:hanging="719"/>
        <w:spacing w:after="0" w:line="232" w:lineRule="auto"/>
        <w:tabs>
          <w:tab w:leader="none" w:pos="719" w:val="left"/>
        </w:tabs>
        <w:numPr>
          <w:ilvl w:val="0"/>
          <w:numId w:val="1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costs recognized during the period related to the Line 901 incident that occurred in May 2015, net of amounts we believe are probable of recovery from insurance. See Note 19 for additional information regarding the Line 901 incident.</w:t>
      </w:r>
    </w:p>
    <w:p>
      <w:pPr>
        <w:spacing w:after="0" w:line="97" w:lineRule="exact"/>
        <w:rPr>
          <w:rFonts w:ascii="Times New Roman" w:cs="Times New Roman" w:eastAsia="Times New Roman" w:hAnsi="Times New Roman"/>
          <w:sz w:val="26"/>
          <w:szCs w:val="26"/>
          <w:color w:val="auto"/>
          <w:vertAlign w:val="superscript"/>
        </w:rPr>
      </w:pPr>
    </w:p>
    <w:p>
      <w:pPr>
        <w:ind w:left="719" w:right="240" w:hanging="719"/>
        <w:spacing w:after="0" w:line="235" w:lineRule="auto"/>
        <w:tabs>
          <w:tab w:leader="none" w:pos="719" w:val="left"/>
        </w:tabs>
        <w:numPr>
          <w:ilvl w:val="0"/>
          <w:numId w:val="1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expenses associated with the Permian JV transaction in 2021 and the Felix Midstream LLC acquisition in 2020. See Note 7 for additional discussion. An adjustment for these non-recurring expenses is included in the calculation of Segment Adjusted EBITDA for the years ended December 31, 2021 and 2020 as our CODM does not view such expenses as integral to understanding our core segment operating performance.</w:t>
      </w:r>
    </w:p>
    <w:p>
      <w:pPr>
        <w:spacing w:after="0" w:line="100" w:lineRule="exact"/>
        <w:rPr>
          <w:rFonts w:ascii="Times New Roman" w:cs="Times New Roman" w:eastAsia="Times New Roman" w:hAnsi="Times New Roman"/>
          <w:sz w:val="26"/>
          <w:szCs w:val="26"/>
          <w:color w:val="auto"/>
          <w:vertAlign w:val="superscript"/>
        </w:rPr>
      </w:pPr>
    </w:p>
    <w:p>
      <w:pPr>
        <w:ind w:left="719" w:right="580" w:hanging="719"/>
        <w:spacing w:after="0" w:line="225" w:lineRule="auto"/>
        <w:tabs>
          <w:tab w:leader="none" w:pos="719" w:val="left"/>
        </w:tabs>
        <w:numPr>
          <w:ilvl w:val="0"/>
          <w:numId w:val="1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Reflects amounts attributable to noncontrolling interests in the Permian JV (beginning October 2021), Cactus II (beginning November 2022) and Red River.</w:t>
      </w:r>
    </w:p>
    <w:p>
      <w:pPr>
        <w:sectPr>
          <w:pgSz w:w="11880" w:h="15480" w:orient="portrait"/>
          <w:cols w:equalWidth="0" w:num="1">
            <w:col w:w="10139"/>
          </w:cols>
          <w:pgMar w:left="861" w:top="43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9"/>
          <w:szCs w:val="19"/>
          <w:color w:val="auto"/>
        </w:rPr>
        <w:t>F-63</w:t>
      </w:r>
    </w:p>
    <w:p>
      <w:pPr>
        <w:sectPr>
          <w:pgSz w:w="11880" w:h="15480" w:orient="portrait"/>
          <w:cols w:equalWidth="0" w:num="1">
            <w:col w:w="10139"/>
          </w:cols>
          <w:pgMar w:left="861" w:top="435" w:right="880" w:bottom="0" w:gutter="0" w:footer="0" w:header="0"/>
          <w:type w:val="continuous"/>
        </w:sectPr>
      </w:pPr>
    </w:p>
    <w:bookmarkStart w:id="167" w:name="page168"/>
    <w:bookmarkEnd w:id="167"/>
    <w:p>
      <w:pPr>
        <w:ind w:left="2220"/>
        <w:spacing w:after="0"/>
        <w:rPr>
          <w:sz w:val="20"/>
          <w:szCs w:val="20"/>
          <w:color w:val="auto"/>
        </w:rPr>
      </w:pPr>
      <w:r>
        <w:rPr>
          <w:rFonts w:ascii="Times New Roman" w:cs="Times New Roman" w:eastAsia="Times New Roman" w:hAnsi="Times New Roman"/>
          <w:sz w:val="20"/>
          <w:szCs w:val="20"/>
          <w:b w:val="1"/>
          <w:bCs w:val="1"/>
          <w:color w:val="auto"/>
        </w:rPr>
        <w:t>PLAINS ALL AMERICAN PIPELINE, L.P. AND SUBSIDIARIES</w:t>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Geographic Data</w:t>
      </w:r>
    </w:p>
    <w:p>
      <w:pPr>
        <w:spacing w:after="0" w:line="253" w:lineRule="exact"/>
        <w:rPr>
          <w:sz w:val="20"/>
          <w:szCs w:val="20"/>
          <w:color w:val="auto"/>
        </w:rPr>
      </w:pPr>
    </w:p>
    <w:p>
      <w:pPr>
        <w:ind w:right="60" w:firstLine="713"/>
        <w:spacing w:after="0" w:line="278" w:lineRule="auto"/>
        <w:rPr>
          <w:sz w:val="20"/>
          <w:szCs w:val="20"/>
          <w:color w:val="auto"/>
        </w:rPr>
      </w:pPr>
      <w:r>
        <w:rPr>
          <w:rFonts w:ascii="Times New Roman" w:cs="Times New Roman" w:eastAsia="Times New Roman" w:hAnsi="Times New Roman"/>
          <w:sz w:val="20"/>
          <w:szCs w:val="20"/>
          <w:color w:val="auto"/>
        </w:rPr>
        <w:t>We have operations in the United States and Canada. Set forth below are revenues and long-lived assets attributable to these geographic areas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3"/>
        </w:trPr>
        <w:tc>
          <w:tcPr>
            <w:tcW w:w="6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Revenues </w:t>
            </w:r>
            <w:r>
              <w:rPr>
                <w:rFonts w:ascii="Times New Roman" w:cs="Times New Roman" w:eastAsia="Times New Roman" w:hAnsi="Times New Roman"/>
                <w:sz w:val="20"/>
                <w:szCs w:val="20"/>
                <w:b w:val="1"/>
                <w:bCs w:val="1"/>
                <w:color w:val="auto"/>
                <w:vertAlign w:val="superscript"/>
              </w:rPr>
              <w:t>(1)</w:t>
            </w:r>
          </w:p>
        </w:tc>
        <w:tc>
          <w:tcPr>
            <w:tcW w:w="6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7"/>
        </w:trPr>
        <w:tc>
          <w:tcPr>
            <w:tcW w:w="60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38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46,903</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34,458</w:t>
            </w:r>
          </w:p>
        </w:tc>
        <w:tc>
          <w:tcPr>
            <w:tcW w:w="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17,942</w:t>
            </w:r>
          </w:p>
        </w:tc>
      </w:tr>
      <w:tr>
        <w:trPr>
          <w:trHeight w:val="287"/>
        </w:trPr>
        <w:tc>
          <w:tcPr>
            <w:tcW w:w="6060" w:type="dxa"/>
            <w:vAlign w:val="bottom"/>
            <w:tcBorders>
              <w:bottom w:val="single" w:sz="8" w:color="E6E6E6"/>
            </w:tcBorders>
            <w:gridSpan w:val="2"/>
          </w:tcPr>
          <w:p>
            <w:pPr>
              <w:ind w:left="60"/>
              <w:spacing w:after="0"/>
              <w:rPr>
                <w:sz w:val="20"/>
                <w:szCs w:val="20"/>
                <w:color w:val="auto"/>
              </w:rPr>
            </w:pPr>
            <w:r>
              <w:rPr>
                <w:rFonts w:ascii="Times New Roman" w:cs="Times New Roman" w:eastAsia="Times New Roman" w:hAnsi="Times New Roman"/>
                <w:sz w:val="20"/>
                <w:szCs w:val="20"/>
                <w:color w:val="auto"/>
              </w:rPr>
              <w:t>Canada</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10,439</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7,620</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5,348</w:t>
            </w:r>
          </w:p>
        </w:tc>
      </w:tr>
      <w:tr>
        <w:trPr>
          <w:trHeight w:val="297"/>
        </w:trPr>
        <w:tc>
          <w:tcPr>
            <w:tcW w:w="3500" w:type="dxa"/>
            <w:vAlign w:val="bottom"/>
            <w:shd w:val="clear" w:color="auto" w:fill="E6E6E6"/>
          </w:tcPr>
          <w:p>
            <w:pPr>
              <w:spacing w:after="0"/>
              <w:rPr>
                <w:sz w:val="24"/>
                <w:szCs w:val="24"/>
                <w:color w:val="auto"/>
              </w:rPr>
            </w:pPr>
          </w:p>
        </w:tc>
        <w:tc>
          <w:tcPr>
            <w:tcW w:w="2560" w:type="dxa"/>
            <w:vAlign w:val="bottom"/>
            <w:shd w:val="clear" w:color="auto" w:fill="E6E6E6"/>
          </w:tcPr>
          <w:p>
            <w:pPr>
              <w:spacing w:after="0"/>
              <w:rPr>
                <w:sz w:val="24"/>
                <w:szCs w:val="24"/>
                <w:color w:val="auto"/>
              </w:rPr>
            </w:pPr>
          </w:p>
        </w:tc>
        <w:tc>
          <w:tcPr>
            <w:tcW w:w="38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57,342</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42,078</w:t>
            </w:r>
          </w:p>
        </w:tc>
        <w:tc>
          <w:tcPr>
            <w:tcW w:w="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23,290</w:t>
            </w:r>
          </w:p>
        </w:tc>
      </w:tr>
      <w:tr>
        <w:trPr>
          <w:trHeight w:val="134"/>
        </w:trPr>
        <w:tc>
          <w:tcPr>
            <w:tcW w:w="3500" w:type="dxa"/>
            <w:vAlign w:val="bottom"/>
            <w:tcBorders>
              <w:top w:val="single" w:sz="8" w:color="E6E6E6"/>
              <w:bottom w:val="single" w:sz="8" w:color="auto"/>
            </w:tcBorders>
          </w:tcPr>
          <w:p>
            <w:pPr>
              <w:spacing w:after="0"/>
              <w:rPr>
                <w:sz w:val="11"/>
                <w:szCs w:val="11"/>
                <w:color w:val="auto"/>
              </w:rPr>
            </w:pPr>
          </w:p>
        </w:tc>
        <w:tc>
          <w:tcPr>
            <w:tcW w:w="2560" w:type="dxa"/>
            <w:vAlign w:val="bottom"/>
            <w:tcBorders>
              <w:top w:val="single" w:sz="8" w:color="E6E6E6"/>
            </w:tcBorders>
          </w:tcPr>
          <w:p>
            <w:pPr>
              <w:spacing w:after="0"/>
              <w:rPr>
                <w:sz w:val="11"/>
                <w:szCs w:val="11"/>
                <w:color w:val="auto"/>
              </w:rPr>
            </w:pPr>
          </w:p>
        </w:tc>
        <w:tc>
          <w:tcPr>
            <w:tcW w:w="60" w:type="dxa"/>
            <w:vAlign w:val="bottom"/>
            <w:tcBorders>
              <w:top w:val="single" w:sz="8" w:color="E6E6E6"/>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-706755</wp:posOffset>
            </wp:positionV>
            <wp:extent cx="6490970" cy="501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16">
                      <a:extLst>
                        <a:ext uri="{28A0092B-C50C-407E-A947-70E740481C1C}"/>
                      </a:extLst>
                    </a:blip>
                    <a:srcRect/>
                    <a:stretch>
                      <a:fillRect/>
                    </a:stretch>
                  </pic:blipFill>
                  <pic:spPr bwMode="auto">
                    <a:xfrm>
                      <a:off x="0" y="0"/>
                      <a:ext cx="649097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-329565</wp:posOffset>
            </wp:positionV>
            <wp:extent cx="2606040" cy="501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17">
                      <a:extLst>
                        <a:ext uri="{28A0092B-C50C-407E-A947-70E740481C1C}"/>
                      </a:extLst>
                    </a:blip>
                    <a:srcRect/>
                    <a:stretch>
                      <a:fillRect/>
                    </a:stretch>
                  </pic:blipFill>
                  <pic:spPr bwMode="auto">
                    <a:xfrm>
                      <a:off x="0" y="0"/>
                      <a:ext cx="2606040" cy="5016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-153670</wp:posOffset>
            </wp:positionV>
            <wp:extent cx="2606040" cy="755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18">
                      <a:extLst>
                        <a:ext uri="{28A0092B-C50C-407E-A947-70E740481C1C}"/>
                      </a:extLst>
                    </a:blip>
                    <a:srcRect/>
                    <a:stretch>
                      <a:fillRect/>
                    </a:stretch>
                  </pic:blipFill>
                  <pic:spPr bwMode="auto">
                    <a:xfrm>
                      <a:off x="0" y="0"/>
                      <a:ext cx="2606040" cy="75565"/>
                    </a:xfrm>
                    <a:prstGeom prst="rect">
                      <a:avLst/>
                    </a:prstGeom>
                    <a:noFill/>
                  </pic:spPr>
                </pic:pic>
              </a:graphicData>
            </a:graphic>
          </wp:anchor>
        </w:drawing>
      </w:r>
    </w:p>
    <w:p>
      <w:pPr>
        <w:spacing w:after="0" w:line="86" w:lineRule="exact"/>
        <w:rPr>
          <w:sz w:val="20"/>
          <w:szCs w:val="20"/>
          <w:color w:val="auto"/>
        </w:rPr>
      </w:pPr>
    </w:p>
    <w:p>
      <w:pPr>
        <w:ind w:left="720" w:hanging="719"/>
        <w:spacing w:after="0"/>
        <w:tabs>
          <w:tab w:leader="none" w:pos="720" w:val="left"/>
        </w:tabs>
        <w:numPr>
          <w:ilvl w:val="0"/>
          <w:numId w:val="1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Revenues are primarily attributed to each region based on where the services are provided or the product is shipped.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r>
      <w:tr>
        <w:trPr>
          <w:trHeight w:val="233"/>
        </w:trPr>
        <w:tc>
          <w:tcPr>
            <w:tcW w:w="7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Long-Lived Assets </w:t>
            </w:r>
            <w:r>
              <w:rPr>
                <w:rFonts w:ascii="Times New Roman" w:cs="Times New Roman" w:eastAsia="Times New Roman" w:hAnsi="Times New Roman"/>
                <w:sz w:val="20"/>
                <w:szCs w:val="20"/>
                <w:b w:val="1"/>
                <w:bCs w:val="1"/>
                <w:color w:val="auto"/>
                <w:vertAlign w:val="superscript"/>
              </w:rPr>
              <w:t>(1)</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87"/>
        </w:trPr>
        <w:tc>
          <w:tcPr>
            <w:tcW w:w="74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18,655</w:t>
            </w:r>
          </w:p>
        </w:tc>
        <w:tc>
          <w:tcPr>
            <w:tcW w:w="54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18,273</w:t>
            </w:r>
          </w:p>
        </w:tc>
      </w:tr>
      <w:tr>
        <w:trPr>
          <w:trHeight w:val="287"/>
        </w:trPr>
        <w:tc>
          <w:tcPr>
            <w:tcW w:w="7420" w:type="dxa"/>
            <w:vAlign w:val="bottom"/>
            <w:tcBorders>
              <w:bottom w:val="single" w:sz="8" w:color="E6E6E6"/>
            </w:tcBorders>
            <w:gridSpan w:val="2"/>
          </w:tcPr>
          <w:p>
            <w:pPr>
              <w:ind w:left="60"/>
              <w:spacing w:after="0"/>
              <w:rPr>
                <w:sz w:val="20"/>
                <w:szCs w:val="20"/>
                <w:color w:val="auto"/>
              </w:rPr>
            </w:pPr>
            <w:r>
              <w:rPr>
                <w:rFonts w:ascii="Times New Roman" w:cs="Times New Roman" w:eastAsia="Times New Roman" w:hAnsi="Times New Roman"/>
                <w:sz w:val="20"/>
                <w:szCs w:val="20"/>
                <w:color w:val="auto"/>
              </w:rPr>
              <w:t>Canada</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3,802</w:t>
            </w:r>
          </w:p>
        </w:tc>
        <w:tc>
          <w:tcPr>
            <w:tcW w:w="8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4,094</w:t>
            </w:r>
          </w:p>
        </w:tc>
      </w:tr>
      <w:tr>
        <w:trPr>
          <w:trHeight w:val="297"/>
        </w:trPr>
        <w:tc>
          <w:tcPr>
            <w:tcW w:w="3500" w:type="dxa"/>
            <w:vAlign w:val="bottom"/>
            <w:shd w:val="clear" w:color="auto" w:fill="E6E6E6"/>
          </w:tcPr>
          <w:p>
            <w:pPr>
              <w:spacing w:after="0"/>
              <w:rPr>
                <w:sz w:val="24"/>
                <w:szCs w:val="24"/>
                <w:color w:val="auto"/>
              </w:rPr>
            </w:pPr>
          </w:p>
        </w:tc>
        <w:tc>
          <w:tcPr>
            <w:tcW w:w="3920" w:type="dxa"/>
            <w:vAlign w:val="bottom"/>
            <w:shd w:val="clear" w:color="auto" w:fill="E6E6E6"/>
          </w:tcPr>
          <w:p>
            <w:pPr>
              <w:spacing w:after="0"/>
              <w:rPr>
                <w:sz w:val="24"/>
                <w:szCs w:val="24"/>
                <w:color w:val="auto"/>
              </w:rPr>
            </w:pPr>
          </w:p>
        </w:tc>
        <w:tc>
          <w:tcPr>
            <w:tcW w:w="4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22,457</w:t>
            </w:r>
          </w:p>
        </w:tc>
        <w:tc>
          <w:tcPr>
            <w:tcW w:w="540" w:type="dxa"/>
            <w:vAlign w:val="bottom"/>
            <w:gridSpan w:val="2"/>
            <w:shd w:val="clear" w:color="auto" w:fill="E6E6E6"/>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22,367</w:t>
            </w:r>
          </w:p>
        </w:tc>
      </w:tr>
      <w:tr>
        <w:trPr>
          <w:trHeight w:val="134"/>
        </w:trPr>
        <w:tc>
          <w:tcPr>
            <w:tcW w:w="3500" w:type="dxa"/>
            <w:vAlign w:val="bottom"/>
            <w:tcBorders>
              <w:top w:val="single" w:sz="8" w:color="E6E6E6"/>
              <w:bottom w:val="single" w:sz="8" w:color="auto"/>
            </w:tcBorders>
          </w:tcPr>
          <w:p>
            <w:pPr>
              <w:spacing w:after="0"/>
              <w:rPr>
                <w:sz w:val="11"/>
                <w:szCs w:val="11"/>
                <w:color w:val="auto"/>
              </w:rPr>
            </w:pPr>
          </w:p>
        </w:tc>
        <w:tc>
          <w:tcPr>
            <w:tcW w:w="3920" w:type="dxa"/>
            <w:vAlign w:val="bottom"/>
            <w:tcBorders>
              <w:top w:val="single" w:sz="8" w:color="E6E6E6"/>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E6E6E6"/>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-706755</wp:posOffset>
            </wp:positionV>
            <wp:extent cx="6490970" cy="501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19">
                      <a:extLst>
                        <a:ext uri="{28A0092B-C50C-407E-A947-70E740481C1C}"/>
                      </a:extLst>
                    </a:blip>
                    <a:srcRect/>
                    <a:stretch>
                      <a:fillRect/>
                    </a:stretch>
                  </pic:blipFill>
                  <pic:spPr bwMode="auto">
                    <a:xfrm>
                      <a:off x="0" y="0"/>
                      <a:ext cx="6490970"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-329565</wp:posOffset>
            </wp:positionV>
            <wp:extent cx="1737995" cy="501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20">
                      <a:extLst>
                        <a:ext uri="{28A0092B-C50C-407E-A947-70E740481C1C}"/>
                      </a:extLst>
                    </a:blip>
                    <a:srcRect/>
                    <a:stretch>
                      <a:fillRect/>
                    </a:stretch>
                  </pic:blipFill>
                  <pic:spPr bwMode="auto">
                    <a:xfrm>
                      <a:off x="0" y="0"/>
                      <a:ext cx="1737995" cy="5016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-153670</wp:posOffset>
            </wp:positionV>
            <wp:extent cx="1737995" cy="755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21">
                      <a:extLst>
                        <a:ext uri="{28A0092B-C50C-407E-A947-70E740481C1C}"/>
                      </a:extLst>
                    </a:blip>
                    <a:srcRect/>
                    <a:stretch>
                      <a:fillRect/>
                    </a:stretch>
                  </pic:blipFill>
                  <pic:spPr bwMode="auto">
                    <a:xfrm>
                      <a:off x="0" y="0"/>
                      <a:ext cx="1737995" cy="75565"/>
                    </a:xfrm>
                    <a:prstGeom prst="rect">
                      <a:avLst/>
                    </a:prstGeom>
                    <a:noFill/>
                  </pic:spPr>
                </pic:pic>
              </a:graphicData>
            </a:graphic>
          </wp:anchor>
        </w:drawing>
      </w:r>
    </w:p>
    <w:p>
      <w:pPr>
        <w:spacing w:after="0" w:line="86" w:lineRule="exact"/>
        <w:rPr>
          <w:sz w:val="20"/>
          <w:szCs w:val="20"/>
          <w:color w:val="auto"/>
        </w:rPr>
      </w:pPr>
    </w:p>
    <w:p>
      <w:pPr>
        <w:ind w:left="720" w:hanging="719"/>
        <w:spacing w:after="0"/>
        <w:tabs>
          <w:tab w:leader="none" w:pos="720" w:val="left"/>
        </w:tabs>
        <w:numPr>
          <w:ilvl w:val="0"/>
          <w:numId w:val="1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Excludes long-term derivative assets and long-term deferred tax assets.</w:t>
      </w:r>
    </w:p>
    <w:p>
      <w:pPr>
        <w:sectPr>
          <w:pgSz w:w="11880" w:h="15480" w:orient="portrait"/>
          <w:cols w:equalWidth="0" w:num="1">
            <w:col w:w="10160"/>
          </w:cols>
          <w:pgMar w:left="860" w:top="4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F-64</w:t>
      </w:r>
    </w:p>
    <w:sectPr>
      <w:pgSz w:w="11880" w:h="15480" w:orient="portrait"/>
      <w:cols w:equalWidth="0" w:num="1">
        <w:col w:w="10160"/>
      </w:cols>
      <w:pgMar w:left="860" w:top="435" w:right="86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1)"/>
      <w:numFmt w:val="lowerRoman"/>
      <w:start w:val="2"/>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1)"/>
      <w:numFmt w:val="lowerRoman"/>
      <w:start w:val="3"/>
    </w:lvl>
  </w:abstractNum>
  <w:abstractNum w:abstractNumId="19">
    <w:nsid w:val="1F48EAA1"/>
    <w:multiLevelType w:val="hybridMultilevel"/>
    <w:lvl w:ilvl="0">
      <w:lvlJc w:val="left"/>
      <w:lvlText w:val="(%1)"/>
      <w:numFmt w:val="decimal"/>
      <w:start w:val="1"/>
    </w:lvl>
  </w:abstractNum>
  <w:abstractNum w:abstractNumId="20">
    <w:nsid w:val="1381823A"/>
    <w:multiLevelType w:val="hybridMultilevel"/>
    <w:lvl w:ilvl="0">
      <w:lvlJc w:val="left"/>
      <w:lvlText w:val="(%1)"/>
      <w:numFmt w:val="decimal"/>
      <w:start w:val="2"/>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decimal"/>
      <w:start w:val="7"/>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1)"/>
      <w:numFmt w:val="lowerRoman"/>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1)"/>
      <w:numFmt w:val="decimal"/>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1"/>
      <w:numFmt w:val="upperLetter"/>
      <w:start w:val="35"/>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1)"/>
      <w:numFmt w:val="decimal"/>
      <w:start w:val="2"/>
    </w:lvl>
  </w:abstractNum>
  <w:abstractNum w:abstractNumId="47">
    <w:nsid w:val="60B6DF70"/>
    <w:multiLevelType w:val="hybridMultilevel"/>
    <w:lvl w:ilvl="0">
      <w:lvlJc w:val="left"/>
      <w:lvlText w:val="(%1)"/>
      <w:numFmt w:val="decimal"/>
      <w:start w:val="8"/>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1)"/>
      <w:numFmt w:val="decimal"/>
      <w:start w:val="3"/>
    </w:lvl>
  </w:abstractNum>
  <w:abstractNum w:abstractNumId="53">
    <w:nsid w:val="100F59DC"/>
    <w:multiLevelType w:val="hybridMultilevel"/>
    <w:lvl w:ilvl="0">
      <w:lvlJc w:val="left"/>
      <w:lvlText w:val="(%1)"/>
      <w:numFmt w:val="lowerRoman"/>
      <w:start w:val="5"/>
    </w:lvl>
  </w:abstractNum>
  <w:abstractNum w:abstractNumId="54">
    <w:nsid w:val="7FB7E0AA"/>
    <w:multiLevelType w:val="hybridMultilevel"/>
    <w:lvl w:ilvl="0">
      <w:lvlJc w:val="left"/>
      <w:lvlText w:val="(%1)"/>
      <w:numFmt w:val="decimal"/>
      <w:start w:val="3"/>
    </w:lvl>
  </w:abstractNum>
  <w:abstractNum w:abstractNumId="55">
    <w:nsid w:val="6EB5BD4"/>
    <w:multiLevelType w:val="hybridMultilevel"/>
    <w:lvl w:ilvl="0">
      <w:lvlJc w:val="left"/>
      <w:lvlText w:val="(%1)"/>
      <w:numFmt w:val="decimal"/>
      <w:start w:val="2"/>
    </w:lvl>
  </w:abstractNum>
  <w:abstractNum w:abstractNumId="56">
    <w:nsid w:val="6F6DD9AC"/>
    <w:multiLevelType w:val="hybridMultilevel"/>
    <w:lvl w:ilvl="0">
      <w:lvlJc w:val="left"/>
      <w:lvlText w:val="(%1)"/>
      <w:numFmt w:val="decimal"/>
      <w:start w:val="3"/>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1)"/>
      <w:numFmt w:val="lowerRoman"/>
      <w:start w:val="2"/>
    </w:lvl>
  </w:abstractNum>
  <w:abstractNum w:abstractNumId="60">
    <w:nsid w:val="4C04A8AF"/>
    <w:multiLevelType w:val="hybridMultilevel"/>
    <w:lvl w:ilvl="0">
      <w:lvlJc w:val="left"/>
      <w:lvlText w:val="(%1)"/>
      <w:numFmt w:val="decimal"/>
      <w:start w:val="1"/>
    </w:lvl>
  </w:abstractNum>
  <w:abstractNum w:abstractNumId="61">
    <w:nsid w:val="1716703B"/>
    <w:multiLevelType w:val="hybridMultilevel"/>
    <w:lvl w:ilvl="0">
      <w:lvlJc w:val="left"/>
      <w:lvlText w:val="(%1)"/>
      <w:numFmt w:val="lowerRoman"/>
      <w:start w:val="3"/>
    </w:lvl>
  </w:abstractNum>
  <w:abstractNum w:abstractNumId="62">
    <w:nsid w:val="14E17E33"/>
    <w:multiLevelType w:val="hybridMultilevel"/>
    <w:lvl w:ilvl="0">
      <w:lvlJc w:val="left"/>
      <w:lvlText w:val="%1"/>
      <w:numFmt w:val="upperLetter"/>
      <w:start w:val="35"/>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1)"/>
      <w:numFmt w:val="lowerLetter"/>
      <w:start w:val="1"/>
    </w:lvl>
  </w:abstractNum>
  <w:abstractNum w:abstractNumId="68">
    <w:nsid w:val="4A2AC315"/>
    <w:multiLevelType w:val="hybridMultilevel"/>
    <w:lvl w:ilvl="0">
      <w:lvlJc w:val="left"/>
      <w:lvlText w:val="(%1)"/>
      <w:numFmt w:val="decimal"/>
      <w:start w:val="2"/>
    </w:lvl>
  </w:abstractNum>
  <w:abstractNum w:abstractNumId="69">
    <w:nsid w:val="39EE015C"/>
    <w:multiLevelType w:val="hybridMultilevel"/>
    <w:lvl w:ilvl="0">
      <w:lvlJc w:val="left"/>
      <w:lvlText w:val="(%1)"/>
      <w:numFmt w:val="decimal"/>
      <w:start w:val="3"/>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1."/>
      <w:numFmt w:val="decimal"/>
      <w:start w:val="1"/>
    </w:lvl>
  </w:abstractNum>
  <w:abstractNum w:abstractNumId="75">
    <w:nsid w:val="7F01579B"/>
    <w:multiLevelType w:val="hybridMultilevel"/>
    <w:lvl w:ilvl="0">
      <w:lvlJc w:val="left"/>
      <w:lvlText w:val="(%1)"/>
      <w:numFmt w:val="lowerRoman"/>
      <w:start w:val="1"/>
    </w:lvl>
  </w:abstractNum>
  <w:abstractNum w:abstractNumId="76">
    <w:nsid w:val="49DA307D"/>
    <w:multiLevelType w:val="hybridMultilevel"/>
    <w:lvl w:ilvl="0">
      <w:lvlJc w:val="left"/>
      <w:lvlText w:val="(%1)"/>
      <w:numFmt w:val="lowerRoman"/>
      <w:start w:val="4"/>
    </w:lvl>
  </w:abstractNum>
  <w:abstractNum w:abstractNumId="77">
    <w:nsid w:val="7055A5F5"/>
    <w:multiLevelType w:val="hybridMultilevel"/>
    <w:lvl w:ilvl="0">
      <w:lvlJc w:val="left"/>
      <w:lvlText w:val="(%1)"/>
      <w:numFmt w:val="lowerRoman"/>
      <w:start w:val="3"/>
    </w:lvl>
  </w:abstractNum>
  <w:abstractNum w:abstractNumId="78">
    <w:nsid w:val="5FB8370B"/>
    <w:multiLevelType w:val="hybridMultilevel"/>
    <w:lvl w:ilvl="0">
      <w:lvlJc w:val="left"/>
      <w:lvlText w:val="(%1)"/>
      <w:numFmt w:val="decimal"/>
      <w:start w:val="1"/>
    </w:lvl>
  </w:abstractNum>
  <w:abstractNum w:abstractNumId="79">
    <w:nsid w:val="50801EE1"/>
    <w:multiLevelType w:val="hybridMultilevel"/>
    <w:lvl w:ilvl="0">
      <w:lvlJc w:val="left"/>
      <w:lvlText w:val="(%1)"/>
      <w:numFmt w:val="lowerRoman"/>
      <w:start w:val="6"/>
    </w:lvl>
  </w:abstractNum>
  <w:abstractNum w:abstractNumId="80">
    <w:nsid w:val="488AC1A"/>
    <w:multiLevelType w:val="hybridMultilevel"/>
    <w:lvl w:ilvl="0">
      <w:lvlJc w:val="left"/>
      <w:lvlText w:val="(%1)"/>
      <w:numFmt w:val="decimal"/>
      <w:start w:val="1"/>
    </w:lvl>
  </w:abstractNum>
  <w:abstractNum w:abstractNumId="81">
    <w:nsid w:val="5FB8011C"/>
    <w:multiLevelType w:val="hybridMultilevel"/>
    <w:lvl w:ilvl="0">
      <w:lvlJc w:val="left"/>
      <w:lvlText w:val="(%1)"/>
      <w:numFmt w:val="decimal"/>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1)"/>
      <w:numFmt w:val="decimal"/>
      <w:start w:val="1"/>
    </w:lvl>
  </w:abstractNum>
  <w:abstractNum w:abstractNumId="84">
    <w:nsid w:val="6FC75AF8"/>
    <w:multiLevelType w:val="hybridMultilevel"/>
    <w:lvl w:ilvl="0">
      <w:lvlJc w:val="left"/>
      <w:lvlText w:val="(%1)"/>
      <w:numFmt w:val="decimal"/>
      <w:start w:val="1"/>
    </w:lvl>
  </w:abstractNum>
  <w:abstractNum w:abstractNumId="85">
    <w:nsid w:val="6A5F7029"/>
    <w:multiLevelType w:val="hybridMultilevel"/>
    <w:lvl w:ilvl="0">
      <w:lvlJc w:val="left"/>
      <w:lvlText w:val="(%1)"/>
      <w:numFmt w:val="decimal"/>
      <w:start w:val="1"/>
    </w:lvl>
  </w:abstractNum>
  <w:abstractNum w:abstractNumId="86">
    <w:nsid w:val="7D5E18F8"/>
    <w:multiLevelType w:val="hybridMultilevel"/>
    <w:lvl w:ilvl="0">
      <w:lvlJc w:val="left"/>
      <w:lvlText w:val="(%1)"/>
      <w:numFmt w:val="decimal"/>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1)"/>
      <w:numFmt w:val="decimal"/>
      <w:start w:val="5"/>
    </w:lvl>
  </w:abstractNum>
  <w:abstractNum w:abstractNumId="91">
    <w:nsid w:val="3FA62ACA"/>
    <w:multiLevelType w:val="hybridMultilevel"/>
    <w:lvl w:ilvl="0">
      <w:lvlJc w:val="left"/>
      <w:lvlText w:val="(%1)"/>
      <w:numFmt w:val="decimal"/>
      <w:start w:val="1"/>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
      <w:numFmt w:val="bullet"/>
      <w:start w:val="1"/>
    </w:lvl>
  </w:abstractNum>
  <w:abstractNum w:abstractNumId="94">
    <w:nsid w:val="71C91298"/>
    <w:multiLevelType w:val="hybridMultilevel"/>
    <w:lvl w:ilvl="0">
      <w:lvlJc w:val="left"/>
      <w:lvlText w:val="(%1)"/>
      <w:numFmt w:val="decimal"/>
      <w:start w:val="1"/>
    </w:lvl>
  </w:abstractNum>
  <w:abstractNum w:abstractNumId="95">
    <w:nsid w:val="9DAF632"/>
    <w:multiLevelType w:val="hybridMultilevel"/>
    <w:lvl w:ilvl="0">
      <w:lvlJc w:val="left"/>
      <w:lvlText w:val="(%1)"/>
      <w:numFmt w:val="lowerRoman"/>
      <w:start w:val="2"/>
    </w:lvl>
  </w:abstractNum>
  <w:abstractNum w:abstractNumId="96">
    <w:nsid w:val="53299938"/>
    <w:multiLevelType w:val="hybridMultilevel"/>
    <w:lvl w:ilvl="0">
      <w:lvlJc w:val="left"/>
      <w:lvlText w:val="•"/>
      <w:numFmt w:val="bullet"/>
      <w:start w:val="1"/>
    </w:lvl>
  </w:abstractNum>
  <w:abstractNum w:abstractNumId="97">
    <w:nsid w:val="1FBFE8E0"/>
    <w:multiLevelType w:val="hybridMultilevel"/>
    <w:lvl w:ilvl="0">
      <w:lvlJc w:val="left"/>
      <w:lvlText w:val="(%1)"/>
      <w:numFmt w:val="decimal"/>
      <w:start w:val="1"/>
    </w:lvl>
  </w:abstractNum>
  <w:abstractNum w:abstractNumId="98">
    <w:nsid w:val="5092CA79"/>
    <w:multiLevelType w:val="hybridMultilevel"/>
    <w:lvl w:ilvl="0">
      <w:lvlJc w:val="left"/>
      <w:lvlText w:val="(%1)"/>
      <w:numFmt w:val="decimal"/>
      <w:start w:val="1"/>
    </w:lvl>
  </w:abstractNum>
  <w:abstractNum w:abstractNumId="99">
    <w:nsid w:val="1D545C4D"/>
    <w:multiLevelType w:val="hybridMultilevel"/>
    <w:lvl w:ilvl="0">
      <w:lvlJc w:val="left"/>
      <w:lvlText w:val="(%1)"/>
      <w:numFmt w:val="decimal"/>
      <w:start w:val="1"/>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decimal"/>
      <w:start w:val="1"/>
    </w:lvl>
  </w:abstractNum>
  <w:abstractNum w:abstractNumId="103">
    <w:nsid w:val="1D9F6E5F"/>
    <w:multiLevelType w:val="hybridMultilevel"/>
    <w:lvl w:ilvl="0">
      <w:lvlJc w:val="left"/>
      <w:lvlText w:val="•"/>
      <w:numFmt w:val="bullet"/>
      <w:start w:val="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1)"/>
      <w:numFmt w:val="decimal"/>
      <w:start w:val="1"/>
    </w:lvl>
  </w:abstractNum>
  <w:abstractNum w:abstractNumId="107">
    <w:nsid w:val="53584BCB"/>
    <w:multiLevelType w:val="hybridMultilevel"/>
    <w:lvl w:ilvl="0">
      <w:lvlJc w:val="left"/>
      <w:lvlText w:val="(%1)"/>
      <w:numFmt w:val="decimal"/>
      <w:start w:val="1"/>
    </w:lvl>
  </w:abstractNum>
  <w:abstractNum w:abstractNumId="108">
    <w:nsid w:val="415E286C"/>
    <w:multiLevelType w:val="hybridMultilevel"/>
    <w:lvl w:ilvl="0">
      <w:lvlJc w:val="left"/>
      <w:lvlText w:val="(%1)"/>
      <w:numFmt w:val="decimal"/>
      <w:start w:val="2"/>
    </w:lvl>
  </w:abstractNum>
  <w:abstractNum w:abstractNumId="109">
    <w:nsid w:val="7C58FD05"/>
    <w:multiLevelType w:val="hybridMultilevel"/>
    <w:lvl w:ilvl="0">
      <w:lvlJc w:val="left"/>
      <w:lvlText w:val="(%1)"/>
      <w:numFmt w:val="lowerRoman"/>
      <w:start w:val="3"/>
    </w:lvl>
  </w:abstractNum>
  <w:abstractNum w:abstractNumId="110">
    <w:nsid w:val="23D86AAC"/>
    <w:multiLevelType w:val="hybridMultilevel"/>
    <w:lvl w:ilvl="0">
      <w:lvlJc w:val="left"/>
      <w:lvlText w:val="(%1)"/>
      <w:numFmt w:val="lowerRoman"/>
      <w:start w:val="1"/>
    </w:lvl>
  </w:abstractNum>
  <w:abstractNum w:abstractNumId="111">
    <w:nsid w:val="45E6D486"/>
    <w:multiLevelType w:val="hybridMultilevel"/>
    <w:lvl w:ilvl="0">
      <w:lvlJc w:val="left"/>
      <w:lvlText w:val="(%1)"/>
      <w:numFmt w:val="decimal"/>
      <w:start w:val="4"/>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2023-04-14T20:16:38Z</dcterms:created>
  <dcterms:modified xsi:type="dcterms:W3CDTF">2023-04-14T20:16:38Z</dcterms:modified>
</cp:coreProperties>
</file>