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03/29/2019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03/29/2019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w w:val="87"/>
              </w:rPr>
              <w:t>25,487</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right"/>
              <w:ind w:right="34"/>
              <w:spacing w:after="0" w:line="386" w:lineRule="exact"/>
              <w:rPr>
                <w:sz w:val="20"/>
                <w:szCs w:val="20"/>
                <w:color w:val="auto"/>
              </w:rPr>
            </w:pPr>
            <w:r>
              <w:rPr>
                <w:rFonts w:ascii="Arial" w:cs="Arial" w:eastAsia="Arial" w:hAnsi="Arial"/>
                <w:sz w:val="35"/>
                <w:szCs w:val="35"/>
                <w:color w:val="000000"/>
                <w:w w:val="98"/>
                <w:vertAlign w:val="subscript"/>
              </w:rPr>
              <w:t>$</w:t>
            </w:r>
            <w:r>
              <w:rPr>
                <w:rFonts w:ascii="Arial" w:cs="Arial" w:eastAsia="Arial" w:hAnsi="Arial"/>
                <w:sz w:val="35"/>
                <w:szCs w:val="35"/>
                <w:color w:val="0000FF"/>
                <w:w w:val="98"/>
                <w:vertAlign w:val="subscript"/>
              </w:rPr>
              <w:t>0</w:t>
            </w:r>
            <w:r>
              <w:rPr>
                <w:rFonts w:ascii="Arial" w:cs="Arial" w:eastAsia="Arial" w:hAnsi="Arial"/>
                <w:sz w:val="11"/>
                <w:szCs w:val="11"/>
                <w:color w:val="008000"/>
                <w:w w:val="98"/>
              </w:rPr>
              <w:t>(1)(2)</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280,619,515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40" w:type="dxa"/>
            <w:vAlign w:val="bottom"/>
            <w:gridSpan w:val="9"/>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3"/>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6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Effective March 29, 2019, KAFU Holdings (QP), L.P. exercised the Redemption Right with respect to 25,487 AAP Class A units, resulting in the cancellation of such AAP Class A units and the distribution of 25,487 Common Units from AAP to the redeeming partner.</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04/01/2019</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2020-01-09T12:15:36Z</dcterms:created>
  <dcterms:modified xsi:type="dcterms:W3CDTF">2020-01-09T12:15:36Z</dcterms:modified>
</cp:coreProperties>
</file>