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Section 13 or 15(d) of</w:t>
      </w:r>
    </w:p>
    <w:p>
      <w:pPr>
        <w:jc w:val="center"/>
        <w:ind w:right="4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14, 2014</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180" w:space="720"/>
            <w:col w:w="2740" w:space="720"/>
            <w:col w:w="3100"/>
          </w:cols>
          <w:pgMar w:left="240" w:top="544" w:right="199" w:bottom="0" w:gutter="0" w:footer="0" w:header="0"/>
          <w:type w:val="continuous"/>
        </w:sectPr>
      </w:pPr>
    </w:p>
    <w:p>
      <w:pPr>
        <w:spacing w:after="0" w:line="18"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460"/>
          </w:cols>
          <w:pgMar w:left="240" w:top="544" w:right="199" w:bottom="0" w:gutter="0" w:footer="0" w:header="0"/>
          <w:type w:val="continuous"/>
        </w:sectPr>
      </w:pPr>
    </w:p>
    <w:p>
      <w:pPr>
        <w:spacing w:after="0" w:line="23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713-646-4100</w:t>
      </w:r>
    </w:p>
    <w:p>
      <w:pPr>
        <w:spacing w:after="0" w:line="200" w:lineRule="exact"/>
        <w:rPr>
          <w:sz w:val="24"/>
          <w:szCs w:val="24"/>
          <w:color w:val="auto"/>
        </w:rPr>
      </w:pPr>
    </w:p>
    <w:p>
      <w:pPr>
        <w:spacing w:after="0" w:line="24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6"/>
          <w:szCs w:val="16"/>
          <w:b w:val="1"/>
          <w:bCs w:val="1"/>
          <w:color w:val="auto"/>
        </w:rPr>
        <w:t>Unregistered Sales of Equity Securities</w:t>
      </w:r>
    </w:p>
    <w:p>
      <w:pPr>
        <w:spacing w:after="0" w:line="229" w:lineRule="exact"/>
        <w:rPr>
          <w:sz w:val="24"/>
          <w:szCs w:val="24"/>
          <w:color w:val="auto"/>
        </w:rPr>
      </w:pPr>
    </w:p>
    <w:p>
      <w:pPr>
        <w:ind w:right="140" w:firstLine="648"/>
        <w:spacing w:after="0" w:line="255" w:lineRule="auto"/>
        <w:rPr>
          <w:sz w:val="20"/>
          <w:szCs w:val="20"/>
          <w:color w:val="auto"/>
        </w:rPr>
      </w:pPr>
      <w:r>
        <w:rPr>
          <w:rFonts w:ascii="Arial" w:cs="Arial" w:eastAsia="Arial" w:hAnsi="Arial"/>
          <w:sz w:val="18"/>
          <w:szCs w:val="18"/>
          <w:color w:val="auto"/>
        </w:rPr>
        <w:t>On November 14, 2014, Plains GP Holdings, L.P. (“PAGP”) issued 69,000,000 Class A shares to Oxy Holding Company (Pipeline), Inc. (“Oxy”) in connection with Oxy’s exercise of its right to exchange (the “Exchange Right”) an equivalent number of each of the following securities for such Class A shares: (i) AAP units representing an economic limited partner interest in Plains AAP, L.P.; (ii) general partner units representing a non-economic membership interest in PAA GP Holdings LLC; and (iii) Class B shares representing a non-economic limited partner interest in PAGP. The issuance of Class A shares to Oxy in connection with the exercise of the Exchange Right was exempt from the registration requirements of the Securities Act of 1933, as amended, pursuant to Section 4(a)(2) thereof.</w:t>
      </w:r>
    </w:p>
    <w:p>
      <w:pPr>
        <w:spacing w:after="0" w:line="19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7620" w:type="dxa"/>
            <w:vAlign w:val="bottom"/>
            <w:gridSpan w:val="2"/>
          </w:tcPr>
          <w:p>
            <w:pPr>
              <w:ind w:left="1940"/>
              <w:spacing w:after="0"/>
              <w:rPr>
                <w:sz w:val="20"/>
                <w:szCs w:val="20"/>
                <w:color w:val="auto"/>
              </w:rPr>
            </w:pPr>
            <w:r>
              <w:rPr>
                <w:rFonts w:ascii="Arial" w:cs="Arial" w:eastAsia="Arial" w:hAnsi="Arial"/>
                <w:sz w:val="18"/>
                <w:szCs w:val="18"/>
                <w:color w:val="auto"/>
              </w:rPr>
              <w:t>PLAINS GP HOLDINGS, L.P.</w:t>
            </w:r>
          </w:p>
        </w:tc>
        <w:tc>
          <w:tcPr>
            <w:tcW w:w="40" w:type="dxa"/>
            <w:vAlign w:val="bottom"/>
          </w:tcPr>
          <w:p>
            <w:pPr>
              <w:spacing w:after="0"/>
              <w:rPr>
                <w:sz w:val="20"/>
                <w:szCs w:val="20"/>
                <w:color w:val="auto"/>
              </w:rPr>
            </w:pP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 November 19, 2014</w:t>
            </w:r>
          </w:p>
        </w:tc>
        <w:tc>
          <w:tcPr>
            <w:tcW w:w="2660" w:type="dxa"/>
            <w:vAlign w:val="bottom"/>
          </w:tcPr>
          <w:p>
            <w:pPr>
              <w:ind w:left="1940"/>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PAA GP Holdings LLC, its general partner</w:t>
            </w:r>
          </w:p>
        </w:tc>
        <w:tc>
          <w:tcPr>
            <w:tcW w:w="40" w:type="dxa"/>
            <w:vAlign w:val="bottom"/>
          </w:tcPr>
          <w:p>
            <w:pPr>
              <w:spacing w:after="0"/>
              <w:rPr>
                <w:sz w:val="24"/>
                <w:szCs w:val="24"/>
                <w:color w:val="auto"/>
              </w:rPr>
            </w:pPr>
          </w:p>
        </w:tc>
      </w:tr>
      <w:tr>
        <w:trPr>
          <w:trHeight w:val="648"/>
        </w:trPr>
        <w:tc>
          <w:tcPr>
            <w:tcW w:w="3800" w:type="dxa"/>
            <w:vAlign w:val="bottom"/>
          </w:tcPr>
          <w:p>
            <w:pPr>
              <w:spacing w:after="0"/>
              <w:rPr>
                <w:sz w:val="24"/>
                <w:szCs w:val="24"/>
                <w:color w:val="auto"/>
              </w:rPr>
            </w:pPr>
          </w:p>
        </w:tc>
        <w:tc>
          <w:tcPr>
            <w:tcW w:w="2660" w:type="dxa"/>
            <w:vAlign w:val="bottom"/>
          </w:tcPr>
          <w:p>
            <w:pPr>
              <w:ind w:left="194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38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Name: Richard McGee</w:t>
            </w:r>
          </w:p>
        </w:tc>
        <w:tc>
          <w:tcPr>
            <w:tcW w:w="40" w:type="dxa"/>
            <w:vAlign w:val="bottom"/>
          </w:tcPr>
          <w:p>
            <w:pPr>
              <w:spacing w:after="0"/>
              <w:rPr>
                <w:sz w:val="16"/>
                <w:szCs w:val="16"/>
                <w:color w:val="auto"/>
              </w:rPr>
            </w:pPr>
          </w:p>
        </w:tc>
      </w:tr>
      <w:tr>
        <w:trPr>
          <w:trHeight w:val="230"/>
        </w:trPr>
        <w:tc>
          <w:tcPr>
            <w:tcW w:w="38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Executive Vice President</w:t>
            </w:r>
          </w:p>
        </w:tc>
        <w:tc>
          <w:tcPr>
            <w:tcW w:w="40" w:type="dxa"/>
            <w:vAlign w:val="bottom"/>
          </w:tcPr>
          <w:p>
            <w:pPr>
              <w:spacing w:after="0"/>
              <w:rPr>
                <w:sz w:val="20"/>
                <w:szCs w:val="20"/>
                <w:color w:val="auto"/>
              </w:rPr>
            </w:pPr>
          </w:p>
        </w:tc>
      </w:tr>
      <w:tr>
        <w:trPr>
          <w:trHeight w:val="432"/>
        </w:trPr>
        <w:tc>
          <w:tcPr>
            <w:tcW w:w="3800" w:type="dxa"/>
            <w:vAlign w:val="bottom"/>
          </w:tcPr>
          <w:p>
            <w:pPr>
              <w:spacing w:after="0"/>
              <w:rPr>
                <w:sz w:val="24"/>
                <w:szCs w:val="24"/>
                <w:color w:val="auto"/>
              </w:rPr>
            </w:pPr>
          </w:p>
        </w:tc>
        <w:tc>
          <w:tcPr>
            <w:tcW w:w="2660" w:type="dxa"/>
            <w:vAlign w:val="bottom"/>
          </w:tcPr>
          <w:p>
            <w:pPr>
              <w:jc w:val="right"/>
              <w:ind w:right="610"/>
              <w:spacing w:after="0"/>
              <w:rPr>
                <w:sz w:val="20"/>
                <w:szCs w:val="20"/>
                <w:color w:val="auto"/>
              </w:rPr>
            </w:pPr>
            <w:r>
              <w:rPr>
                <w:rFonts w:ascii="Arial" w:cs="Arial" w:eastAsia="Arial" w:hAnsi="Arial"/>
                <w:sz w:val="18"/>
                <w:szCs w:val="18"/>
                <w:color w:val="auto"/>
              </w:rPr>
              <w:t>3</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800" w:type="dxa"/>
            <w:vAlign w:val="bottom"/>
            <w:tcBorders>
              <w:bottom w:val="single" w:sz="8" w:color="010101"/>
            </w:tcBorders>
          </w:tcPr>
          <w:p>
            <w:pPr>
              <w:spacing w:after="0"/>
              <w:rPr>
                <w:sz w:val="11"/>
                <w:szCs w:val="11"/>
                <w:color w:val="auto"/>
              </w:rPr>
            </w:pPr>
          </w:p>
        </w:tc>
        <w:tc>
          <w:tcPr>
            <w:tcW w:w="2660" w:type="dxa"/>
            <w:vAlign w:val="bottom"/>
            <w:tcBorders>
              <w:bottom w:val="single" w:sz="8" w:color="010101"/>
            </w:tcBorders>
          </w:tcPr>
          <w:p>
            <w:pPr>
              <w:spacing w:after="0"/>
              <w:rPr>
                <w:sz w:val="11"/>
                <w:szCs w:val="11"/>
                <w:color w:val="auto"/>
              </w:rPr>
            </w:pPr>
          </w:p>
        </w:tc>
        <w:tc>
          <w:tcPr>
            <w:tcW w:w="49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544" w:right="1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2020-01-28T19:06:37Z</dcterms:created>
  <dcterms:modified xsi:type="dcterms:W3CDTF">2020-01-28T19:06:37Z</dcterms:modified>
</cp:coreProperties>
</file>