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44"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02"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ind w:left="3500"/>
        <w:spacing w:after="0"/>
        <w:rPr>
          <w:sz w:val="20"/>
          <w:szCs w:val="20"/>
          <w:color w:val="auto"/>
        </w:rPr>
      </w:pPr>
      <w:r>
        <w:rPr>
          <w:rFonts w:ascii="Arial" w:cs="Arial" w:eastAsia="Arial" w:hAnsi="Arial"/>
          <w:sz w:val="29"/>
          <w:szCs w:val="29"/>
          <w:b w:val="1"/>
          <w:bCs w:val="1"/>
          <w:color w:val="auto"/>
        </w:rPr>
        <w:t>PLAINS GP HOLDINGS, L.P.</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509905</wp:posOffset>
            </wp:positionV>
            <wp:extent cx="2691765"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17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10, 2026</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90" w:lineRule="exact"/>
        <w:rPr>
          <w:sz w:val="20"/>
          <w:szCs w:val="20"/>
          <w:color w:val="auto"/>
        </w:rPr>
      </w:pPr>
    </w:p>
    <w:p>
      <w:pPr>
        <w:ind w:left="1260" w:right="439" w:firstLine="360"/>
        <w:spacing w:after="0" w:line="301" w:lineRule="auto"/>
        <w:rPr>
          <w:sz w:val="20"/>
          <w:szCs w:val="20"/>
          <w:color w:val="auto"/>
        </w:rPr>
      </w:pPr>
      <w:r>
        <w:rPr>
          <w:rFonts w:ascii="Arial" w:cs="Arial" w:eastAsia="Arial" w:hAnsi="Arial"/>
          <w:sz w:val="17"/>
          <w:szCs w:val="17"/>
          <w:color w:val="auto"/>
        </w:rPr>
        <w:t>We sincerely appreciate your continued support and investment in Plains. Your trust and partnership play a vital role in our success, and we are pleased to invite you to join us for our 2026 Annual Meeting.</w:t>
      </w:r>
    </w:p>
    <w:p>
      <w:pPr>
        <w:spacing w:after="0" w:line="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2025 was a year marked by a complex macro backdrop with increased volatility, global uncertainty and OPEC+ supply increases all resulting in softening markets and a lower than expected oil price environment. Plains executed well during 2025 despite this challenging environment, managing what was in our control and delivering on our capital allocation framework and efficient growth strategy. We proactively executed several major transactions and self-help initiatives to position the partnership as the premier North American crude oil midstream company and better prepare Plains for the increased global volatility and uncertainty that has characterized markets for the first four months of 2026.</w:t>
      </w:r>
    </w:p>
    <w:p>
      <w:pPr>
        <w:spacing w:after="0" w:line="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Notable 2025 accomplishments included:</w:t>
      </w:r>
    </w:p>
    <w:p>
      <w:pPr>
        <w:spacing w:after="0" w:line="104" w:lineRule="exact"/>
        <w:rPr>
          <w:sz w:val="20"/>
          <w:szCs w:val="20"/>
          <w:color w:val="auto"/>
        </w:rPr>
      </w:pPr>
    </w:p>
    <w:p>
      <w:pPr>
        <w:ind w:left="1800" w:right="479" w:hanging="180"/>
        <w:spacing w:after="0" w:line="26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Reached an agreement to sell our Canadian NGL business to Keyera at an attractive valuation of ~$3.75 billion, with closing targeted for May 2026.</w:t>
      </w:r>
    </w:p>
    <w:p>
      <w:pPr>
        <w:spacing w:after="0" w:line="1" w:lineRule="exact"/>
        <w:rPr>
          <w:rFonts w:ascii="Arial" w:cs="Arial" w:eastAsia="Arial" w:hAnsi="Arial"/>
          <w:sz w:val="18"/>
          <w:szCs w:val="18"/>
          <w:color w:val="auto"/>
        </w:rPr>
      </w:pPr>
    </w:p>
    <w:p>
      <w:pPr>
        <w:ind w:left="1800" w:right="73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Proactively redeployed the anticipated NGL sale proceeds to acquire the EPIC crude system, renamed Cactus III, for ~$2.9 billion in a transaction that was immediately accretive to distributable cash flow (DCF) and provided Plains with a higher quality and more durable cash flow stream.</w:t>
      </w:r>
    </w:p>
    <w:p>
      <w:pPr>
        <w:spacing w:after="0" w:line="1" w:lineRule="exact"/>
        <w:rPr>
          <w:rFonts w:ascii="Arial" w:cs="Arial" w:eastAsia="Arial" w:hAnsi="Arial"/>
          <w:sz w:val="18"/>
          <w:szCs w:val="18"/>
          <w:color w:val="auto"/>
        </w:rPr>
      </w:pPr>
    </w:p>
    <w:p>
      <w:pPr>
        <w:ind w:left="1800" w:right="59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Progressed our efficient growth strategy and completed five accretive bolt-on acquisitions for an aggregate purchase price of approximately $800 million net to Plains.</w:t>
      </w:r>
    </w:p>
    <w:p>
      <w:pPr>
        <w:ind w:left="1800" w:right="45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streamlining and optimization initiatives that are expected to result in ~$100 million of cost savings by the end of 2027, with approximately half to be realized in 2026.</w:t>
      </w:r>
    </w:p>
    <w:p>
      <w:pPr>
        <w:ind w:left="1800" w:right="439" w:hanging="180"/>
        <w:spacing w:after="0" w:line="296"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our annualized distribution by $0.15/unit (10%) in February 2026 and delivered strong total unitholder and shareholder returns in 2025 of 14% and 13% for PAA and PAGP, respectively.</w:t>
      </w:r>
    </w:p>
    <w:p>
      <w:pPr>
        <w:spacing w:after="0" w:line="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These accomplishments position Plains well for continued global volatility and uncertainty and frame 2026 as a year of execution for Plains. During 2026, we will focus on closing the sale of our Canadian NGL business, capturing ~$50 million of synergies on the Cactus III pipeline, and realizing ~$100 million of cost savings through 2027 (with ~$50 million recognized in 2026), while successfully navigating through the market uncertainty, capturing opportunities and limiting downsides. Execution of 2026 initiatives is expected to result in ~13% year-over-year growth in the crude segment, despite a relatively flat Permian production outlook for 2026. Moving into 2027, we expect growth to resume in the Permian based on improving fundamentals, and we believe Plains is well-positioned to capture value with a premier footprint and operating leverage.</w:t>
      </w:r>
    </w:p>
    <w:p>
      <w:pPr>
        <w:spacing w:after="0" w:line="58" w:lineRule="exact"/>
        <w:rPr>
          <w:sz w:val="20"/>
          <w:szCs w:val="20"/>
          <w:color w:val="auto"/>
        </w:rPr>
      </w:pPr>
    </w:p>
    <w:p>
      <w:pPr>
        <w:ind w:left="1260" w:right="599" w:firstLine="360"/>
        <w:spacing w:after="0" w:line="260" w:lineRule="auto"/>
        <w:rPr>
          <w:sz w:val="20"/>
          <w:szCs w:val="20"/>
          <w:color w:val="auto"/>
        </w:rPr>
      </w:pPr>
      <w:r>
        <w:rPr>
          <w:rFonts w:ascii="Arial" w:cs="Arial" w:eastAsia="Arial" w:hAnsi="Arial"/>
          <w:sz w:val="17"/>
          <w:szCs w:val="17"/>
          <w:color w:val="auto"/>
        </w:rPr>
        <w:t>Recent geopolitical conflicts in the Middle East highlight the critical role the U.S. energy industry plays as an essential provider of global energy reliability, affordability and security. With our network of strategically located North American midstream assets and our focus on the long-term optimization of our business, we believe we are well positioned to play a critical role in the delivery of energy across North America and globally. As we do so, we will remain focused on our key objectives of being a safe, reliable and responsible operator, generating strong cash flow, exercising capital discipline, increasing returns of capital to our investors, and maintaining financial flexibility. We believe the execution of our plan will deliver strong performance and enhanced value for our investors over the long term.</w:t>
      </w:r>
    </w:p>
    <w:p>
      <w:pPr>
        <w:spacing w:after="0" w:line="47" w:lineRule="exact"/>
        <w:rPr>
          <w:sz w:val="20"/>
          <w:szCs w:val="20"/>
          <w:color w:val="auto"/>
        </w:rPr>
      </w:pPr>
    </w:p>
    <w:p>
      <w:pPr>
        <w:ind w:left="1260" w:right="619" w:firstLine="360"/>
        <w:spacing w:after="0" w:line="287"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2026 Annual Meeting in May.</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86360</wp:posOffset>
            </wp:positionV>
            <wp:extent cx="1054100"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509905</wp:posOffset>
            </wp:positionV>
            <wp:extent cx="269176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Plains GP Holdings, L.P.</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r>
        <w:rPr>
          <w:rFonts w:ascii="Times New Roman" w:cs="Times New Roman" w:eastAsia="Times New Roman" w:hAnsi="Times New Roman"/>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216535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Be Held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holders of Class A, Class B and Class C shares of Plains GP Holdings, L.P.:</w:t>
      </w:r>
    </w:p>
    <w:p>
      <w:pPr>
        <w:spacing w:after="0" w:line="15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The 2026 Annual Meeting (the “PAGP Annual Meeting”) of the Class A, Class B and Class C shareholders (collectively, our “Shareholders”) of Plains GP Holdings, L.P. will be held on May 20, 2026,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At the PAGP Annual Meeting, our Shareholders will consider and vote on the following matters:</w:t>
      </w:r>
    </w:p>
    <w:p>
      <w:pPr>
        <w:spacing w:after="0" w:line="116" w:lineRule="exact"/>
        <w:rPr>
          <w:sz w:val="20"/>
          <w:szCs w:val="20"/>
          <w:color w:val="auto"/>
        </w:rPr>
      </w:pPr>
    </w:p>
    <w:p>
      <w:pPr>
        <w:ind w:left="1980" w:right="47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 directors to serve on the board of directors (the “Board”) of PAA GP Holdings LLC until the 2029 annual meeting;</w:t>
      </w:r>
    </w:p>
    <w:p>
      <w:pPr>
        <w:spacing w:after="0" w:line="85" w:lineRule="exact"/>
        <w:rPr>
          <w:rFonts w:ascii="Arial" w:cs="Arial" w:eastAsia="Arial" w:hAnsi="Arial"/>
          <w:sz w:val="18"/>
          <w:szCs w:val="18"/>
          <w:color w:val="auto"/>
        </w:rPr>
      </w:pPr>
    </w:p>
    <w:p>
      <w:pPr>
        <w:ind w:left="1980" w:right="719" w:hanging="360"/>
        <w:spacing w:after="0" w:line="268"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(“PAA”) independent registered public accounting firm for the fiscal year ending December 31, 2026;</w:t>
      </w:r>
    </w:p>
    <w:p>
      <w:pPr>
        <w:spacing w:after="0" w:line="103" w:lineRule="exact"/>
        <w:rPr>
          <w:rFonts w:ascii="Arial" w:cs="Arial" w:eastAsia="Arial" w:hAnsi="Arial"/>
          <w:sz w:val="18"/>
          <w:szCs w:val="18"/>
          <w:color w:val="auto"/>
        </w:rPr>
      </w:pPr>
    </w:p>
    <w:p>
      <w:pPr>
        <w:ind w:left="1980" w:right="137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2025 named executive officer compensation; and</w:t>
      </w:r>
    </w:p>
    <w:p>
      <w:pPr>
        <w:spacing w:after="0" w:line="71" w:lineRule="exact"/>
        <w:rPr>
          <w:rFonts w:ascii="Arial" w:cs="Arial" w:eastAsia="Arial" w:hAnsi="Arial"/>
          <w:sz w:val="18"/>
          <w:szCs w:val="18"/>
          <w:color w:val="auto"/>
        </w:rPr>
      </w:pPr>
    </w:p>
    <w:p>
      <w:pPr>
        <w:ind w:left="1980" w:right="5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PAGP Annual Meeting and any adjournment or postponement thereof.</w:t>
      </w:r>
    </w:p>
    <w:p>
      <w:pPr>
        <w:spacing w:after="0" w:line="85"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b w:val="1"/>
          <w:bCs w:val="1"/>
          <w:color w:val="auto"/>
        </w:rPr>
        <w:t>The Board unanimously recommends that our Shareholders vote “FOR” the election of each director listed in proposal 1 and “FOR” proposals 2 and 3. Additional information regarding these proposals is included in the attached proxy statement. See “Information About the PAA and PAGP Annual Meetings” below for more information.</w:t>
      </w:r>
    </w:p>
    <w:p>
      <w:pPr>
        <w:spacing w:after="0" w:line="98"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8"/>
          <w:szCs w:val="18"/>
          <w:color w:val="auto"/>
        </w:rPr>
        <w:t>Shareholders as of the close of business on March 23, 2026 (the “Record Date”) are entitled to receive notice of and to vote at the PAGP Annual Meeting and any postponements or adjournments thereof. A list of Shareholders entitled to vote is on file at our principal offices, 333 Clay Street, Suite 1600, Houston, TX 77002.</w:t>
      </w:r>
    </w:p>
    <w:p>
      <w:pPr>
        <w:spacing w:after="0" w:line="95"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PAGP Annual Meeting, please</w:t>
      </w:r>
      <w:r>
        <w:rPr>
          <w:rFonts w:ascii="Arial" w:cs="Arial" w:eastAsia="Arial" w:hAnsi="Arial"/>
          <w:sz w:val="17"/>
          <w:szCs w:val="17"/>
          <w:b w:val="1"/>
          <w:bCs w:val="1"/>
          <w:color w:val="auto"/>
        </w:rPr>
        <w:t xml:space="preserve"> </w:t>
      </w:r>
      <w:r>
        <w:rPr>
          <w:rFonts w:ascii="Arial" w:cs="Arial" w:eastAsia="Arial" w:hAnsi="Arial"/>
          <w:sz w:val="17"/>
          <w:szCs w:val="17"/>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PAGP Annual Meeting — How do I vote?” in the attached proxy statement for more details. Returning the proxy card or voting on the Internet or by telephone does not deprive you of your right to attend the PAGP Annual Meeting and to vote your shares for the matters to be acted upon at the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1184910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126365</wp:posOffset>
            </wp:positionV>
            <wp:extent cx="164592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Executive Vice President, General Counsel and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Secretary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780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780415"/>
                    </a:xfrm>
                    <a:prstGeom prst="rect">
                      <a:avLst/>
                    </a:prstGeom>
                    <a:noFill/>
                  </pic:spPr>
                </pic:pic>
              </a:graphicData>
            </a:graphic>
          </wp:anchor>
        </w:drawing>
      </w:r>
    </w:p>
    <w:p>
      <w:pPr>
        <w:spacing w:after="0" w:line="228" w:lineRule="exact"/>
        <w:rPr>
          <w:sz w:val="20"/>
          <w:szCs w:val="20"/>
          <w:color w:val="auto"/>
        </w:rPr>
      </w:pPr>
    </w:p>
    <w:p>
      <w:pPr>
        <w:jc w:val="center"/>
        <w:ind w:left="2260" w:right="68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20, 2026</w:t>
      </w:r>
    </w:p>
    <w:p>
      <w:pPr>
        <w:spacing w:after="0" w:line="62"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2025 Annual</w:t>
      </w:r>
    </w:p>
    <w:p>
      <w:pPr>
        <w:jc w:val="center"/>
        <w:ind w:right="-840"/>
        <w:spacing w:after="0"/>
        <w:rPr>
          <w:sz w:val="20"/>
          <w:szCs w:val="20"/>
          <w:color w:val="auto"/>
        </w:rPr>
      </w:pPr>
      <w:r>
        <w:rPr>
          <w:rFonts w:ascii="Arial" w:cs="Arial" w:eastAsia="Arial" w:hAnsi="Arial"/>
          <w:sz w:val="16"/>
          <w:szCs w:val="16"/>
          <w:b w:val="1"/>
          <w:bCs w:val="1"/>
          <w:color w:val="auto"/>
        </w:rPr>
        <w:t>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5458460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560" w:type="dxa"/>
            <w:vAlign w:val="bottom"/>
            <w:gridSpan w:val="1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80" w:type="dxa"/>
            <w:vAlign w:val="bottom"/>
            <w:tcBorders>
              <w:bottom w:val="single" w:sz="8" w:color="0000EE"/>
            </w:tcBorders>
            <w:gridSpan w:val="18"/>
            <w:shd w:val="clear" w:color="auto" w:fill="CCEEFF"/>
          </w:tcPr>
          <w:p>
            <w:pPr>
              <w:spacing w:after="0" w:line="142" w:lineRule="exact"/>
              <w:rPr>
                <w:sz w:val="20"/>
                <w:szCs w:val="20"/>
                <w:color w:val="auto"/>
              </w:rPr>
            </w:pPr>
            <w:r>
              <w:rPr>
                <w:rFonts w:ascii="Arial" w:cs="Arial" w:eastAsia="Arial" w:hAnsi="Arial"/>
                <w:sz w:val="16"/>
                <w:szCs w:val="16"/>
                <w:color w:val="0000EE"/>
              </w:rPr>
              <w:t>GENERAL INFORMATION ABOUT THE PLAINS GP HOLDINGS, L.P. ANNUAL MEETING</w:t>
            </w: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300" w:type="dxa"/>
            <w:vAlign w:val="bottom"/>
            <w:tcBorders>
              <w:bottom w:val="single" w:sz="8" w:color="CCEEFF"/>
            </w:tcBorders>
            <w:vMerge w:val="restart"/>
            <w:shd w:val="clear" w:color="auto" w:fill="CCEEFF"/>
          </w:tcPr>
          <w:p>
            <w:pPr>
              <w:spacing w:after="0"/>
              <w:rPr>
                <w:sz w:val="14"/>
                <w:szCs w:val="1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0000EE"/>
            </w:tcBorders>
            <w:shd w:val="clear" w:color="auto" w:fill="CCEEFF"/>
          </w:tcPr>
          <w:p>
            <w:pPr>
              <w:jc w:val="right"/>
              <w:spacing w:after="0" w:line="142" w:lineRule="exact"/>
              <w:rPr>
                <w:sz w:val="20"/>
                <w:szCs w:val="20"/>
                <w:color w:val="auto"/>
              </w:rPr>
            </w:pPr>
            <w:r>
              <w:rPr>
                <w:rFonts w:ascii="Arial" w:cs="Arial" w:eastAsia="Arial" w:hAnsi="Arial"/>
                <w:sz w:val="16"/>
                <w:szCs w:val="16"/>
                <w:color w:val="0000EE"/>
                <w:w w:val="89"/>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54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7"/>
              </w:rPr>
              <w:t>INFORMATION ABOUT THE PAA AND PAGP ANNUAL MEETINGS</w:t>
            </w:r>
          </w:p>
        </w:tc>
        <w:tc>
          <w:tcPr>
            <w:tcW w:w="240" w:type="dxa"/>
            <w:vAlign w:val="bottom"/>
            <w:vMerge w:val="restart"/>
          </w:tcPr>
          <w:p>
            <w:pPr>
              <w:spacing w:after="0"/>
              <w:rPr>
                <w:sz w:val="24"/>
                <w:szCs w:val="24"/>
                <w:color w:val="auto"/>
              </w:rPr>
            </w:pPr>
          </w:p>
        </w:tc>
        <w:tc>
          <w:tcPr>
            <w:tcW w:w="1200" w:type="dxa"/>
            <w:vAlign w:val="bottom"/>
            <w:vMerge w:val="restart"/>
          </w:tcPr>
          <w:p>
            <w:pPr>
              <w:spacing w:after="0"/>
              <w:rPr>
                <w:sz w:val="24"/>
                <w:szCs w:val="24"/>
                <w:color w:val="auto"/>
              </w:rPr>
            </w:pPr>
          </w:p>
        </w:tc>
        <w:tc>
          <w:tcPr>
            <w:tcW w:w="40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564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8"/>
              </w:rPr>
              <w:t>QUESTIONS AND ANSWERS ABOUT THE PAGP ANNUAL MEETING</w:t>
            </w:r>
          </w:p>
        </w:tc>
        <w:tc>
          <w:tcPr>
            <w:tcW w:w="1200" w:type="dxa"/>
            <w:vAlign w:val="bottom"/>
            <w:tcBorders>
              <w:bottom w:val="single" w:sz="8" w:color="CCEEFF"/>
            </w:tcBorders>
            <w:vMerge w:val="restart"/>
            <w:shd w:val="clear" w:color="auto" w:fill="CCEEFF"/>
          </w:tcPr>
          <w:p>
            <w:pPr>
              <w:spacing w:after="0"/>
              <w:rPr>
                <w:sz w:val="24"/>
                <w:szCs w:val="24"/>
                <w:color w:val="auto"/>
              </w:rPr>
            </w:pP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160" w:type="dxa"/>
            <w:vAlign w:val="bottom"/>
            <w:tcBorders>
              <w:bottom w:val="single" w:sz="8" w:color="CCEEFF"/>
            </w:tcBorders>
            <w:vMerge w:val="restart"/>
            <w:shd w:val="clear" w:color="auto" w:fill="CCEEFF"/>
          </w:tcPr>
          <w:p>
            <w:pPr>
              <w:spacing w:after="0"/>
              <w:rPr>
                <w:sz w:val="24"/>
                <w:szCs w:val="24"/>
                <w:color w:val="auto"/>
              </w:rPr>
            </w:pPr>
          </w:p>
        </w:tc>
        <w:tc>
          <w:tcPr>
            <w:tcW w:w="300" w:type="dxa"/>
            <w:vAlign w:val="bottom"/>
            <w:tcBorders>
              <w:bottom w:val="single" w:sz="8" w:color="CCEEFF"/>
            </w:tcBorders>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gridSpan w:val="2"/>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6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CORPORATE GOVERNANCE AND RELATED MATTERS</w:t>
            </w:r>
          </w:p>
        </w:tc>
        <w:tc>
          <w:tcPr>
            <w:tcW w:w="340" w:type="dxa"/>
            <w:vAlign w:val="bottom"/>
            <w:vMerge w:val="restart"/>
          </w:tcPr>
          <w:p>
            <w:pPr>
              <w:spacing w:after="0"/>
              <w:rPr>
                <w:sz w:val="24"/>
                <w:szCs w:val="24"/>
                <w:color w:val="auto"/>
              </w:rPr>
            </w:pPr>
          </w:p>
        </w:tc>
        <w:tc>
          <w:tcPr>
            <w:tcW w:w="1900" w:type="dxa"/>
            <w:vAlign w:val="bottom"/>
            <w:gridSpan w:val="3"/>
            <w:vMerge w:val="restart"/>
          </w:tcPr>
          <w:p>
            <w:pPr>
              <w:spacing w:after="0"/>
              <w:rPr>
                <w:sz w:val="24"/>
                <w:szCs w:val="24"/>
                <w:color w:val="auto"/>
              </w:rPr>
            </w:pPr>
          </w:p>
        </w:tc>
        <w:tc>
          <w:tcPr>
            <w:tcW w:w="40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7</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8"/>
              </w:rPr>
              <w:t>PROPOSAL 1 – ELECTION OF CLASS I DIRECTORS</w:t>
            </w:r>
          </w:p>
        </w:tc>
        <w:tc>
          <w:tcPr>
            <w:tcW w:w="200" w:type="dxa"/>
            <w:vAlign w:val="bottom"/>
            <w:tcBorders>
              <w:bottom w:val="single" w:sz="8" w:color="CCEEFF"/>
            </w:tcBorders>
            <w:vMerge w:val="restart"/>
            <w:shd w:val="clear" w:color="auto" w:fill="CCEEFF"/>
          </w:tcPr>
          <w:p>
            <w:pPr>
              <w:spacing w:after="0"/>
              <w:rPr>
                <w:sz w:val="24"/>
                <w:szCs w:val="24"/>
                <w:color w:val="auto"/>
              </w:rPr>
            </w:pPr>
          </w:p>
        </w:tc>
        <w:tc>
          <w:tcPr>
            <w:tcW w:w="40" w:type="dxa"/>
            <w:vAlign w:val="bottom"/>
            <w:tcBorders>
              <w:bottom w:val="single" w:sz="8" w:color="CCEEFF"/>
            </w:tcBorders>
            <w:vMerge w:val="restart"/>
            <w:shd w:val="clear" w:color="auto" w:fill="CCEEFF"/>
          </w:tcPr>
          <w:p>
            <w:pPr>
              <w:spacing w:after="0"/>
              <w:rPr>
                <w:sz w:val="24"/>
                <w:szCs w:val="24"/>
                <w:color w:val="auto"/>
              </w:rPr>
            </w:pP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1900" w:type="dxa"/>
            <w:vAlign w:val="bottom"/>
            <w:tcBorders>
              <w:bottom w:val="single" w:sz="8" w:color="CCEEFF"/>
            </w:tcBorders>
            <w:gridSpan w:val="3"/>
            <w:vMerge w:val="restart"/>
            <w:shd w:val="clear" w:color="auto" w:fill="CCEEFF"/>
          </w:tcPr>
          <w:p>
            <w:pPr>
              <w:spacing w:after="0"/>
              <w:rPr>
                <w:sz w:val="24"/>
                <w:szCs w:val="24"/>
                <w:color w:val="auto"/>
              </w:rPr>
            </w:pP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160" w:type="dxa"/>
            <w:vAlign w:val="bottom"/>
            <w:tcBorders>
              <w:bottom w:val="single" w:sz="8" w:color="CCEEFF"/>
            </w:tcBorders>
            <w:vMerge w:val="restart"/>
            <w:shd w:val="clear" w:color="auto" w:fill="CCEEFF"/>
          </w:tcPr>
          <w:p>
            <w:pPr>
              <w:spacing w:after="0"/>
              <w:rPr>
                <w:sz w:val="24"/>
                <w:szCs w:val="24"/>
                <w:color w:val="auto"/>
              </w:rPr>
            </w:pPr>
          </w:p>
        </w:tc>
        <w:tc>
          <w:tcPr>
            <w:tcW w:w="300" w:type="dxa"/>
            <w:vAlign w:val="bottom"/>
            <w:tcBorders>
              <w:bottom w:val="single" w:sz="8" w:color="CCEEFF"/>
            </w:tcBorders>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900" w:type="dxa"/>
            <w:vAlign w:val="bottom"/>
            <w:gridSpan w:val="3"/>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EXECUTIVE OFFICERS</w:t>
            </w:r>
          </w:p>
        </w:tc>
        <w:tc>
          <w:tcPr>
            <w:tcW w:w="36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42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00" w:type="dxa"/>
            <w:vAlign w:val="bottom"/>
            <w:gridSpan w:val="2"/>
            <w:vMerge w:val="restart"/>
          </w:tcPr>
          <w:p>
            <w:pPr>
              <w:spacing w:after="0"/>
              <w:rPr>
                <w:sz w:val="24"/>
                <w:szCs w:val="24"/>
                <w:color w:val="auto"/>
              </w:rPr>
            </w:pPr>
          </w:p>
        </w:tc>
        <w:tc>
          <w:tcPr>
            <w:tcW w:w="1900" w:type="dxa"/>
            <w:vAlign w:val="bottom"/>
            <w:gridSpan w:val="3"/>
            <w:vMerge w:val="restart"/>
          </w:tcPr>
          <w:p>
            <w:pPr>
              <w:spacing w:after="0"/>
              <w:rPr>
                <w:sz w:val="24"/>
                <w:szCs w:val="24"/>
                <w:color w:val="auto"/>
              </w:rPr>
            </w:pPr>
          </w:p>
        </w:tc>
        <w:tc>
          <w:tcPr>
            <w:tcW w:w="40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24</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48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8"/>
                <w:szCs w:val="18"/>
                <w:color w:val="0000EE"/>
                <w:w w:val="97"/>
              </w:rPr>
              <w:t>EXECUTIVE COMPENSATION</w:t>
            </w:r>
          </w:p>
        </w:tc>
        <w:tc>
          <w:tcPr>
            <w:tcW w:w="660" w:type="dxa"/>
            <w:vAlign w:val="bottom"/>
            <w:tcBorders>
              <w:bottom w:val="single" w:sz="8" w:color="CCEEFF"/>
            </w:tcBorders>
            <w:vMerge w:val="restart"/>
            <w:shd w:val="clear" w:color="auto" w:fill="CCEEFF"/>
          </w:tcPr>
          <w:p>
            <w:pPr>
              <w:spacing w:after="0"/>
              <w:rPr>
                <w:sz w:val="24"/>
                <w:szCs w:val="24"/>
                <w:color w:val="auto"/>
              </w:rPr>
            </w:pPr>
          </w:p>
        </w:tc>
        <w:tc>
          <w:tcPr>
            <w:tcW w:w="940" w:type="dxa"/>
            <w:vAlign w:val="bottom"/>
            <w:tcBorders>
              <w:bottom w:val="single" w:sz="8" w:color="CCEEFF"/>
            </w:tcBorders>
            <w:vMerge w:val="restart"/>
            <w:shd w:val="clear" w:color="auto" w:fill="CCEEFF"/>
          </w:tcPr>
          <w:p>
            <w:pPr>
              <w:spacing w:after="0"/>
              <w:rPr>
                <w:sz w:val="24"/>
                <w:szCs w:val="24"/>
                <w:color w:val="auto"/>
              </w:rPr>
            </w:pPr>
          </w:p>
        </w:tc>
        <w:tc>
          <w:tcPr>
            <w:tcW w:w="420" w:type="dxa"/>
            <w:vAlign w:val="bottom"/>
            <w:tcBorders>
              <w:bottom w:val="single" w:sz="8" w:color="CCEEFF"/>
            </w:tcBorders>
            <w:gridSpan w:val="2"/>
            <w:vMerge w:val="restart"/>
            <w:shd w:val="clear" w:color="auto" w:fill="CCEEFF"/>
          </w:tcPr>
          <w:p>
            <w:pPr>
              <w:spacing w:after="0"/>
              <w:rPr>
                <w:sz w:val="24"/>
                <w:szCs w:val="24"/>
                <w:color w:val="auto"/>
              </w:rPr>
            </w:pPr>
          </w:p>
        </w:tc>
        <w:tc>
          <w:tcPr>
            <w:tcW w:w="40" w:type="dxa"/>
            <w:vAlign w:val="bottom"/>
            <w:tcBorders>
              <w:bottom w:val="single" w:sz="8" w:color="CCEEFF"/>
            </w:tcBorders>
            <w:vMerge w:val="restart"/>
            <w:shd w:val="clear" w:color="auto" w:fill="CCEEFF"/>
          </w:tcPr>
          <w:p>
            <w:pPr>
              <w:spacing w:after="0"/>
              <w:rPr>
                <w:sz w:val="24"/>
                <w:szCs w:val="24"/>
                <w:color w:val="auto"/>
              </w:rPr>
            </w:pP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1900" w:type="dxa"/>
            <w:vAlign w:val="bottom"/>
            <w:tcBorders>
              <w:bottom w:val="single" w:sz="8" w:color="CCEEFF"/>
            </w:tcBorders>
            <w:gridSpan w:val="3"/>
            <w:vMerge w:val="restart"/>
            <w:shd w:val="clear" w:color="auto" w:fill="CCEEFF"/>
          </w:tcPr>
          <w:p>
            <w:pPr>
              <w:spacing w:after="0"/>
              <w:rPr>
                <w:sz w:val="24"/>
                <w:szCs w:val="24"/>
                <w:color w:val="auto"/>
              </w:rPr>
            </w:pP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160" w:type="dxa"/>
            <w:vAlign w:val="bottom"/>
            <w:tcBorders>
              <w:bottom w:val="single" w:sz="8" w:color="CCEEFF"/>
            </w:tcBorders>
            <w:vMerge w:val="restart"/>
            <w:shd w:val="clear" w:color="auto" w:fill="CCEEFF"/>
          </w:tcPr>
          <w:p>
            <w:pPr>
              <w:spacing w:after="0"/>
              <w:rPr>
                <w:sz w:val="24"/>
                <w:szCs w:val="24"/>
                <w:color w:val="auto"/>
              </w:rPr>
            </w:pPr>
          </w:p>
        </w:tc>
        <w:tc>
          <w:tcPr>
            <w:tcW w:w="300" w:type="dxa"/>
            <w:vAlign w:val="bottom"/>
            <w:tcBorders>
              <w:bottom w:val="single" w:sz="8" w:color="CCEEFF"/>
            </w:tcBorders>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6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900" w:type="dxa"/>
            <w:vAlign w:val="bottom"/>
            <w:gridSpan w:val="3"/>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8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SECURITY OWNERSHIP OF CERTAIN BENEFICIAL OWNERS AND MANAGEMENT</w:t>
            </w:r>
          </w:p>
        </w:tc>
        <w:tc>
          <w:tcPr>
            <w:tcW w:w="40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59</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82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1900" w:type="dxa"/>
            <w:vAlign w:val="bottom"/>
            <w:gridSpan w:val="3"/>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5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7"/>
              </w:rPr>
              <w:t>EQUITY COMPENSATION PLAN INFORMATION TABLE</w:t>
            </w:r>
          </w:p>
        </w:tc>
        <w:tc>
          <w:tcPr>
            <w:tcW w:w="400" w:type="dxa"/>
            <w:vAlign w:val="bottom"/>
            <w:tcBorders>
              <w:bottom w:val="single" w:sz="8" w:color="CCEEFF"/>
            </w:tcBorders>
            <w:gridSpan w:val="2"/>
            <w:vMerge w:val="restart"/>
            <w:shd w:val="clear" w:color="auto" w:fill="CCEEFF"/>
          </w:tcPr>
          <w:p>
            <w:pPr>
              <w:spacing w:after="0"/>
              <w:rPr>
                <w:sz w:val="24"/>
                <w:szCs w:val="24"/>
                <w:color w:val="auto"/>
              </w:rPr>
            </w:pPr>
          </w:p>
        </w:tc>
        <w:tc>
          <w:tcPr>
            <w:tcW w:w="2300" w:type="dxa"/>
            <w:vAlign w:val="bottom"/>
            <w:tcBorders>
              <w:bottom w:val="single" w:sz="8" w:color="CCEEFF"/>
            </w:tcBorders>
            <w:gridSpan w:val="5"/>
            <w:vMerge w:val="restart"/>
            <w:shd w:val="clear" w:color="auto" w:fill="CCEEFF"/>
          </w:tcPr>
          <w:p>
            <w:pPr>
              <w:spacing w:after="0"/>
              <w:rPr>
                <w:sz w:val="24"/>
                <w:szCs w:val="24"/>
                <w:color w:val="auto"/>
              </w:rPr>
            </w:pPr>
          </w:p>
        </w:tc>
        <w:tc>
          <w:tcPr>
            <w:tcW w:w="160" w:type="dxa"/>
            <w:vAlign w:val="bottom"/>
            <w:tcBorders>
              <w:bottom w:val="single" w:sz="8" w:color="CCEEFF"/>
            </w:tcBorders>
            <w:vMerge w:val="restart"/>
            <w:shd w:val="clear" w:color="auto" w:fill="CCEEFF"/>
          </w:tcPr>
          <w:p>
            <w:pPr>
              <w:spacing w:after="0"/>
              <w:rPr>
                <w:sz w:val="24"/>
                <w:szCs w:val="24"/>
                <w:color w:val="auto"/>
              </w:rPr>
            </w:pPr>
          </w:p>
        </w:tc>
        <w:tc>
          <w:tcPr>
            <w:tcW w:w="300" w:type="dxa"/>
            <w:vAlign w:val="bottom"/>
            <w:tcBorders>
              <w:bottom w:val="single" w:sz="8" w:color="CCEEFF"/>
            </w:tcBorders>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60" w:type="dxa"/>
            <w:vAlign w:val="bottom"/>
            <w:gridSpan w:val="2"/>
            <w:shd w:val="clear" w:color="auto" w:fill="CCEEFF"/>
          </w:tcPr>
          <w:p>
            <w:pPr>
              <w:spacing w:after="0"/>
              <w:rPr>
                <w:sz w:val="6"/>
                <w:szCs w:val="6"/>
                <w:color w:val="auto"/>
              </w:rPr>
            </w:pPr>
          </w:p>
        </w:tc>
        <w:tc>
          <w:tcPr>
            <w:tcW w:w="820" w:type="dxa"/>
            <w:vAlign w:val="bottom"/>
            <w:gridSpan w:val="2"/>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20" w:type="dxa"/>
            <w:vAlign w:val="bottom"/>
            <w:gridSpan w:val="2"/>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300" w:type="dxa"/>
            <w:vAlign w:val="bottom"/>
            <w:gridSpan w:val="5"/>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9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CERTAIN RELATIONSHIPS AND RELATED TRANSACTIONS</w:t>
            </w:r>
          </w:p>
        </w:tc>
        <w:tc>
          <w:tcPr>
            <w:tcW w:w="2300" w:type="dxa"/>
            <w:vAlign w:val="bottom"/>
            <w:gridSpan w:val="5"/>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62</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82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440" w:type="dxa"/>
            <w:vAlign w:val="bottom"/>
            <w:gridSpan w:val="3"/>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314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8"/>
                <w:szCs w:val="18"/>
                <w:color w:val="0000EE"/>
                <w:w w:val="98"/>
              </w:rPr>
              <w:t>REPORT OF THE AUDIT COMMITTEE</w:t>
            </w:r>
          </w:p>
        </w:tc>
        <w:tc>
          <w:tcPr>
            <w:tcW w:w="940" w:type="dxa"/>
            <w:vAlign w:val="bottom"/>
            <w:tcBorders>
              <w:bottom w:val="single" w:sz="8" w:color="CCEEFF"/>
            </w:tcBorders>
            <w:vMerge w:val="restart"/>
            <w:shd w:val="clear" w:color="auto" w:fill="CCEEFF"/>
          </w:tcPr>
          <w:p>
            <w:pPr>
              <w:spacing w:after="0"/>
              <w:rPr>
                <w:sz w:val="24"/>
                <w:szCs w:val="24"/>
                <w:color w:val="auto"/>
              </w:rPr>
            </w:pPr>
          </w:p>
        </w:tc>
        <w:tc>
          <w:tcPr>
            <w:tcW w:w="420" w:type="dxa"/>
            <w:vAlign w:val="bottom"/>
            <w:tcBorders>
              <w:bottom w:val="single" w:sz="8" w:color="CCEEFF"/>
            </w:tcBorders>
            <w:gridSpan w:val="2"/>
            <w:vMerge w:val="restart"/>
            <w:shd w:val="clear" w:color="auto" w:fill="CCEEFF"/>
          </w:tcPr>
          <w:p>
            <w:pPr>
              <w:spacing w:after="0"/>
              <w:rPr>
                <w:sz w:val="24"/>
                <w:szCs w:val="24"/>
                <w:color w:val="auto"/>
              </w:rPr>
            </w:pPr>
          </w:p>
        </w:tc>
        <w:tc>
          <w:tcPr>
            <w:tcW w:w="2740" w:type="dxa"/>
            <w:vAlign w:val="bottom"/>
            <w:tcBorders>
              <w:bottom w:val="single" w:sz="8" w:color="CCEEFF"/>
            </w:tcBorders>
            <w:gridSpan w:val="8"/>
            <w:vMerge w:val="restart"/>
            <w:shd w:val="clear" w:color="auto" w:fill="CCEEFF"/>
          </w:tcPr>
          <w:p>
            <w:pPr>
              <w:spacing w:after="0"/>
              <w:rPr>
                <w:sz w:val="24"/>
                <w:szCs w:val="24"/>
                <w:color w:val="auto"/>
              </w:rPr>
            </w:pPr>
          </w:p>
        </w:tc>
        <w:tc>
          <w:tcPr>
            <w:tcW w:w="160" w:type="dxa"/>
            <w:vAlign w:val="bottom"/>
            <w:tcBorders>
              <w:bottom w:val="single" w:sz="8" w:color="CCEEFF"/>
            </w:tcBorders>
            <w:vMerge w:val="restart"/>
            <w:shd w:val="clear" w:color="auto" w:fill="CCEEFF"/>
          </w:tcPr>
          <w:p>
            <w:pPr>
              <w:spacing w:after="0"/>
              <w:rPr>
                <w:sz w:val="24"/>
                <w:szCs w:val="24"/>
                <w:color w:val="auto"/>
              </w:rPr>
            </w:pPr>
          </w:p>
        </w:tc>
        <w:tc>
          <w:tcPr>
            <w:tcW w:w="300" w:type="dxa"/>
            <w:vAlign w:val="bottom"/>
            <w:tcBorders>
              <w:bottom w:val="single" w:sz="8" w:color="CCEEFF"/>
            </w:tcBorders>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60" w:type="dxa"/>
            <w:vAlign w:val="bottom"/>
            <w:gridSpan w:val="2"/>
            <w:shd w:val="clear" w:color="auto" w:fill="CCEEFF"/>
          </w:tcPr>
          <w:p>
            <w:pPr>
              <w:spacing w:after="0"/>
              <w:rPr>
                <w:sz w:val="6"/>
                <w:szCs w:val="6"/>
                <w:color w:val="auto"/>
              </w:rPr>
            </w:pPr>
          </w:p>
        </w:tc>
        <w:tc>
          <w:tcPr>
            <w:tcW w:w="820" w:type="dxa"/>
            <w:vAlign w:val="bottom"/>
            <w:gridSpan w:val="2"/>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2740" w:type="dxa"/>
            <w:vAlign w:val="bottom"/>
            <w:gridSpan w:val="8"/>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7"/>
              </w:rPr>
              <w:t>PRINCIPAL ACCOUNTANT FEES AND SERVICES</w:t>
            </w:r>
          </w:p>
        </w:tc>
        <w:tc>
          <w:tcPr>
            <w:tcW w:w="420" w:type="dxa"/>
            <w:vAlign w:val="bottom"/>
            <w:gridSpan w:val="2"/>
            <w:vMerge w:val="restart"/>
          </w:tcPr>
          <w:p>
            <w:pPr>
              <w:spacing w:after="0"/>
              <w:rPr>
                <w:sz w:val="24"/>
                <w:szCs w:val="24"/>
                <w:color w:val="auto"/>
              </w:rPr>
            </w:pPr>
          </w:p>
        </w:tc>
        <w:tc>
          <w:tcPr>
            <w:tcW w:w="2740" w:type="dxa"/>
            <w:vAlign w:val="bottom"/>
            <w:gridSpan w:val="8"/>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67</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1760" w:type="dxa"/>
            <w:vAlign w:val="bottom"/>
            <w:gridSpan w:val="3"/>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770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8"/>
              </w:rPr>
              <w:t>PROPOSAL 2 – RATIFICATION OF APPOINTMENT OF INDEPENDENT REGISTERED PUBLIC</w:t>
            </w:r>
          </w:p>
        </w:tc>
        <w:tc>
          <w:tcPr>
            <w:tcW w:w="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3"/>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460" w:type="dxa"/>
            <w:vAlign w:val="bottom"/>
            <w:tcBorders>
              <w:bottom w:val="single" w:sz="8" w:color="CCEEFF"/>
            </w:tcBorders>
            <w:gridSpan w:val="2"/>
            <w:vMerge w:val="restart"/>
            <w:shd w:val="clear" w:color="auto" w:fill="CCEEFF"/>
          </w:tcPr>
          <w:p>
            <w:pPr>
              <w:spacing w:after="0"/>
              <w:rPr>
                <w:sz w:val="17"/>
                <w:szCs w:val="17"/>
                <w:color w:val="auto"/>
              </w:rPr>
            </w:pPr>
          </w:p>
        </w:tc>
        <w:tc>
          <w:tcPr>
            <w:tcW w:w="2180" w:type="dxa"/>
            <w:vAlign w:val="bottom"/>
            <w:tcBorders>
              <w:bottom w:val="single" w:sz="8" w:color="CCEEFF"/>
            </w:tcBorders>
            <w:gridSpan w:val="5"/>
            <w:vMerge w:val="restart"/>
            <w:shd w:val="clear" w:color="auto" w:fill="CCEEFF"/>
          </w:tcPr>
          <w:p>
            <w:pPr>
              <w:spacing w:after="0"/>
              <w:rPr>
                <w:sz w:val="17"/>
                <w:szCs w:val="17"/>
                <w:color w:val="auto"/>
              </w:rPr>
            </w:pPr>
          </w:p>
        </w:tc>
        <w:tc>
          <w:tcPr>
            <w:tcW w:w="2740" w:type="dxa"/>
            <w:vAlign w:val="bottom"/>
            <w:tcBorders>
              <w:bottom w:val="single" w:sz="8" w:color="CCEEFF"/>
            </w:tcBorders>
            <w:gridSpan w:val="8"/>
            <w:vMerge w:val="restart"/>
            <w:shd w:val="clear" w:color="auto" w:fill="CCEEFF"/>
          </w:tcPr>
          <w:p>
            <w:pPr>
              <w:spacing w:after="0"/>
              <w:rPr>
                <w:sz w:val="17"/>
                <w:szCs w:val="17"/>
                <w:color w:val="auto"/>
              </w:rPr>
            </w:pPr>
          </w:p>
        </w:tc>
        <w:tc>
          <w:tcPr>
            <w:tcW w:w="160" w:type="dxa"/>
            <w:vAlign w:val="bottom"/>
            <w:tcBorders>
              <w:bottom w:val="single" w:sz="8" w:color="CCEEFF"/>
            </w:tcBorders>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gridSpan w:val="2"/>
            <w:vMerge w:val="continue"/>
            <w:shd w:val="clear" w:color="auto" w:fill="CCEEFF"/>
          </w:tcPr>
          <w:p>
            <w:pPr>
              <w:spacing w:after="0"/>
              <w:rPr>
                <w:sz w:val="7"/>
                <w:szCs w:val="7"/>
                <w:color w:val="auto"/>
              </w:rPr>
            </w:pPr>
          </w:p>
        </w:tc>
        <w:tc>
          <w:tcPr>
            <w:tcW w:w="2180" w:type="dxa"/>
            <w:vAlign w:val="bottom"/>
            <w:gridSpan w:val="5"/>
            <w:vMerge w:val="continue"/>
            <w:shd w:val="clear" w:color="auto" w:fill="CCEEFF"/>
          </w:tcPr>
          <w:p>
            <w:pPr>
              <w:spacing w:after="0"/>
              <w:rPr>
                <w:sz w:val="7"/>
                <w:szCs w:val="7"/>
                <w:color w:val="auto"/>
              </w:rPr>
            </w:pPr>
          </w:p>
        </w:tc>
        <w:tc>
          <w:tcPr>
            <w:tcW w:w="2740" w:type="dxa"/>
            <w:vAlign w:val="bottom"/>
            <w:gridSpan w:val="8"/>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7700" w:type="dxa"/>
            <w:vAlign w:val="bottom"/>
            <w:gridSpan w:val="21"/>
          </w:tcPr>
          <w:p>
            <w:pPr>
              <w:spacing w:after="0"/>
              <w:rPr>
                <w:sz w:val="20"/>
                <w:szCs w:val="20"/>
                <w:color w:val="auto"/>
              </w:rPr>
            </w:pPr>
            <w:r>
              <w:rPr>
                <w:rFonts w:ascii="Arial" w:cs="Arial" w:eastAsia="Arial" w:hAnsi="Arial"/>
                <w:sz w:val="18"/>
                <w:szCs w:val="18"/>
                <w:color w:val="0000EE"/>
              </w:rPr>
              <w:t>PROPOSAL 3 – ADVISORY VOTE TO APPROVE OUR 2025 NAMED EXECUTIVE OFFICER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COMPENSATION</w:t>
            </w:r>
          </w:p>
        </w:tc>
        <w:tc>
          <w:tcPr>
            <w:tcW w:w="720" w:type="dxa"/>
            <w:vAlign w:val="bottom"/>
            <w:tcBorders>
              <w:top w:val="single" w:sz="8" w:color="0000EE"/>
              <w:bottom w:val="single" w:sz="8" w:color="0000EE"/>
            </w:tcBorders>
            <w:gridSpan w:val="3"/>
            <w:vMerge w:val="restart"/>
          </w:tcPr>
          <w:p>
            <w:pPr>
              <w:spacing w:after="0"/>
              <w:rPr>
                <w:sz w:val="17"/>
                <w:szCs w:val="17"/>
                <w:color w:val="auto"/>
              </w:rPr>
            </w:pPr>
          </w:p>
        </w:tc>
        <w:tc>
          <w:tcPr>
            <w:tcW w:w="2180" w:type="dxa"/>
            <w:vAlign w:val="bottom"/>
            <w:tcBorders>
              <w:top w:val="single" w:sz="8" w:color="0000EE"/>
              <w:bottom w:val="single" w:sz="8" w:color="0000EE"/>
            </w:tcBorders>
            <w:gridSpan w:val="5"/>
            <w:vMerge w:val="restart"/>
          </w:tcPr>
          <w:p>
            <w:pPr>
              <w:spacing w:after="0"/>
              <w:rPr>
                <w:sz w:val="17"/>
                <w:szCs w:val="17"/>
                <w:color w:val="auto"/>
              </w:rPr>
            </w:pPr>
          </w:p>
        </w:tc>
        <w:tc>
          <w:tcPr>
            <w:tcW w:w="2740" w:type="dxa"/>
            <w:vAlign w:val="bottom"/>
            <w:tcBorders>
              <w:top w:val="single" w:sz="8" w:color="0000EE"/>
              <w:bottom w:val="single" w:sz="8" w:color="0000EE"/>
            </w:tcBorders>
            <w:gridSpan w:val="8"/>
            <w:vMerge w:val="restart"/>
          </w:tcPr>
          <w:p>
            <w:pPr>
              <w:spacing w:after="0"/>
              <w:rPr>
                <w:sz w:val="17"/>
                <w:szCs w:val="17"/>
                <w:color w:val="auto"/>
              </w:rPr>
            </w:pPr>
          </w:p>
        </w:tc>
        <w:tc>
          <w:tcPr>
            <w:tcW w:w="160" w:type="dxa"/>
            <w:vAlign w:val="bottom"/>
            <w:tcBorders>
              <w:top w:val="single" w:sz="8" w:color="0000EE"/>
              <w:bottom w:val="single" w:sz="8" w:color="0000EE"/>
            </w:tcBorders>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69</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2740" w:type="dxa"/>
            <w:vAlign w:val="bottom"/>
            <w:gridSpan w:val="8"/>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gridSpan w:val="2"/>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50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7"/>
              </w:rPr>
              <w:t>OTHER MATTERS FOR THE PAGP ANNUAL MEETING</w:t>
            </w:r>
          </w:p>
        </w:tc>
        <w:tc>
          <w:tcPr>
            <w:tcW w:w="2740" w:type="dxa"/>
            <w:vAlign w:val="bottom"/>
            <w:tcBorders>
              <w:bottom w:val="single" w:sz="8" w:color="CCEEFF"/>
            </w:tcBorders>
            <w:gridSpan w:val="8"/>
            <w:vMerge w:val="restart"/>
            <w:shd w:val="clear" w:color="auto" w:fill="CCEEFF"/>
          </w:tcPr>
          <w:p>
            <w:pPr>
              <w:spacing w:after="0"/>
              <w:rPr>
                <w:sz w:val="24"/>
                <w:szCs w:val="24"/>
                <w:color w:val="auto"/>
              </w:rPr>
            </w:pPr>
          </w:p>
        </w:tc>
        <w:tc>
          <w:tcPr>
            <w:tcW w:w="460" w:type="dxa"/>
            <w:vAlign w:val="bottom"/>
            <w:tcBorders>
              <w:bottom w:val="single" w:sz="8" w:color="CCEEFF"/>
            </w:tcBorders>
            <w:gridSpan w:val="2"/>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0" w:type="dxa"/>
            <w:vAlign w:val="bottom"/>
            <w:gridSpan w:val="2"/>
            <w:shd w:val="clear" w:color="auto" w:fill="CCEEFF"/>
          </w:tcPr>
          <w:p>
            <w:pPr>
              <w:spacing w:after="0"/>
              <w:rPr>
                <w:sz w:val="6"/>
                <w:szCs w:val="6"/>
                <w:color w:val="auto"/>
              </w:rPr>
            </w:pPr>
          </w:p>
        </w:tc>
        <w:tc>
          <w:tcPr>
            <w:tcW w:w="1320" w:type="dxa"/>
            <w:vAlign w:val="bottom"/>
            <w:gridSpan w:val="4"/>
            <w:shd w:val="clear" w:color="auto" w:fill="CCEEFF"/>
          </w:tcPr>
          <w:p>
            <w:pPr>
              <w:spacing w:after="0"/>
              <w:rPr>
                <w:sz w:val="6"/>
                <w:szCs w:val="6"/>
                <w:color w:val="auto"/>
              </w:rPr>
            </w:pPr>
          </w:p>
        </w:tc>
        <w:tc>
          <w:tcPr>
            <w:tcW w:w="2180" w:type="dxa"/>
            <w:vAlign w:val="bottom"/>
            <w:gridSpan w:val="5"/>
            <w:shd w:val="clear" w:color="auto" w:fill="CCEEFF"/>
          </w:tcPr>
          <w:p>
            <w:pPr>
              <w:spacing w:after="0"/>
              <w:rPr>
                <w:sz w:val="6"/>
                <w:szCs w:val="6"/>
                <w:color w:val="auto"/>
              </w:rPr>
            </w:pPr>
          </w:p>
        </w:tc>
        <w:tc>
          <w:tcPr>
            <w:tcW w:w="2740" w:type="dxa"/>
            <w:vAlign w:val="bottom"/>
            <w:gridSpan w:val="8"/>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2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8"/>
              </w:rPr>
              <w:t>DIRECTOR NOMINATIONS AND SHAREHOLDER PROPOSALS FOR THE 2027 ANNUAL</w:t>
            </w:r>
          </w:p>
        </w:tc>
        <w:tc>
          <w:tcPr>
            <w:tcW w:w="4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MEETING</w:t>
            </w:r>
          </w:p>
        </w:tc>
        <w:tc>
          <w:tcPr>
            <w:tcW w:w="1320" w:type="dxa"/>
            <w:vAlign w:val="bottom"/>
            <w:gridSpan w:val="4"/>
            <w:vMerge w:val="restart"/>
          </w:tcPr>
          <w:p>
            <w:pPr>
              <w:spacing w:after="0"/>
              <w:rPr>
                <w:sz w:val="17"/>
                <w:szCs w:val="17"/>
                <w:color w:val="auto"/>
              </w:rPr>
            </w:pPr>
          </w:p>
        </w:tc>
        <w:tc>
          <w:tcPr>
            <w:tcW w:w="5380" w:type="dxa"/>
            <w:vAlign w:val="bottom"/>
            <w:gridSpan w:val="15"/>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70</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5380" w:type="dxa"/>
            <w:vAlign w:val="bottom"/>
            <w:gridSpan w:val="15"/>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gridSpan w:val="2"/>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97"/>
              </w:rPr>
              <w:t>HOUSEHOLDING MATTERS</w:t>
            </w:r>
          </w:p>
        </w:tc>
        <w:tc>
          <w:tcPr>
            <w:tcW w:w="5380" w:type="dxa"/>
            <w:vAlign w:val="bottom"/>
            <w:tcBorders>
              <w:bottom w:val="single" w:sz="8" w:color="CCEEFF"/>
            </w:tcBorders>
            <w:gridSpan w:val="15"/>
            <w:vMerge w:val="restart"/>
            <w:shd w:val="clear" w:color="auto" w:fill="CCEEFF"/>
          </w:tcPr>
          <w:p>
            <w:pPr>
              <w:spacing w:after="0"/>
              <w:rPr>
                <w:sz w:val="24"/>
                <w:szCs w:val="24"/>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20" w:type="dxa"/>
            <w:vAlign w:val="bottom"/>
            <w:gridSpan w:val="6"/>
            <w:shd w:val="clear" w:color="auto" w:fill="CCEEFF"/>
          </w:tcPr>
          <w:p>
            <w:pPr>
              <w:spacing w:after="0"/>
              <w:rPr>
                <w:sz w:val="5"/>
                <w:szCs w:val="5"/>
                <w:color w:val="auto"/>
              </w:rPr>
            </w:pPr>
          </w:p>
        </w:tc>
        <w:tc>
          <w:tcPr>
            <w:tcW w:w="5380" w:type="dxa"/>
            <w:vAlign w:val="bottom"/>
            <w:gridSpan w:val="15"/>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GP HOLDINGS, L.P.</w:t>
      </w:r>
    </w:p>
    <w:p>
      <w:pPr>
        <w:spacing w:after="0" w:line="222"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PROXY STATEMENT</w:t>
      </w:r>
    </w:p>
    <w:p>
      <w:pPr>
        <w:spacing w:after="0" w:line="4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2026 Annual Meeting of Shareholders To Be Held On May 20, 2026</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GP HOLDINGS, L.P.</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0"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The board of directors (the “Board”) of PAA GP Holdings LLC (“PAGP GP” or our “general partner”), is soliciting proxies to be voted on behalf of our Class A, Class B and Class C shareholders (collectively, our “Shareholders”) at the 2026 annual meeting of Shareholders (the “PAGP Annual Meeting”). This proxy statement is being furnished to you in connection with the solicitation of proxies by and on behalf of the Board for use at the PAGP Annual Meeting and includes information about the matters to be voted upon at the PAGP Annual Meeting. The PAGP Annual Meeting will be held on May 20, 2026, at</w:t>
      </w:r>
    </w:p>
    <w:p>
      <w:pPr>
        <w:spacing w:after="0" w:line="3" w:lineRule="exact"/>
        <w:rPr>
          <w:sz w:val="20"/>
          <w:szCs w:val="20"/>
          <w:color w:val="auto"/>
        </w:rPr>
      </w:pPr>
    </w:p>
    <w:p>
      <w:pPr>
        <w:jc w:val="both"/>
        <w:ind w:left="1260" w:right="599"/>
        <w:spacing w:after="0" w:line="237" w:lineRule="auto"/>
        <w:rPr>
          <w:sz w:val="20"/>
          <w:szCs w:val="20"/>
          <w:color w:val="auto"/>
        </w:rPr>
      </w:pPr>
      <w:r>
        <w:rPr>
          <w:rFonts w:ascii="Arial" w:cs="Arial" w:eastAsia="Arial" w:hAnsi="Arial"/>
          <w:sz w:val="18"/>
          <w:szCs w:val="18"/>
          <w:color w:val="auto"/>
        </w:rPr>
        <w:t>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“PAGP,” “we,” “us,” “our,” “ours” and similar terms refer to Plains GP Holdings, L.P.</w:t>
      </w:r>
    </w:p>
    <w:p>
      <w:pPr>
        <w:spacing w:after="0" w:line="115"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As permitted under the rules of the Securities and Exchange Commission (the “SEC”), we are making this proxy statement and our Annual Report on Form 10-K for the year ended December 31, 2025 (our “2025 Annual Report”, and collectively with our proxy statement, the “proxy materials”) available to Shareholders electronically via the Internet. Commencing on or about April 10, 2026, we sent the proxy materials or a Notice of Internet Availability of Proxy Materials (the “Notice”) to Shareholders of record as of the close of business on March 23, 2026 (the “Record Date”). The Notice includes, among other things, instructions on how to access the Company’s proxy materials electronically and how to request a printed copy of the proxy materials.</w:t>
      </w:r>
    </w:p>
    <w:p>
      <w:pPr>
        <w:spacing w:after="0" w:line="11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b w:val="1"/>
          <w:bCs w:val="1"/>
          <w:color w:val="auto"/>
        </w:rPr>
        <w:t>We will furnish additional copies of our 2025 Annual Report without charge upon the written request of any record or beneficial owner of our Class A, Class B or Class C shares whose proxy we are soliciting in connection with the PAGP Annual Meeting. Please address requests for additional copies of the 2025 Annual Report to the Investor Relations Department, Plains All American, 333 Clay Street, Suite 1600, Houston, Texas 77002, or email your request to plainsIR@plains.com.</w:t>
      </w:r>
    </w:p>
    <w:p>
      <w:pPr>
        <w:spacing w:after="0" w:line="17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THE PAA AND PAGP ANNUAL MEETINGS</w:t>
      </w:r>
    </w:p>
    <w:p>
      <w:pPr>
        <w:spacing w:after="0" w:line="15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At the PAGP Annual Meeting, our Class A, Class B and Class C shareholders will be asked to consider and vote upon proposals 1, 2 and 3 described below. Each Shareholder will be entitled to one vote for each Class A, Class B and Class C share owned for proposals 1, 2 and 3. Plains All American Pipeline, L.P. (“PAA”) owns all of the issued and outstanding Class C shares. The Class C shares serve as a pass-through voting mechanism allowing eligible PAA unitholders to vote indirectly at the PAGP Annual Meeting by instructing PAA how to vote the Class C shares on their behalf.</w:t>
      </w:r>
    </w:p>
    <w:p>
      <w:pPr>
        <w:spacing w:after="0" w:line="101"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In order to obtain voting instructions from its eligible unitholders, PAA will hold an annual meeting (the “PAA Annual Meeting”) immediately prior to the PAGP Annual Meeting. At the PAA Annual Meeting, PAA unitholders (other than Plains AAP, L.P.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pages </w:t>
      </w:r>
      <w:r>
        <w:rPr>
          <w:rFonts w:ascii="Arial" w:cs="Arial" w:eastAsia="Arial" w:hAnsi="Arial"/>
          <w:sz w:val="18"/>
          <w:szCs w:val="18"/>
          <w:u w:val="single" w:color="auto"/>
          <w:color w:val="0000EE"/>
        </w:rPr>
        <w:t>8</w:t>
      </w:r>
      <w:r>
        <w:rPr>
          <w:rFonts w:ascii="Arial" w:cs="Arial" w:eastAsia="Arial" w:hAnsi="Arial"/>
          <w:sz w:val="18"/>
          <w:szCs w:val="18"/>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for additional information with respect to our ownership and voting structure.</w:t>
      </w: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QUESTIONS AND ANSWERS ABOUT THE PAGP ANNUAL MEETING</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PAGP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58" w:lineRule="exact"/>
        <w:rPr>
          <w:sz w:val="20"/>
          <w:szCs w:val="20"/>
          <w:color w:val="auto"/>
        </w:rPr>
      </w:pPr>
    </w:p>
    <w:p>
      <w:pPr>
        <w:ind w:left="1620" w:right="419" w:hanging="360"/>
        <w:spacing w:after="0" w:line="271"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is soliciting your proxy to vote at the PAGP Annual Meeting because you were a Shareholder at the close of business on the Record Date for the PAGP Annual Meeting, and you are therefore entitled to receive notice regarding the PAGP Annual Meeting, and to attend and vote at the PAGP Annual Meeting. This proxy statement summarizes the information that you need to know in order to cast your vote at the PAGP Annual Meeting. Your vote is very important and the Board strongly encourages you to exercise your right to vote. You do not need to attend the PAGP Annual Meeting to vote your shares, and we encourage you to vote even if you are unable to attend the PAGP Annual Meeting in person. You may vote by Internet, by telephone or by signing and returning the attached proxy card in the envelope provided. See “How do I vote?” below.</w:t>
      </w:r>
    </w:p>
    <w:p>
      <w:pPr>
        <w:spacing w:after="0" w:line="1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58"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859" w:hanging="180"/>
        <w:spacing w:after="0" w:line="31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Willie Chiang, Ellen DeSanctis, Alexandra Pruner and Lawrence</w:t>
      </w:r>
      <w:r>
        <w:rPr>
          <w:rFonts w:ascii="Arial" w:cs="Arial" w:eastAsia="Arial" w:hAnsi="Arial"/>
          <w:sz w:val="17"/>
          <w:szCs w:val="17"/>
          <w:b w:val="1"/>
          <w:bCs w:val="1"/>
          <w:color w:val="auto"/>
        </w:rPr>
        <w:t xml:space="preserve"> </w:t>
      </w:r>
      <w:r>
        <w:rPr>
          <w:rFonts w:ascii="Arial" w:cs="Arial" w:eastAsia="Arial" w:hAnsi="Arial"/>
          <w:sz w:val="17"/>
          <w:szCs w:val="17"/>
          <w:color w:val="auto"/>
        </w:rPr>
        <w:t>Ziemba as a Class I director of the Board to serve until the 2029 annual meeting;</w:t>
      </w:r>
    </w:p>
    <w:p>
      <w:pPr>
        <w:spacing w:after="0" w:line="21" w:lineRule="exact"/>
        <w:rPr>
          <w:rFonts w:ascii="Arial" w:cs="Arial" w:eastAsia="Arial" w:hAnsi="Arial"/>
          <w:sz w:val="17"/>
          <w:szCs w:val="17"/>
          <w:color w:val="auto"/>
        </w:rPr>
      </w:pPr>
    </w:p>
    <w:p>
      <w:pPr>
        <w:ind w:left="1800" w:right="539" w:hanging="180"/>
        <w:spacing w:after="0" w:line="268"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Pipeline, L.P.’s independent registered public accounting firm for the fiscal year ending December 31, 2026; and</w:t>
      </w:r>
    </w:p>
    <w:p>
      <w:pPr>
        <w:spacing w:after="0" w:line="62" w:lineRule="exact"/>
        <w:rPr>
          <w:rFonts w:ascii="Arial" w:cs="Arial" w:eastAsia="Arial" w:hAnsi="Arial"/>
          <w:sz w:val="18"/>
          <w:szCs w:val="18"/>
          <w:color w:val="auto"/>
        </w:rPr>
      </w:pPr>
    </w:p>
    <w:p>
      <w:pPr>
        <w:ind w:left="1800" w:right="117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2025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15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PAGP Annual Meeting?</w:t>
      </w:r>
    </w:p>
    <w:p>
      <w:pPr>
        <w:spacing w:after="0" w:line="158" w:lineRule="exact"/>
        <w:rPr>
          <w:sz w:val="20"/>
          <w:szCs w:val="20"/>
          <w:color w:val="auto"/>
        </w:rPr>
      </w:pPr>
    </w:p>
    <w:p>
      <w:pPr>
        <w:ind w:left="1620" w:right="439" w:hanging="360"/>
        <w:spacing w:after="0" w:line="24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PAGP Annual Meeting will be held on May 20, 2026,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Shareholders of record as of the close of business on March 23, 2026 are entitled to vote and ask questions at the PAGP Annual Meeting. If you are not a Shareholder of record but hold shares in “street name” through a brokerage firm, bank, dealer or other similar organization, trustee, or nominee (generally referred to in this proxy statement as a “broker”), you may attend the PAGP Annual Meeting as a guest. Please note that if you hold shares in “street name” through a broker and desire to vote your shares or ask questions during the PAGP Annual Meeting, you must request and obtain a valid “legal proxy” from your broker and register with Equiniti Trust Company, LLC (“EQ”) to attend the PAGP Annual Meeting as a Shareholder.</w:t>
      </w:r>
    </w:p>
    <w:p>
      <w:pPr>
        <w:spacing w:after="0" w:line="124" w:lineRule="exact"/>
        <w:rPr>
          <w:rFonts w:ascii="Arial" w:cs="Arial" w:eastAsia="Arial" w:hAnsi="Arial"/>
          <w:sz w:val="18"/>
          <w:szCs w:val="18"/>
          <w:color w:val="auto"/>
        </w:rPr>
      </w:pPr>
    </w:p>
    <w:p>
      <w:pPr>
        <w:ind w:left="1620" w:right="899"/>
        <w:spacing w:after="0" w:line="287" w:lineRule="auto"/>
        <w:rPr>
          <w:rFonts w:ascii="Arial" w:cs="Arial" w:eastAsia="Arial" w:hAnsi="Arial"/>
          <w:sz w:val="18"/>
          <w:szCs w:val="18"/>
          <w:color w:val="auto"/>
        </w:rPr>
      </w:pPr>
      <w:r>
        <w:rPr>
          <w:rFonts w:ascii="Arial" w:cs="Arial" w:eastAsia="Arial" w:hAnsi="Arial"/>
          <w:sz w:val="18"/>
          <w:szCs w:val="18"/>
          <w:color w:val="auto"/>
        </w:rPr>
        <w:t>Information on who can vote and ask questions during the PAGP Annual Meeting is discussed immediately below.</w:t>
      </w:r>
    </w:p>
    <w:p>
      <w:pPr>
        <w:spacing w:after="0" w:line="15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PAGP Annual Meeting?</w:t>
      </w:r>
    </w:p>
    <w:p>
      <w:pPr>
        <w:spacing w:after="0" w:line="144" w:lineRule="exact"/>
        <w:rPr>
          <w:sz w:val="20"/>
          <w:szCs w:val="20"/>
          <w:color w:val="auto"/>
        </w:rPr>
      </w:pPr>
    </w:p>
    <w:p>
      <w:pPr>
        <w:ind w:left="1620" w:right="41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PAGP Annual Meeting if you were a Shareholder of record as of the close of business on the Record Date for the PAGP Annual Meeting.</w:t>
      </w:r>
    </w:p>
    <w:p>
      <w:pPr>
        <w:spacing w:after="0" w:line="85" w:lineRule="exact"/>
        <w:rPr>
          <w:rFonts w:ascii="Arial" w:cs="Arial" w:eastAsia="Arial" w:hAnsi="Arial"/>
          <w:sz w:val="18"/>
          <w:szCs w:val="18"/>
          <w:color w:val="auto"/>
        </w:rPr>
      </w:pPr>
    </w:p>
    <w:p>
      <w:pPr>
        <w:ind w:left="1620" w:right="459"/>
        <w:spacing w:after="0" w:line="278" w:lineRule="auto"/>
        <w:rPr>
          <w:rFonts w:ascii="Arial" w:cs="Arial" w:eastAsia="Arial" w:hAnsi="Arial"/>
          <w:sz w:val="18"/>
          <w:szCs w:val="18"/>
          <w:color w:val="auto"/>
        </w:rPr>
      </w:pPr>
      <w:r>
        <w:rPr>
          <w:rFonts w:ascii="Arial" w:cs="Arial" w:eastAsia="Arial" w:hAnsi="Arial"/>
          <w:sz w:val="17"/>
          <w:szCs w:val="17"/>
          <w:i w:val="1"/>
          <w:iCs w:val="1"/>
          <w:color w:val="auto"/>
        </w:rPr>
        <w:t xml:space="preserve">Shareholder of Record: Shares Registered in Your Name. </w:t>
      </w:r>
      <w:r>
        <w:rPr>
          <w:rFonts w:ascii="Arial" w:cs="Arial" w:eastAsia="Arial" w:hAnsi="Arial"/>
          <w:sz w:val="17"/>
          <w:szCs w:val="17"/>
          <w:color w:val="auto"/>
        </w:rPr>
        <w:t>You are a Shareholder of record if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were registered directly in your name with us in the case of Class B shares or with our transfer agent, EQ, in the case of Class A shares, in either case at the close of business on the Record Date. As a Shareholder of record, you may vote and ask questions during the PAGP Annual Meeting. Whether or not you plan to attend the PAGP Annual Meeting, we urge you to submit a</w:t>
      </w:r>
    </w:p>
    <w:p>
      <w:pPr>
        <w:sectPr>
          <w:pgSz w:w="11900" w:h="16838" w:orient="portrait"/>
          <w:cols w:equalWidth="0" w:num="1">
            <w:col w:w="9879"/>
          </w:cols>
          <w:pgMar w:left="580" w:top="97" w:right="1440" w:bottom="1440" w:gutter="0" w:footer="0" w:header="0"/>
        </w:sectPr>
      </w:pP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59"/>
        <w:spacing w:after="0" w:line="296" w:lineRule="auto"/>
        <w:rPr>
          <w:sz w:val="20"/>
          <w:szCs w:val="20"/>
          <w:color w:val="auto"/>
        </w:rPr>
      </w:pPr>
      <w:r>
        <w:rPr>
          <w:rFonts w:ascii="Arial" w:cs="Arial" w:eastAsia="Arial" w:hAnsi="Arial"/>
          <w:sz w:val="18"/>
          <w:szCs w:val="18"/>
          <w:color w:val="auto"/>
        </w:rPr>
        <w:t xml:space="preserve">proxy to ensure your vote is counted. </w:t>
      </w:r>
      <w:r>
        <w:rPr>
          <w:rFonts w:ascii="Arial" w:cs="Arial" w:eastAsia="Arial" w:hAnsi="Arial"/>
          <w:sz w:val="18"/>
          <w:szCs w:val="18"/>
          <w:b w:val="1"/>
          <w:bCs w:val="1"/>
          <w:i w:val="1"/>
          <w:iCs w:val="1"/>
          <w:color w:val="auto"/>
        </w:rPr>
        <w:t>See “How do I vote?” below for detailed instructions 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how to vote your shares.</w:t>
      </w:r>
    </w:p>
    <w:p>
      <w:pPr>
        <w:spacing w:after="0" w:line="70" w:lineRule="exact"/>
        <w:rPr>
          <w:sz w:val="20"/>
          <w:szCs w:val="20"/>
          <w:color w:val="auto"/>
        </w:rPr>
      </w:pPr>
    </w:p>
    <w:p>
      <w:pPr>
        <w:ind w:left="1620" w:right="419"/>
        <w:spacing w:after="0" w:line="271" w:lineRule="auto"/>
        <w:rPr>
          <w:sz w:val="20"/>
          <w:szCs w:val="20"/>
          <w:color w:val="auto"/>
        </w:rPr>
      </w:pPr>
      <w:r>
        <w:rPr>
          <w:rFonts w:ascii="Arial" w:cs="Arial" w:eastAsia="Arial" w:hAnsi="Arial"/>
          <w:sz w:val="17"/>
          <w:szCs w:val="17"/>
          <w:i w:val="1"/>
          <w:iCs w:val="1"/>
          <w:color w:val="auto"/>
        </w:rPr>
        <w:t xml:space="preserve">Beneficial Owner: Shares Registered in the Name of Broker. </w:t>
      </w:r>
      <w:r>
        <w:rPr>
          <w:rFonts w:ascii="Arial" w:cs="Arial" w:eastAsia="Arial" w:hAnsi="Arial"/>
          <w:sz w:val="17"/>
          <w:szCs w:val="17"/>
          <w:color w:val="auto"/>
        </w:rPr>
        <w:t>If your shares were held in an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at a broker at the close of business on the Record Date, then you are the beneficial owner of shares held in “street name” and the broker holding your account is considered to be the Shareholder of record for purposes of voting at the PAGP Annual Meeting. As a beneficial owner, you have the right to direct your broker regarding how to vote the shares in your account. You are also invited to attend the PAGP Annual Meeting as a guest. However, because you are not the Shareholder of record, you may not vote your shares or ask questions at the PAGP Annual Meeting unless you request and obtain a valid legal proxy from the organization that holds your shares giving you the right to vote the shares and ask questions at the PAGP Annual Meeting. Follow the instructions provided by your broker or bank, or contact your broker or bank to request a legal proxy form.</w:t>
      </w:r>
    </w:p>
    <w:p>
      <w:pPr>
        <w:spacing w:after="0" w:line="101" w:lineRule="exact"/>
        <w:rPr>
          <w:sz w:val="20"/>
          <w:szCs w:val="20"/>
          <w:color w:val="auto"/>
        </w:rPr>
      </w:pPr>
    </w:p>
    <w:p>
      <w:pPr>
        <w:ind w:left="1620" w:right="519"/>
        <w:spacing w:after="0" w:line="259" w:lineRule="auto"/>
        <w:rPr>
          <w:sz w:val="20"/>
          <w:szCs w:val="20"/>
          <w:color w:val="auto"/>
        </w:rPr>
      </w:pPr>
      <w:r>
        <w:rPr>
          <w:rFonts w:ascii="Arial" w:cs="Arial" w:eastAsia="Arial" w:hAnsi="Arial"/>
          <w:sz w:val="18"/>
          <w:szCs w:val="18"/>
          <w:color w:val="auto"/>
        </w:rPr>
        <w:t>After obtaining a valid legal proxy from your broker, bank or other agent, in order to vote and ask questions at the PAGP Annual Meeting, you must register to attend the PAGP Annual Meeting as a Shareholder by submitting to EQ proof of your legal proxy reflecting the number of your shares along with your name and email address. Requests for registration should be directed to proxy@equiniti.com or to facsimile number 718-765-8730. Written requests can be mailed to:</w:t>
      </w:r>
    </w:p>
    <w:p>
      <w:pPr>
        <w:spacing w:after="0" w:line="9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Equiniti Trust Company, LLC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Proxy Tabulation Department</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55 Challenger Road, Suite 200B | Ridgefield Park, NJ 07660</w:t>
      </w:r>
    </w:p>
    <w:p>
      <w:pPr>
        <w:spacing w:after="0" w:line="140" w:lineRule="exact"/>
        <w:rPr>
          <w:sz w:val="20"/>
          <w:szCs w:val="20"/>
          <w:color w:val="auto"/>
        </w:rPr>
      </w:pPr>
    </w:p>
    <w:p>
      <w:pPr>
        <w:ind w:left="1620" w:right="519"/>
        <w:spacing w:after="0" w:line="287"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13, 2026.</w:t>
      </w:r>
    </w:p>
    <w:p>
      <w:pPr>
        <w:spacing w:after="0" w:line="85" w:lineRule="exact"/>
        <w:rPr>
          <w:sz w:val="20"/>
          <w:szCs w:val="20"/>
          <w:color w:val="auto"/>
        </w:rPr>
      </w:pPr>
    </w:p>
    <w:p>
      <w:pPr>
        <w:ind w:left="1620" w:right="619"/>
        <w:spacing w:after="0" w:line="268"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PAGP Annual Meeting, submit questions and vote your shares during the meeting.</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44" w:lineRule="exact"/>
        <w:rPr>
          <w:sz w:val="20"/>
          <w:szCs w:val="20"/>
          <w:color w:val="auto"/>
        </w:rPr>
      </w:pPr>
    </w:p>
    <w:p>
      <w:pPr>
        <w:ind w:left="1620" w:right="579" w:hanging="360"/>
        <w:spacing w:after="0" w:line="28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PAGP Annual Meeting.</w:t>
      </w:r>
    </w:p>
    <w:p>
      <w:pPr>
        <w:spacing w:after="0" w:line="153" w:lineRule="exact"/>
        <w:rPr>
          <w:sz w:val="20"/>
          <w:szCs w:val="20"/>
          <w:color w:val="auto"/>
        </w:rPr>
      </w:pPr>
    </w:p>
    <w:p>
      <w:pPr>
        <w:ind w:left="1620" w:right="879" w:hanging="360"/>
        <w:spacing w:after="0" w:line="296" w:lineRule="auto"/>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will I have, and what is the total number of units entitled to vote at the PAGP Annual Meeting?</w:t>
      </w:r>
    </w:p>
    <w:p>
      <w:pPr>
        <w:spacing w:after="0" w:line="70" w:lineRule="exact"/>
        <w:rPr>
          <w:sz w:val="20"/>
          <w:szCs w:val="20"/>
          <w:color w:val="auto"/>
        </w:rPr>
      </w:pPr>
    </w:p>
    <w:p>
      <w:pPr>
        <w:ind w:left="1620" w:right="599" w:hanging="360"/>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Shareholder is entitled to one vote for each Class A, Class B and Class C share owned for proposals 1, 2 and 3. As of March 23, 2026, 197,904,124 Class A shares, 35,096,306 Class B shares and 530,943,161 Class C shares were issued and outstanding and entitled to vote. PAA owns all of the issued and outstanding Class C shares and will vote such shares on a “pass-through” basis on proposals 1, 2 and 3 at the PAGP Annual Meeting on behalf of and according to the direction of its eligible unitholders as determined at the PAA Annual Meeting.</w:t>
      </w:r>
    </w:p>
    <w:p>
      <w:pPr>
        <w:spacing w:after="0" w:line="1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620" w:right="57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vote your shares by any of the following methods:</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68" w:lineRule="exact"/>
        <w:rPr>
          <w:rFonts w:ascii="Arial" w:cs="Arial" w:eastAsia="Arial" w:hAnsi="Arial"/>
          <w:sz w:val="18"/>
          <w:szCs w:val="18"/>
          <w:color w:val="auto"/>
        </w:rPr>
      </w:pPr>
    </w:p>
    <w:p>
      <w:pPr>
        <w:ind w:left="1800" w:right="639" w:hanging="180"/>
        <w:spacing w:after="0" w:line="318"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Voting by telephone before the meeting. </w:t>
      </w:r>
      <w:r>
        <w:rPr>
          <w:rFonts w:ascii="Arial" w:cs="Arial" w:eastAsia="Arial" w:hAnsi="Arial"/>
          <w:sz w:val="17"/>
          <w:szCs w:val="17"/>
          <w:color w:val="auto"/>
        </w:rPr>
        <w:t>You may vote by telephone by calling the toll-free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listed on your proxy card. Telephone voting procedures have been established to verify</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79"/>
        <w:spacing w:after="0" w:line="287" w:lineRule="auto"/>
        <w:rPr>
          <w:sz w:val="20"/>
          <w:szCs w:val="20"/>
          <w:color w:val="auto"/>
        </w:rPr>
      </w:pPr>
      <w:r>
        <w:rPr>
          <w:rFonts w:ascii="Arial" w:cs="Arial" w:eastAsia="Arial" w:hAnsi="Arial"/>
          <w:sz w:val="18"/>
          <w:szCs w:val="18"/>
          <w:color w:val="auto"/>
        </w:rPr>
        <w:t>your identity, to allow you to provide proxy voting instructions and to confirm that your instructions were accurately recorded. Please have your proxy card available when you call.</w:t>
      </w:r>
    </w:p>
    <w:p>
      <w:pPr>
        <w:spacing w:after="0" w:line="31" w:lineRule="exact"/>
        <w:rPr>
          <w:sz w:val="20"/>
          <w:szCs w:val="20"/>
          <w:color w:val="auto"/>
        </w:rPr>
      </w:pPr>
    </w:p>
    <w:p>
      <w:pPr>
        <w:ind w:left="1800" w:right="41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 and</w:t>
      </w:r>
      <w:r>
        <w:rPr>
          <w:rFonts w:ascii="Arial" w:cs="Arial" w:eastAsia="Arial" w:hAnsi="Arial"/>
          <w:sz w:val="18"/>
          <w:szCs w:val="18"/>
          <w:i w:val="1"/>
          <w:iCs w:val="1"/>
          <w:color w:val="auto"/>
        </w:rPr>
        <w:t xml:space="preserve"> </w:t>
      </w:r>
      <w:r>
        <w:rPr>
          <w:rFonts w:ascii="Arial" w:cs="Arial" w:eastAsia="Arial" w:hAnsi="Arial"/>
          <w:sz w:val="18"/>
          <w:szCs w:val="18"/>
          <w:color w:val="auto"/>
        </w:rPr>
        <w:t>dated proxy card in the enclosed postage-paid return envelope. However, in order to ensure that your vote is received in a timely manner, we recommend that you vote online or by telephone as described above.</w:t>
      </w:r>
    </w:p>
    <w:p>
      <w:pPr>
        <w:spacing w:after="0" w:line="68"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Shareholder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PAGP Annual Meeting, ask questions and vote during the meeting. If you are a beneficial owner of shares held in street name, you must be registered to attend the PAGP Annual Meeting as a Shareholder and must have a valid legal proxy in order to ask questions and vote during the meeting. Please read the “Beneficial Owner: Shares Registered in the Name of Broker” answer under the question “Who can vote and ask questions at the PAGP Annual Meeting?” above for instructions on how to register to attend the PAGP Annual Meeting and obtain a legal proxy.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eligible Shareholders 24 hours a day until</w:t>
      </w:r>
    </w:p>
    <w:p>
      <w:pPr>
        <w:spacing w:after="0" w:line="27" w:lineRule="exact"/>
        <w:rPr>
          <w:sz w:val="20"/>
          <w:szCs w:val="20"/>
          <w:color w:val="auto"/>
        </w:rPr>
      </w:pPr>
    </w:p>
    <w:p>
      <w:pPr>
        <w:jc w:val="both"/>
        <w:ind w:left="1620" w:right="579"/>
        <w:spacing w:after="0" w:line="245" w:lineRule="auto"/>
        <w:rPr>
          <w:sz w:val="20"/>
          <w:szCs w:val="20"/>
          <w:color w:val="auto"/>
        </w:rPr>
      </w:pPr>
      <w:r>
        <w:rPr>
          <w:rFonts w:ascii="Arial" w:cs="Arial" w:eastAsia="Arial" w:hAnsi="Arial"/>
          <w:sz w:val="18"/>
          <w:szCs w:val="18"/>
          <w:color w:val="auto"/>
        </w:rPr>
        <w:t>11:59 p.m. Eastern Time on May 19, 2026, the night before the PAGP Annual Meeting. If you use the Internet or the toll-free telephone number to provide your proxy voting instructions, you do not need to mail in your proxy card. If you mail in your proxy card, it must be received by PAGP before the voting polls close at the PAGP Annual Meeting.</w:t>
      </w:r>
    </w:p>
    <w:p>
      <w:pPr>
        <w:spacing w:after="0" w:line="109" w:lineRule="exact"/>
        <w:rPr>
          <w:sz w:val="20"/>
          <w:szCs w:val="20"/>
          <w:color w:val="auto"/>
        </w:rPr>
      </w:pPr>
    </w:p>
    <w:p>
      <w:pPr>
        <w:ind w:left="1620" w:right="459"/>
        <w:spacing w:after="0" w:line="252" w:lineRule="auto"/>
        <w:rPr>
          <w:sz w:val="20"/>
          <w:szCs w:val="20"/>
          <w:color w:val="auto"/>
        </w:rPr>
      </w:pPr>
      <w:r>
        <w:rPr>
          <w:rFonts w:ascii="Arial" w:cs="Arial" w:eastAsia="Arial" w:hAnsi="Arial"/>
          <w:sz w:val="18"/>
          <w:szCs w:val="18"/>
          <w:color w:val="auto"/>
        </w:rPr>
        <w:t>Even if you plan to attend the PAGP Annual Meeting, please vote your shares by proxy in advance of the PAGP Annual Meeting (either online, by telephone or by mail as described above) as soon as possible so that your shares will be represented at the PAGP Annual Meeting if for any reason you are unable to attend.</w:t>
      </w:r>
    </w:p>
    <w:p>
      <w:pPr>
        <w:spacing w:after="0" w:line="17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44" w:lineRule="exact"/>
        <w:rPr>
          <w:sz w:val="20"/>
          <w:szCs w:val="20"/>
          <w:color w:val="auto"/>
        </w:rPr>
      </w:pPr>
    </w:p>
    <w:p>
      <w:pPr>
        <w:ind w:left="1620" w:right="999" w:hanging="360"/>
        <w:spacing w:after="0" w:line="318"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 were a Shareholder of record as of the close of business on the Record Date, you may change your vote at any time before the voting polls close at the PAGP Annual Meeting by:</w:t>
      </w:r>
    </w:p>
    <w:p>
      <w:pPr>
        <w:spacing w:after="0" w:line="21" w:lineRule="exact"/>
        <w:rPr>
          <w:rFonts w:ascii="Arial" w:cs="Arial" w:eastAsia="Arial" w:hAnsi="Arial"/>
          <w:sz w:val="17"/>
          <w:szCs w:val="17"/>
          <w:color w:val="auto"/>
        </w:rPr>
      </w:pPr>
    </w:p>
    <w:p>
      <w:pPr>
        <w:ind w:left="1800" w:right="79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19, 2026);</w:t>
      </w:r>
    </w:p>
    <w:p>
      <w:pPr>
        <w:spacing w:after="0" w:line="62" w:lineRule="exact"/>
        <w:rPr>
          <w:rFonts w:ascii="Arial" w:cs="Arial" w:eastAsia="Arial" w:hAnsi="Arial"/>
          <w:sz w:val="18"/>
          <w:szCs w:val="18"/>
          <w:color w:val="auto"/>
        </w:rPr>
      </w:pPr>
    </w:p>
    <w:p>
      <w:pPr>
        <w:ind w:left="1800" w:right="79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Equiniti Trust Company, LLC, 55 Challenger Road, Suite 200B, Ridgefield Park, NJ 07660 no later than 5:00 p.m. Eastern Time on May 19, 2026; or</w:t>
      </w:r>
    </w:p>
    <w:p>
      <w:pPr>
        <w:spacing w:after="0" w:line="62" w:lineRule="exact"/>
        <w:rPr>
          <w:rFonts w:ascii="Arial" w:cs="Arial" w:eastAsia="Arial" w:hAnsi="Arial"/>
          <w:sz w:val="18"/>
          <w:szCs w:val="18"/>
          <w:color w:val="auto"/>
        </w:rPr>
      </w:pPr>
    </w:p>
    <w:p>
      <w:pPr>
        <w:ind w:left="1800" w:right="4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attending the PAGP Annual Meeting and voting during the PAGP Annual Meeting pursuant to the instructions above. Please note that attendance at the PAGP Annual Meeting will not by itself (i.e., without also voting) revoke a previously granted proxy.</w:t>
      </w:r>
    </w:p>
    <w:p>
      <w:pPr>
        <w:spacing w:after="0" w:line="90" w:lineRule="exact"/>
        <w:rPr>
          <w:sz w:val="20"/>
          <w:szCs w:val="20"/>
          <w:color w:val="auto"/>
        </w:rPr>
      </w:pPr>
    </w:p>
    <w:p>
      <w:pPr>
        <w:ind w:left="1620" w:right="459"/>
        <w:spacing w:after="0" w:line="270" w:lineRule="auto"/>
        <w:rPr>
          <w:sz w:val="20"/>
          <w:szCs w:val="20"/>
          <w:color w:val="auto"/>
        </w:rPr>
      </w:pPr>
      <w:r>
        <w:rPr>
          <w:rFonts w:ascii="Arial" w:cs="Arial" w:eastAsia="Arial" w:hAnsi="Arial"/>
          <w:sz w:val="17"/>
          <w:szCs w:val="17"/>
          <w:color w:val="auto"/>
        </w:rPr>
        <w:t>If you were a beneficial owner of shares held in street name as of the close of business on the Record Date and you have instructed your broker or other nominee to vote your shares, you must follow the procedures provided by your broker or other nominee to change those instructions. You may also vote during the PAGP Annual Meeting if you obtain a legal proxy from your broker or other nominee and register to attend the PAGP Annual Meeting pursuant to the instructions above.</w:t>
      </w:r>
    </w:p>
    <w:p>
      <w:pPr>
        <w:spacing w:after="0" w:line="15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44" w:lineRule="exact"/>
        <w:rPr>
          <w:sz w:val="20"/>
          <w:szCs w:val="20"/>
          <w:color w:val="auto"/>
        </w:rPr>
      </w:pPr>
    </w:p>
    <w:p>
      <w:pPr>
        <w:ind w:left="1620" w:right="419" w:hanging="360"/>
        <w:spacing w:after="0" w:line="274"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46" w:lineRule="auto"/>
        <w:rPr>
          <w:sz w:val="20"/>
          <w:szCs w:val="20"/>
          <w:color w:val="auto"/>
        </w:rPr>
      </w:pPr>
      <w:r>
        <w:rPr>
          <w:rFonts w:ascii="Arial" w:cs="Arial" w:eastAsia="Arial" w:hAnsi="Arial"/>
          <w:sz w:val="18"/>
          <w:szCs w:val="18"/>
          <w:color w:val="auto"/>
        </w:rPr>
        <w:t>owners who have not provided voting instructions. The election of directors (Proposal 1) and the advisory vote to approve our 2025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and 3.</w:t>
      </w:r>
    </w:p>
    <w:p>
      <w:pPr>
        <w:spacing w:after="0" w:line="16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44" w:lineRule="exact"/>
        <w:rPr>
          <w:sz w:val="20"/>
          <w:szCs w:val="20"/>
          <w:color w:val="auto"/>
        </w:rPr>
      </w:pPr>
    </w:p>
    <w:p>
      <w:pPr>
        <w:jc w:val="both"/>
        <w:ind w:left="1620" w:right="939" w:hanging="360"/>
        <w:spacing w:after="0" w:line="268"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Class B and Class C shares, considered together, entitled to vote and present in person or by proxy at the PAGP Annual Meeting shall constitute a quorum.</w:t>
      </w:r>
    </w:p>
    <w:p>
      <w:pPr>
        <w:spacing w:after="0" w:line="10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Your shares will be counted as present at the PAGP Annual Meeting if:</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90" w:lineRule="exact"/>
        <w:rPr>
          <w:rFonts w:ascii="Arial" w:cs="Arial" w:eastAsia="Arial" w:hAnsi="Arial"/>
          <w:sz w:val="18"/>
          <w:szCs w:val="18"/>
          <w:color w:val="auto"/>
        </w:rPr>
      </w:pPr>
    </w:p>
    <w:p>
      <w:pPr>
        <w:ind w:left="1800" w:right="559" w:hanging="180"/>
        <w:spacing w:after="0" w:line="28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85" w:lineRule="exact"/>
        <w:rPr>
          <w:sz w:val="20"/>
          <w:szCs w:val="20"/>
          <w:color w:val="auto"/>
        </w:rPr>
      </w:pPr>
    </w:p>
    <w:p>
      <w:pPr>
        <w:ind w:left="1620" w:right="879"/>
        <w:spacing w:after="0" w:line="271"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154" w:lineRule="exact"/>
        <w:rPr>
          <w:sz w:val="20"/>
          <w:szCs w:val="20"/>
          <w:color w:val="auto"/>
        </w:rPr>
      </w:pPr>
    </w:p>
    <w:p>
      <w:pPr>
        <w:ind w:left="1620" w:right="739" w:hanging="360"/>
        <w:spacing w:after="0" w:line="296" w:lineRule="auto"/>
        <w:tabs>
          <w:tab w:leader="none" w:pos="1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56" w:lineRule="exact"/>
        <w:rPr>
          <w:sz w:val="20"/>
          <w:szCs w:val="20"/>
          <w:color w:val="auto"/>
        </w:rPr>
      </w:pPr>
    </w:p>
    <w:p>
      <w:pPr>
        <w:ind w:left="1620" w:right="719" w:hanging="360"/>
        <w:spacing w:after="0" w:line="28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proposals that will be voted upon and the required vote for approval of such proposals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83185</wp:posOffset>
            </wp:positionV>
            <wp:extent cx="4980305" cy="381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0305" cy="3814445"/>
                    </a:xfrm>
                    <a:prstGeom prst="rect">
                      <a:avLst/>
                    </a:prstGeom>
                    <a:noFill/>
                  </pic:spPr>
                </pic:pic>
              </a:graphicData>
            </a:graphic>
          </wp:anchor>
        </w:drawing>
      </w:r>
    </w:p>
    <w:p>
      <w:pPr>
        <w:spacing w:after="0" w:line="11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80" w:type="dxa"/>
            <w:vAlign w:val="bottom"/>
            <w:shd w:val="clear" w:color="auto" w:fill="424E6A"/>
          </w:tcPr>
          <w:p>
            <w:pPr>
              <w:spacing w:after="0"/>
              <w:rPr>
                <w:sz w:val="17"/>
                <w:szCs w:val="17"/>
                <w:color w:val="auto"/>
              </w:rPr>
            </w:pPr>
          </w:p>
        </w:tc>
        <w:tc>
          <w:tcPr>
            <w:tcW w:w="1260" w:type="dxa"/>
            <w:vAlign w:val="bottom"/>
            <w:shd w:val="clear" w:color="auto" w:fill="424E6A"/>
          </w:tcPr>
          <w:p>
            <w:pPr>
              <w:spacing w:after="0"/>
              <w:rPr>
                <w:sz w:val="17"/>
                <w:szCs w:val="17"/>
                <w:color w:val="auto"/>
              </w:rPr>
            </w:pPr>
          </w:p>
        </w:tc>
        <w:tc>
          <w:tcPr>
            <w:tcW w:w="1840" w:type="dxa"/>
            <w:vAlign w:val="bottom"/>
            <w:shd w:val="clear" w:color="auto" w:fill="424E6A"/>
          </w:tcPr>
          <w:p>
            <w:pPr>
              <w:spacing w:after="0"/>
              <w:rPr>
                <w:sz w:val="17"/>
                <w:szCs w:val="17"/>
                <w:color w:val="auto"/>
              </w:rPr>
            </w:pPr>
          </w:p>
        </w:tc>
        <w:tc>
          <w:tcPr>
            <w:tcW w:w="3240" w:type="dxa"/>
            <w:vAlign w:val="bottom"/>
            <w:shd w:val="clear" w:color="auto" w:fill="424E6A"/>
          </w:tcPr>
          <w:p>
            <w:pPr>
              <w:jc w:val="center"/>
              <w:ind w:left="313"/>
              <w:spacing w:after="0"/>
              <w:rPr>
                <w:sz w:val="20"/>
                <w:szCs w:val="20"/>
                <w:color w:val="auto"/>
              </w:rPr>
            </w:pPr>
            <w:r>
              <w:rPr>
                <w:rFonts w:ascii="Arial" w:cs="Arial" w:eastAsia="Arial" w:hAnsi="Arial"/>
                <w:sz w:val="14"/>
                <w:szCs w:val="14"/>
                <w:b w:val="1"/>
                <w:bCs w:val="1"/>
                <w:color w:val="FFFFFF"/>
              </w:rPr>
              <w:t>Vote Required for Approval of</w:t>
            </w:r>
          </w:p>
        </w:tc>
      </w:tr>
      <w:tr>
        <w:trPr>
          <w:trHeight w:val="198"/>
        </w:trPr>
        <w:tc>
          <w:tcPr>
            <w:tcW w:w="1480" w:type="dxa"/>
            <w:vAlign w:val="bottom"/>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Proposal</w:t>
            </w:r>
          </w:p>
        </w:tc>
        <w:tc>
          <w:tcPr>
            <w:tcW w:w="1260" w:type="dxa"/>
            <w:vAlign w:val="bottom"/>
            <w:shd w:val="clear" w:color="auto" w:fill="424E6A"/>
          </w:tcPr>
          <w:p>
            <w:pPr>
              <w:ind w:left="760"/>
              <w:spacing w:after="0"/>
              <w:rPr>
                <w:sz w:val="20"/>
                <w:szCs w:val="20"/>
                <w:color w:val="auto"/>
              </w:rPr>
            </w:pPr>
            <w:r>
              <w:rPr>
                <w:rFonts w:ascii="Arial" w:cs="Arial" w:eastAsia="Arial" w:hAnsi="Arial"/>
                <w:sz w:val="14"/>
                <w:szCs w:val="14"/>
                <w:b w:val="1"/>
                <w:bCs w:val="1"/>
                <w:color w:val="FFFFFF"/>
              </w:rPr>
              <w:t>​ ​</w:t>
            </w:r>
          </w:p>
        </w:tc>
        <w:tc>
          <w:tcPr>
            <w:tcW w:w="1840" w:type="dxa"/>
            <w:vAlign w:val="bottom"/>
            <w:shd w:val="clear" w:color="auto" w:fill="424E6A"/>
          </w:tcPr>
          <w:p>
            <w:pPr>
              <w:ind w:left="400"/>
              <w:spacing w:after="0"/>
              <w:rPr>
                <w:sz w:val="20"/>
                <w:szCs w:val="20"/>
                <w:color w:val="auto"/>
              </w:rPr>
            </w:pPr>
            <w:r>
              <w:rPr>
                <w:rFonts w:ascii="Arial" w:cs="Arial" w:eastAsia="Arial" w:hAnsi="Arial"/>
                <w:sz w:val="14"/>
                <w:szCs w:val="14"/>
                <w:b w:val="1"/>
                <w:bCs w:val="1"/>
                <w:color w:val="FFFFFF"/>
              </w:rPr>
              <w:t>Voting Options</w:t>
            </w:r>
          </w:p>
        </w:tc>
        <w:tc>
          <w:tcPr>
            <w:tcW w:w="3240" w:type="dxa"/>
            <w:vAlign w:val="bottom"/>
            <w:shd w:val="clear" w:color="auto" w:fill="424E6A"/>
          </w:tcPr>
          <w:p>
            <w:pPr>
              <w:jc w:val="center"/>
              <w:ind w:left="31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Proposal at the PAGP Annual Meeting </w:t>
            </w:r>
            <w:r>
              <w:rPr>
                <w:rFonts w:ascii="Arial" w:cs="Arial" w:eastAsia="Arial" w:hAnsi="Arial"/>
                <w:sz w:val="22"/>
                <w:szCs w:val="22"/>
                <w:b w:val="1"/>
                <w:bCs w:val="1"/>
                <w:color w:val="FFFFFF"/>
                <w:vertAlign w:val="subscript"/>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740" w:hanging="107"/>
        <w:spacing w:after="0" w:line="280" w:lineRule="auto"/>
        <w:tabs>
          <w:tab w:leader="none" w:pos="1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 The election of four Class I directors to serve on the Board until the 2029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You may vote “FOR”, or you may​ ​ Directors will be elected by a</w:t>
      </w:r>
    </w:p>
    <w:p>
      <w:pPr>
        <w:spacing w:after="0" w:line="22" w:lineRule="exact"/>
        <w:rPr>
          <w:sz w:val="20"/>
          <w:szCs w:val="20"/>
          <w:color w:val="auto"/>
        </w:rPr>
      </w:pPr>
    </w:p>
    <w:p>
      <w:pPr>
        <w:ind w:left="160"/>
        <w:spacing w:after="0"/>
        <w:tabs>
          <w:tab w:leader="none" w:pos="2880" w:val="left"/>
        </w:tabs>
        <w:rPr>
          <w:sz w:val="20"/>
          <w:szCs w:val="20"/>
          <w:color w:val="auto"/>
        </w:rPr>
      </w:pPr>
      <w:r>
        <w:rPr>
          <w:rFonts w:ascii="Arial" w:cs="Arial" w:eastAsia="Arial" w:hAnsi="Arial"/>
          <w:sz w:val="18"/>
          <w:szCs w:val="18"/>
          <w:color w:val="auto"/>
        </w:rPr>
        <w:t>“WITHHOLD” authority to vote</w:t>
      </w:r>
      <w:r>
        <w:rPr>
          <w:sz w:val="20"/>
          <w:szCs w:val="20"/>
          <w:color w:val="auto"/>
        </w:rPr>
        <w:tab/>
      </w:r>
      <w:r>
        <w:rPr>
          <w:rFonts w:ascii="Arial" w:cs="Arial" w:eastAsia="Arial" w:hAnsi="Arial"/>
          <w:sz w:val="17"/>
          <w:szCs w:val="17"/>
          <w:color w:val="auto"/>
        </w:rPr>
        <w:t>plurality of the votes cast by the</w:t>
      </w:r>
    </w:p>
    <w:p>
      <w:pPr>
        <w:spacing w:after="0" w:line="9" w:lineRule="exact"/>
        <w:rPr>
          <w:sz w:val="20"/>
          <w:szCs w:val="20"/>
          <w:color w:val="auto"/>
        </w:rPr>
      </w:pPr>
    </w:p>
    <w:p>
      <w:pPr>
        <w:ind w:left="160"/>
        <w:spacing w:after="0"/>
        <w:tabs>
          <w:tab w:leader="none" w:pos="2880" w:val="left"/>
        </w:tabs>
        <w:rPr>
          <w:sz w:val="20"/>
          <w:szCs w:val="20"/>
          <w:color w:val="auto"/>
        </w:rPr>
      </w:pPr>
      <w:r>
        <w:rPr>
          <w:rFonts w:ascii="Arial" w:cs="Arial" w:eastAsia="Arial" w:hAnsi="Arial"/>
          <w:sz w:val="18"/>
          <w:szCs w:val="18"/>
          <w:color w:val="auto"/>
        </w:rPr>
        <w:t>for, all, some or none of the</w:t>
      </w:r>
      <w:r>
        <w:rPr>
          <w:sz w:val="20"/>
          <w:szCs w:val="20"/>
          <w:color w:val="auto"/>
        </w:rPr>
        <w:tab/>
      </w:r>
      <w:r>
        <w:rPr>
          <w:rFonts w:ascii="Arial" w:cs="Arial" w:eastAsia="Arial" w:hAnsi="Arial"/>
          <w:sz w:val="17"/>
          <w:szCs w:val="17"/>
          <w:color w:val="auto"/>
        </w:rPr>
        <w:t>holders of our Class A, Class B</w:t>
      </w:r>
    </w:p>
    <w:p>
      <w:pPr>
        <w:spacing w:after="0" w:line="9" w:lineRule="exact"/>
        <w:rPr>
          <w:sz w:val="20"/>
          <w:szCs w:val="20"/>
          <w:color w:val="auto"/>
        </w:rPr>
      </w:pPr>
    </w:p>
    <w:p>
      <w:pPr>
        <w:ind w:left="160"/>
        <w:spacing w:after="0"/>
        <w:tabs>
          <w:tab w:leader="none" w:pos="2880" w:val="left"/>
        </w:tabs>
        <w:rPr>
          <w:sz w:val="20"/>
          <w:szCs w:val="20"/>
          <w:color w:val="auto"/>
        </w:rPr>
      </w:pPr>
      <w:r>
        <w:rPr>
          <w:rFonts w:ascii="Arial" w:cs="Arial" w:eastAsia="Arial" w:hAnsi="Arial"/>
          <w:sz w:val="18"/>
          <w:szCs w:val="18"/>
          <w:color w:val="auto"/>
        </w:rPr>
        <w:t>nominees for director.</w:t>
      </w:r>
      <w:r>
        <w:rPr>
          <w:sz w:val="20"/>
          <w:szCs w:val="20"/>
          <w:color w:val="auto"/>
        </w:rPr>
        <w:tab/>
      </w:r>
      <w:r>
        <w:rPr>
          <w:rFonts w:ascii="Arial" w:cs="Arial" w:eastAsia="Arial" w:hAnsi="Arial"/>
          <w:sz w:val="17"/>
          <w:szCs w:val="17"/>
          <w:color w:val="auto"/>
        </w:rPr>
        <w:t>and Class C shares (voting as a</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single class) entitled to vote and</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present in person or by proxy at</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the meeting. Withheld votes and</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broker non-votes are not</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considered votes cast and will</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have no effect on the election of</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217" w:lineRule="exact"/>
        <w:rPr>
          <w:sz w:val="20"/>
          <w:szCs w:val="20"/>
          <w:color w:val="auto"/>
        </w:rPr>
      </w:pPr>
    </w:p>
    <w:p>
      <w:pPr>
        <w:sectPr>
          <w:pgSz w:w="11900" w:h="16838" w:orient="portrait"/>
          <w:cols w:equalWidth="0" w:num="3">
            <w:col w:w="3680" w:space="160"/>
            <w:col w:w="5440" w:space="60"/>
            <w:col w:w="539"/>
          </w:cols>
          <w:pgMar w:left="580" w:top="97" w:right="1440" w:bottom="1440" w:gutter="0" w:footer="0" w:header="0"/>
          <w:type w:val="continuous"/>
        </w:sectPr>
      </w:pPr>
    </w:p>
    <w:p>
      <w:pPr>
        <w:spacing w:after="0" w:line="54" w:lineRule="exact"/>
        <w:rPr>
          <w:sz w:val="20"/>
          <w:szCs w:val="20"/>
          <w:color w:val="auto"/>
        </w:rPr>
      </w:pPr>
    </w:p>
    <w:p>
      <w:pPr>
        <w:ind w:left="1740" w:hanging="107"/>
        <w:spacing w:after="0" w:line="238" w:lineRule="auto"/>
        <w:tabs>
          <w:tab w:leader="none" w:pos="1740" w:val="left"/>
        </w:tabs>
        <w:numPr>
          <w:ilvl w:val="0"/>
          <w:numId w:val="21"/>
        </w:numPr>
        <w:rPr>
          <w:rFonts w:ascii="Arial" w:cs="Arial" w:eastAsia="Arial" w:hAnsi="Arial"/>
          <w:sz w:val="34"/>
          <w:szCs w:val="34"/>
          <w:color w:val="auto"/>
          <w:vertAlign w:val="superscript"/>
        </w:rPr>
      </w:pPr>
      <w:r>
        <w:rPr>
          <w:rFonts w:ascii="Arial" w:cs="Arial" w:eastAsia="Arial" w:hAnsi="Arial"/>
          <w:sz w:val="17"/>
          <w:szCs w:val="17"/>
          <w:color w:val="auto"/>
        </w:rPr>
        <w:t>2. The ratification of the appointment of PricewaterhouseCoopers LLP as PAGP’s and PAA’s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ind w:left="166" w:hanging="166"/>
        <w:spacing w:after="0" w:line="222" w:lineRule="auto"/>
        <w:tabs>
          <w:tab w:leader="none" w:pos="85" w:val="left"/>
        </w:tabs>
        <w:numPr>
          <w:ilvl w:val="0"/>
          <w:numId w:val="22"/>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ind w:left="152" w:hanging="152"/>
        <w:spacing w:after="0" w:line="254" w:lineRule="auto"/>
        <w:tabs>
          <w:tab w:leader="none" w:pos="71" w:val="left"/>
        </w:tabs>
        <w:numPr>
          <w:ilvl w:val="0"/>
          <w:numId w:val="23"/>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In order for this proposal to be approved, it must receive the affirmative vote of a majority of the Class A, Class B and Class C shares (voting as a single class) entitled to vote and present in person or by proxy at the meeting. Abstentions will be counted as votes present and entitled to vote and will have the same effect as votes “AGAINST” this proposal. We do not expect there to be any broker non-votes with respect to this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096" w:lineRule="exact"/>
        <w:rPr>
          <w:sz w:val="20"/>
          <w:szCs w:val="20"/>
          <w:color w:val="auto"/>
        </w:rPr>
      </w:pPr>
    </w:p>
    <w:p>
      <w:pPr>
        <w:sectPr>
          <w:pgSz w:w="11900" w:h="16838" w:orient="portrait"/>
          <w:cols w:equalWidth="0" w:num="4">
            <w:col w:w="3800" w:space="34"/>
            <w:col w:w="2666" w:space="88"/>
            <w:col w:w="2732" w:space="20"/>
            <w:col w:w="539"/>
          </w:cols>
          <w:pgMar w:left="580" w:top="97" w:right="1440" w:bottom="1440" w:gutter="0" w:footer="0" w:header="0"/>
          <w:type w:val="continuous"/>
        </w:sect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544195</wp:posOffset>
            </wp:positionV>
            <wp:extent cx="4980305" cy="2391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030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80" w:type="dxa"/>
            <w:vAlign w:val="bottom"/>
            <w:shd w:val="clear" w:color="auto" w:fill="424E6A"/>
          </w:tcPr>
          <w:p>
            <w:pPr>
              <w:spacing w:after="0"/>
              <w:rPr>
                <w:sz w:val="17"/>
                <w:szCs w:val="17"/>
                <w:color w:val="auto"/>
              </w:rPr>
            </w:pPr>
          </w:p>
        </w:tc>
        <w:tc>
          <w:tcPr>
            <w:tcW w:w="1260" w:type="dxa"/>
            <w:vAlign w:val="bottom"/>
            <w:shd w:val="clear" w:color="auto" w:fill="424E6A"/>
          </w:tcPr>
          <w:p>
            <w:pPr>
              <w:spacing w:after="0"/>
              <w:rPr>
                <w:sz w:val="17"/>
                <w:szCs w:val="17"/>
                <w:color w:val="auto"/>
              </w:rPr>
            </w:pPr>
          </w:p>
        </w:tc>
        <w:tc>
          <w:tcPr>
            <w:tcW w:w="1840" w:type="dxa"/>
            <w:vAlign w:val="bottom"/>
            <w:shd w:val="clear" w:color="auto" w:fill="424E6A"/>
          </w:tcPr>
          <w:p>
            <w:pPr>
              <w:spacing w:after="0"/>
              <w:rPr>
                <w:sz w:val="17"/>
                <w:szCs w:val="17"/>
                <w:color w:val="auto"/>
              </w:rPr>
            </w:pPr>
          </w:p>
        </w:tc>
        <w:tc>
          <w:tcPr>
            <w:tcW w:w="3240" w:type="dxa"/>
            <w:vAlign w:val="bottom"/>
            <w:shd w:val="clear" w:color="auto" w:fill="424E6A"/>
          </w:tcPr>
          <w:p>
            <w:pPr>
              <w:jc w:val="center"/>
              <w:ind w:left="308"/>
              <w:spacing w:after="0"/>
              <w:rPr>
                <w:sz w:val="20"/>
                <w:szCs w:val="20"/>
                <w:color w:val="auto"/>
              </w:rPr>
            </w:pPr>
            <w:r>
              <w:rPr>
                <w:rFonts w:ascii="Arial" w:cs="Arial" w:eastAsia="Arial" w:hAnsi="Arial"/>
                <w:sz w:val="14"/>
                <w:szCs w:val="14"/>
                <w:b w:val="1"/>
                <w:bCs w:val="1"/>
                <w:color w:val="FFFFFF"/>
              </w:rPr>
              <w:t>Vote Required for Approval of</w:t>
            </w:r>
          </w:p>
        </w:tc>
      </w:tr>
      <w:tr>
        <w:trPr>
          <w:trHeight w:val="185"/>
        </w:trPr>
        <w:tc>
          <w:tcPr>
            <w:tcW w:w="14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​Proposal</w:t>
            </w:r>
          </w:p>
        </w:tc>
        <w:tc>
          <w:tcPr>
            <w:tcW w:w="1260" w:type="dxa"/>
            <w:vAlign w:val="bottom"/>
            <w:shd w:val="clear" w:color="auto" w:fill="424E6A"/>
          </w:tcPr>
          <w:p>
            <w:pPr>
              <w:ind w:left="760"/>
              <w:spacing w:after="0"/>
              <w:rPr>
                <w:sz w:val="20"/>
                <w:szCs w:val="20"/>
                <w:color w:val="auto"/>
              </w:rPr>
            </w:pPr>
            <w:r>
              <w:rPr>
                <w:rFonts w:ascii="Arial" w:cs="Arial" w:eastAsia="Arial" w:hAnsi="Arial"/>
                <w:sz w:val="14"/>
                <w:szCs w:val="14"/>
                <w:b w:val="1"/>
                <w:bCs w:val="1"/>
                <w:color w:val="FFFFFF"/>
              </w:rPr>
              <w:t>​ ​</w:t>
            </w:r>
          </w:p>
        </w:tc>
        <w:tc>
          <w:tcPr>
            <w:tcW w:w="1840" w:type="dxa"/>
            <w:vAlign w:val="bottom"/>
            <w:shd w:val="clear" w:color="auto" w:fill="424E6A"/>
          </w:tcPr>
          <w:p>
            <w:pPr>
              <w:ind w:left="400"/>
              <w:spacing w:after="0"/>
              <w:rPr>
                <w:sz w:val="20"/>
                <w:szCs w:val="20"/>
                <w:color w:val="auto"/>
              </w:rPr>
            </w:pPr>
            <w:r>
              <w:rPr>
                <w:rFonts w:ascii="Arial" w:cs="Arial" w:eastAsia="Arial" w:hAnsi="Arial"/>
                <w:sz w:val="14"/>
                <w:szCs w:val="14"/>
                <w:b w:val="1"/>
                <w:bCs w:val="1"/>
                <w:color w:val="FFFFFF"/>
              </w:rPr>
              <w:t>Voting Options</w:t>
            </w:r>
          </w:p>
        </w:tc>
        <w:tc>
          <w:tcPr>
            <w:tcW w:w="3240" w:type="dxa"/>
            <w:vAlign w:val="bottom"/>
            <w:shd w:val="clear" w:color="auto" w:fill="424E6A"/>
          </w:tcPr>
          <w:p>
            <w:pPr>
              <w:jc w:val="center"/>
              <w:ind w:left="308"/>
              <w:spacing w:after="0"/>
              <w:rPr>
                <w:sz w:val="20"/>
                <w:szCs w:val="20"/>
                <w:color w:val="auto"/>
              </w:rPr>
            </w:pPr>
            <w:r>
              <w:rPr>
                <w:rFonts w:ascii="Arial" w:cs="Arial" w:eastAsia="Arial" w:hAnsi="Arial"/>
                <w:sz w:val="14"/>
                <w:szCs w:val="14"/>
                <w:b w:val="1"/>
                <w:bCs w:val="1"/>
                <w:color w:val="FFFFFF"/>
              </w:rPr>
              <w:t>​ ​Proposal at the PAGP Annual Meeting ​</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p>
      <w:pPr>
        <w:ind w:left="1740" w:hanging="107"/>
        <w:spacing w:after="0" w:line="213" w:lineRule="auto"/>
        <w:tabs>
          <w:tab w:leader="none" w:pos="174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3. The approval, on a non-binding advisory basis, of our 2025 named executive officer compensation.</w:t>
      </w:r>
    </w:p>
    <w:p>
      <w:pPr>
        <w:spacing w:after="0" w:line="20" w:lineRule="exact"/>
        <w:rPr>
          <w:sz w:val="20"/>
          <w:szCs w:val="20"/>
          <w:color w:val="auto"/>
        </w:rPr>
      </w:pPr>
      <w:r>
        <w:rPr>
          <w:sz w:val="20"/>
          <w:szCs w:val="20"/>
          <w:color w:val="auto"/>
        </w:rPr>
        <w:br w:type="column"/>
      </w:r>
    </w:p>
    <w:p>
      <w:pPr>
        <w:ind w:left="166" w:hanging="166"/>
        <w:spacing w:after="0" w:line="216" w:lineRule="auto"/>
        <w:tabs>
          <w:tab w:leader="none" w:pos="85" w:val="left"/>
        </w:tabs>
        <w:numPr>
          <w:ilvl w:val="0"/>
          <w:numId w:val="25"/>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740" w:type="dxa"/>
            <w:vAlign w:val="bottom"/>
          </w:tcPr>
          <w:p>
            <w:pPr>
              <w:spacing w:after="0" w:line="251"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In order for this non-binding</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w w:val="99"/>
              </w:rPr>
              <w:t>proposal to be approved, it must</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receive the affirmative vote of a</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majority of the Class A, Class B</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and Class C shares (voting as a</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w w:val="99"/>
              </w:rPr>
              <w:t>single class) entitled to vote and</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present in person or by proxy at</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the meeting. Abstentions will be</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counted as votes present and</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w w:val="99"/>
              </w:rPr>
              <w:t>entitled to vote and will have the</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w w:val="98"/>
              </w:rPr>
              <w:t>same effect as votes “AGAINST”</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this proposal. Broker non-votes</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are not considered votes cast</w:t>
            </w:r>
          </w:p>
        </w:tc>
        <w:tc>
          <w:tcPr>
            <w:tcW w:w="80" w:type="dxa"/>
            <w:vAlign w:val="bottom"/>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and will have no effect on the</w:t>
            </w:r>
          </w:p>
        </w:tc>
        <w:tc>
          <w:tcPr>
            <w:tcW w:w="80" w:type="dxa"/>
            <w:vAlign w:val="bottom"/>
          </w:tcPr>
          <w:p>
            <w:pPr>
              <w:spacing w:after="0"/>
              <w:rPr>
                <w:sz w:val="18"/>
                <w:szCs w:val="18"/>
                <w:color w:val="auto"/>
              </w:rPr>
            </w:pPr>
          </w:p>
        </w:tc>
      </w:tr>
      <w:tr>
        <w:trPr>
          <w:trHeight w:val="239"/>
        </w:trPr>
        <w:tc>
          <w:tcPr>
            <w:tcW w:w="2740" w:type="dxa"/>
            <w:vAlign w:val="bottom"/>
          </w:tcPr>
          <w:p>
            <w:pPr>
              <w:ind w:left="160"/>
              <w:spacing w:after="0"/>
              <w:rPr>
                <w:sz w:val="20"/>
                <w:szCs w:val="20"/>
                <w:color w:val="auto"/>
              </w:rPr>
            </w:pPr>
            <w:r>
              <w:rPr>
                <w:rFonts w:ascii="Arial" w:cs="Arial" w:eastAsia="Arial" w:hAnsi="Arial"/>
                <w:sz w:val="18"/>
                <w:szCs w:val="18"/>
                <w:color w:val="auto"/>
              </w:rPr>
              <w:t>outcome of this proposal.</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3740" w:space="94"/>
            <w:col w:w="2666" w:space="80"/>
            <w:col w:w="3299"/>
          </w:cols>
          <w:pgMar w:left="580" w:top="97" w:right="1440" w:bottom="1440" w:gutter="0" w:footer="0" w:header="0"/>
          <w:type w:val="continuous"/>
        </w:sectPr>
      </w:pPr>
    </w:p>
    <w:p>
      <w:pPr>
        <w:spacing w:after="0" w:line="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58" w:lineRule="exact"/>
        <w:rPr>
          <w:sz w:val="20"/>
          <w:szCs w:val="20"/>
          <w:color w:val="auto"/>
        </w:rPr>
      </w:pPr>
    </w:p>
    <w:p>
      <w:pPr>
        <w:ind w:left="1620" w:right="439" w:hanging="360"/>
        <w:spacing w:after="0" w:line="271" w:lineRule="auto"/>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close of business on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$11,000 plus reasonable expenses for additional services.</w:t>
      </w:r>
    </w:p>
    <w:p>
      <w:pPr>
        <w:spacing w:after="0" w:line="16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58" w:lineRule="exact"/>
        <w:rPr>
          <w:sz w:val="20"/>
          <w:szCs w:val="20"/>
          <w:color w:val="auto"/>
        </w:rPr>
      </w:pPr>
    </w:p>
    <w:p>
      <w:pPr>
        <w:ind w:left="1620" w:right="619" w:hanging="36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44" w:lineRule="exact"/>
        <w:rPr>
          <w:sz w:val="20"/>
          <w:szCs w:val="20"/>
          <w:color w:val="auto"/>
        </w:rPr>
      </w:pPr>
    </w:p>
    <w:p>
      <w:pPr>
        <w:ind w:left="1620" w:right="1139" w:hanging="360"/>
        <w:spacing w:after="0" w:line="28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 will tabulate and certify the vote, and a representative of EQ will act as the independent inspector of elections for the PAGP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jc w:val="both"/>
        <w:ind w:left="1260" w:right="579" w:firstLine="360"/>
        <w:spacing w:after="0" w:line="262" w:lineRule="auto"/>
        <w:rPr>
          <w:sz w:val="20"/>
          <w:szCs w:val="20"/>
          <w:color w:val="auto"/>
        </w:rPr>
      </w:pPr>
      <w:r>
        <w:rPr>
          <w:rFonts w:ascii="Arial" w:cs="Arial" w:eastAsia="Arial" w:hAnsi="Arial"/>
          <w:sz w:val="18"/>
          <w:szCs w:val="18"/>
          <w:color w:val="auto"/>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Unified Governance Structure and Enfranchisement of Unitholders</w:t>
      </w:r>
    </w:p>
    <w:p>
      <w:pPr>
        <w:spacing w:after="0" w:line="115" w:lineRule="exact"/>
        <w:rPr>
          <w:sz w:val="20"/>
          <w:szCs w:val="20"/>
          <w:color w:val="auto"/>
        </w:rPr>
      </w:pPr>
    </w:p>
    <w:p>
      <w:pPr>
        <w:ind w:left="1800" w:right="739" w:hanging="180"/>
        <w:spacing w:after="0" w:line="262"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ind w:left="1800" w:right="919" w:hanging="180"/>
        <w:spacing w:after="0" w:line="276"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r>
        <w:rPr>
          <w:rFonts w:ascii="Arial" w:cs="Arial" w:eastAsia="Arial" w:hAnsi="Arial"/>
          <w:sz w:val="25"/>
          <w:szCs w:val="25"/>
          <w:color w:val="auto"/>
          <w:vertAlign w:val="superscript"/>
        </w:rPr>
        <w:t>1</w:t>
      </w:r>
    </w:p>
    <w:p>
      <w:pPr>
        <w:spacing w:after="0" w:line="2" w:lineRule="exact"/>
        <w:rPr>
          <w:rFonts w:ascii="Arial" w:cs="Arial" w:eastAsia="Arial" w:hAnsi="Arial"/>
          <w:sz w:val="17"/>
          <w:szCs w:val="17"/>
          <w:color w:val="auto"/>
        </w:rPr>
      </w:pPr>
    </w:p>
    <w:p>
      <w:pPr>
        <w:ind w:left="1800" w:right="51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pacing w:after="0" w:line="44" w:lineRule="exact"/>
        <w:rPr>
          <w:rFonts w:ascii="Arial" w:cs="Arial" w:eastAsia="Arial" w:hAnsi="Arial"/>
          <w:sz w:val="18"/>
          <w:szCs w:val="18"/>
          <w:color w:val="auto"/>
        </w:rPr>
      </w:pPr>
    </w:p>
    <w:p>
      <w:pPr>
        <w:ind w:left="1800" w:right="659" w:hanging="180"/>
        <w:spacing w:after="0" w:line="291"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115" w:lineRule="exact"/>
        <w:rPr>
          <w:sz w:val="20"/>
          <w:szCs w:val="20"/>
          <w:color w:val="auto"/>
        </w:rPr>
      </w:pPr>
    </w:p>
    <w:p>
      <w:pPr>
        <w:ind w:left="1800" w:right="439" w:hanging="180"/>
        <w:spacing w:after="0" w:line="262"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p>
    <w:p>
      <w:pPr>
        <w:spacing w:after="0" w:line="68"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Amended our governing documents to create a strong lead independent director role in connection with the retirement of our former Chairman and the re-combination of the roles of Chairman and CEO. The Board believes that rotation of the Lead Director role after approximately five years is a good governance practice. John Raymond has served as Lead Director since June 2025, succeeding Bobby Shackouls who served in that role from January 2020 until</w:t>
      </w:r>
    </w:p>
    <w:p>
      <w:pPr>
        <w:spacing w:after="0" w:line="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June 2025.</w:t>
      </w:r>
    </w:p>
    <w:p>
      <w:pPr>
        <w:spacing w:after="0" w:line="112" w:lineRule="exact"/>
        <w:rPr>
          <w:rFonts w:ascii="Arial" w:cs="Arial" w:eastAsia="Arial" w:hAnsi="Arial"/>
          <w:sz w:val="17"/>
          <w:szCs w:val="17"/>
          <w:color w:val="auto"/>
        </w:rPr>
      </w:pPr>
    </w:p>
    <w:p>
      <w:pPr>
        <w:ind w:left="1800" w:right="71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Mandated that the members of all standing Board committees be independent despite the fact that as a limited partnership, we are exempt from applicable stock exchange committee independence requirements.</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Board Refreshment, Oversight and Process</w:t>
      </w:r>
    </w:p>
    <w:p>
      <w:pPr>
        <w:spacing w:after="0" w:line="115" w:lineRule="exact"/>
        <w:rPr>
          <w:sz w:val="20"/>
          <w:szCs w:val="20"/>
          <w:color w:val="auto"/>
        </w:rPr>
      </w:pPr>
    </w:p>
    <w:p>
      <w:pPr>
        <w:ind w:left="1800" w:right="479" w:hanging="180"/>
        <w:spacing w:after="0" w:line="262"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p>
    <w:p>
      <w:pPr>
        <w:spacing w:after="0" w:line="81" w:lineRule="exact"/>
        <w:rPr>
          <w:rFonts w:ascii="Arial" w:cs="Arial" w:eastAsia="Arial" w:hAnsi="Arial"/>
          <w:sz w:val="18"/>
          <w:szCs w:val="18"/>
          <w:color w:val="auto"/>
        </w:rPr>
      </w:pPr>
    </w:p>
    <w:p>
      <w:pPr>
        <w:ind w:left="1800" w:right="779" w:hanging="180"/>
        <w:spacing w:after="0" w:line="287"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January 2017, six new directors have been added to the Board, and five directors have departed the Board.</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Adopted Equity Ownership Guidelines and a Clawback Policy.</w:t>
      </w:r>
    </w:p>
    <w:p>
      <w:pPr>
        <w:spacing w:after="0" w:line="117" w:lineRule="exact"/>
        <w:rPr>
          <w:rFonts w:ascii="Arial" w:cs="Arial" w:eastAsia="Arial" w:hAnsi="Arial"/>
          <w:sz w:val="18"/>
          <w:szCs w:val="18"/>
          <w:color w:val="auto"/>
        </w:rPr>
      </w:pPr>
    </w:p>
    <w:p>
      <w:pPr>
        <w:ind w:left="1800" w:right="679" w:hanging="180"/>
        <w:spacing w:after="0" w:line="268"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Established the Health, Safety, Environmental and Sustainability (“HSES”) Committee to assist the Board in its oversight of various HSES matters and facilitate the efforts of management to further strengthen our focus on sustainability and certain ESG matters.</w:t>
      </w:r>
    </w:p>
    <w:p>
      <w:pPr>
        <w:spacing w:after="0" w:line="217" w:lineRule="exact"/>
        <w:rPr>
          <w:rFonts w:ascii="Arial" w:cs="Arial" w:eastAsia="Arial" w:hAnsi="Arial"/>
          <w:sz w:val="18"/>
          <w:szCs w:val="18"/>
          <w:color w:val="auto"/>
        </w:rPr>
      </w:pPr>
    </w:p>
    <w:p>
      <w:pPr>
        <w:ind w:left="1620" w:right="719" w:hanging="360"/>
        <w:spacing w:after="0" w:line="228"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These fundamental changes to our governance structure were overwhelmingly approved by our shareholders at a special meeting of PAGP’s shareholders held in November 2016 in connection with our Simplification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-507365</wp:posOffset>
            </wp:positionV>
            <wp:extent cx="123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The features described above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described above, is consistent with the desires and expectations of investors in PAA and PAGP.</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58" w:lineRule="exact"/>
        <w:rPr>
          <w:sz w:val="20"/>
          <w:szCs w:val="20"/>
          <w:color w:val="auto"/>
        </w:rPr>
      </w:pPr>
    </w:p>
    <w:p>
      <w:pPr>
        <w:ind w:left="1260" w:right="619" w:firstLine="360"/>
        <w:spacing w:after="0" w:line="262" w:lineRule="auto"/>
        <w:rPr>
          <w:sz w:val="20"/>
          <w:szCs w:val="20"/>
          <w:color w:val="auto"/>
        </w:rPr>
      </w:pPr>
      <w:r>
        <w:rPr>
          <w:rFonts w:ascii="Arial" w:cs="Arial" w:eastAsia="Arial" w:hAnsi="Arial"/>
          <w:sz w:val="18"/>
          <w:szCs w:val="18"/>
          <w:color w:val="auto"/>
        </w:rPr>
        <w:t>PAGP GP is our general partner and the Board of PAGP GP has responsibility for managing the business and affairs of PAGP and PAA. We own a 100% managing member interest in GP LLC, which owns the non-economic general partner interest in Plains AAP. Plains AAP is the sole member of PAA GP LLC, which holds the non-economic general partner interest in PAA.</w:t>
      </w:r>
    </w:p>
    <w:p>
      <w:pPr>
        <w:spacing w:after="0" w:line="10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do not directly own any operating assets or have any operating activities apart from those conducted by PAA. All of our officers and other personnel necessary for our business to function are employed by GP LLC or our Canadian subsidiary.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04"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Our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 completed in November 2016, we expanded the voting rights of our shareholders to include the election of directors and, in 2018, we began holding annual meetings for this purpose.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5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color w:val="auto"/>
        </w:rPr>
        <w:t>The Simplification Transaction resulted in a structure that includes two public companies (PAA and PAGP) governed by a single Board. The Board is located at our general partner, PAGP GP. The Simplification Transaction also provided that the equity holders of both PAA and PAGP would be afforded the right to vote in the election of directors.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three classes of voting equity, as follows:</w:t>
      </w:r>
    </w:p>
    <w:p>
      <w:pPr>
        <w:spacing w:after="0" w:line="117"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A shares, which are listed on Nasdaq;</w:t>
      </w:r>
    </w:p>
    <w:p>
      <w:pPr>
        <w:spacing w:after="0" w:line="117" w:lineRule="exact"/>
        <w:rPr>
          <w:rFonts w:ascii="Arial" w:cs="Arial" w:eastAsia="Arial" w:hAnsi="Arial"/>
          <w:sz w:val="18"/>
          <w:szCs w:val="18"/>
          <w:color w:val="auto"/>
        </w:rPr>
      </w:pPr>
    </w:p>
    <w:p>
      <w:pPr>
        <w:ind w:left="1800" w:right="619" w:hanging="180"/>
        <w:spacing w:after="0" w:line="28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B shares, which represent non-economic limited partner voting interests and are privately held by certain legacy investors and management; and</w:t>
      </w:r>
    </w:p>
    <w:p>
      <w:pPr>
        <w:spacing w:after="0" w:line="44" w:lineRule="exact"/>
        <w:rPr>
          <w:rFonts w:ascii="Arial" w:cs="Arial" w:eastAsia="Arial" w:hAnsi="Arial"/>
          <w:sz w:val="18"/>
          <w:szCs w:val="18"/>
          <w:color w:val="auto"/>
        </w:rPr>
      </w:pPr>
    </w:p>
    <w:p>
      <w:pPr>
        <w:ind w:left="1800" w:right="419" w:hanging="180"/>
        <w:spacing w:after="0" w:line="268"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 C shares, which are also non-economic limited partner voting interests. The Class C shares are held by PAA solely for the purpose of creating a mechanism through which PAA equity holders (other than Plains AAP) can participate in the election of directors of PAGP GP.</w:t>
      </w:r>
    </w:p>
    <w:p>
      <w:pPr>
        <w:spacing w:after="0" w:line="9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With respect to the election of directors, the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firstLine="360"/>
        <w:spacing w:after="0" w:line="287"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145"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5440" w:type="dxa"/>
            <w:vAlign w:val="bottom"/>
            <w:tcBorders>
              <w:left w:val="single" w:sz="8" w:color="424E6A"/>
            </w:tcBorders>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320" w:type="dxa"/>
            <w:vAlign w:val="bottom"/>
            <w:tcBorders>
              <w:right w:val="single" w:sz="8" w:color="424E6A"/>
            </w:tcBorders>
            <w:shd w:val="clear" w:color="auto" w:fill="424E6A"/>
          </w:tcPr>
          <w:p>
            <w:pPr>
              <w:spacing w:after="0"/>
              <w:rPr>
                <w:sz w:val="17"/>
                <w:szCs w:val="17"/>
                <w:color w:val="auto"/>
              </w:rPr>
            </w:pPr>
          </w:p>
        </w:tc>
      </w:tr>
      <w:tr>
        <w:trPr>
          <w:trHeight w:val="162"/>
        </w:trPr>
        <w:tc>
          <w:tcPr>
            <w:tcW w:w="5440" w:type="dxa"/>
            <w:vAlign w:val="bottom"/>
            <w:tcBorders>
              <w:left w:val="single" w:sz="8" w:color="424E6A"/>
            </w:tcBorders>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right"/>
              <w:ind w:right="35"/>
              <w:spacing w:after="0"/>
              <w:rPr>
                <w:sz w:val="20"/>
                <w:szCs w:val="20"/>
                <w:color w:val="auto"/>
              </w:rPr>
            </w:pPr>
            <w:r>
              <w:rPr>
                <w:rFonts w:ascii="Arial" w:cs="Arial" w:eastAsia="Arial" w:hAnsi="Arial"/>
                <w:sz w:val="14"/>
                <w:szCs w:val="14"/>
                <w:b w:val="1"/>
                <w:bCs w:val="1"/>
                <w:color w:val="FFFFFF"/>
              </w:rPr>
              <w:t>Number of Voting</w:t>
            </w:r>
          </w:p>
        </w:tc>
      </w:tr>
      <w:tr>
        <w:trPr>
          <w:trHeight w:val="212"/>
        </w:trPr>
        <w:tc>
          <w:tcPr>
            <w:tcW w:w="54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Voting Class</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320" w:type="dxa"/>
            <w:vAlign w:val="bottom"/>
            <w:tcBorders>
              <w:right w:val="single" w:sz="8" w:color="424E6A"/>
            </w:tcBorders>
            <w:shd w:val="clear" w:color="auto" w:fill="424E6A"/>
          </w:tcPr>
          <w:p>
            <w:pPr>
              <w:jc w:val="right"/>
              <w:ind w:right="175"/>
              <w:spacing w:after="0"/>
              <w:rPr>
                <w:sz w:val="20"/>
                <w:szCs w:val="20"/>
                <w:color w:val="auto"/>
              </w:rPr>
            </w:pPr>
            <w:r>
              <w:rPr>
                <w:rFonts w:ascii="Arial" w:cs="Arial" w:eastAsia="Arial" w:hAnsi="Arial"/>
                <w:sz w:val="14"/>
                <w:szCs w:val="14"/>
                <w:b w:val="1"/>
                <w:bCs w:val="1"/>
                <w:color w:val="FFFFFF"/>
              </w:rPr>
              <w:t>Shares/Units</w:t>
            </w:r>
          </w:p>
        </w:tc>
      </w:tr>
      <w:tr>
        <w:trPr>
          <w:trHeight w:val="256"/>
        </w:trPr>
        <w:tc>
          <w:tcPr>
            <w:tcW w:w="5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PAGP Class A Shares (Nasdaq: PAGP)</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25.9%</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197.9 million</w:t>
            </w:r>
          </w:p>
        </w:tc>
      </w:tr>
      <w:tr>
        <w:trPr>
          <w:trHeight w:val="250"/>
        </w:trPr>
        <w:tc>
          <w:tcPr>
            <w:tcW w:w="54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PAGP Class B Shares</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4.6%</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35.1 million</w:t>
            </w:r>
          </w:p>
        </w:tc>
      </w:tr>
      <w:tr>
        <w:trPr>
          <w:trHeight w:val="250"/>
        </w:trPr>
        <w:tc>
          <w:tcPr>
            <w:tcW w:w="5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PAGP Class C Shares</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440" w:type="dxa"/>
            <w:vAlign w:val="bottom"/>
            <w:tcBorders>
              <w:left w:val="single" w:sz="8" w:color="424E6A"/>
            </w:tcBorders>
          </w:tcPr>
          <w:p>
            <w:pPr>
              <w:ind w:left="240"/>
              <w:spacing w:after="0"/>
              <w:rPr>
                <w:sz w:val="20"/>
                <w:szCs w:val="20"/>
                <w:color w:val="auto"/>
              </w:rPr>
            </w:pPr>
            <w:r>
              <w:rPr>
                <w:rFonts w:ascii="Arial" w:cs="Arial" w:eastAsia="Arial" w:hAnsi="Arial"/>
                <w:sz w:val="18"/>
                <w:szCs w:val="18"/>
                <w:color w:val="auto"/>
              </w:rPr>
              <w:t>• On Behalf of PAA Common Unitholders (excluding Plains AAP)</w:t>
            </w:r>
          </w:p>
        </w:tc>
        <w:tc>
          <w:tcPr>
            <w:tcW w:w="16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right w:val="single" w:sz="8" w:color="424E6A"/>
            </w:tcBorders>
          </w:tcPr>
          <w:p>
            <w:pPr>
              <w:spacing w:after="0"/>
              <w:rPr>
                <w:sz w:val="21"/>
                <w:szCs w:val="21"/>
                <w:color w:val="auto"/>
              </w:rPr>
            </w:pPr>
          </w:p>
        </w:tc>
      </w:tr>
      <w:tr>
        <w:trPr>
          <w:trHeight w:val="262"/>
        </w:trPr>
        <w:tc>
          <w:tcPr>
            <w:tcW w:w="5440" w:type="dxa"/>
            <w:vAlign w:val="bottom"/>
            <w:tcBorders>
              <w:left w:val="single" w:sz="8" w:color="424E6A"/>
              <w:bottom w:val="single" w:sz="8" w:color="424E6A"/>
            </w:tcBorders>
          </w:tcPr>
          <w:p>
            <w:pPr>
              <w:ind w:left="420"/>
              <w:spacing w:after="0"/>
              <w:rPr>
                <w:sz w:val="20"/>
                <w:szCs w:val="20"/>
                <w:color w:val="auto"/>
              </w:rPr>
            </w:pPr>
            <w:r>
              <w:rPr>
                <w:rFonts w:ascii="Arial" w:cs="Arial" w:eastAsia="Arial" w:hAnsi="Arial"/>
                <w:sz w:val="18"/>
                <w:szCs w:val="18"/>
                <w:color w:val="auto"/>
              </w:rPr>
              <w:t>(Nasdaq: PAA)</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rPr>
                <w:sz w:val="20"/>
                <w:szCs w:val="20"/>
                <w:color w:val="auto"/>
              </w:rPr>
            </w:pPr>
            <w:r>
              <w:rPr>
                <w:rFonts w:ascii="Arial" w:cs="Arial" w:eastAsia="Arial" w:hAnsi="Arial"/>
                <w:sz w:val="18"/>
                <w:szCs w:val="18"/>
                <w:color w:val="auto"/>
              </w:rPr>
              <w:t>​ 61.9%</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472.5 million</w:t>
            </w:r>
          </w:p>
        </w:tc>
      </w:tr>
      <w:tr>
        <w:trPr>
          <w:trHeight w:val="264"/>
        </w:trPr>
        <w:tc>
          <w:tcPr>
            <w:tcW w:w="544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 On Behalf of PAA Series A Preferred Unitholders</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7.6%</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58.4 million</w:t>
            </w:r>
          </w:p>
        </w:tc>
      </w:tr>
      <w:tr>
        <w:trPr>
          <w:trHeight w:val="250"/>
        </w:trPr>
        <w:tc>
          <w:tcPr>
            <w:tcW w:w="54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763.9 million</w:t>
            </w:r>
          </w:p>
        </w:tc>
      </w:tr>
    </w:tbl>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128905</wp:posOffset>
            </wp:positionV>
            <wp:extent cx="5031740" cy="4534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3174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64" w:lineRule="auto"/>
        <w:rPr>
          <w:sz w:val="20"/>
          <w:szCs w:val="20"/>
          <w:color w:val="auto"/>
        </w:rPr>
      </w:pPr>
      <w:r>
        <w:rPr>
          <w:rFonts w:ascii="Arial" w:cs="Arial" w:eastAsia="Arial" w:hAnsi="Arial"/>
          <w:sz w:val="18"/>
          <w:szCs w:val="18"/>
          <w:color w:val="auto"/>
        </w:rPr>
        <w:t xml:space="preserve">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 and PAA Series A Preferred Units. Unless otherwise noted, the reported holdings are based on Schedule 13F filings as of December 31, 2025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w:t>
      </w:r>
      <w:r>
        <w:rPr>
          <w:rFonts w:ascii="Arial" w:cs="Arial" w:eastAsia="Arial" w:hAnsi="Arial"/>
          <w:sz w:val="18"/>
          <w:szCs w:val="18"/>
          <w:i w:val="1"/>
          <w:iCs w:val="1"/>
          <w:color w:val="auto"/>
        </w:rPr>
        <w:t>(Holdings in 000s)</w:t>
      </w:r>
    </w:p>
    <w:p>
      <w:pPr>
        <w:spacing w:after="0" w:line="172"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040" w:type="dxa"/>
            <w:vAlign w:val="bottom"/>
            <w:tcBorders>
              <w:left w:val="single" w:sz="8" w:color="424E6A"/>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46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60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6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00" w:type="dxa"/>
            <w:vAlign w:val="bottom"/>
            <w:shd w:val="clear" w:color="auto" w:fill="424E6A"/>
          </w:tcPr>
          <w:p>
            <w:pPr>
              <w:jc w:val="center"/>
              <w:ind w:right="61"/>
              <w:spacing w:after="0"/>
              <w:rPr>
                <w:sz w:val="20"/>
                <w:szCs w:val="20"/>
                <w:color w:val="auto"/>
              </w:rPr>
            </w:pPr>
            <w:r>
              <w:rPr>
                <w:rFonts w:ascii="Arial" w:cs="Arial" w:eastAsia="Arial" w:hAnsi="Arial"/>
                <w:sz w:val="14"/>
                <w:szCs w:val="14"/>
                <w:b w:val="1"/>
                <w:bCs w:val="1"/>
                <w:color w:val="FFFFFF"/>
                <w:w w:val="94"/>
              </w:rPr>
              <w:t>PAA</w:t>
            </w:r>
          </w:p>
        </w:tc>
        <w:tc>
          <w:tcPr>
            <w:tcW w:w="2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460" w:type="dxa"/>
            <w:vAlign w:val="bottom"/>
            <w:shd w:val="clear" w:color="auto" w:fill="424E6A"/>
          </w:tcPr>
          <w:p>
            <w:pPr>
              <w:jc w:val="right"/>
              <w:ind w:right="5"/>
              <w:spacing w:after="0"/>
              <w:rPr>
                <w:sz w:val="20"/>
                <w:szCs w:val="20"/>
                <w:color w:val="auto"/>
              </w:rPr>
            </w:pPr>
            <w:r>
              <w:rPr>
                <w:rFonts w:ascii="Arial" w:cs="Arial" w:eastAsia="Arial" w:hAnsi="Arial"/>
                <w:sz w:val="14"/>
                <w:szCs w:val="14"/>
                <w:b w:val="1"/>
                <w:bCs w:val="1"/>
                <w:color w:val="FFFFFF"/>
                <w:w w:val="90"/>
              </w:rPr>
              <w:t>PAGP</w:t>
            </w:r>
          </w:p>
        </w:tc>
        <w:tc>
          <w:tcPr>
            <w:tcW w:w="14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00" w:type="dxa"/>
            <w:vAlign w:val="bottom"/>
            <w:tcBorders>
              <w:right w:val="single" w:sz="8" w:color="424E6A"/>
            </w:tcBorders>
            <w:shd w:val="clear" w:color="auto" w:fill="424E6A"/>
          </w:tcPr>
          <w:p>
            <w:pPr>
              <w:jc w:val="right"/>
              <w:ind w:right="147"/>
              <w:spacing w:after="0"/>
              <w:rPr>
                <w:sz w:val="20"/>
                <w:szCs w:val="20"/>
                <w:color w:val="auto"/>
              </w:rPr>
            </w:pPr>
            <w:r>
              <w:rPr>
                <w:rFonts w:ascii="Arial" w:cs="Arial" w:eastAsia="Arial" w:hAnsi="Arial"/>
                <w:sz w:val="14"/>
                <w:szCs w:val="14"/>
                <w:b w:val="1"/>
                <w:bCs w:val="1"/>
                <w:color w:val="FFFFFF"/>
                <w:w w:val="90"/>
              </w:rPr>
              <w:t>PAGP</w:t>
            </w:r>
          </w:p>
        </w:tc>
        <w:tc>
          <w:tcPr>
            <w:tcW w:w="200" w:type="dxa"/>
            <w:vAlign w:val="bottom"/>
            <w:shd w:val="clear" w:color="auto" w:fill="424E6A"/>
          </w:tcPr>
          <w:p>
            <w:pPr>
              <w:spacing w:after="0"/>
              <w:rPr>
                <w:sz w:val="14"/>
                <w:szCs w:val="14"/>
                <w:color w:val="auto"/>
              </w:rPr>
            </w:pPr>
          </w:p>
        </w:tc>
        <w:tc>
          <w:tcPr>
            <w:tcW w:w="740" w:type="dxa"/>
            <w:vAlign w:val="bottom"/>
            <w:gridSpan w:val="2"/>
            <w:shd w:val="clear" w:color="auto" w:fill="424E6A"/>
          </w:tcPr>
          <w:p>
            <w:pPr>
              <w:jc w:val="right"/>
              <w:ind w:right="339"/>
              <w:spacing w:after="0"/>
              <w:rPr>
                <w:sz w:val="20"/>
                <w:szCs w:val="20"/>
                <w:color w:val="auto"/>
              </w:rPr>
            </w:pPr>
            <w:r>
              <w:rPr>
                <w:rFonts w:ascii="Arial" w:cs="Arial" w:eastAsia="Arial" w:hAnsi="Arial"/>
                <w:sz w:val="14"/>
                <w:szCs w:val="14"/>
                <w:b w:val="1"/>
                <w:bCs w:val="1"/>
                <w:color w:val="FFFFFF"/>
              </w:rPr>
              <w:t>PAA</w:t>
            </w:r>
          </w:p>
        </w:tc>
        <w:tc>
          <w:tcPr>
            <w:tcW w:w="6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2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6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A</w:t>
            </w:r>
          </w:p>
        </w:tc>
        <w:tc>
          <w:tcPr>
            <w:tcW w:w="14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Class B</w:t>
            </w:r>
          </w:p>
        </w:tc>
        <w:tc>
          <w:tcPr>
            <w:tcW w:w="940" w:type="dxa"/>
            <w:vAlign w:val="bottom"/>
            <w:gridSpan w:val="3"/>
            <w:shd w:val="clear" w:color="auto" w:fill="424E6A"/>
          </w:tcPr>
          <w:p>
            <w:pPr>
              <w:jc w:val="right"/>
              <w:ind w:right="159"/>
              <w:spacing w:after="0"/>
              <w:rPr>
                <w:sz w:val="20"/>
                <w:szCs w:val="20"/>
                <w:color w:val="auto"/>
              </w:rPr>
            </w:pPr>
            <w:r>
              <w:rPr>
                <w:rFonts w:ascii="Arial" w:cs="Arial" w:eastAsia="Arial" w:hAnsi="Arial"/>
                <w:sz w:val="14"/>
                <w:szCs w:val="14"/>
                <w:b w:val="1"/>
                <w:bCs w:val="1"/>
                <w:color w:val="FFFFFF"/>
              </w:rPr>
              <w:t>Common</w:t>
            </w:r>
          </w:p>
        </w:tc>
        <w:tc>
          <w:tcPr>
            <w:tcW w:w="66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4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ind w:left="220"/>
              <w:spacing w:after="0"/>
              <w:rPr>
                <w:sz w:val="20"/>
                <w:szCs w:val="20"/>
                <w:color w:val="auto"/>
              </w:rPr>
            </w:pPr>
            <w:r>
              <w:rPr>
                <w:rFonts w:ascii="Arial" w:cs="Arial" w:eastAsia="Arial" w:hAnsi="Arial"/>
                <w:sz w:val="14"/>
                <w:szCs w:val="14"/>
                <w:b w:val="1"/>
                <w:bCs w:val="1"/>
                <w:color w:val="FFFFFF"/>
              </w:rPr>
              <w:t>Total</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100" w:type="dxa"/>
            <w:vAlign w:val="bottom"/>
            <w:tcBorders>
              <w:right w:val="single" w:sz="8" w:color="424E6A"/>
            </w:tcBorders>
            <w:shd w:val="clear" w:color="auto" w:fill="424E6A"/>
          </w:tcPr>
          <w:p>
            <w:pPr>
              <w:spacing w:after="0"/>
              <w:rPr>
                <w:sz w:val="14"/>
                <w:szCs w:val="14"/>
                <w:color w:val="auto"/>
              </w:rPr>
            </w:pPr>
          </w:p>
        </w:tc>
      </w:tr>
      <w:tr>
        <w:trPr>
          <w:trHeight w:val="212"/>
        </w:trPr>
        <w:tc>
          <w:tcPr>
            <w:tcW w:w="304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6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Shares</w:t>
            </w:r>
          </w:p>
        </w:tc>
        <w:tc>
          <w:tcPr>
            <w:tcW w:w="140" w:type="dxa"/>
            <w:vAlign w:val="bottom"/>
            <w:tcBorders>
              <w:right w:val="single" w:sz="8" w:color="424E6A"/>
            </w:tcBorders>
            <w:shd w:val="clear" w:color="auto" w:fill="424E6A"/>
          </w:tcPr>
          <w:p>
            <w:pPr>
              <w:spacing w:after="0"/>
              <w:rPr>
                <w:sz w:val="18"/>
                <w:szCs w:val="18"/>
                <w:color w:val="auto"/>
              </w:rPr>
            </w:pPr>
          </w:p>
        </w:tc>
        <w:tc>
          <w:tcPr>
            <w:tcW w:w="740" w:type="dxa"/>
            <w:vAlign w:val="bottom"/>
            <w:tcBorders>
              <w:right w:val="single" w:sz="8" w:color="424E6A"/>
            </w:tcBorders>
            <w:gridSpan w:val="2"/>
            <w:shd w:val="clear" w:color="auto" w:fill="424E6A"/>
          </w:tcPr>
          <w:p>
            <w:pPr>
              <w:jc w:val="right"/>
              <w:ind w:right="67"/>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424E6A"/>
          </w:tcPr>
          <w:p>
            <w:pPr>
              <w:spacing w:after="0"/>
              <w:rPr>
                <w:sz w:val="18"/>
                <w:szCs w:val="18"/>
                <w:color w:val="auto"/>
              </w:rPr>
            </w:pPr>
          </w:p>
        </w:tc>
        <w:tc>
          <w:tcPr>
            <w:tcW w:w="740" w:type="dxa"/>
            <w:vAlign w:val="bottom"/>
            <w:gridSpan w:val="2"/>
            <w:shd w:val="clear" w:color="auto" w:fill="424E6A"/>
          </w:tcPr>
          <w:p>
            <w:pPr>
              <w:jc w:val="right"/>
              <w:spacing w:after="0" w:line="199" w:lineRule="exact"/>
              <w:rPr>
                <w:sz w:val="20"/>
                <w:szCs w:val="20"/>
                <w:color w:val="auto"/>
              </w:rPr>
            </w:pPr>
            <w:r>
              <w:rPr>
                <w:rFonts w:ascii="Arial" w:cs="Arial" w:eastAsia="Arial" w:hAnsi="Arial"/>
                <w:sz w:val="12"/>
                <w:szCs w:val="12"/>
                <w:b w:val="1"/>
                <w:bCs w:val="1"/>
                <w:color w:val="FFFFFF"/>
              </w:rPr>
              <w:t xml:space="preserve">Units   </w:t>
            </w:r>
            <w:r>
              <w:rPr>
                <w:rFonts w:ascii="Arial" w:cs="Arial" w:eastAsia="Arial" w:hAnsi="Arial"/>
                <w:sz w:val="22"/>
                <w:szCs w:val="22"/>
                <w:b w:val="1"/>
                <w:bCs w:val="1"/>
                <w:color w:val="FFFFFF"/>
                <w:vertAlign w:val="subscript"/>
              </w:rPr>
              <w:t>​ ​</w:t>
            </w:r>
          </w:p>
        </w:tc>
        <w:tc>
          <w:tcPr>
            <w:tcW w:w="140" w:type="dxa"/>
            <w:vAlign w:val="bottom"/>
            <w:shd w:val="clear" w:color="auto" w:fill="424E6A"/>
          </w:tcPr>
          <w:p>
            <w:pPr>
              <w:spacing w:after="0"/>
              <w:rPr>
                <w:sz w:val="18"/>
                <w:szCs w:val="18"/>
                <w:color w:val="auto"/>
              </w:rPr>
            </w:pPr>
          </w:p>
        </w:tc>
        <w:tc>
          <w:tcPr>
            <w:tcW w:w="500" w:type="dxa"/>
            <w:vAlign w:val="bottom"/>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Units</w:t>
            </w:r>
          </w:p>
        </w:tc>
        <w:tc>
          <w:tcPr>
            <w:tcW w:w="20" w:type="dxa"/>
            <w:vAlign w:val="bottom"/>
            <w:shd w:val="clear" w:color="auto" w:fill="424E6A"/>
          </w:tcPr>
          <w:p>
            <w:pPr>
              <w:spacing w:after="0"/>
              <w:rPr>
                <w:sz w:val="18"/>
                <w:szCs w:val="18"/>
                <w:color w:val="auto"/>
              </w:rPr>
            </w:pPr>
          </w:p>
        </w:tc>
        <w:tc>
          <w:tcPr>
            <w:tcW w:w="1060" w:type="dxa"/>
            <w:vAlign w:val="bottom"/>
            <w:gridSpan w:val="4"/>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Holdings </w:t>
            </w:r>
            <w:r>
              <w:rPr>
                <w:rFonts w:ascii="Arial" w:cs="Arial" w:eastAsia="Arial" w:hAnsi="Arial"/>
                <w:sz w:val="22"/>
                <w:szCs w:val="22"/>
                <w:b w:val="1"/>
                <w:bCs w:val="1"/>
                <w:color w:val="FFFFFF"/>
                <w:vertAlign w:val="subscript"/>
              </w:rPr>
              <w:t>​ ​</w:t>
            </w: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00" w:type="dxa"/>
            <w:vAlign w:val="bottom"/>
            <w:tcBorders>
              <w:right w:val="single" w:sz="8" w:color="424E6A"/>
            </w:tcBorders>
            <w:shd w:val="clear" w:color="auto" w:fill="424E6A"/>
          </w:tcPr>
          <w:p>
            <w:pPr>
              <w:spacing w:after="0"/>
              <w:rPr>
                <w:sz w:val="18"/>
                <w:szCs w:val="18"/>
                <w:color w:val="auto"/>
              </w:rPr>
            </w:pPr>
          </w:p>
        </w:tc>
      </w:tr>
      <w:tr>
        <w:trPr>
          <w:trHeight w:val="243"/>
        </w:trPr>
        <w:tc>
          <w:tcPr>
            <w:tcW w:w="30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ALPS Advisors</w:t>
            </w:r>
          </w:p>
        </w:tc>
        <w:tc>
          <w:tcPr>
            <w:tcW w:w="740" w:type="dxa"/>
            <w:vAlign w:val="bottom"/>
            <w:tcBorders>
              <w:bottom w:val="single" w:sz="8" w:color="424E6A"/>
              <w:right w:val="single" w:sz="8" w:color="424E6A"/>
            </w:tcBorders>
            <w:gridSpan w:val="3"/>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1,223 </w:t>
            </w:r>
            <w:r>
              <w:rPr>
                <w:rFonts w:ascii="Arial" w:cs="Arial" w:eastAsia="Arial" w:hAnsi="Arial"/>
                <w:sz w:val="28"/>
                <w:szCs w:val="28"/>
                <w:color w:val="auto"/>
                <w:vertAlign w:val="subscript"/>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ind w:right="7"/>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76,052 </w:t>
            </w:r>
            <w:r>
              <w:rPr>
                <w:rFonts w:ascii="Arial" w:cs="Arial" w:eastAsia="Arial" w:hAnsi="Arial"/>
                <w:sz w:val="28"/>
                <w:szCs w:val="28"/>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shd w:val="clear" w:color="auto" w:fill="D9DCE1"/>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77,275 </w:t>
            </w:r>
            <w:r>
              <w:rPr>
                <w:rFonts w:ascii="Arial" w:cs="Arial" w:eastAsia="Arial" w:hAnsi="Arial"/>
                <w:sz w:val="28"/>
                <w:szCs w:val="28"/>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shd w:val="clear" w:color="auto" w:fill="D9DCE1"/>
          </w:tcPr>
          <w:p>
            <w:pPr>
              <w:ind w:left="3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10.1%</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Invesco Advisors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4,370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33,448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37,818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5.0%</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EMG Investments/John Raymond*</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shd w:val="clear" w:color="auto" w:fill="D9DCE1"/>
          </w:tcPr>
          <w:p>
            <w:pPr>
              <w:jc w:val="right"/>
              <w:ind w:right="7"/>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11,459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1,603 </w:t>
            </w:r>
            <w:r>
              <w:rPr>
                <w:rFonts w:ascii="Arial" w:cs="Arial" w:eastAsia="Arial" w:hAnsi="Arial"/>
                <w:sz w:val="27"/>
                <w:szCs w:val="27"/>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20,376</w:t>
            </w:r>
          </w:p>
        </w:tc>
        <w:tc>
          <w:tcPr>
            <w:tcW w:w="160" w:type="dxa"/>
            <w:vAlign w:val="bottom"/>
            <w:tcBorders>
              <w:bottom w:val="single" w:sz="8" w:color="424E6A"/>
              <w:right w:val="single" w:sz="8" w:color="424E6A"/>
            </w:tcBorders>
            <w:gridSpan w:val="2"/>
            <w:shd w:val="clear" w:color="auto" w:fill="D9DCE1"/>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33,753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shd w:val="clear" w:color="auto" w:fill="D9DCE1"/>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4.4%</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Tortoise Capital Advisors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11,704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9,542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21,246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2.8%</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Goldman Sachs Asset Mgmt</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4,429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15,564 </w:t>
            </w:r>
            <w:r>
              <w:rPr>
                <w:rFonts w:ascii="Arial" w:cs="Arial" w:eastAsia="Arial" w:hAnsi="Arial"/>
                <w:sz w:val="27"/>
                <w:szCs w:val="27"/>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shd w:val="clear" w:color="auto" w:fill="D9DCE1"/>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19,993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shd w:val="clear" w:color="auto" w:fill="D9DCE1"/>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2.6%</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Mirae Asset Global Investments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2,242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16,290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18,532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2.4%</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Harvest Fund Advisors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2,022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13,293 </w:t>
            </w:r>
            <w:r>
              <w:rPr>
                <w:rFonts w:ascii="Arial" w:cs="Arial" w:eastAsia="Arial" w:hAnsi="Arial"/>
                <w:sz w:val="27"/>
                <w:szCs w:val="27"/>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shd w:val="clear" w:color="auto" w:fill="D9DCE1"/>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15,315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shd w:val="clear" w:color="auto" w:fill="D9DCE1"/>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EnCap Investments*</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ind w:right="7"/>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20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12,679</w:t>
            </w:r>
          </w:p>
        </w:tc>
        <w:tc>
          <w:tcPr>
            <w:tcW w:w="16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12,679</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1.7%</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Chickasaw Capital Management</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8,819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2,721 </w:t>
            </w:r>
            <w:r>
              <w:rPr>
                <w:rFonts w:ascii="Arial" w:cs="Arial" w:eastAsia="Arial" w:hAnsi="Arial"/>
                <w:sz w:val="27"/>
                <w:szCs w:val="27"/>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right w:val="single" w:sz="8" w:color="424E6A"/>
            </w:tcBorders>
            <w:gridSpan w:val="2"/>
            <w:shd w:val="clear" w:color="auto" w:fill="D9DCE1"/>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11,540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shd w:val="clear" w:color="auto" w:fill="D9DCE1"/>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1.5%</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UBS Financial Services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3,408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ind w:right="7"/>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7,779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11,187</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bl>
    <w:p>
      <w:pPr>
        <w:spacing w:after="0" w:line="49" w:lineRule="exact"/>
        <w:rPr>
          <w:sz w:val="20"/>
          <w:szCs w:val="20"/>
          <w:color w:val="auto"/>
        </w:rPr>
      </w:pPr>
    </w:p>
    <w:p>
      <w:pPr>
        <w:ind w:left="1620" w:right="999" w:hanging="360"/>
        <w:spacing w:after="0" w:line="28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the table for these holders are as of the Record Date. All other amounts are as of December 31, 2025.</w:t>
      </w:r>
    </w:p>
    <w:p>
      <w:pPr>
        <w:spacing w:after="0" w:line="85" w:lineRule="exact"/>
        <w:rPr>
          <w:sz w:val="20"/>
          <w:szCs w:val="20"/>
          <w:color w:val="auto"/>
        </w:rPr>
      </w:pPr>
    </w:p>
    <w:p>
      <w:pPr>
        <w:ind w:left="1260" w:right="519" w:firstLine="360"/>
        <w:spacing w:after="0" w:line="276" w:lineRule="auto"/>
        <w:rPr>
          <w:sz w:val="20"/>
          <w:szCs w:val="20"/>
          <w:color w:val="auto"/>
        </w:rPr>
      </w:pPr>
      <w:r>
        <w:rPr>
          <w:rFonts w:ascii="Arial" w:cs="Arial" w:eastAsia="Arial" w:hAnsi="Arial"/>
          <w:sz w:val="18"/>
          <w:szCs w:val="18"/>
          <w:color w:val="auto"/>
        </w:rPr>
        <w:t xml:space="preserve">See “Security Ownership of Certain Beneficial Owners and Management” beginning on page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for additional information regarding beneficial ownership of our securities, including ownership by our Directors and executive officers.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4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8"/>
          <w:szCs w:val="18"/>
          <w:color w:val="auto"/>
        </w:rPr>
        <w:t>Mr. Chiang serves as Chairman of the Board and as CEO, and Mr. Raymond currently serves as Lead Director, having replaced Mr. Shackouls who served in that role from January 2020 until</w:t>
      </w:r>
    </w:p>
    <w:p>
      <w:pPr>
        <w:spacing w:after="0" w:line="1" w:lineRule="exact"/>
        <w:rPr>
          <w:sz w:val="20"/>
          <w:szCs w:val="20"/>
          <w:color w:val="auto"/>
        </w:rPr>
      </w:pPr>
    </w:p>
    <w:p>
      <w:pPr>
        <w:ind w:left="1260" w:right="439"/>
        <w:spacing w:after="0" w:line="279" w:lineRule="auto"/>
        <w:rPr>
          <w:sz w:val="20"/>
          <w:szCs w:val="20"/>
          <w:color w:val="auto"/>
        </w:rPr>
      </w:pPr>
      <w:r>
        <w:rPr>
          <w:rFonts w:ascii="Arial" w:cs="Arial" w:eastAsia="Arial" w:hAnsi="Arial"/>
          <w:sz w:val="17"/>
          <w:szCs w:val="17"/>
          <w:color w:val="auto"/>
        </w:rPr>
        <w:t>June 2025. It is the Board’s belief that rotation of the Lead Director role after approximately five years is a good governance practice.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respect to the management of enterprise-level risk (“ELR”), which is the process of identifying,</w:t>
      </w:r>
    </w:p>
    <w:p>
      <w:pPr>
        <w:spacing w:after="0" w:line="25" w:lineRule="exact"/>
        <w:rPr>
          <w:sz w:val="20"/>
          <w:szCs w:val="20"/>
          <w:color w:val="auto"/>
        </w:rPr>
      </w:pPr>
    </w:p>
    <w:p>
      <w:pPr>
        <w:ind w:left="1260" w:right="479"/>
        <w:spacing w:after="0"/>
        <w:rPr>
          <w:sz w:val="20"/>
          <w:szCs w:val="20"/>
          <w:color w:val="auto"/>
        </w:rPr>
      </w:pPr>
      <w:r>
        <w:rPr>
          <w:rFonts w:ascii="Arial" w:cs="Arial" w:eastAsia="Arial" w:hAnsi="Arial"/>
          <w:sz w:val="17"/>
          <w:szCs w:val="17"/>
          <w:color w:val="auto"/>
        </w:rPr>
        <w:t>managing and monitoring events that present opportunities and risks with respect to the operation of our business and the creation of value for our shareholders, the Board has delegated primary responsibility</w:t>
      </w:r>
    </w:p>
    <w:p>
      <w:pPr>
        <w:ind w:left="1260"/>
        <w:spacing w:after="0" w:line="235" w:lineRule="auto"/>
        <w:rPr>
          <w:sz w:val="20"/>
          <w:szCs w:val="20"/>
          <w:color w:val="auto"/>
        </w:rPr>
      </w:pPr>
      <w:r>
        <w:rPr>
          <w:rFonts w:ascii="Arial" w:cs="Arial" w:eastAsia="Arial" w:hAnsi="Arial"/>
          <w:sz w:val="18"/>
          <w:szCs w:val="18"/>
          <w:color w:val="auto"/>
        </w:rPr>
        <w:t>to management while retaining oversight responsibility. Management evaluates short-, medium- and</w:t>
      </w:r>
    </w:p>
    <w:p>
      <w:pPr>
        <w:ind w:left="1260" w:right="619"/>
        <w:spacing w:after="0" w:line="237" w:lineRule="auto"/>
        <w:rPr>
          <w:sz w:val="20"/>
          <w:szCs w:val="20"/>
          <w:color w:val="auto"/>
        </w:rPr>
      </w:pPr>
      <w:r>
        <w:rPr>
          <w:rFonts w:ascii="Arial" w:cs="Arial" w:eastAsia="Arial" w:hAnsi="Arial"/>
          <w:sz w:val="18"/>
          <w:szCs w:val="18"/>
          <w:color w:val="auto"/>
        </w:rPr>
        <w:t>long-term risks on an ongoing basis and provides a formal ELR assessment to the Board at least once every year and provides updates on other areas of potential risk on at least a quarterly basis.</w:t>
      </w:r>
    </w:p>
    <w:p>
      <w:pPr>
        <w:spacing w:after="0" w:line="113" w:lineRule="exact"/>
        <w:rPr>
          <w:sz w:val="20"/>
          <w:szCs w:val="20"/>
          <w:color w:val="auto"/>
        </w:rPr>
      </w:pPr>
    </w:p>
    <w:p>
      <w:pPr>
        <w:ind w:left="1260" w:right="579" w:firstLine="360"/>
        <w:spacing w:after="0" w:line="251" w:lineRule="auto"/>
        <w:rPr>
          <w:sz w:val="20"/>
          <w:szCs w:val="20"/>
          <w:color w:val="auto"/>
        </w:rPr>
      </w:pPr>
      <w:r>
        <w:rPr>
          <w:rFonts w:ascii="Arial" w:cs="Arial" w:eastAsia="Arial" w:hAnsi="Arial"/>
          <w:sz w:val="17"/>
          <w:szCs w:val="17"/>
          <w:color w:val="auto"/>
        </w:rPr>
        <w:t>We believe that our Board leadership and committee structure supports the Board’s risk oversight function by facilitating open and regular communication between management and the directors, which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allows informed oversight of management’s processes for identifying and managing significant risks and</w:t>
      </w:r>
    </w:p>
    <w:p>
      <w:pPr>
        <w:spacing w:after="0" w:line="7" w:lineRule="exact"/>
        <w:rPr>
          <w:sz w:val="20"/>
          <w:szCs w:val="20"/>
          <w:color w:val="auto"/>
        </w:rPr>
      </w:pPr>
    </w:p>
    <w:p>
      <w:pPr>
        <w:ind w:left="1260" w:right="499"/>
        <w:spacing w:after="0"/>
        <w:rPr>
          <w:sz w:val="20"/>
          <w:szCs w:val="20"/>
          <w:color w:val="auto"/>
        </w:rPr>
      </w:pPr>
      <w:r>
        <w:rPr>
          <w:rFonts w:ascii="Arial" w:cs="Arial" w:eastAsia="Arial" w:hAnsi="Arial"/>
          <w:sz w:val="17"/>
          <w:szCs w:val="17"/>
          <w:color w:val="auto"/>
        </w:rPr>
        <w:t>their impact on PAA’s business. The Board’s standing committees (Audit, Governance, Compensation and HSES) assist the Board with respect to its oversight of risks related to the specific areas of focus for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committee.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Non-management directors meet in executive session in connection with each regular Board</w:t>
      </w:r>
    </w:p>
    <w:p>
      <w:pPr>
        <w:spacing w:after="0" w:line="14" w:lineRule="exact"/>
        <w:rPr>
          <w:sz w:val="20"/>
          <w:szCs w:val="20"/>
          <w:color w:val="auto"/>
        </w:rPr>
      </w:pPr>
    </w:p>
    <w:p>
      <w:pPr>
        <w:ind w:left="1260" w:right="1019"/>
        <w:spacing w:after="0" w:line="263" w:lineRule="auto"/>
        <w:rPr>
          <w:sz w:val="20"/>
          <w:szCs w:val="20"/>
          <w:color w:val="auto"/>
        </w:rPr>
      </w:pPr>
      <w:r>
        <w:rPr>
          <w:rFonts w:ascii="Arial" w:cs="Arial" w:eastAsia="Arial" w:hAnsi="Arial"/>
          <w:sz w:val="17"/>
          <w:szCs w:val="17"/>
          <w:color w:val="auto"/>
        </w:rPr>
        <w:t>meeting. These sessions are presided over by the Lead Director. As circumstances warrant, non-management directors may also meet in executive sessions of special meetings of the Board.</w:t>
      </w:r>
    </w:p>
    <w:p>
      <w:pPr>
        <w:spacing w:after="0" w:line="9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Interested shareholders can communicate with non-management directors regarding PAGP’s business and affairs by mail in care of the General Counsel and Secretary or in care of the Internal Audit</w:t>
      </w:r>
    </w:p>
    <w:p>
      <w:pPr>
        <w:ind w:left="1260"/>
        <w:spacing w:after="0" w:line="235" w:lineRule="auto"/>
        <w:rPr>
          <w:sz w:val="20"/>
          <w:szCs w:val="20"/>
          <w:color w:val="auto"/>
        </w:rPr>
      </w:pPr>
      <w:r>
        <w:rPr>
          <w:rFonts w:ascii="Arial" w:cs="Arial" w:eastAsia="Arial" w:hAnsi="Arial"/>
          <w:sz w:val="18"/>
          <w:szCs w:val="18"/>
          <w:color w:val="auto"/>
        </w:rPr>
        <w:t>Department at Plains All American Pipeline, L.P., 333 Clay Street, Suite 1600, Houston, Texas 77002.</w:t>
      </w:r>
    </w:p>
    <w:p>
      <w:pPr>
        <w:ind w:left="1260"/>
        <w:spacing w:after="0"/>
        <w:rPr>
          <w:sz w:val="20"/>
          <w:szCs w:val="20"/>
          <w:color w:val="auto"/>
        </w:rPr>
      </w:pPr>
      <w:r>
        <w:rPr>
          <w:rFonts w:ascii="Arial" w:cs="Arial" w:eastAsia="Arial" w:hAnsi="Arial"/>
          <w:sz w:val="18"/>
          <w:szCs w:val="18"/>
          <w:color w:val="auto"/>
        </w:rPr>
        <w:t>Commercial solicitations or communications will be disregarded.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and Ziemba, Ms. DeSanctis and Ms. Pruner) and has concluded that all of such directors are independent under applicable Nasdaq and SEC standards.</w:t>
      </w:r>
    </w:p>
    <w:p>
      <w:pPr>
        <w:spacing w:after="0" w:line="11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 xml:space="preserve">Mr. Raymond is associated with The Energy &amp; Minerals Group (“EMG”) and Mr. Petersen is associated with EnCap Investments LP (“EnCap”). Affiliates of EMG and EnCap own issued and outstanding PAA Series A preferred units that represent approximately 2.7% and 1.7%, respectively, of the consolidated ownership and voting structure of PAGP and PAA (see “Our Ownership and Voting Structure” beginning on page </w:t>
      </w:r>
      <w:r>
        <w:rPr>
          <w:rFonts w:ascii="Arial" w:cs="Arial" w:eastAsia="Arial" w:hAnsi="Arial"/>
          <w:sz w:val="18"/>
          <w:szCs w:val="18"/>
          <w:u w:val="single" w:color="auto"/>
          <w:color w:val="0000EE"/>
        </w:rPr>
        <w:t>8</w:t>
      </w:r>
      <w:r>
        <w:rPr>
          <w:rFonts w:ascii="Arial" w:cs="Arial" w:eastAsia="Arial" w:hAnsi="Arial"/>
          <w:sz w:val="18"/>
          <w:szCs w:val="18"/>
          <w:color w:val="auto"/>
        </w:rPr>
        <w:t>). In addition, from time to time, we have engaged in business transactions with companies affiliated with EMG and EnCap, primarily involving the purchase of petroleum products from such companies. In January 2025, we also closed three transactions with companies related to EMG and EnCap involving the purchase of assets and securities. See “Certain Relationships and Related Transactions — Other” for additional information. The Board considered these matters in connection with its assessment of director independence and has determined that they do not impact Mr. Raymond’s or Mr. Petersen’s independence.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44" w:lineRule="exact"/>
        <w:rPr>
          <w:sz w:val="20"/>
          <w:szCs w:val="20"/>
          <w:color w:val="auto"/>
        </w:rPr>
      </w:pPr>
    </w:p>
    <w:p>
      <w:pPr>
        <w:ind w:left="1260" w:right="699" w:firstLine="360"/>
        <w:spacing w:after="0" w:line="318" w:lineRule="auto"/>
        <w:rPr>
          <w:sz w:val="20"/>
          <w:szCs w:val="20"/>
          <w:color w:val="auto"/>
        </w:rPr>
      </w:pPr>
      <w:r>
        <w:rPr>
          <w:rFonts w:ascii="Arial" w:cs="Arial" w:eastAsia="Arial" w:hAnsi="Arial"/>
          <w:sz w:val="17"/>
          <w:szCs w:val="17"/>
          <w:color w:val="auto"/>
        </w:rPr>
        <w:t>Our Audit Committee reviews our external financial reporting, engages our independent auditors, reviews the adequacy of our internal accounting controls and discusses with management our major</w:t>
      </w: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financial risk exposures and steps management has taken to monitor and control such exposures. The charter of our Audit Committee is available on our website. See “— Meetings and Other Information” for information on how to access or obtain copies of this charter. The Audit Committee currently consists of Ms. Pruner (chair), Messrs. Burk and Ziemba, and Ms. DeSanctis. As part of our ongoing board succession planning process, the Board determined that, effective February 18, 2026, Ms. Pruner would become chair of the Audit Committee, replacing Mr. Burk who stepped down as committee chair. In order to ensure a smooth and seamless transition, Mr. Burk remained on the committee. The Board has determined that each member of our Audit Committee is (i) independent under applicable Nasdaq and SEC rules, and (ii) financially literate. The Board has also determined that each of Mr. Burk and</w:t>
      </w:r>
    </w:p>
    <w:p>
      <w:pPr>
        <w:spacing w:after="0" w:line="4" w:lineRule="exact"/>
        <w:rPr>
          <w:sz w:val="20"/>
          <w:szCs w:val="20"/>
          <w:color w:val="auto"/>
        </w:rPr>
      </w:pPr>
    </w:p>
    <w:p>
      <w:pPr>
        <w:ind w:left="1260" w:right="999"/>
        <w:spacing w:after="0" w:line="266" w:lineRule="auto"/>
        <w:rPr>
          <w:sz w:val="20"/>
          <w:szCs w:val="20"/>
          <w:color w:val="auto"/>
        </w:rPr>
      </w:pPr>
      <w:r>
        <w:rPr>
          <w:rFonts w:ascii="Arial" w:cs="Arial" w:eastAsia="Arial" w:hAnsi="Arial"/>
          <w:sz w:val="18"/>
          <w:szCs w:val="18"/>
          <w:color w:val="auto"/>
        </w:rPr>
        <w:t>Ms. Pruner qualifies as an Audit Committee Financial Expert as that term is defined in Item 407 of Regulation S-K.</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Shackouls (chair), Burk, Petersen and Raymond. As part of our ongoing board succession planning process, the Board determined that, effective June 1, 2025, Mr. Shackouls would become chair of the Compensation Committee, replacing Mr. Raymond who stepped down as committee chair. In order to ensure a smooth and seamless transition, Mr. Raymond remained on the committee. Mr. Burk joined the Compensation Committee in February 2026.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a leading compensation consulting firm, to conduct independent annual reviews and peer comparison studies with respect to our executive compensation program and practices.</w:t>
      </w:r>
    </w:p>
    <w:p>
      <w:pPr>
        <w:spacing w:after="0" w:line="123" w:lineRule="exact"/>
        <w:rPr>
          <w:sz w:val="20"/>
          <w:szCs w:val="20"/>
          <w:color w:val="auto"/>
        </w:rPr>
      </w:pPr>
    </w:p>
    <w:p>
      <w:pPr>
        <w:jc w:val="both"/>
        <w:ind w:left="1260" w:right="519" w:firstLine="360"/>
        <w:spacing w:after="0" w:line="252" w:lineRule="auto"/>
        <w:rPr>
          <w:sz w:val="20"/>
          <w:szCs w:val="20"/>
          <w:color w:val="auto"/>
        </w:rPr>
      </w:pPr>
      <w:r>
        <w:rPr>
          <w:rFonts w:ascii="Arial" w:cs="Arial" w:eastAsia="Arial" w:hAnsi="Arial"/>
          <w:sz w:val="18"/>
          <w:szCs w:val="18"/>
          <w:color w:val="auto"/>
        </w:rPr>
        <w:t>During 2025,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officers of ours or any of our subsidiaries.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Raymond (chair), McCarthy, Petersen and Shackouls. As part of our ongoing board succession planning process, the Board determined that, effective June 1, 2025, Mr. Raymond would join the Governance Committee as Chair, replacing Mr. Shackouls who stepped down as committee chair. In order to ensure a smooth and seamless transition, Mr. Shackouls remained on the committee. In connection with her appointment as chair of the Audit Committee in February 2026, Ms. Pruner stepped down as a member of the Governance Committee. Under applicable Nasdaq rules, none of the members of our Governance Committee are required to be independent; however, the charter of our</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color w:val="auto"/>
        </w:rPr>
        <w:t>Governance Committee requires that all members of the committee be independent and the Board has determined that all of the current members of the Governance Committee are independent under applicable Nasdaq and SEC standards.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HSES Committee assists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and McCarthy and Ms. DeSanctis. The Board has determined that all of the current members of the HSES Committee are independent under applicable Nasdaq and SEC standards.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During 2025, our Board had eight meetings, our Audit Committee had nine meetings, our Compensation Committee had two meetings, our Governance Committee had one meeting and our HSES Committee had four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2025, all of our directors attended all meetings of the Board and applicable committees of the Board on which the director served, other than one Board member who missed one meeting. Board members are encouraged, but not required, to attend our annual meetings; eight Board members attended our annual meeting in 2025.</w:t>
      </w:r>
    </w:p>
    <w:p>
      <w:pPr>
        <w:spacing w:after="0" w:line="10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Governance tab in the Investor Center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 — Review, Approval or Ratification of Transactions with Related Persons.”</w:t>
      </w:r>
    </w:p>
    <w:p>
      <w:pPr>
        <w:spacing w:after="0" w:line="11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158" w:lineRule="exact"/>
        <w:rPr>
          <w:sz w:val="20"/>
          <w:szCs w:val="20"/>
          <w:color w:val="auto"/>
        </w:rPr>
      </w:pPr>
    </w:p>
    <w:p>
      <w:pPr>
        <w:jc w:val="center"/>
        <w:ind w:left="1840" w:right="300"/>
        <w:spacing w:after="0" w:line="25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WILLIE CHIANG, ELLEN DESANCTIS, ALEXANDRA PRUNER AND LAWRENCE ZIEMBA TO SERVE AS A CLASS I DIRECTOR ON OUR GENERAL PARTNER’S BOARD OF DIRECTORS UNTIL THE 2029 ANNUAL MEETING.</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i w:val="1"/>
          <w:iCs w:val="1"/>
          <w:color w:val="auto"/>
        </w:rPr>
        <w:t xml:space="preserve">General Overview and Board Makeup. </w:t>
      </w:r>
      <w:r>
        <w:rPr>
          <w:rFonts w:ascii="Arial" w:cs="Arial" w:eastAsia="Arial" w:hAnsi="Arial"/>
          <w:sz w:val="18"/>
          <w:szCs w:val="18"/>
          <w:color w:val="auto"/>
        </w:rPr>
        <w:t>Our Board has responsibility for managing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PAGP and PAA. The Board currently has 11 members, including the CEO, who also serves as Chairman of the Board and President. As contemplated by our governing documents, because the roles of CEO and Board Chair are held by the same person, the Board has designated one of our independent directors to serve as Lead Director. Mr. Raymond currently serves as Lead Director, having replaced Mr. Shackouls who served in that role from January 2020 until June 2025. It is the Board’s belief that rotation of the Lead Director role after approximately five years is a good governance practice. Our governing documents also require that at least a majority of directors must meet the independence requirements of the national securities exchange on which the securities of PAA and PAGP are listed (currently Nasdaq).</w:t>
      </w:r>
    </w:p>
    <w:p>
      <w:pPr>
        <w:spacing w:after="0" w:line="110"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 xml:space="preserve">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Class A, B or C shares have the right to nominate individuals to stand for election at an annual meeting. For a description of such ownership and notice requirements, see “Director Nominations and Shareholder Proposals for the 2027 Annual Meeting” on page </w:t>
      </w:r>
      <w:r>
        <w:rPr>
          <w:rFonts w:ascii="Arial" w:cs="Arial" w:eastAsia="Arial" w:hAnsi="Arial"/>
          <w:sz w:val="18"/>
          <w:szCs w:val="18"/>
          <w:u w:val="single" w:color="auto"/>
          <w:color w:val="0000EE"/>
        </w:rPr>
        <w:t>70</w:t>
      </w:r>
      <w:r>
        <w:rPr>
          <w:rFonts w:ascii="Arial" w:cs="Arial" w:eastAsia="Arial" w:hAnsi="Arial"/>
          <w:sz w:val="18"/>
          <w:szCs w:val="18"/>
          <w:color w:val="auto"/>
        </w:rPr>
        <w:t>.</w:t>
      </w:r>
    </w:p>
    <w:p>
      <w:pPr>
        <w:spacing w:after="0" w:line="107" w:lineRule="exact"/>
        <w:rPr>
          <w:sz w:val="20"/>
          <w:szCs w:val="20"/>
          <w:color w:val="auto"/>
        </w:rPr>
      </w:pPr>
    </w:p>
    <w:p>
      <w:pPr>
        <w:ind w:left="1260" w:right="599" w:firstLine="360"/>
        <w:spacing w:after="0" w:line="247" w:lineRule="auto"/>
        <w:rPr>
          <w:sz w:val="20"/>
          <w:szCs w:val="20"/>
          <w:color w:val="auto"/>
        </w:rPr>
      </w:pPr>
      <w:r>
        <w:rPr>
          <w:rFonts w:ascii="Arial" w:cs="Arial" w:eastAsia="Arial" w:hAnsi="Arial"/>
          <w:sz w:val="18"/>
          <w:szCs w:val="18"/>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2026 PAA and PAGP Annual Meetings were nominated by the Board (excluding the vote of the directors whose terms are expiring); no other nominations were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55880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8"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00" w:type="dxa"/>
            <w:vAlign w:val="bottom"/>
            <w:tcBorders>
              <w:left w:val="single" w:sz="8" w:color="424E6A"/>
            </w:tcBorders>
            <w:shd w:val="clear" w:color="auto" w:fill="424E6A"/>
          </w:tcPr>
          <w:p>
            <w:pPr>
              <w:spacing w:after="0"/>
              <w:rPr>
                <w:sz w:val="17"/>
                <w:szCs w:val="17"/>
                <w:color w:val="auto"/>
              </w:rPr>
            </w:pPr>
          </w:p>
        </w:tc>
        <w:tc>
          <w:tcPr>
            <w:tcW w:w="2220" w:type="dxa"/>
            <w:vAlign w:val="bottom"/>
            <w:tcBorders>
              <w:right w:val="single" w:sz="8" w:color="424E6A"/>
            </w:tcBorders>
            <w:shd w:val="clear" w:color="auto" w:fill="424E6A"/>
          </w:tcPr>
          <w:p>
            <w:pPr>
              <w:spacing w:after="0"/>
              <w:rPr>
                <w:sz w:val="17"/>
                <w:szCs w:val="17"/>
                <w:color w:val="auto"/>
              </w:rPr>
            </w:pPr>
          </w:p>
        </w:tc>
        <w:tc>
          <w:tcPr>
            <w:tcW w:w="960" w:type="dxa"/>
            <w:vAlign w:val="bottom"/>
            <w:tcBorders>
              <w:right w:val="single" w:sz="8" w:color="424E6A"/>
            </w:tcBorders>
            <w:shd w:val="clear" w:color="auto" w:fill="424E6A"/>
          </w:tcPr>
          <w:p>
            <w:pPr>
              <w:spacing w:after="0"/>
              <w:rPr>
                <w:sz w:val="17"/>
                <w:szCs w:val="17"/>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2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840" w:type="dxa"/>
            <w:vAlign w:val="bottom"/>
            <w:tcBorders>
              <w:right w:val="single" w:sz="8" w:color="424E6A"/>
            </w:tcBorders>
            <w:shd w:val="clear" w:color="auto" w:fill="424E6A"/>
          </w:tcPr>
          <w:p>
            <w:pPr>
              <w:ind w:left="180"/>
              <w:spacing w:after="0"/>
              <w:rPr>
                <w:sz w:val="20"/>
                <w:szCs w:val="20"/>
                <w:color w:val="auto"/>
              </w:rPr>
            </w:pPr>
            <w:r>
              <w:rPr>
                <w:rFonts w:ascii="Arial" w:cs="Arial" w:eastAsia="Arial" w:hAnsi="Arial"/>
                <w:sz w:val="14"/>
                <w:szCs w:val="14"/>
                <w:b w:val="1"/>
                <w:bCs w:val="1"/>
                <w:color w:val="FFFFFF"/>
              </w:rPr>
              <w:t>HSES</w:t>
            </w:r>
          </w:p>
        </w:tc>
        <w:tc>
          <w:tcPr>
            <w:tcW w:w="520" w:type="dxa"/>
            <w:vAlign w:val="bottom"/>
            <w:tcBorders>
              <w:right w:val="single" w:sz="8" w:color="424E6A"/>
            </w:tcBorders>
            <w:shd w:val="clear" w:color="auto" w:fill="424E6A"/>
          </w:tcPr>
          <w:p>
            <w:pPr>
              <w:jc w:val="right"/>
              <w:ind w:right="8"/>
              <w:spacing w:after="0"/>
              <w:rPr>
                <w:sz w:val="20"/>
                <w:szCs w:val="20"/>
                <w:color w:val="auto"/>
              </w:rPr>
            </w:pPr>
            <w:r>
              <w:rPr>
                <w:rFonts w:ascii="Arial" w:cs="Arial" w:eastAsia="Arial" w:hAnsi="Arial"/>
                <w:sz w:val="14"/>
                <w:szCs w:val="14"/>
                <w:b w:val="1"/>
                <w:bCs w:val="1"/>
                <w:color w:val="FFFFFF"/>
              </w:rPr>
              <w:t>Board</w:t>
            </w:r>
          </w:p>
        </w:tc>
        <w:tc>
          <w:tcPr>
            <w:tcW w:w="68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71"/>
        </w:trPr>
        <w:tc>
          <w:tcPr>
            <w:tcW w:w="100" w:type="dxa"/>
            <w:vAlign w:val="bottom"/>
            <w:tcBorders>
              <w:left w:val="single" w:sz="8" w:color="424E6A"/>
            </w:tcBorders>
            <w:shd w:val="clear" w:color="auto" w:fill="424E6A"/>
          </w:tcPr>
          <w:p>
            <w:pPr>
              <w:spacing w:after="0"/>
              <w:rPr>
                <w:sz w:val="14"/>
                <w:szCs w:val="14"/>
                <w:color w:val="auto"/>
              </w:rPr>
            </w:pPr>
          </w:p>
        </w:tc>
        <w:tc>
          <w:tcPr>
            <w:tcW w:w="2220" w:type="dxa"/>
            <w:vAlign w:val="bottom"/>
            <w:tcBorders>
              <w:righ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20" w:type="dxa"/>
            <w:vAlign w:val="bottom"/>
            <w:tcBorders>
              <w:right w:val="single" w:sz="8" w:color="424E6A"/>
            </w:tcBorders>
            <w:shd w:val="clear" w:color="auto" w:fill="424E6A"/>
          </w:tcPr>
          <w:p>
            <w:pPr>
              <w:ind w:left="18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520" w:type="dxa"/>
            <w:vAlign w:val="bottom"/>
            <w:tcBorders>
              <w:right w:val="single" w:sz="8" w:color="424E6A"/>
            </w:tcBorders>
            <w:shd w:val="clear" w:color="auto" w:fill="424E6A"/>
          </w:tcPr>
          <w:p>
            <w:pPr>
              <w:jc w:val="right"/>
              <w:ind w:right="28"/>
              <w:spacing w:after="0"/>
              <w:rPr>
                <w:sz w:val="20"/>
                <w:szCs w:val="20"/>
                <w:color w:val="auto"/>
              </w:rPr>
            </w:pPr>
            <w:r>
              <w:rPr>
                <w:rFonts w:ascii="Arial" w:cs="Arial" w:eastAsia="Arial" w:hAnsi="Arial"/>
                <w:sz w:val="14"/>
                <w:szCs w:val="14"/>
                <w:b w:val="1"/>
                <w:bCs w:val="1"/>
                <w:color w:val="FFFFFF"/>
              </w:rPr>
              <w:t>Chair</w:t>
            </w:r>
          </w:p>
        </w:tc>
        <w:tc>
          <w:tcPr>
            <w:tcW w:w="6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Director</w:t>
            </w:r>
          </w:p>
        </w:tc>
        <w:tc>
          <w:tcPr>
            <w:tcW w:w="0" w:type="dxa"/>
            <w:vAlign w:val="bottom"/>
          </w:tcPr>
          <w:p>
            <w:pPr>
              <w:spacing w:after="0"/>
              <w:rPr>
                <w:sz w:val="1"/>
                <w:szCs w:val="1"/>
                <w:color w:val="auto"/>
              </w:rPr>
            </w:pPr>
          </w:p>
        </w:tc>
      </w:tr>
      <w:tr>
        <w:trPr>
          <w:trHeight w:val="197"/>
        </w:trPr>
        <w:tc>
          <w:tcPr>
            <w:tcW w:w="2320" w:type="dxa"/>
            <w:vAlign w:val="bottom"/>
            <w:tcBorders>
              <w:left w:val="single" w:sz="8" w:color="424E6A"/>
              <w:right w:val="single" w:sz="8" w:color="424E6A"/>
            </w:tcBorders>
            <w:gridSpan w:val="2"/>
            <w:shd w:val="clear" w:color="auto" w:fill="D9DCE1"/>
          </w:tcPr>
          <w:p>
            <w:pPr>
              <w:ind w:left="100"/>
              <w:spacing w:after="0"/>
              <w:rPr>
                <w:sz w:val="20"/>
                <w:szCs w:val="20"/>
                <w:color w:val="auto"/>
              </w:rPr>
            </w:pPr>
            <w:r>
              <w:rPr>
                <w:rFonts w:ascii="Arial" w:cs="Arial" w:eastAsia="Arial" w:hAnsi="Arial"/>
                <w:sz w:val="17"/>
                <w:szCs w:val="17"/>
                <w:color w:val="auto"/>
              </w:rPr>
              <w:t>Class 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7"/>
                <w:szCs w:val="17"/>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100" w:type="dxa"/>
            <w:vAlign w:val="bottom"/>
            <w:tcBorders>
              <w:left w:val="single" w:sz="8" w:color="424E6A"/>
            </w:tcBorders>
            <w:shd w:val="clear" w:color="auto" w:fill="D9DCE1"/>
          </w:tcPr>
          <w:p>
            <w:pPr>
              <w:spacing w:after="0"/>
              <w:rPr>
                <w:sz w:val="9"/>
                <w:szCs w:val="9"/>
                <w:color w:val="auto"/>
              </w:rPr>
            </w:pPr>
          </w:p>
        </w:tc>
        <w:tc>
          <w:tcPr>
            <w:tcW w:w="2220" w:type="dxa"/>
            <w:vAlign w:val="bottom"/>
            <w:tcBorders>
              <w:right w:val="single" w:sz="8" w:color="424E6A"/>
            </w:tcBorders>
            <w:vMerge w:val="restart"/>
            <w:shd w:val="clear" w:color="auto" w:fill="D9DCE1"/>
          </w:tcPr>
          <w:p>
            <w:pPr>
              <w:ind w:left="160"/>
              <w:spacing w:after="0"/>
              <w:rPr>
                <w:sz w:val="20"/>
                <w:szCs w:val="20"/>
                <w:color w:val="auto"/>
              </w:rPr>
            </w:pPr>
            <w:r>
              <w:rPr>
                <w:rFonts w:ascii="Arial" w:cs="Arial" w:eastAsia="Arial" w:hAnsi="Arial"/>
                <w:sz w:val="17"/>
                <w:szCs w:val="17"/>
                <w:color w:val="auto"/>
              </w:rPr>
              <w:t>(Term expires 2026)</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424E6A"/>
              <w:bottom w:val="single" w:sz="8" w:color="424E6A"/>
            </w:tcBorders>
            <w:shd w:val="clear" w:color="auto" w:fill="D9DCE1"/>
          </w:tcPr>
          <w:p>
            <w:pPr>
              <w:spacing w:after="0"/>
              <w:rPr>
                <w:sz w:val="9"/>
                <w:szCs w:val="9"/>
                <w:color w:val="auto"/>
              </w:rPr>
            </w:pPr>
          </w:p>
        </w:tc>
        <w:tc>
          <w:tcPr>
            <w:tcW w:w="2220" w:type="dxa"/>
            <w:vAlign w:val="bottom"/>
            <w:tcBorders>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424E6A"/>
            </w:tcBorders>
          </w:tcPr>
          <w:p>
            <w:pPr>
              <w:spacing w:after="0"/>
              <w:rPr>
                <w:sz w:val="16"/>
                <w:szCs w:val="16"/>
                <w:color w:val="auto"/>
              </w:rPr>
            </w:pPr>
          </w:p>
        </w:tc>
        <w:tc>
          <w:tcPr>
            <w:tcW w:w="2220" w:type="dxa"/>
            <w:vAlign w:val="bottom"/>
            <w:tcBorders>
              <w:right w:val="single" w:sz="8" w:color="424E6A"/>
            </w:tcBorders>
          </w:tcPr>
          <w:p>
            <w:pPr>
              <w:ind w:left="160"/>
              <w:spacing w:after="0" w:line="190" w:lineRule="exact"/>
              <w:rPr>
                <w:sz w:val="20"/>
                <w:szCs w:val="20"/>
                <w:color w:val="auto"/>
              </w:rPr>
            </w:pPr>
            <w:r>
              <w:rPr>
                <w:rFonts w:ascii="Arial" w:cs="Arial" w:eastAsia="Arial" w:hAnsi="Arial"/>
                <w:sz w:val="17"/>
                <w:szCs w:val="17"/>
                <w:color w:val="auto"/>
              </w:rPr>
              <w:t>Willie Chiang,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2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5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424E6A"/>
            </w:tcBorders>
          </w:tcPr>
          <w:p>
            <w:pPr>
              <w:spacing w:after="0"/>
              <w:rPr>
                <w:sz w:val="17"/>
                <w:szCs w:val="17"/>
                <w:color w:val="auto"/>
              </w:rPr>
            </w:pPr>
          </w:p>
        </w:tc>
        <w:tc>
          <w:tcPr>
            <w:tcW w:w="222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Chairman of the Board,</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CEO and President*</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Ellen DeSanctis*</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Alexandra D. Pruner*</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Lawrence M. Ziemba*</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gridSpan w:val="2"/>
            <w:shd w:val="clear" w:color="auto" w:fill="D9DCE1"/>
          </w:tcPr>
          <w:p>
            <w:pPr>
              <w:ind w:left="100"/>
              <w:spacing w:after="0" w:line="190" w:lineRule="exact"/>
              <w:rPr>
                <w:sz w:val="20"/>
                <w:szCs w:val="20"/>
                <w:color w:val="auto"/>
              </w:rPr>
            </w:pPr>
            <w:r>
              <w:rPr>
                <w:rFonts w:ascii="Arial" w:cs="Arial" w:eastAsia="Arial" w:hAnsi="Arial"/>
                <w:sz w:val="17"/>
                <w:szCs w:val="17"/>
                <w:color w:val="auto"/>
              </w:rPr>
              <w:t>Class II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6"/>
                <w:szCs w:val="16"/>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100" w:type="dxa"/>
            <w:vAlign w:val="bottom"/>
            <w:tcBorders>
              <w:left w:val="single" w:sz="8" w:color="424E6A"/>
            </w:tcBorders>
            <w:shd w:val="clear" w:color="auto" w:fill="D9DCE1"/>
          </w:tcPr>
          <w:p>
            <w:pPr>
              <w:spacing w:after="0"/>
              <w:rPr>
                <w:sz w:val="9"/>
                <w:szCs w:val="9"/>
                <w:color w:val="auto"/>
              </w:rPr>
            </w:pPr>
          </w:p>
        </w:tc>
        <w:tc>
          <w:tcPr>
            <w:tcW w:w="2220" w:type="dxa"/>
            <w:vAlign w:val="bottom"/>
            <w:tcBorders>
              <w:right w:val="single" w:sz="8" w:color="424E6A"/>
            </w:tcBorders>
            <w:vMerge w:val="restart"/>
            <w:shd w:val="clear" w:color="auto" w:fill="D9DCE1"/>
          </w:tcPr>
          <w:p>
            <w:pPr>
              <w:ind w:left="160"/>
              <w:spacing w:after="0"/>
              <w:rPr>
                <w:sz w:val="20"/>
                <w:szCs w:val="20"/>
                <w:color w:val="auto"/>
              </w:rPr>
            </w:pPr>
            <w:r>
              <w:rPr>
                <w:rFonts w:ascii="Arial" w:cs="Arial" w:eastAsia="Arial" w:hAnsi="Arial"/>
                <w:sz w:val="17"/>
                <w:szCs w:val="17"/>
                <w:color w:val="auto"/>
              </w:rPr>
              <w:t>(Term expires 2028)</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424E6A"/>
              <w:bottom w:val="single" w:sz="8" w:color="424E6A"/>
            </w:tcBorders>
            <w:shd w:val="clear" w:color="auto" w:fill="D9DCE1"/>
          </w:tcPr>
          <w:p>
            <w:pPr>
              <w:spacing w:after="0"/>
              <w:rPr>
                <w:sz w:val="9"/>
                <w:szCs w:val="9"/>
                <w:color w:val="auto"/>
              </w:rPr>
            </w:pPr>
          </w:p>
        </w:tc>
        <w:tc>
          <w:tcPr>
            <w:tcW w:w="2220" w:type="dxa"/>
            <w:vAlign w:val="bottom"/>
            <w:tcBorders>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Victor Burk</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Kevin S. McCarthy</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100" w:type="dxa"/>
            <w:vAlign w:val="bottom"/>
            <w:tcBorders>
              <w:left w:val="single" w:sz="8" w:color="424E6A"/>
            </w:tcBorders>
          </w:tcPr>
          <w:p>
            <w:pPr>
              <w:spacing w:after="0"/>
              <w:rPr>
                <w:sz w:val="16"/>
                <w:szCs w:val="16"/>
                <w:color w:val="auto"/>
              </w:rPr>
            </w:pPr>
          </w:p>
        </w:tc>
        <w:tc>
          <w:tcPr>
            <w:tcW w:w="2220" w:type="dxa"/>
            <w:vAlign w:val="bottom"/>
            <w:tcBorders>
              <w:right w:val="single" w:sz="8" w:color="424E6A"/>
            </w:tcBorders>
          </w:tcPr>
          <w:p>
            <w:pPr>
              <w:ind w:left="160"/>
              <w:spacing w:after="0" w:line="190" w:lineRule="exact"/>
              <w:rPr>
                <w:sz w:val="20"/>
                <w:szCs w:val="20"/>
                <w:color w:val="auto"/>
              </w:rPr>
            </w:pPr>
            <w:r>
              <w:rPr>
                <w:rFonts w:ascii="Arial" w:cs="Arial" w:eastAsia="Arial" w:hAnsi="Arial"/>
                <w:sz w:val="17"/>
                <w:szCs w:val="17"/>
                <w:color w:val="auto"/>
              </w:rPr>
              <w:t>Harry N. Pefanis, Senior</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2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5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424E6A"/>
            </w:tcBorders>
          </w:tcPr>
          <w:p>
            <w:pPr>
              <w:spacing w:after="0"/>
              <w:rPr>
                <w:sz w:val="17"/>
                <w:szCs w:val="17"/>
                <w:color w:val="auto"/>
              </w:rPr>
            </w:pPr>
          </w:p>
        </w:tc>
        <w:tc>
          <w:tcPr>
            <w:tcW w:w="222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Advisor to the CEO</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(former President)</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424E6A"/>
              <w:bottom w:val="single" w:sz="8" w:color="424E6A"/>
            </w:tcBorders>
          </w:tcPr>
          <w:p>
            <w:pPr>
              <w:spacing w:after="0"/>
              <w:rPr>
                <w:sz w:val="19"/>
                <w:szCs w:val="19"/>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Gary R. Petersen</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gridSpan w:val="2"/>
            <w:shd w:val="clear" w:color="auto" w:fill="D9DCE1"/>
          </w:tcPr>
          <w:p>
            <w:pPr>
              <w:ind w:left="100"/>
              <w:spacing w:after="0" w:line="190" w:lineRule="exact"/>
              <w:rPr>
                <w:sz w:val="20"/>
                <w:szCs w:val="20"/>
                <w:color w:val="auto"/>
              </w:rPr>
            </w:pPr>
            <w:r>
              <w:rPr>
                <w:rFonts w:ascii="Arial" w:cs="Arial" w:eastAsia="Arial" w:hAnsi="Arial"/>
                <w:sz w:val="17"/>
                <w:szCs w:val="17"/>
                <w:color w:val="auto"/>
              </w:rPr>
              <w:t>Class III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6"/>
                <w:szCs w:val="16"/>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100" w:type="dxa"/>
            <w:vAlign w:val="bottom"/>
            <w:tcBorders>
              <w:left w:val="single" w:sz="8" w:color="424E6A"/>
            </w:tcBorders>
            <w:shd w:val="clear" w:color="auto" w:fill="D9DCE1"/>
          </w:tcPr>
          <w:p>
            <w:pPr>
              <w:spacing w:after="0"/>
              <w:rPr>
                <w:sz w:val="9"/>
                <w:szCs w:val="9"/>
                <w:color w:val="auto"/>
              </w:rPr>
            </w:pPr>
          </w:p>
        </w:tc>
        <w:tc>
          <w:tcPr>
            <w:tcW w:w="2220" w:type="dxa"/>
            <w:vAlign w:val="bottom"/>
            <w:tcBorders>
              <w:right w:val="single" w:sz="8" w:color="424E6A"/>
            </w:tcBorders>
            <w:vMerge w:val="restart"/>
            <w:shd w:val="clear" w:color="auto" w:fill="D9DCE1"/>
          </w:tcPr>
          <w:p>
            <w:pPr>
              <w:ind w:left="160"/>
              <w:spacing w:after="0"/>
              <w:rPr>
                <w:sz w:val="20"/>
                <w:szCs w:val="20"/>
                <w:color w:val="auto"/>
              </w:rPr>
            </w:pPr>
            <w:r>
              <w:rPr>
                <w:rFonts w:ascii="Arial" w:cs="Arial" w:eastAsia="Arial" w:hAnsi="Arial"/>
                <w:sz w:val="17"/>
                <w:szCs w:val="17"/>
                <w:color w:val="auto"/>
              </w:rPr>
              <w:t>(Term expires 2027)</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424E6A"/>
              <w:bottom w:val="single" w:sz="8" w:color="424E6A"/>
            </w:tcBorders>
            <w:shd w:val="clear" w:color="auto" w:fill="D9DCE1"/>
          </w:tcPr>
          <w:p>
            <w:pPr>
              <w:spacing w:after="0"/>
              <w:rPr>
                <w:sz w:val="9"/>
                <w:szCs w:val="9"/>
                <w:color w:val="auto"/>
              </w:rPr>
            </w:pPr>
          </w:p>
        </w:tc>
        <w:tc>
          <w:tcPr>
            <w:tcW w:w="2220" w:type="dxa"/>
            <w:vAlign w:val="bottom"/>
            <w:tcBorders>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424E6A"/>
            </w:tcBorders>
          </w:tcPr>
          <w:p>
            <w:pPr>
              <w:spacing w:after="0"/>
              <w:rPr>
                <w:sz w:val="16"/>
                <w:szCs w:val="16"/>
                <w:color w:val="auto"/>
              </w:rPr>
            </w:pPr>
          </w:p>
        </w:tc>
        <w:tc>
          <w:tcPr>
            <w:tcW w:w="2220" w:type="dxa"/>
            <w:vAlign w:val="bottom"/>
            <w:tcBorders>
              <w:right w:val="single" w:sz="8" w:color="424E6A"/>
            </w:tcBorders>
          </w:tcPr>
          <w:p>
            <w:pPr>
              <w:ind w:left="160"/>
              <w:spacing w:after="0" w:line="190" w:lineRule="exact"/>
              <w:rPr>
                <w:sz w:val="20"/>
                <w:szCs w:val="20"/>
                <w:color w:val="auto"/>
              </w:rPr>
            </w:pPr>
            <w:r>
              <w:rPr>
                <w:rFonts w:ascii="Arial" w:cs="Arial" w:eastAsia="Arial" w:hAnsi="Arial"/>
                <w:sz w:val="17"/>
                <w:szCs w:val="17"/>
                <w:color w:val="auto"/>
              </w:rPr>
              <w:t>Greg L. Armstrong,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2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5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424E6A"/>
            </w:tcBorders>
          </w:tcPr>
          <w:p>
            <w:pPr>
              <w:spacing w:after="0"/>
              <w:rPr>
                <w:sz w:val="17"/>
                <w:szCs w:val="17"/>
                <w:color w:val="auto"/>
              </w:rPr>
            </w:pPr>
          </w:p>
        </w:tc>
        <w:tc>
          <w:tcPr>
            <w:tcW w:w="222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Senior Advisor to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vMerge w:val="restart"/>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100" w:type="dxa"/>
            <w:vAlign w:val="bottom"/>
            <w:tcBorders>
              <w:left w:val="single" w:sz="8" w:color="424E6A"/>
            </w:tcBorders>
          </w:tcPr>
          <w:p>
            <w:pPr>
              <w:spacing w:after="0"/>
              <w:rPr>
                <w:sz w:val="9"/>
                <w:szCs w:val="9"/>
                <w:color w:val="auto"/>
              </w:rPr>
            </w:pPr>
          </w:p>
        </w:tc>
        <w:tc>
          <w:tcPr>
            <w:tcW w:w="2220" w:type="dxa"/>
            <w:vAlign w:val="bottom"/>
            <w:tcBorders>
              <w:right w:val="single" w:sz="8" w:color="424E6A"/>
            </w:tcBorders>
            <w:vMerge w:val="restart"/>
          </w:tcPr>
          <w:p>
            <w:pPr>
              <w:ind w:left="320"/>
              <w:spacing w:after="0"/>
              <w:rPr>
                <w:sz w:val="20"/>
                <w:szCs w:val="20"/>
                <w:color w:val="auto"/>
              </w:rPr>
            </w:pPr>
            <w:r>
              <w:rPr>
                <w:rFonts w:ascii="Arial" w:cs="Arial" w:eastAsia="Arial" w:hAnsi="Arial"/>
                <w:sz w:val="17"/>
                <w:szCs w:val="17"/>
                <w:color w:val="auto"/>
              </w:rPr>
              <w:t>CEO (former Chairman</w:t>
            </w:r>
          </w:p>
        </w:tc>
        <w:tc>
          <w:tcPr>
            <w:tcW w:w="960" w:type="dxa"/>
            <w:vAlign w:val="bottom"/>
            <w:tcBorders>
              <w:right w:val="single" w:sz="8" w:color="424E6A"/>
            </w:tcBorders>
          </w:tcPr>
          <w:p>
            <w:pPr>
              <w:spacing w:after="0"/>
              <w:rPr>
                <w:sz w:val="9"/>
                <w:szCs w:val="9"/>
                <w:color w:val="auto"/>
              </w:rPr>
            </w:pPr>
          </w:p>
        </w:tc>
        <w:tc>
          <w:tcPr>
            <w:tcW w:w="840" w:type="dxa"/>
            <w:vAlign w:val="bottom"/>
            <w:tcBorders>
              <w:right w:val="single" w:sz="8" w:color="424E6A"/>
            </w:tcBorders>
            <w:vMerge w:val="continue"/>
          </w:tcPr>
          <w:p>
            <w:pPr>
              <w:spacing w:after="0"/>
              <w:rPr>
                <w:sz w:val="9"/>
                <w:szCs w:val="9"/>
                <w:color w:val="auto"/>
              </w:rPr>
            </w:pPr>
          </w:p>
        </w:tc>
        <w:tc>
          <w:tcPr>
            <w:tcW w:w="1120" w:type="dxa"/>
            <w:vAlign w:val="bottom"/>
            <w:tcBorders>
              <w:right w:val="single" w:sz="8" w:color="424E6A"/>
            </w:tcBorders>
            <w:vMerge w:val="continue"/>
          </w:tcPr>
          <w:p>
            <w:pPr>
              <w:spacing w:after="0"/>
              <w:rPr>
                <w:sz w:val="9"/>
                <w:szCs w:val="9"/>
                <w:color w:val="auto"/>
              </w:rPr>
            </w:pPr>
          </w:p>
        </w:tc>
        <w:tc>
          <w:tcPr>
            <w:tcW w:w="940" w:type="dxa"/>
            <w:vAlign w:val="bottom"/>
            <w:tcBorders>
              <w:right w:val="single" w:sz="8" w:color="424E6A"/>
            </w:tcBorders>
            <w:vMerge w:val="continue"/>
          </w:tcPr>
          <w:p>
            <w:pPr>
              <w:spacing w:after="0"/>
              <w:rPr>
                <w:sz w:val="9"/>
                <w:szCs w:val="9"/>
                <w:color w:val="auto"/>
              </w:rPr>
            </w:pPr>
          </w:p>
        </w:tc>
        <w:tc>
          <w:tcPr>
            <w:tcW w:w="840" w:type="dxa"/>
            <w:vAlign w:val="bottom"/>
            <w:tcBorders>
              <w:right w:val="single" w:sz="8" w:color="424E6A"/>
            </w:tcBorders>
            <w:vMerge w:val="continue"/>
          </w:tcPr>
          <w:p>
            <w:pPr>
              <w:spacing w:after="0"/>
              <w:rPr>
                <w:sz w:val="9"/>
                <w:szCs w:val="9"/>
                <w:color w:val="auto"/>
              </w:rPr>
            </w:pPr>
          </w:p>
        </w:tc>
        <w:tc>
          <w:tcPr>
            <w:tcW w:w="520" w:type="dxa"/>
            <w:vAlign w:val="bottom"/>
            <w:tcBorders>
              <w:right w:val="single" w:sz="8" w:color="424E6A"/>
            </w:tcBorders>
          </w:tcPr>
          <w:p>
            <w:pPr>
              <w:spacing w:after="0"/>
              <w:rPr>
                <w:sz w:val="9"/>
                <w:szCs w:val="9"/>
                <w:color w:val="auto"/>
              </w:rPr>
            </w:pPr>
          </w:p>
        </w:tc>
        <w:tc>
          <w:tcPr>
            <w:tcW w:w="68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00" w:type="dxa"/>
            <w:vAlign w:val="bottom"/>
            <w:tcBorders>
              <w:left w:val="single" w:sz="8" w:color="424E6A"/>
            </w:tcBorders>
          </w:tcPr>
          <w:p>
            <w:pPr>
              <w:spacing w:after="0"/>
              <w:rPr>
                <w:sz w:val="7"/>
                <w:szCs w:val="7"/>
                <w:color w:val="auto"/>
              </w:rPr>
            </w:pPr>
          </w:p>
        </w:tc>
        <w:tc>
          <w:tcPr>
            <w:tcW w:w="2220" w:type="dxa"/>
            <w:vAlign w:val="bottom"/>
            <w:tcBorders>
              <w:right w:val="single" w:sz="8" w:color="424E6A"/>
            </w:tcBorders>
            <w:vMerge w:val="continue"/>
          </w:tcPr>
          <w:p>
            <w:pPr>
              <w:spacing w:after="0"/>
              <w:rPr>
                <w:sz w:val="7"/>
                <w:szCs w:val="7"/>
                <w:color w:val="auto"/>
              </w:rPr>
            </w:pPr>
          </w:p>
        </w:tc>
        <w:tc>
          <w:tcPr>
            <w:tcW w:w="960" w:type="dxa"/>
            <w:vAlign w:val="bottom"/>
            <w:tcBorders>
              <w:right w:val="single" w:sz="8" w:color="424E6A"/>
            </w:tcBorders>
          </w:tcPr>
          <w:p>
            <w:pPr>
              <w:spacing w:after="0"/>
              <w:rPr>
                <w:sz w:val="7"/>
                <w:szCs w:val="7"/>
                <w:color w:val="auto"/>
              </w:rPr>
            </w:pPr>
          </w:p>
        </w:tc>
        <w:tc>
          <w:tcPr>
            <w:tcW w:w="840" w:type="dxa"/>
            <w:vAlign w:val="bottom"/>
            <w:tcBorders>
              <w:right w:val="single" w:sz="8" w:color="424E6A"/>
            </w:tcBorders>
          </w:tcPr>
          <w:p>
            <w:pPr>
              <w:spacing w:after="0"/>
              <w:rPr>
                <w:sz w:val="7"/>
                <w:szCs w:val="7"/>
                <w:color w:val="auto"/>
              </w:rPr>
            </w:pPr>
          </w:p>
        </w:tc>
        <w:tc>
          <w:tcPr>
            <w:tcW w:w="1120" w:type="dxa"/>
            <w:vAlign w:val="bottom"/>
            <w:tcBorders>
              <w:right w:val="single" w:sz="8" w:color="424E6A"/>
            </w:tcBorders>
          </w:tcPr>
          <w:p>
            <w:pPr>
              <w:spacing w:after="0"/>
              <w:rPr>
                <w:sz w:val="7"/>
                <w:szCs w:val="7"/>
                <w:color w:val="auto"/>
              </w:rPr>
            </w:pPr>
          </w:p>
        </w:tc>
        <w:tc>
          <w:tcPr>
            <w:tcW w:w="940" w:type="dxa"/>
            <w:vAlign w:val="bottom"/>
            <w:tcBorders>
              <w:right w:val="single" w:sz="8" w:color="424E6A"/>
            </w:tcBorders>
          </w:tcPr>
          <w:p>
            <w:pPr>
              <w:spacing w:after="0"/>
              <w:rPr>
                <w:sz w:val="7"/>
                <w:szCs w:val="7"/>
                <w:color w:val="auto"/>
              </w:rPr>
            </w:pPr>
          </w:p>
        </w:tc>
        <w:tc>
          <w:tcPr>
            <w:tcW w:w="840" w:type="dxa"/>
            <w:vAlign w:val="bottom"/>
            <w:tcBorders>
              <w:right w:val="single" w:sz="8" w:color="424E6A"/>
            </w:tcBorders>
          </w:tcPr>
          <w:p>
            <w:pPr>
              <w:spacing w:after="0"/>
              <w:rPr>
                <w:sz w:val="7"/>
                <w:szCs w:val="7"/>
                <w:color w:val="auto"/>
              </w:rPr>
            </w:pPr>
          </w:p>
        </w:tc>
        <w:tc>
          <w:tcPr>
            <w:tcW w:w="520" w:type="dxa"/>
            <w:vAlign w:val="bottom"/>
            <w:tcBorders>
              <w:right w:val="single" w:sz="8" w:color="424E6A"/>
            </w:tcBorders>
          </w:tcPr>
          <w:p>
            <w:pPr>
              <w:spacing w:after="0"/>
              <w:rPr>
                <w:sz w:val="7"/>
                <w:szCs w:val="7"/>
                <w:color w:val="auto"/>
              </w:rPr>
            </w:pPr>
          </w:p>
        </w:tc>
        <w:tc>
          <w:tcPr>
            <w:tcW w:w="680" w:type="dxa"/>
            <w:vAlign w:val="bottom"/>
            <w:tcBorders>
              <w:right w:val="single" w:sz="8" w:color="424E6A"/>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424E6A"/>
              <w:bottom w:val="single" w:sz="8" w:color="424E6A"/>
            </w:tcBorders>
          </w:tcPr>
          <w:p>
            <w:pPr>
              <w:spacing w:after="0"/>
              <w:rPr>
                <w:sz w:val="18"/>
                <w:szCs w:val="18"/>
                <w:color w:val="auto"/>
              </w:rPr>
            </w:pPr>
          </w:p>
        </w:tc>
        <w:tc>
          <w:tcPr>
            <w:tcW w:w="222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of the Board and CEO)</w:t>
            </w:r>
          </w:p>
        </w:tc>
        <w:tc>
          <w:tcPr>
            <w:tcW w:w="96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1120" w:type="dxa"/>
            <w:vAlign w:val="bottom"/>
            <w:tcBorders>
              <w:bottom w:val="single" w:sz="8" w:color="424E6A"/>
              <w:right w:val="single" w:sz="8" w:color="424E6A"/>
            </w:tcBorders>
          </w:tcPr>
          <w:p>
            <w:pPr>
              <w:spacing w:after="0"/>
              <w:rPr>
                <w:sz w:val="18"/>
                <w:szCs w:val="18"/>
                <w:color w:val="auto"/>
              </w:rPr>
            </w:pPr>
          </w:p>
        </w:tc>
        <w:tc>
          <w:tcPr>
            <w:tcW w:w="94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520" w:type="dxa"/>
            <w:vAlign w:val="bottom"/>
            <w:tcBorders>
              <w:bottom w:val="single" w:sz="8" w:color="424E6A"/>
              <w:right w:val="single" w:sz="8" w:color="424E6A"/>
            </w:tcBorders>
          </w:tcPr>
          <w:p>
            <w:pPr>
              <w:spacing w:after="0"/>
              <w:rPr>
                <w:sz w:val="18"/>
                <w:szCs w:val="18"/>
                <w:color w:val="auto"/>
              </w:rPr>
            </w:pPr>
          </w:p>
        </w:tc>
        <w:tc>
          <w:tcPr>
            <w:tcW w:w="680" w:type="dxa"/>
            <w:vAlign w:val="bottom"/>
            <w:tcBorders>
              <w:bottom w:val="single" w:sz="8" w:color="424E6A"/>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424E6A"/>
              <w:bottom w:val="single" w:sz="8" w:color="424E6A"/>
            </w:tcBorders>
          </w:tcPr>
          <w:p>
            <w:pPr>
              <w:spacing w:after="0"/>
              <w:rPr>
                <w:sz w:val="22"/>
                <w:szCs w:val="22"/>
                <w:color w:val="auto"/>
              </w:rPr>
            </w:pPr>
          </w:p>
        </w:tc>
        <w:tc>
          <w:tcPr>
            <w:tcW w:w="222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7"/>
                <w:szCs w:val="17"/>
                <w:color w:val="auto"/>
              </w:rPr>
              <w:t>John T. Raymond</w:t>
            </w:r>
          </w:p>
        </w:tc>
        <w:tc>
          <w:tcPr>
            <w:tcW w:w="96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spacing w:after="0"/>
              <w:rPr>
                <w:sz w:val="22"/>
                <w:szCs w:val="22"/>
                <w:color w:val="auto"/>
              </w:rPr>
            </w:pPr>
          </w:p>
        </w:tc>
        <w:tc>
          <w:tcPr>
            <w:tcW w:w="94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22"/>
                <w:szCs w:val="22"/>
                <w:color w:val="auto"/>
              </w:rPr>
            </w:pPr>
          </w:p>
        </w:tc>
        <w:tc>
          <w:tcPr>
            <w:tcW w:w="680" w:type="dxa"/>
            <w:vAlign w:val="bottom"/>
            <w:tcBorders>
              <w:bottom w:val="single" w:sz="8" w:color="424E6A"/>
              <w:right w:val="single" w:sz="8" w:color="424E6A"/>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424E6A"/>
            </w:tcBorders>
          </w:tcPr>
          <w:p>
            <w:pPr>
              <w:spacing w:after="0"/>
              <w:rPr>
                <w:sz w:val="19"/>
                <w:szCs w:val="19"/>
                <w:color w:val="auto"/>
              </w:rPr>
            </w:pPr>
          </w:p>
        </w:tc>
        <w:tc>
          <w:tcPr>
            <w:tcW w:w="2220" w:type="dxa"/>
            <w:vAlign w:val="bottom"/>
            <w:tcBorders>
              <w:right w:val="single" w:sz="8" w:color="424E6A"/>
            </w:tcBorders>
          </w:tcPr>
          <w:p>
            <w:pPr>
              <w:ind w:left="160"/>
              <w:spacing w:after="0"/>
              <w:rPr>
                <w:sz w:val="20"/>
                <w:szCs w:val="20"/>
                <w:color w:val="auto"/>
              </w:rPr>
            </w:pPr>
            <w:r>
              <w:rPr>
                <w:rFonts w:ascii="Arial" w:cs="Arial" w:eastAsia="Arial" w:hAnsi="Arial"/>
                <w:sz w:val="17"/>
                <w:szCs w:val="17"/>
                <w:color w:val="auto"/>
              </w:rPr>
              <w:t>Bobby S. Shackouls</w:t>
            </w:r>
          </w:p>
        </w:tc>
        <w:tc>
          <w:tcPr>
            <w:tcW w:w="960" w:type="dxa"/>
            <w:vAlign w:val="bottom"/>
            <w:tcBorders>
              <w:right w:val="single" w:sz="8" w:color="424E6A"/>
            </w:tcBorders>
          </w:tcPr>
          <w:p>
            <w:pPr>
              <w:spacing w:after="0"/>
              <w:rPr>
                <w:sz w:val="19"/>
                <w:szCs w:val="19"/>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tcPr>
          <w:p>
            <w:pPr>
              <w:spacing w:after="0"/>
              <w:rPr>
                <w:sz w:val="19"/>
                <w:szCs w:val="19"/>
                <w:color w:val="auto"/>
              </w:rPr>
            </w:pPr>
          </w:p>
        </w:tc>
        <w:tc>
          <w:tcPr>
            <w:tcW w:w="940" w:type="dxa"/>
            <w:vAlign w:val="bottom"/>
            <w:tcBorders>
              <w:right w:val="single" w:sz="8" w:color="424E6A"/>
            </w:tcBorders>
          </w:tcPr>
          <w:p>
            <w:pPr>
              <w:spacing w:after="0"/>
              <w:rPr>
                <w:sz w:val="19"/>
                <w:szCs w:val="19"/>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9"/>
                <w:szCs w:val="19"/>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100" w:type="dxa"/>
            <w:vAlign w:val="bottom"/>
            <w:tcBorders>
              <w:left w:val="single" w:sz="8" w:color="424E6A"/>
              <w:bottom w:val="single" w:sz="8" w:color="424E6A"/>
            </w:tcBorders>
          </w:tcPr>
          <w:p>
            <w:pPr>
              <w:spacing w:after="0"/>
              <w:rPr>
                <w:sz w:val="2"/>
                <w:szCs w:val="2"/>
                <w:color w:val="auto"/>
              </w:rPr>
            </w:pPr>
          </w:p>
        </w:tc>
        <w:tc>
          <w:tcPr>
            <w:tcW w:w="2220" w:type="dxa"/>
            <w:vAlign w:val="bottom"/>
            <w:tcBorders>
              <w:bottom w:val="single" w:sz="8" w:color="424E6A"/>
              <w:right w:val="single" w:sz="8" w:color="424E6A"/>
            </w:tcBorders>
          </w:tcPr>
          <w:p>
            <w:pPr>
              <w:spacing w:after="0"/>
              <w:rPr>
                <w:sz w:val="2"/>
                <w:szCs w:val="2"/>
                <w:color w:val="auto"/>
              </w:rPr>
            </w:pPr>
          </w:p>
        </w:tc>
        <w:tc>
          <w:tcPr>
            <w:tcW w:w="960" w:type="dxa"/>
            <w:vAlign w:val="bottom"/>
            <w:tcBorders>
              <w:bottom w:val="single" w:sz="8" w:color="424E6A"/>
              <w:right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1120" w:type="dxa"/>
            <w:vAlign w:val="bottom"/>
            <w:tcBorders>
              <w:bottom w:val="single" w:sz="8" w:color="424E6A"/>
              <w:right w:val="single" w:sz="8" w:color="424E6A"/>
            </w:tcBorders>
          </w:tcPr>
          <w:p>
            <w:pPr>
              <w:spacing w:after="0"/>
              <w:rPr>
                <w:sz w:val="2"/>
                <w:szCs w:val="2"/>
                <w:color w:val="auto"/>
              </w:rPr>
            </w:pPr>
          </w:p>
        </w:tc>
        <w:tc>
          <w:tcPr>
            <w:tcW w:w="940" w:type="dxa"/>
            <w:vAlign w:val="bottom"/>
            <w:tcBorders>
              <w:bottom w:val="single" w:sz="8" w:color="424E6A"/>
              <w:right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520" w:type="dxa"/>
            <w:vAlign w:val="bottom"/>
            <w:tcBorders>
              <w:bottom w:val="single" w:sz="8" w:color="424E6A"/>
              <w:right w:val="single" w:sz="8" w:color="424E6A"/>
            </w:tcBorders>
          </w:tcPr>
          <w:p>
            <w:pPr>
              <w:spacing w:after="0"/>
              <w:rPr>
                <w:sz w:val="2"/>
                <w:szCs w:val="2"/>
                <w:color w:val="auto"/>
              </w:rPr>
            </w:pPr>
          </w:p>
        </w:tc>
        <w:tc>
          <w:tcPr>
            <w:tcW w:w="6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-3007995</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-3016885</wp:posOffset>
            </wp:positionV>
            <wp:extent cx="76835"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-2733675</wp:posOffset>
            </wp:positionV>
            <wp:extent cx="10287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-2725420</wp:posOffset>
            </wp:positionV>
            <wp:extent cx="111125" cy="9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-2725420</wp:posOffset>
            </wp:positionV>
            <wp:extent cx="111125" cy="9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-2579370</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-2571115</wp:posOffset>
            </wp:positionV>
            <wp:extent cx="94615"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-2425065</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-2416810</wp:posOffset>
            </wp:positionV>
            <wp:extent cx="111125"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-2416810</wp:posOffset>
            </wp:positionV>
            <wp:extent cx="9398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-1996440</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-1988185</wp:posOffset>
            </wp:positionV>
            <wp:extent cx="111125"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-1988185</wp:posOffset>
            </wp:positionV>
            <wp:extent cx="111125"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-1842135</wp:posOffset>
            </wp:positionV>
            <wp:extent cx="10287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-1833880</wp:posOffset>
            </wp:positionV>
            <wp:extent cx="111125"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-1833880</wp:posOffset>
            </wp:positionV>
            <wp:extent cx="111125"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-1559560</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-1285240</wp:posOffset>
            </wp:positionV>
            <wp:extent cx="10287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-1276350</wp:posOffset>
            </wp:positionV>
            <wp:extent cx="111125"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-1276350</wp:posOffset>
            </wp:positionV>
            <wp:extent cx="111125"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-668020</wp:posOffset>
            </wp:positionV>
            <wp:extent cx="10287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-316230</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-316230</wp:posOffset>
            </wp:positionV>
            <wp:extent cx="111125"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-316230</wp:posOffset>
            </wp:positionV>
            <wp:extent cx="94615"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-325120</wp:posOffset>
            </wp:positionV>
            <wp:extent cx="8572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-144780</wp:posOffset>
            </wp:positionV>
            <wp:extent cx="10287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-136525</wp:posOffset>
            </wp:positionV>
            <wp:extent cx="9398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-136525</wp:posOffset>
            </wp:positionV>
            <wp:extent cx="11112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946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hanging="54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Nominated by the Board for election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111125"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7683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94615</wp:posOffset>
            </wp:positionV>
            <wp:extent cx="8572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13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Lead Director</w:t>
      </w: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5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attributes of the candidate in the context of the needs of the Board. It is the policy and practice of the Governance Committee and the Board to consider a candidate’s background and attributes in connection with the process of identifying and assessing potential Board candidates.</w:t>
      </w:r>
    </w:p>
    <w:p>
      <w:pPr>
        <w:spacing w:after="0" w:line="9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the Board and its various committees.</w:t>
      </w:r>
    </w:p>
    <w:p>
      <w:pPr>
        <w:spacing w:after="0" w:line="8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attributes, background and experience in light of the needs of the Board. For incumbent directors, factors also include past performance on the Board. The Board has determined that it is beneficial to have individuals on the Board with the following skills, experiences and attributes (See the Director Skills Matrix below for an overview of the skills, experiences and attributes of our current Board members):</w:t>
      </w:r>
    </w:p>
    <w:p>
      <w:pPr>
        <w:spacing w:after="0" w:line="154" w:lineRule="exact"/>
        <w:rPr>
          <w:sz w:val="20"/>
          <w:szCs w:val="20"/>
          <w:color w:val="auto"/>
        </w:rPr>
      </w:pPr>
    </w:p>
    <w:tbl>
      <w:tblPr>
        <w:tblLayout w:type="fixed"/>
        <w:tblInd w:w="1270" w:type="dxa"/>
        <w:tblCellMar>
          <w:top w:w="0" w:type="dxa"/>
          <w:left w:w="0" w:type="dxa"/>
          <w:bottom w:w="0" w:type="dxa"/>
          <w:right w:w="0" w:type="dxa"/>
        </w:tblCellMar>
      </w:tblPr>
      <w:tr>
        <w:trPr>
          <w:trHeight w:val="308"/>
        </w:trPr>
        <w:tc>
          <w:tcPr>
            <w:tcW w:w="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Public Company Experience (Officer/Director)</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Industry Experience (Upstream/Midstream/Downstream)</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Private Equity</w:t>
            </w:r>
          </w:p>
        </w:tc>
      </w:tr>
      <w:tr>
        <w:trPr>
          <w:trHeight w:val="25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Governance/Government Relations/Legal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Cybersecurity/IT</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Operations/Engineering/Construction/Technical</w:t>
            </w:r>
          </w:p>
        </w:tc>
        <w:tc>
          <w:tcPr>
            <w:tcW w:w="20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r>
      <w:tr>
        <w:trPr>
          <w:trHeight w:val="150"/>
        </w:trPr>
        <w:tc>
          <w:tcPr>
            <w:tcW w:w="160" w:type="dxa"/>
            <w:vAlign w:val="bottom"/>
            <w:tcBorders>
              <w:left w:val="single" w:sz="8" w:color="auto"/>
              <w:bottom w:val="single" w:sz="8" w:color="auto"/>
            </w:tcBorders>
          </w:tcPr>
          <w:p>
            <w:pPr>
              <w:spacing w:after="0"/>
              <w:rPr>
                <w:sz w:val="13"/>
                <w:szCs w:val="13"/>
                <w:color w:val="auto"/>
              </w:rPr>
            </w:pPr>
          </w:p>
        </w:tc>
        <w:tc>
          <w:tcPr>
            <w:tcW w:w="356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30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73" w:lineRule="exact"/>
        <w:rPr>
          <w:sz w:val="20"/>
          <w:szCs w:val="20"/>
          <w:color w:val="auto"/>
        </w:rPr>
      </w:pPr>
    </w:p>
    <w:tbl>
      <w:tblPr>
        <w:tblLayout w:type="fixed"/>
        <w:tblInd w:w="1270" w:type="dxa"/>
        <w:tblCellMar>
          <w:top w:w="0" w:type="dxa"/>
          <w:left w:w="0" w:type="dxa"/>
          <w:bottom w:w="0" w:type="dxa"/>
          <w:right w:w="0" w:type="dxa"/>
        </w:tblCellMar>
      </w:tblPr>
      <w:tr>
        <w:trPr>
          <w:trHeight w:val="253"/>
        </w:trPr>
        <w:tc>
          <w:tcPr>
            <w:tcW w:w="1400" w:type="dxa"/>
            <w:vAlign w:val="bottom"/>
            <w:tcBorders>
              <w:left w:val="single" w:sz="8" w:color="424E6A"/>
              <w:right w:val="single" w:sz="8" w:color="auto"/>
            </w:tcBorders>
            <w:shd w:val="clear" w:color="auto" w:fill="424E6A"/>
          </w:tcPr>
          <w:p>
            <w:pPr>
              <w:spacing w:after="0"/>
              <w:rPr>
                <w:sz w:val="21"/>
                <w:szCs w:val="21"/>
                <w:color w:val="auto"/>
              </w:rPr>
            </w:pPr>
          </w:p>
        </w:tc>
        <w:tc>
          <w:tcPr>
            <w:tcW w:w="40" w:type="dxa"/>
            <w:vAlign w:val="bottom"/>
            <w:shd w:val="clear" w:color="auto" w:fill="424E6A"/>
          </w:tcPr>
          <w:p>
            <w:pPr>
              <w:spacing w:after="0"/>
              <w:rPr>
                <w:sz w:val="21"/>
                <w:szCs w:val="21"/>
                <w:color w:val="auto"/>
              </w:rPr>
            </w:pPr>
          </w:p>
        </w:tc>
        <w:tc>
          <w:tcPr>
            <w:tcW w:w="600" w:type="dxa"/>
            <w:vAlign w:val="bottom"/>
            <w:shd w:val="clear" w:color="auto" w:fill="424E6A"/>
          </w:tcPr>
          <w:p>
            <w:pPr>
              <w:ind w:left="20"/>
              <w:spacing w:after="0"/>
              <w:rPr>
                <w:sz w:val="20"/>
                <w:szCs w:val="20"/>
                <w:color w:val="auto"/>
              </w:rPr>
            </w:pPr>
            <w:r>
              <w:rPr>
                <w:rFonts w:ascii="Arial" w:cs="Arial" w:eastAsia="Arial" w:hAnsi="Arial"/>
                <w:sz w:val="11"/>
                <w:szCs w:val="11"/>
                <w:b w:val="1"/>
                <w:bCs w:val="1"/>
                <w:color w:val="FFFFFF"/>
                <w:w w:val="99"/>
              </w:rPr>
              <w:t>Armstrong</w:t>
            </w:r>
          </w:p>
        </w:tc>
        <w:tc>
          <w:tcPr>
            <w:tcW w:w="80" w:type="dxa"/>
            <w:vAlign w:val="bottom"/>
            <w:tcBorders>
              <w:right w:val="single" w:sz="8" w:color="auto"/>
            </w:tcBorders>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260" w:type="dxa"/>
            <w:vAlign w:val="bottom"/>
            <w:shd w:val="clear" w:color="auto" w:fill="424E6A"/>
          </w:tcPr>
          <w:p>
            <w:pPr>
              <w:spacing w:after="0"/>
              <w:rPr>
                <w:sz w:val="20"/>
                <w:szCs w:val="20"/>
                <w:color w:val="auto"/>
              </w:rPr>
            </w:pPr>
            <w:r>
              <w:rPr>
                <w:rFonts w:ascii="Arial" w:cs="Arial" w:eastAsia="Arial" w:hAnsi="Arial"/>
                <w:sz w:val="11"/>
                <w:szCs w:val="11"/>
                <w:b w:val="1"/>
                <w:bCs w:val="1"/>
                <w:color w:val="FFFFFF"/>
                <w:w w:val="95"/>
              </w:rPr>
              <w:t>Burk</w:t>
            </w:r>
          </w:p>
        </w:tc>
        <w:tc>
          <w:tcPr>
            <w:tcW w:w="100" w:type="dxa"/>
            <w:vAlign w:val="bottom"/>
            <w:tcBorders>
              <w:right w:val="single" w:sz="8" w:color="auto"/>
            </w:tcBorders>
            <w:shd w:val="clear" w:color="auto" w:fill="424E6A"/>
          </w:tcPr>
          <w:p>
            <w:pPr>
              <w:spacing w:after="0"/>
              <w:rPr>
                <w:sz w:val="21"/>
                <w:szCs w:val="21"/>
                <w:color w:val="auto"/>
              </w:rPr>
            </w:pPr>
          </w:p>
        </w:tc>
        <w:tc>
          <w:tcPr>
            <w:tcW w:w="40" w:type="dxa"/>
            <w:vAlign w:val="bottom"/>
            <w:shd w:val="clear" w:color="auto" w:fill="424E6A"/>
          </w:tcPr>
          <w:p>
            <w:pPr>
              <w:spacing w:after="0"/>
              <w:rPr>
                <w:sz w:val="21"/>
                <w:szCs w:val="21"/>
                <w:color w:val="auto"/>
              </w:rPr>
            </w:pPr>
          </w:p>
        </w:tc>
        <w:tc>
          <w:tcPr>
            <w:tcW w:w="400" w:type="dxa"/>
            <w:vAlign w:val="bottom"/>
            <w:shd w:val="clear" w:color="auto" w:fill="424E6A"/>
          </w:tcPr>
          <w:p>
            <w:pPr>
              <w:ind w:left="20"/>
              <w:spacing w:after="0"/>
              <w:rPr>
                <w:sz w:val="20"/>
                <w:szCs w:val="20"/>
                <w:color w:val="auto"/>
              </w:rPr>
            </w:pPr>
            <w:r>
              <w:rPr>
                <w:rFonts w:ascii="Arial" w:cs="Arial" w:eastAsia="Arial" w:hAnsi="Arial"/>
                <w:sz w:val="11"/>
                <w:szCs w:val="11"/>
                <w:b w:val="1"/>
                <w:bCs w:val="1"/>
                <w:color w:val="FFFFFF"/>
                <w:w w:val="96"/>
              </w:rPr>
              <w:t>Chiang</w:t>
            </w:r>
          </w:p>
        </w:tc>
        <w:tc>
          <w:tcPr>
            <w:tcW w:w="100" w:type="dxa"/>
            <w:vAlign w:val="bottom"/>
            <w:tcBorders>
              <w:right w:val="single" w:sz="8" w:color="auto"/>
            </w:tcBorders>
            <w:shd w:val="clear" w:color="auto" w:fill="424E6A"/>
          </w:tcPr>
          <w:p>
            <w:pPr>
              <w:spacing w:after="0"/>
              <w:rPr>
                <w:sz w:val="21"/>
                <w:szCs w:val="21"/>
                <w:color w:val="auto"/>
              </w:rPr>
            </w:pP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DeSanctis </w:t>
            </w:r>
            <w:r>
              <w:rPr>
                <w:rFonts w:ascii="Arial" w:cs="Arial" w:eastAsia="Arial" w:hAnsi="Arial"/>
                <w:sz w:val="22"/>
                <w:szCs w:val="22"/>
                <w:b w:val="1"/>
                <w:bCs w:val="1"/>
                <w:color w:val="FFFFFF"/>
                <w:vertAlign w:val="subscript"/>
              </w:rPr>
              <w:t>​</w:t>
            </w:r>
          </w:p>
        </w:tc>
        <w:tc>
          <w:tcPr>
            <w:tcW w:w="70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McCarthy </w:t>
            </w:r>
            <w:r>
              <w:rPr>
                <w:rFonts w:ascii="Arial" w:cs="Arial" w:eastAsia="Arial" w:hAnsi="Arial"/>
                <w:sz w:val="22"/>
                <w:szCs w:val="22"/>
                <w:b w:val="1"/>
                <w:bCs w:val="1"/>
                <w:color w:val="FFFFFF"/>
                <w:vertAlign w:val="subscript"/>
              </w:rPr>
              <w:t>​</w:t>
            </w:r>
          </w:p>
        </w:tc>
        <w:tc>
          <w:tcPr>
            <w:tcW w:w="56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Pefanis </w:t>
            </w:r>
            <w:r>
              <w:rPr>
                <w:rFonts w:ascii="Arial" w:cs="Arial" w:eastAsia="Arial" w:hAnsi="Arial"/>
                <w:sz w:val="22"/>
                <w:szCs w:val="22"/>
                <w:b w:val="1"/>
                <w:bCs w:val="1"/>
                <w:color w:val="FFFFFF"/>
                <w:vertAlign w:val="subscript"/>
              </w:rPr>
              <w:t>​</w:t>
            </w:r>
          </w:p>
        </w:tc>
        <w:tc>
          <w:tcPr>
            <w:tcW w:w="660" w:type="dxa"/>
            <w:vAlign w:val="bottom"/>
            <w:tcBorders>
              <w:right w:val="single" w:sz="8" w:color="auto"/>
            </w:tcBorders>
            <w:gridSpan w:val="3"/>
            <w:shd w:val="clear" w:color="auto" w:fill="424E6A"/>
          </w:tcPr>
          <w:p>
            <w:pPr>
              <w:ind w:left="4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Petersen </w:t>
            </w:r>
            <w:r>
              <w:rPr>
                <w:rFonts w:ascii="Arial" w:cs="Arial" w:eastAsia="Arial" w:hAnsi="Arial"/>
                <w:sz w:val="22"/>
                <w:szCs w:val="22"/>
                <w:b w:val="1"/>
                <w:bCs w:val="1"/>
                <w:color w:val="FFFFFF"/>
                <w:vertAlign w:val="subscript"/>
              </w:rPr>
              <w:t>​</w:t>
            </w:r>
          </w:p>
        </w:tc>
        <w:tc>
          <w:tcPr>
            <w:tcW w:w="54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Pruner </w:t>
            </w:r>
            <w:r>
              <w:rPr>
                <w:rFonts w:ascii="Arial" w:cs="Arial" w:eastAsia="Arial" w:hAnsi="Arial"/>
                <w:sz w:val="22"/>
                <w:szCs w:val="22"/>
                <w:b w:val="1"/>
                <w:bCs w:val="1"/>
                <w:color w:val="FFFFFF"/>
                <w:vertAlign w:val="subscript"/>
              </w:rPr>
              <w:t>​</w:t>
            </w:r>
          </w:p>
        </w:tc>
        <w:tc>
          <w:tcPr>
            <w:tcW w:w="68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shd w:val="clear" w:color="auto" w:fill="424E6A"/>
              </w:rPr>
              <w:t xml:space="preserve">Raymond </w:t>
            </w:r>
            <w:r>
              <w:rPr>
                <w:rFonts w:ascii="Arial" w:cs="Arial" w:eastAsia="Arial" w:hAnsi="Arial"/>
                <w:sz w:val="22"/>
                <w:szCs w:val="22"/>
                <w:b w:val="1"/>
                <w:bCs w:val="1"/>
                <w:color w:val="FFFFFF"/>
                <w:vertAlign w:val="subscript"/>
                <w:shd w:val="clear" w:color="auto" w:fill="424E6A"/>
              </w:rPr>
              <w:t>​</w:t>
            </w: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shd w:val="clear" w:color="auto" w:fill="424E6A"/>
              </w:rPr>
              <w:t xml:space="preserve">Shackouls </w:t>
            </w:r>
            <w:r>
              <w:rPr>
                <w:rFonts w:ascii="Arial" w:cs="Arial" w:eastAsia="Arial" w:hAnsi="Arial"/>
                <w:sz w:val="22"/>
                <w:szCs w:val="22"/>
                <w:b w:val="1"/>
                <w:bCs w:val="1"/>
                <w:color w:val="FFFFFF"/>
                <w:vertAlign w:val="subscript"/>
                <w:shd w:val="clear" w:color="auto" w:fill="424E6A"/>
              </w:rPr>
              <w:t>​</w:t>
            </w:r>
          </w:p>
        </w:tc>
        <w:tc>
          <w:tcPr>
            <w:tcW w:w="480" w:type="dxa"/>
            <w:vAlign w:val="bottom"/>
            <w:gridSpan w:val="2"/>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Ziemba</w:t>
            </w:r>
          </w:p>
        </w:tc>
        <w:tc>
          <w:tcPr>
            <w:tcW w:w="8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Public Company</w:t>
            </w:r>
          </w:p>
        </w:tc>
        <w:tc>
          <w:tcPr>
            <w:tcW w:w="40" w:type="dxa"/>
            <w:vAlign w:val="bottom"/>
            <w:shd w:val="clear" w:color="auto" w:fill="D9DCE1"/>
          </w:tcPr>
          <w:p>
            <w:pPr>
              <w:spacing w:after="0"/>
              <w:rPr>
                <w:sz w:val="16"/>
                <w:szCs w:val="16"/>
                <w:color w:val="auto"/>
              </w:rPr>
            </w:pPr>
          </w:p>
        </w:tc>
        <w:tc>
          <w:tcPr>
            <w:tcW w:w="60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60" w:type="dxa"/>
            <w:vAlign w:val="bottom"/>
            <w:tcBorders>
              <w:right w:val="single" w:sz="8" w:color="auto"/>
            </w:tcBorders>
            <w:gridSpan w:val="2"/>
            <w:vMerge w:val="restart"/>
            <w:shd w:val="clear" w:color="auto" w:fill="D9DCE1"/>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6"/>
                <w:szCs w:val="16"/>
                <w:color w:val="auto"/>
              </w:rPr>
            </w:pPr>
          </w:p>
        </w:tc>
        <w:tc>
          <w:tcPr>
            <w:tcW w:w="40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00" w:type="dxa"/>
            <w:vAlign w:val="bottom"/>
            <w:vMerge w:val="restart"/>
            <w:shd w:val="clear" w:color="auto" w:fill="D9DCE1"/>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Experience</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Finance/Accounting</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3"/>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Business Development/</w:t>
            </w:r>
          </w:p>
        </w:tc>
        <w:tc>
          <w:tcPr>
            <w:tcW w:w="40" w:type="dxa"/>
            <w:vAlign w:val="bottom"/>
            <w:shd w:val="clear" w:color="auto" w:fill="D9DCE1"/>
          </w:tcPr>
          <w:p>
            <w:pPr>
              <w:spacing w:after="0"/>
              <w:rPr>
                <w:sz w:val="15"/>
                <w:szCs w:val="15"/>
                <w:color w:val="auto"/>
              </w:rPr>
            </w:pPr>
          </w:p>
        </w:tc>
        <w:tc>
          <w:tcPr>
            <w:tcW w:w="60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60" w:type="dxa"/>
            <w:vAlign w:val="bottom"/>
            <w:tcBorders>
              <w:right w:val="single" w:sz="8" w:color="auto"/>
            </w:tcBorders>
            <w:gridSpan w:val="2"/>
            <w:vMerge w:val="restart"/>
            <w:shd w:val="clear" w:color="auto" w:fill="D9DCE1"/>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Strategy/Commercial</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tcPr>
          <w:p>
            <w:pPr>
              <w:ind w:left="60"/>
              <w:spacing w:after="0"/>
              <w:rPr>
                <w:sz w:val="20"/>
                <w:szCs w:val="20"/>
                <w:color w:val="auto"/>
              </w:rPr>
            </w:pPr>
            <w:r>
              <w:rPr>
                <w:rFonts w:ascii="Arial" w:cs="Arial" w:eastAsia="Arial" w:hAnsi="Arial"/>
                <w:sz w:val="11"/>
                <w:szCs w:val="11"/>
                <w:color w:val="auto"/>
              </w:rPr>
              <w:t>Governance/​Government</w:t>
            </w:r>
          </w:p>
        </w:tc>
        <w:tc>
          <w:tcPr>
            <w:tcW w:w="40" w:type="dxa"/>
            <w:vAlign w:val="bottom"/>
          </w:tcPr>
          <w:p>
            <w:pPr>
              <w:spacing w:after="0"/>
              <w:rPr>
                <w:sz w:val="15"/>
                <w:szCs w:val="15"/>
                <w:color w:val="auto"/>
              </w:rPr>
            </w:pPr>
          </w:p>
        </w:tc>
        <w:tc>
          <w:tcPr>
            <w:tcW w:w="600" w:type="dxa"/>
            <w:vAlign w:val="bottom"/>
            <w:vMerge w:val="restart"/>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right w:val="single" w:sz="8" w:color="auto"/>
            </w:tcBorders>
            <w:gridSpan w:val="2"/>
            <w:vMerge w:val="restart"/>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Pr>
          <w:p>
            <w:pPr>
              <w:spacing w:after="0"/>
              <w:rPr>
                <w:sz w:val="15"/>
                <w:szCs w:val="15"/>
                <w:color w:val="auto"/>
              </w:rPr>
            </w:pPr>
          </w:p>
        </w:tc>
        <w:tc>
          <w:tcPr>
            <w:tcW w:w="40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vMerge w:val="restart"/>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Relations/Legal</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Operations/Engineering/</w:t>
            </w:r>
          </w:p>
        </w:tc>
        <w:tc>
          <w:tcPr>
            <w:tcW w:w="40" w:type="dxa"/>
            <w:vAlign w:val="bottom"/>
            <w:shd w:val="clear" w:color="auto" w:fill="D9DCE1"/>
          </w:tcPr>
          <w:p>
            <w:pPr>
              <w:spacing w:after="0"/>
              <w:rPr>
                <w:sz w:val="15"/>
                <w:szCs w:val="15"/>
                <w:color w:val="auto"/>
              </w:rPr>
            </w:pPr>
          </w:p>
        </w:tc>
        <w:tc>
          <w:tcPr>
            <w:tcW w:w="600" w:type="dxa"/>
            <w:vAlign w:val="bottom"/>
            <w:shd w:val="clear" w:color="auto" w:fill="D9DCE1"/>
          </w:tcPr>
          <w:p>
            <w:pPr>
              <w:spacing w:after="0"/>
              <w:rPr>
                <w:sz w:val="15"/>
                <w:szCs w:val="15"/>
                <w:color w:val="auto"/>
              </w:rPr>
            </w:pPr>
          </w:p>
        </w:tc>
        <w:tc>
          <w:tcPr>
            <w:tcW w:w="8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260" w:type="dxa"/>
            <w:vAlign w:val="bottom"/>
            <w:shd w:val="clear" w:color="auto" w:fill="D9DCE1"/>
          </w:tcPr>
          <w:p>
            <w:pPr>
              <w:spacing w:after="0"/>
              <w:rPr>
                <w:sz w:val="15"/>
                <w:szCs w:val="15"/>
                <w:color w:val="auto"/>
              </w:rPr>
            </w:pPr>
          </w:p>
        </w:tc>
        <w:tc>
          <w:tcPr>
            <w:tcW w:w="100" w:type="dxa"/>
            <w:vAlign w:val="bottom"/>
            <w:tcBorders>
              <w:right w:val="single" w:sz="8" w:color="auto"/>
            </w:tcBorders>
            <w:shd w:val="clear" w:color="auto" w:fill="D9DCE1"/>
          </w:tcPr>
          <w:p>
            <w:pPr>
              <w:spacing w:after="0"/>
              <w:rPr>
                <w:sz w:val="15"/>
                <w:szCs w:val="15"/>
                <w:color w:val="auto"/>
              </w:rPr>
            </w:pPr>
          </w:p>
        </w:tc>
        <w:tc>
          <w:tcPr>
            <w:tcW w:w="40" w:type="dxa"/>
            <w:vAlign w:val="bottom"/>
            <w:shd w:val="clear" w:color="auto" w:fill="D9DCE1"/>
          </w:tcPr>
          <w:p>
            <w:pPr>
              <w:spacing w:after="0"/>
              <w:rPr>
                <w:sz w:val="15"/>
                <w:szCs w:val="15"/>
                <w:color w:val="auto"/>
              </w:rPr>
            </w:pPr>
          </w:p>
        </w:tc>
        <w:tc>
          <w:tcPr>
            <w:tcW w:w="400" w:type="dxa"/>
            <w:vAlign w:val="bottom"/>
            <w:shd w:val="clear" w:color="auto" w:fill="D9DCE1"/>
          </w:tcPr>
          <w:p>
            <w:pPr>
              <w:spacing w:after="0"/>
              <w:rPr>
                <w:sz w:val="15"/>
                <w:szCs w:val="15"/>
                <w:color w:val="auto"/>
              </w:rPr>
            </w:pPr>
          </w:p>
        </w:tc>
        <w:tc>
          <w:tcPr>
            <w:tcW w:w="1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shd w:val="clear" w:color="auto" w:fill="D9DCE1"/>
          </w:tcPr>
          <w:p>
            <w:pPr>
              <w:spacing w:after="0"/>
              <w:rPr>
                <w:sz w:val="15"/>
                <w:szCs w:val="15"/>
                <w:color w:val="auto"/>
              </w:rPr>
            </w:pPr>
          </w:p>
        </w:tc>
        <w:tc>
          <w:tcPr>
            <w:tcW w:w="22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40" w:type="dxa"/>
            <w:vAlign w:val="bottom"/>
            <w:shd w:val="clear" w:color="auto" w:fill="D9DCE1"/>
          </w:tcPr>
          <w:p>
            <w:pPr>
              <w:spacing w:after="0"/>
              <w:rPr>
                <w:sz w:val="15"/>
                <w:szCs w:val="15"/>
                <w:color w:val="auto"/>
              </w:rPr>
            </w:pP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0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20" w:type="dxa"/>
            <w:vAlign w:val="bottom"/>
            <w:shd w:val="clear" w:color="auto" w:fill="D9DCE1"/>
          </w:tcPr>
          <w:p>
            <w:pPr>
              <w:spacing w:after="0"/>
              <w:rPr>
                <w:sz w:val="15"/>
                <w:szCs w:val="15"/>
                <w:color w:val="auto"/>
              </w:rPr>
            </w:pP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6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shd w:val="clear" w:color="auto" w:fill="D9DCE1"/>
          </w:tcPr>
          <w:p>
            <w:pPr>
              <w:spacing w:after="0"/>
              <w:rPr>
                <w:sz w:val="15"/>
                <w:szCs w:val="15"/>
                <w:color w:val="auto"/>
              </w:rPr>
            </w:pPr>
          </w:p>
        </w:tc>
        <w:tc>
          <w:tcPr>
            <w:tcW w:w="8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424E6A"/>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Construction/​</w:t>
            </w:r>
          </w:p>
        </w:tc>
        <w:tc>
          <w:tcPr>
            <w:tcW w:w="40" w:type="dxa"/>
            <w:vAlign w:val="bottom"/>
            <w:shd w:val="clear" w:color="auto" w:fill="D9DCE1"/>
          </w:tcPr>
          <w:p>
            <w:pPr>
              <w:spacing w:after="0"/>
              <w:rPr>
                <w:sz w:val="11"/>
                <w:szCs w:val="11"/>
                <w:color w:val="auto"/>
              </w:rPr>
            </w:pPr>
          </w:p>
        </w:tc>
        <w:tc>
          <w:tcPr>
            <w:tcW w:w="60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260" w:type="dxa"/>
            <w:vAlign w:val="bottom"/>
            <w:shd w:val="clear" w:color="auto" w:fill="D9DCE1"/>
          </w:tcPr>
          <w:p>
            <w:pPr>
              <w:spacing w:after="0"/>
              <w:rPr>
                <w:sz w:val="11"/>
                <w:szCs w:val="11"/>
                <w:color w:val="auto"/>
              </w:rPr>
            </w:pPr>
          </w:p>
        </w:tc>
        <w:tc>
          <w:tcPr>
            <w:tcW w:w="100" w:type="dxa"/>
            <w:vAlign w:val="bottom"/>
            <w:tcBorders>
              <w:right w:val="single" w:sz="8" w:color="auto"/>
            </w:tcBorders>
            <w:shd w:val="clear" w:color="auto" w:fill="D9DCE1"/>
          </w:tcPr>
          <w:p>
            <w:pPr>
              <w:spacing w:after="0"/>
              <w:rPr>
                <w:sz w:val="11"/>
                <w:szCs w:val="11"/>
                <w:color w:val="auto"/>
              </w:rPr>
            </w:pPr>
          </w:p>
        </w:tc>
        <w:tc>
          <w:tcPr>
            <w:tcW w:w="40" w:type="dxa"/>
            <w:vAlign w:val="bottom"/>
            <w:shd w:val="clear" w:color="auto" w:fill="D9DCE1"/>
          </w:tcPr>
          <w:p>
            <w:pPr>
              <w:spacing w:after="0"/>
              <w:rPr>
                <w:sz w:val="11"/>
                <w:szCs w:val="11"/>
                <w:color w:val="auto"/>
              </w:rPr>
            </w:pPr>
          </w:p>
        </w:tc>
        <w:tc>
          <w:tcPr>
            <w:tcW w:w="40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0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20" w:type="dxa"/>
            <w:vAlign w:val="bottom"/>
            <w:shd w:val="clear" w:color="auto" w:fill="D9DCE1"/>
          </w:tcPr>
          <w:p>
            <w:pPr>
              <w:spacing w:after="0"/>
              <w:rPr>
                <w:sz w:val="11"/>
                <w:szCs w:val="11"/>
                <w:color w:val="auto"/>
              </w:rPr>
            </w:pP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Technical</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Industry Experience</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60"/>
              <w:spacing w:after="0" w:line="210"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3"/>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23"/>
                <w:szCs w:val="23"/>
                <w:color w:val="auto"/>
                <w:w w:val="95"/>
                <w:vertAlign w:val="subscript"/>
              </w:rPr>
              <w:t>​</w:t>
            </w:r>
            <w:r>
              <w:rPr>
                <w:rFonts w:ascii="MS PGothic" w:cs="MS PGothic" w:eastAsia="MS PGothic" w:hAnsi="MS PGothic"/>
                <w:sz w:val="23"/>
                <w:szCs w:val="23"/>
                <w:color w:val="auto"/>
                <w:w w:val="95"/>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10"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10"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10"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10"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10"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Private Equity</w:t>
            </w:r>
          </w:p>
        </w:tc>
        <w:tc>
          <w:tcPr>
            <w:tcW w:w="40" w:type="dxa"/>
            <w:vAlign w:val="bottom"/>
            <w:tcBorders>
              <w:bottom w:val="single" w:sz="8" w:color="auto"/>
            </w:tcBorders>
            <w:shd w:val="clear" w:color="auto" w:fill="D9DCE1"/>
          </w:tcPr>
          <w:p>
            <w:pPr>
              <w:spacing w:after="0"/>
              <w:rPr>
                <w:sz w:val="18"/>
                <w:szCs w:val="18"/>
                <w:color w:val="auto"/>
              </w:rPr>
            </w:pPr>
          </w:p>
        </w:tc>
        <w:tc>
          <w:tcPr>
            <w:tcW w:w="60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8"/>
                <w:szCs w:val="18"/>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8"/>
                <w:szCs w:val="18"/>
                <w:color w:val="auto"/>
              </w:rPr>
            </w:pPr>
          </w:p>
        </w:tc>
        <w:tc>
          <w:tcPr>
            <w:tcW w:w="40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International</w:t>
            </w: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gridSpan w:val="2"/>
          </w:tcPr>
          <w:p>
            <w:pPr>
              <w:jc w:val="right"/>
              <w:ind w:right="3"/>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3"/>
                <w:szCs w:val="23"/>
                <w:color w:val="auto"/>
                <w:w w:val="95"/>
                <w:vertAlign w:val="subscript"/>
              </w:rPr>
              <w:t>​</w:t>
            </w:r>
            <w:r>
              <w:rPr>
                <w:rFonts w:ascii="MS PGothic" w:cs="MS PGothic" w:eastAsia="MS PGothic" w:hAnsi="MS PGothic"/>
                <w:sz w:val="23"/>
                <w:szCs w:val="23"/>
                <w:color w:val="auto"/>
                <w:w w:val="95"/>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Cybersecurity/IT</w:t>
            </w:r>
          </w:p>
        </w:tc>
        <w:tc>
          <w:tcPr>
            <w:tcW w:w="40" w:type="dxa"/>
            <w:vAlign w:val="bottom"/>
            <w:tcBorders>
              <w:bottom w:val="single" w:sz="8" w:color="auto"/>
            </w:tcBorders>
            <w:shd w:val="clear" w:color="auto" w:fill="D9DCE1"/>
          </w:tcPr>
          <w:p>
            <w:pPr>
              <w:spacing w:after="0"/>
              <w:rPr>
                <w:sz w:val="19"/>
                <w:szCs w:val="19"/>
                <w:color w:val="auto"/>
              </w:rPr>
            </w:pPr>
          </w:p>
        </w:tc>
        <w:tc>
          <w:tcPr>
            <w:tcW w:w="60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9"/>
                <w:szCs w:val="19"/>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9"/>
                <w:szCs w:val="19"/>
                <w:color w:val="auto"/>
              </w:rPr>
            </w:pPr>
          </w:p>
        </w:tc>
        <w:tc>
          <w:tcPr>
            <w:tcW w:w="400" w:type="dxa"/>
            <w:vAlign w:val="bottom"/>
            <w:tcBorders>
              <w:bottom w:val="single" w:sz="8" w:color="auto"/>
            </w:tcBorders>
            <w:shd w:val="clear" w:color="auto" w:fill="D9DCE1"/>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the 2026 PAA and PAGP Annual Meetings</w:t>
      </w:r>
    </w:p>
    <w:p>
      <w:pPr>
        <w:spacing w:after="0" w:line="212"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8"/>
          <w:szCs w:val="18"/>
          <w:color w:val="auto"/>
        </w:rPr>
        <w:t>The Board has nominated Mr. Chiang, Ms. DeSanctis, Ms. Pruner and Mr. Ziemba, current Class I directors, for election at the 2026 PAA and PAGP Annual Meetings. Each nominee has consented to serve if elected and, if elected, will serve until the 2029 annual meeting, subject to their earlier resignation, death or removal. If any of the nominees becomes unavailable to serve as a director prior to the 2026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43287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43287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69"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WILLIE CHIANG</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Not Independent</w:t>
      </w:r>
    </w:p>
    <w:p>
      <w:pPr>
        <w:spacing w:after="0" w:line="115"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PAGP/PAA Director</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6"/>
          <w:szCs w:val="16"/>
          <w:b w:val="1"/>
          <w:bCs w:val="1"/>
          <w:i w:val="1"/>
          <w:iCs w:val="1"/>
          <w:color w:val="auto"/>
        </w:rPr>
        <w:t>since 2017</w:t>
      </w:r>
    </w:p>
    <w:p>
      <w:pPr>
        <w:spacing w:after="0" w:line="86"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i w:val="1"/>
          <w:iCs w:val="1"/>
          <w:color w:val="auto"/>
        </w:rPr>
        <w:t>Chairman, CEO and</w:t>
      </w:r>
    </w:p>
    <w:p>
      <w:pPr>
        <w:spacing w:after="0" w:line="19"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i w:val="1"/>
          <w:iCs w:val="1"/>
          <w:color w:val="auto"/>
        </w:rPr>
        <w:t>President</w:t>
      </w:r>
    </w:p>
    <w:p>
      <w:pPr>
        <w:spacing w:after="0" w:line="84"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0" w:lineRule="exact"/>
        <w:rPr>
          <w:sz w:val="20"/>
          <w:szCs w:val="20"/>
          <w:color w:val="auto"/>
        </w:rPr>
      </w:pPr>
    </w:p>
    <w:p>
      <w:pPr>
        <w:jc w:val="center"/>
        <w:ind w:left="1520"/>
        <w:spacing w:after="0"/>
        <w:rPr>
          <w:sz w:val="20"/>
          <w:szCs w:val="20"/>
          <w:color w:val="auto"/>
        </w:rPr>
      </w:pPr>
      <w:r>
        <w:rPr>
          <w:rFonts w:ascii="Arial" w:cs="Arial" w:eastAsia="Arial" w:hAnsi="Arial"/>
          <w:sz w:val="16"/>
          <w:szCs w:val="16"/>
          <w:color w:val="auto"/>
        </w:rPr>
        <w:t>None</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6"/>
          <w:szCs w:val="16"/>
          <w:b w:val="1"/>
          <w:bCs w:val="1"/>
          <w:u w:val="single" w:color="auto"/>
          <w:color w:val="auto"/>
        </w:rPr>
        <w:t>Other Current Public</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6"/>
          <w:szCs w:val="16"/>
          <w:b w:val="1"/>
          <w:bCs w:val="1"/>
          <w:u w:val="single" w:color="auto"/>
          <w:color w:val="auto"/>
        </w:rPr>
        <w:t>Company Boards</w:t>
      </w:r>
      <w:r>
        <w:rPr>
          <w:rFonts w:ascii="Arial" w:cs="Arial" w:eastAsia="Arial" w:hAnsi="Arial"/>
          <w:sz w:val="16"/>
          <w:szCs w:val="16"/>
          <w:b w:val="1"/>
          <w:bCs w:val="1"/>
          <w:color w:val="auto"/>
        </w:rPr>
        <w:t>:</w:t>
      </w:r>
    </w:p>
    <w:p>
      <w:pPr>
        <w:spacing w:after="0" w:line="8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Delta Airlines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i w:val="1"/>
          <w:iCs w:val="1"/>
          <w:color w:val="auto"/>
        </w:rPr>
        <w:t>Willie Chiang, age 65</w:t>
      </w:r>
      <w:r>
        <w:rPr>
          <w:rFonts w:ascii="Arial" w:cs="Arial" w:eastAsia="Arial" w:hAnsi="Arial"/>
          <w:sz w:val="16"/>
          <w:szCs w:val="16"/>
          <w:color w:val="auto"/>
        </w:rPr>
        <w:t>,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PAGP GP since February 2017, as Chief Executive Officer of PAGP GP and GP LLC since</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October 2018, as Chairman of the Board since January 2020 and as President since Mr. Pefanis’ retirement in June 2025. Mr. Chiang served as Executive Vice President and Chief Operating Officer of PAGP GP and GP LLC from January 2018 until October 2018. He also served as Executive Vice President and Chief Operating Officer (U.S.) of PAGP GP and GP LLC from August 2015 through December 2017.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 He currently serves on the board of Delta Airlines and previously served on the boards of DCP Midstream and Chevron Phillips Chemical. He also serves on the board of Performing Arts Houston. Mr. Chiang serves as a director of the Federal Reserve Bank of Dallas, Houston Branch, and is a member of the Energy Advisory Council. He serves as chair of the American Fuel &amp; Petrochemical Manufacturers (AFPM) trade association and is also involved in a number of other industry organizations including the American Petroleum Institute (API) and National Petroleum Council. He received a BS in Mechanical Engineering from South Dakota School of Mines and Technology and completed the Advanced Management Program at the University of Pennsylvania. Mr. Chiang’s role as CEO and President and his broad experience in the energy industry, together with his leadership capabilities and strategic focus, make him highly qualified to serve on the Board.</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1039"/>
        <w:spacing w:after="0" w:line="268" w:lineRule="auto"/>
        <w:rPr>
          <w:sz w:val="20"/>
          <w:szCs w:val="20"/>
          <w:color w:val="auto"/>
        </w:rPr>
      </w:pPr>
      <w:r>
        <w:rPr>
          <w:rFonts w:ascii="Arial" w:cs="Arial" w:eastAsia="Arial" w:hAnsi="Arial"/>
          <w:sz w:val="16"/>
          <w:szCs w:val="16"/>
          <w:u w:val="single" w:color="auto"/>
          <w:color w:val="auto"/>
        </w:rPr>
        <w:t>Board Qualifications/ Attributes:</w:t>
      </w:r>
    </w:p>
    <w:p>
      <w:pPr>
        <w:spacing w:after="0" w:line="75" w:lineRule="exact"/>
        <w:rPr>
          <w:sz w:val="20"/>
          <w:szCs w:val="20"/>
          <w:color w:val="auto"/>
        </w:rPr>
      </w:pPr>
    </w:p>
    <w:p>
      <w:pPr>
        <w:ind w:left="160" w:right="1199" w:hanging="158"/>
        <w:spacing w:after="0" w:line="302" w:lineRule="auto"/>
        <w:tabs>
          <w:tab w:leader="none" w:pos="1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51" w:lineRule="exact"/>
        <w:rPr>
          <w:rFonts w:ascii="Arial" w:cs="Arial" w:eastAsia="Arial" w:hAnsi="Arial"/>
          <w:sz w:val="15"/>
          <w:szCs w:val="15"/>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99" w:lineRule="exact"/>
        <w:rPr>
          <w:rFonts w:ascii="Arial" w:cs="Arial" w:eastAsia="Arial" w:hAnsi="Arial"/>
          <w:sz w:val="16"/>
          <w:szCs w:val="16"/>
          <w:color w:val="auto"/>
        </w:rPr>
      </w:pPr>
    </w:p>
    <w:p>
      <w:pPr>
        <w:ind w:left="160" w:right="679" w:hanging="158"/>
        <w:spacing w:after="0" w:line="321" w:lineRule="auto"/>
        <w:tabs>
          <w:tab w:leader="none" w:pos="1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Business Development/ Strategy/Commercial</w:t>
      </w:r>
    </w:p>
    <w:p>
      <w:pPr>
        <w:spacing w:after="0" w:line="24" w:lineRule="exact"/>
        <w:rPr>
          <w:rFonts w:ascii="Arial" w:cs="Arial" w:eastAsia="Arial" w:hAnsi="Arial"/>
          <w:sz w:val="15"/>
          <w:szCs w:val="15"/>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Governance/​Government</w:t>
      </w:r>
    </w:p>
    <w:p>
      <w:pPr>
        <w:spacing w:after="0" w:line="2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Relations/​Legal</w:t>
      </w:r>
    </w:p>
    <w:p>
      <w:pPr>
        <w:spacing w:after="0" w:line="97" w:lineRule="exact"/>
        <w:rPr>
          <w:rFonts w:ascii="Arial" w:cs="Arial" w:eastAsia="Arial" w:hAnsi="Arial"/>
          <w:sz w:val="16"/>
          <w:szCs w:val="16"/>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Operations/​Engineering/</w:t>
      </w:r>
    </w:p>
    <w:p>
      <w:pPr>
        <w:spacing w:after="0" w:line="2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Construction/​Technical</w:t>
      </w:r>
    </w:p>
    <w:p>
      <w:pPr>
        <w:spacing w:after="0" w:line="97" w:lineRule="exact"/>
        <w:rPr>
          <w:rFonts w:ascii="Arial" w:cs="Arial" w:eastAsia="Arial" w:hAnsi="Arial"/>
          <w:sz w:val="16"/>
          <w:szCs w:val="16"/>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113" w:lineRule="exact"/>
        <w:rPr>
          <w:rFonts w:ascii="Arial" w:cs="Arial" w:eastAsia="Arial" w:hAnsi="Arial"/>
          <w:sz w:val="16"/>
          <w:szCs w:val="16"/>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99" w:lineRule="exact"/>
        <w:rPr>
          <w:rFonts w:ascii="Arial" w:cs="Arial" w:eastAsia="Arial" w:hAnsi="Arial"/>
          <w:sz w:val="16"/>
          <w:szCs w:val="16"/>
          <w:color w:val="auto"/>
        </w:rPr>
      </w:pPr>
    </w:p>
    <w:p>
      <w:pPr>
        <w:ind w:left="160" w:hanging="158"/>
        <w:spacing w:after="0"/>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Cybersecurity/IT</w:t>
      </w:r>
    </w:p>
    <w:p>
      <w:pPr>
        <w:spacing w:after="0" w:line="3050" w:lineRule="exact"/>
        <w:rPr>
          <w:sz w:val="20"/>
          <w:szCs w:val="20"/>
          <w:color w:val="auto"/>
        </w:rPr>
      </w:pPr>
    </w:p>
    <w:p>
      <w:pPr>
        <w:sectPr>
          <w:pgSz w:w="11900" w:h="16838" w:orient="portrait"/>
          <w:cols w:equalWidth="0" w:num="3">
            <w:col w:w="3080" w:space="300"/>
            <w:col w:w="3780" w:space="20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2040" w:type="dxa"/>
            <w:vAlign w:val="bottom"/>
            <w:tcBorders>
              <w:top w:val="single" w:sz="8" w:color="auto"/>
              <w:left w:val="single" w:sz="8" w:color="auto"/>
              <w:right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8"/>
              </w:rPr>
              <w:t>ELLEN R. DESANCTIS</w:t>
            </w: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Ellen R. DeSanctis, age 69</w:t>
            </w:r>
            <w:r>
              <w:rPr>
                <w:rFonts w:ascii="Arial" w:cs="Arial" w:eastAsia="Arial" w:hAnsi="Arial"/>
                <w:sz w:val="16"/>
                <w:szCs w:val="16"/>
                <w:color w:val="auto"/>
              </w:rPr>
              <w:t>, has served as a director</w:t>
            </w:r>
          </w:p>
        </w:tc>
        <w:tc>
          <w:tcPr>
            <w:tcW w:w="8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of PAGP GP since August 2022. She has served as</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a Senior Counselor at H/Advisors Abernathy since</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September 2024. She previously served as Senior</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 w:type="dxa"/>
            <w:vAlign w:val="bottom"/>
            <w:tcBorders>
              <w:left w:val="single" w:sz="8" w:color="auto"/>
            </w:tcBorders>
          </w:tcPr>
          <w:p>
            <w:pPr>
              <w:spacing w:after="0"/>
              <w:rPr>
                <w:sz w:val="5"/>
                <w:szCs w:val="5"/>
                <w:color w:val="auto"/>
              </w:rPr>
            </w:pPr>
          </w:p>
        </w:tc>
        <w:tc>
          <w:tcPr>
            <w:tcW w:w="1840" w:type="dxa"/>
            <w:vAlign w:val="bottom"/>
            <w:tcBorders>
              <w:right w:val="single" w:sz="8" w:color="auto"/>
            </w:tcBorders>
            <w:gridSpan w:val="6"/>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6"/>
        </w:trPr>
        <w:tc>
          <w:tcPr>
            <w:tcW w:w="20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right w:val="single" w:sz="8" w:color="auto"/>
            </w:tcBorders>
            <w:gridSpan w:val="4"/>
            <w:vMerge w:val="restart"/>
          </w:tcPr>
          <w:p>
            <w:pPr>
              <w:jc w:val="center"/>
              <w:ind w:right="540"/>
              <w:spacing w:after="0" w:line="175" w:lineRule="exact"/>
              <w:rPr>
                <w:sz w:val="20"/>
                <w:szCs w:val="20"/>
                <w:color w:val="auto"/>
              </w:rPr>
            </w:pPr>
            <w:r>
              <w:rPr>
                <w:rFonts w:ascii="Arial" w:cs="Arial" w:eastAsia="Arial" w:hAnsi="Arial"/>
                <w:sz w:val="16"/>
                <w:szCs w:val="16"/>
                <w:b w:val="1"/>
                <w:bCs w:val="1"/>
                <w:i w:val="1"/>
                <w:iCs w:val="1"/>
                <w:color w:val="auto"/>
              </w:rPr>
              <w:t>since 2022</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Vice President of Corporate Relations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right w:val="single" w:sz="8" w:color="auto"/>
            </w:tcBorders>
            <w:gridSpan w:val="4"/>
            <w:vMerge w:val="continue"/>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ConocoPhillips, where she worked from 2012 until</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her retirement in 2022. In that capacity, she was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w w:val="98"/>
              </w:rPr>
              <w:t>Audit</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responsible for investor relations, corporate</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communications and charitable programs. Prior to</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520"/>
              <w:spacing w:after="0" w:line="175" w:lineRule="exact"/>
              <w:rPr>
                <w:sz w:val="20"/>
                <w:szCs w:val="20"/>
                <w:color w:val="auto"/>
              </w:rPr>
            </w:pPr>
            <w:r>
              <w:rPr>
                <w:rFonts w:ascii="Arial" w:cs="Arial" w:eastAsia="Arial" w:hAnsi="Arial"/>
                <w:sz w:val="16"/>
                <w:szCs w:val="16"/>
                <w:color w:val="auto"/>
              </w:rPr>
              <w:t>HSES</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ConocoPhillips, Ms. DeSanctis had responsibility for</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similar functions, as well as strategic planning roles,</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 a number of upstream energy companies,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including Petrohawk Energy Corporation, Rosetta</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20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Resources, Burlington Resources, Vastar Resources</w:t>
            </w: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9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20"/>
        </w:trPr>
        <w:tc>
          <w:tcPr>
            <w:tcW w:w="20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ARCO. Ms. DeSanctis spent her early career as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an engineer for Shell Oil Company. Ms. DeSanctis</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served on the board of SilverBow Resources, Inc.</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November 2023 until August 2024. She also</w:t>
            </w: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served as past chair of the Girl Scouts of San Jacinto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Ms. DeSanctis holds a BA in Geological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Geophysical Sciences from Princeton University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 MBA from UCLA. Ms. DeSanctis’s diverse,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strategic and stakeholder-focused background brings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valuable perspective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Borders>
              <w:right w:val="single" w:sz="8" w:color="auto"/>
            </w:tcBorders>
            <w:gridSpan w:val="5"/>
          </w:tcPr>
          <w:p>
            <w:pPr>
              <w:jc w:val="center"/>
              <w:ind w:right="300"/>
              <w:spacing w:after="0" w:line="169" w:lineRule="exact"/>
              <w:rPr>
                <w:sz w:val="20"/>
                <w:szCs w:val="20"/>
                <w:color w:val="auto"/>
              </w:rPr>
            </w:pPr>
            <w:r>
              <w:rPr>
                <w:rFonts w:ascii="Arial" w:cs="Arial" w:eastAsia="Arial" w:hAnsi="Arial"/>
                <w:sz w:val="16"/>
                <w:szCs w:val="16"/>
                <w:b w:val="1"/>
                <w:bCs w:val="1"/>
                <w:color w:val="auto"/>
                <w:w w:val="99"/>
              </w:rPr>
              <w:t>ALEXANDRA D.</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Alexandra D. Pruner, age 64</w:t>
            </w:r>
            <w:r>
              <w:rPr>
                <w:rFonts w:ascii="Arial" w:cs="Arial" w:eastAsia="Arial" w:hAnsi="Arial"/>
                <w:sz w:val="16"/>
                <w:szCs w:val="16"/>
                <w:color w:val="auto"/>
              </w:rPr>
              <w:t>, has served as a</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4"/>
          </w:tcPr>
          <w:p>
            <w:pPr>
              <w:jc w:val="center"/>
              <w:ind w:right="520"/>
              <w:spacing w:after="0" w:line="169" w:lineRule="exact"/>
              <w:rPr>
                <w:sz w:val="20"/>
                <w:szCs w:val="20"/>
                <w:color w:val="auto"/>
              </w:rPr>
            </w:pPr>
            <w:r>
              <w:rPr>
                <w:rFonts w:ascii="Arial" w:cs="Arial" w:eastAsia="Arial" w:hAnsi="Arial"/>
                <w:sz w:val="16"/>
                <w:szCs w:val="16"/>
                <w:b w:val="1"/>
                <w:bCs w:val="1"/>
                <w:color w:val="auto"/>
              </w:rPr>
              <w:t>PRUNER</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director of PAGP GP since December 2018.</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Ms. Pruner has served as a Senior Advisor of Perella</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Weinberg Partners (“PWP”), a global independent</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3"/>
                <w:szCs w:val="13"/>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advisory firm providing strategic and financial advice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tcBorders>
              <w:left w:val="single" w:sz="8" w:color="auto"/>
            </w:tcBorders>
          </w:tcPr>
          <w:p>
            <w:pPr>
              <w:spacing w:after="0"/>
              <w:rPr>
                <w:sz w:val="2"/>
                <w:szCs w:val="2"/>
                <w:color w:val="auto"/>
              </w:rPr>
            </w:pPr>
          </w:p>
        </w:tc>
        <w:tc>
          <w:tcPr>
            <w:tcW w:w="1840" w:type="dxa"/>
            <w:vAlign w:val="bottom"/>
            <w:tcBorders>
              <w:right w:val="single" w:sz="8" w:color="auto"/>
            </w:tcBorders>
            <w:gridSpan w:val="6"/>
            <w:vMerge w:val="continue"/>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right w:val="single" w:sz="8" w:color="auto"/>
            </w:tcBorders>
            <w:gridSpan w:val="4"/>
          </w:tcPr>
          <w:p>
            <w:pPr>
              <w:jc w:val="center"/>
              <w:ind w:right="540"/>
              <w:spacing w:after="0"/>
              <w:rPr>
                <w:sz w:val="20"/>
                <w:szCs w:val="20"/>
                <w:color w:val="auto"/>
              </w:rPr>
            </w:pPr>
            <w:r>
              <w:rPr>
                <w:rFonts w:ascii="Arial" w:cs="Arial" w:eastAsia="Arial" w:hAnsi="Arial"/>
                <w:sz w:val="16"/>
                <w:szCs w:val="16"/>
                <w:b w:val="1"/>
                <w:bCs w:val="1"/>
                <w:i w:val="1"/>
                <w:iCs w:val="1"/>
                <w:color w:val="auto"/>
              </w:rPr>
              <w:t>since 2018</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asset-management services, and its energy</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20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9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division, Tudor, Pickering, Holt &amp; Co., since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98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December 2018. She previously served as Partner</w:t>
            </w:r>
          </w:p>
        </w:tc>
        <w:tc>
          <w:tcPr>
            <w:tcW w:w="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43"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95"/>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w w:val="97"/>
              </w:rPr>
              <w:t>Audit (Chair)</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Financial Officer of PWP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December 2016 through November 2018. She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6"/>
            <w:vMerge w:val="restart"/>
          </w:tcPr>
          <w:p>
            <w:pPr>
              <w:spacing w:after="0" w:line="176" w:lineRule="exact"/>
              <w:rPr>
                <w:sz w:val="20"/>
                <w:szCs w:val="20"/>
                <w:color w:val="auto"/>
              </w:rPr>
            </w:pPr>
            <w:r>
              <w:rPr>
                <w:rFonts w:ascii="Arial" w:cs="Arial" w:eastAsia="Arial" w:hAnsi="Arial"/>
                <w:sz w:val="16"/>
                <w:szCs w:val="16"/>
                <w:b w:val="1"/>
                <w:bCs w:val="1"/>
                <w:color w:val="auto"/>
              </w:rPr>
              <w:t>Other Current Public</w:t>
            </w:r>
          </w:p>
        </w:tc>
        <w:tc>
          <w:tcPr>
            <w:tcW w:w="398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6"/>
                <w:szCs w:val="16"/>
                <w:color w:val="auto"/>
              </w:rPr>
              <w:t>served as CFO and a member of the Management</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0" w:type="dxa"/>
            <w:vAlign w:val="bottom"/>
            <w:tcBorders>
              <w:left w:val="single" w:sz="8" w:color="auto"/>
            </w:tcBorders>
          </w:tcPr>
          <w:p>
            <w:pPr>
              <w:spacing w:after="0"/>
              <w:rPr>
                <w:sz w:val="3"/>
                <w:szCs w:val="3"/>
                <w:color w:val="auto"/>
              </w:rPr>
            </w:pPr>
          </w:p>
        </w:tc>
        <w:tc>
          <w:tcPr>
            <w:tcW w:w="1840" w:type="dxa"/>
            <w:vAlign w:val="bottom"/>
            <w:tcBorders>
              <w:right w:val="single" w:sz="8" w:color="auto"/>
            </w:tcBorders>
            <w:gridSpan w:val="6"/>
            <w:vMerge w:val="continue"/>
          </w:tcPr>
          <w:p>
            <w:pPr>
              <w:spacing w:after="0"/>
              <w:rPr>
                <w:sz w:val="3"/>
                <w:szCs w:val="3"/>
                <w:color w:val="auto"/>
              </w:rPr>
            </w:pPr>
          </w:p>
        </w:tc>
        <w:tc>
          <w:tcPr>
            <w:tcW w:w="39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4"/>
          </w:tcPr>
          <w:p>
            <w:pPr>
              <w:jc w:val="center"/>
              <w:ind w:right="100"/>
              <w:spacing w:after="0" w:line="169" w:lineRule="exact"/>
              <w:rPr>
                <w:sz w:val="20"/>
                <w:szCs w:val="20"/>
                <w:color w:val="auto"/>
              </w:rPr>
            </w:pPr>
            <w:r>
              <w:rPr>
                <w:rFonts w:ascii="Arial" w:cs="Arial" w:eastAsia="Arial" w:hAnsi="Arial"/>
                <w:sz w:val="16"/>
                <w:szCs w:val="16"/>
                <w:b w:val="1"/>
                <w:bCs w:val="1"/>
                <w:color w:val="auto"/>
              </w:rPr>
              <w:t>Company Boards:</w:t>
            </w: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Committee at Tudor, Pickering, Holt &amp; Co. from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8"/>
              </w:rPr>
              <w:t>NRG Energy, Inc.</w:t>
            </w:r>
          </w:p>
        </w:tc>
        <w:tc>
          <w:tcPr>
            <w:tcW w:w="360" w:type="dxa"/>
            <w:vAlign w:val="bottom"/>
            <w:tcBorders>
              <w:right w:val="single" w:sz="8" w:color="auto"/>
            </w:tcBorders>
            <w:gridSpan w:val="2"/>
            <w:vMerge w:val="restart"/>
          </w:tcPr>
          <w:p>
            <w:pPr>
              <w:spacing w:after="0"/>
              <w:rPr>
                <w:sz w:val="13"/>
                <w:szCs w:val="13"/>
                <w:color w:val="auto"/>
              </w:rPr>
            </w:pP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firm’s founding in 2007 until its combination with PWP</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60" w:type="dxa"/>
            <w:vAlign w:val="bottom"/>
            <w:tcBorders>
              <w:right w:val="single" w:sz="8" w:color="auto"/>
            </w:tcBorders>
            <w:gridSpan w:val="2"/>
            <w:vMerge w:val="continue"/>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2016. Ms. Pruner served as a director and member</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audit committee of Anadarko Petroleum</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Corporation from November 2018 until its sale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August 2019. She has also served as a director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NRG Energy, Inc. since October 2019 and as chair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NRG’s audit committee since August 2024. She also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served as chair of the board of Malta Inc.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April 2022 through December 2025, and as a director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Encino Acquisition Partners, LLC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November 2019 and as chair of the Encino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December 2021 until the company’s sale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EOG Resources in August 2025. She is the founder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an advisory board member of the Women’s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Global Leadership Conference in Energy and she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serves as chair of the Texas Medical Center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among other volunteer efforts. Ms. Pruner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holds a BA in Economics from Brown University.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Ms. Pruner’s extensive experience in the energy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industry from a variety of perspectives, along with 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strong finance and investment banking background,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make her uniquely qualified to serve on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2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7"/>
              </w:rPr>
              <w:t>LAWRENCE M.</w:t>
            </w: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Lawrence M. Ziemba, age 70</w:t>
            </w:r>
            <w:r>
              <w:rPr>
                <w:rFonts w:ascii="Arial" w:cs="Arial" w:eastAsia="Arial" w:hAnsi="Arial"/>
                <w:sz w:val="16"/>
                <w:szCs w:val="16"/>
                <w:color w:val="auto"/>
              </w:rPr>
              <w:t>, has served as a</w:t>
            </w:r>
          </w:p>
        </w:tc>
        <w:tc>
          <w:tcPr>
            <w:tcW w:w="8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4"/>
          </w:tcPr>
          <w:p>
            <w:pPr>
              <w:jc w:val="center"/>
              <w:ind w:right="520"/>
              <w:spacing w:after="0" w:line="169" w:lineRule="exact"/>
              <w:rPr>
                <w:sz w:val="20"/>
                <w:szCs w:val="20"/>
                <w:color w:val="auto"/>
              </w:rPr>
            </w:pPr>
            <w:r>
              <w:rPr>
                <w:rFonts w:ascii="Arial" w:cs="Arial" w:eastAsia="Arial" w:hAnsi="Arial"/>
                <w:sz w:val="16"/>
                <w:szCs w:val="16"/>
                <w:b w:val="1"/>
                <w:bCs w:val="1"/>
                <w:color w:val="auto"/>
                <w:w w:val="97"/>
              </w:rPr>
              <w:t>ZIEMBA</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director of PAGP GP since January 2020. Mr. Ziemba</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served as Executive Vice President, Refining, and on</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executive committee of Phillips 66 from May 2012</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3"/>
                <w:szCs w:val="13"/>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until his retirement in December 2017. From 2001 to</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tcBorders>
              <w:left w:val="single" w:sz="8" w:color="auto"/>
            </w:tcBorders>
          </w:tcPr>
          <w:p>
            <w:pPr>
              <w:spacing w:after="0"/>
              <w:rPr>
                <w:sz w:val="2"/>
                <w:szCs w:val="2"/>
                <w:color w:val="auto"/>
              </w:rPr>
            </w:pPr>
          </w:p>
        </w:tc>
        <w:tc>
          <w:tcPr>
            <w:tcW w:w="1840" w:type="dxa"/>
            <w:vAlign w:val="bottom"/>
            <w:tcBorders>
              <w:right w:val="single" w:sz="8" w:color="auto"/>
            </w:tcBorders>
            <w:gridSpan w:val="6"/>
            <w:vMerge w:val="continue"/>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right w:val="single" w:sz="8" w:color="auto"/>
            </w:tcBorders>
            <w:gridSpan w:val="4"/>
          </w:tcPr>
          <w:p>
            <w:pPr>
              <w:jc w:val="center"/>
              <w:ind w:right="540"/>
              <w:spacing w:after="0"/>
              <w:rPr>
                <w:sz w:val="20"/>
                <w:szCs w:val="20"/>
                <w:color w:val="auto"/>
              </w:rPr>
            </w:pPr>
            <w:r>
              <w:rPr>
                <w:rFonts w:ascii="Arial" w:cs="Arial" w:eastAsia="Arial" w:hAnsi="Arial"/>
                <w:sz w:val="16"/>
                <w:szCs w:val="16"/>
                <w:b w:val="1"/>
                <w:bCs w:val="1"/>
                <w:i w:val="1"/>
                <w:iCs w:val="1"/>
                <w:color w:val="auto"/>
              </w:rPr>
              <w:t>since 2020</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2012, he served in various downstream</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20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9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positions with ConocoPhillips, including President,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Global Refining, and chairman of WRB LLC, a</w:t>
            </w:r>
          </w:p>
        </w:tc>
        <w:tc>
          <w:tcPr>
            <w:tcW w:w="8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w w:val="98"/>
              </w:rPr>
              <w:t>Audit</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downstream joint venture with Cenovus, a Canadian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oil producer. He also held various positions of</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w w:val="98"/>
              </w:rPr>
              <w:t>HSES (chair)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increasing responsibility with Tosco/Unocal from 1977</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right w:val="single" w:sz="8" w:color="auto"/>
            </w:tcBorders>
            <w:gridSpan w:val="4"/>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64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Other Current Public</w:t>
            </w:r>
          </w:p>
        </w:tc>
        <w:tc>
          <w:tcPr>
            <w:tcW w:w="200" w:type="dxa"/>
            <w:vAlign w:val="bottom"/>
            <w:tcBorders>
              <w:right w:val="single" w:sz="8" w:color="auto"/>
            </w:tcBorders>
            <w:vMerge w:val="restart"/>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to 2001. He has held a number of industry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0" w:type="dxa"/>
            <w:vAlign w:val="bottom"/>
            <w:tcBorders>
              <w:left w:val="single" w:sz="8" w:color="auto"/>
            </w:tcBorders>
          </w:tcPr>
          <w:p>
            <w:pPr>
              <w:spacing w:after="0"/>
              <w:rPr>
                <w:sz w:val="9"/>
                <w:szCs w:val="9"/>
                <w:color w:val="auto"/>
              </w:rPr>
            </w:pPr>
          </w:p>
        </w:tc>
        <w:tc>
          <w:tcPr>
            <w:tcW w:w="1640" w:type="dxa"/>
            <w:vAlign w:val="bottom"/>
            <w:tcBorders>
              <w:bottom w:val="single" w:sz="8" w:color="auto"/>
            </w:tcBorders>
            <w:gridSpan w:val="5"/>
            <w:vMerge w:val="continue"/>
          </w:tcPr>
          <w:p>
            <w:pPr>
              <w:spacing w:after="0"/>
              <w:rPr>
                <w:sz w:val="9"/>
                <w:szCs w:val="9"/>
                <w:color w:val="auto"/>
              </w:rPr>
            </w:pPr>
          </w:p>
        </w:tc>
        <w:tc>
          <w:tcPr>
            <w:tcW w:w="200" w:type="dxa"/>
            <w:vAlign w:val="bottom"/>
            <w:tcBorders>
              <w:right w:val="single" w:sz="8" w:color="auto"/>
            </w:tcBorders>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positions, including with API and AFPM. Mr. Ziemba</w:t>
            </w: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Borders>
              <w:right w:val="single" w:sz="8" w:color="auto"/>
            </w:tcBorders>
            <w:gridSpan w:val="5"/>
            <w:vMerge w:val="restart"/>
          </w:tcPr>
          <w:p>
            <w:pPr>
              <w:jc w:val="center"/>
              <w:ind w:right="300"/>
              <w:spacing w:after="0" w:line="142" w:lineRule="exact"/>
              <w:rPr>
                <w:sz w:val="20"/>
                <w:szCs w:val="20"/>
                <w:color w:val="auto"/>
              </w:rPr>
            </w:pPr>
            <w:r>
              <w:rPr>
                <w:rFonts w:ascii="Arial" w:cs="Arial" w:eastAsia="Arial" w:hAnsi="Arial"/>
                <w:sz w:val="16"/>
                <w:szCs w:val="16"/>
                <w:b w:val="1"/>
                <w:bCs w:val="1"/>
                <w:color w:val="auto"/>
              </w:rPr>
              <w:t>Company Boards:</w:t>
            </w: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tcBorders>
              <w:right w:val="single" w:sz="8" w:color="auto"/>
            </w:tcBorders>
            <w:gridSpan w:val="5"/>
            <w:vMerge w:val="continue"/>
          </w:tcPr>
          <w:p>
            <w:pPr>
              <w:spacing w:after="0"/>
              <w:rPr>
                <w:sz w:val="8"/>
                <w:szCs w:val="8"/>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has served on the board of directors of PBF Energy</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rPr>
              <w:t>PBF Energy</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since 2023. From 2020 through 2022 he served as 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Borders>
              <w:right w:val="single" w:sz="8" w:color="auto"/>
            </w:tcBorders>
            <w:gridSpan w:val="4"/>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director of PBF Logistics GP LLC. He also serves as</w:t>
            </w: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chair of the board of trustees of Duchesne Academy</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Houston. Mr. Ziemba received a BS in mechanical</w:t>
            </w: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engineering from the University of Illinois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Champaign and an MBA from the University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Chicago. We believe that his operations, technical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project management expertise, coupled with his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business sense and understanding of strategic</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positioning in the energy space, adds a diverse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operating and downstream perspective to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(Directors with terms expiring after the 2026 PAA and PAGP Annual Meetings)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2028):</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VICTOR BURK</w:t>
            </w: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Victor Burk, age 76</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PAGP GP since January 2014. He served as a</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Senior Advisor for Alvarez and Marsal, a privately</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owned professional services firm, from January 2023</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 w:type="dxa"/>
            <w:vAlign w:val="bottom"/>
            <w:tcBorders>
              <w:left w:val="single" w:sz="8" w:color="auto"/>
            </w:tcBorders>
          </w:tcPr>
          <w:p>
            <w:pPr>
              <w:spacing w:after="0"/>
              <w:rPr>
                <w:sz w:val="5"/>
                <w:szCs w:val="5"/>
                <w:color w:val="auto"/>
              </w:rPr>
            </w:pPr>
          </w:p>
        </w:tc>
        <w:tc>
          <w:tcPr>
            <w:tcW w:w="1840" w:type="dxa"/>
            <w:vAlign w:val="bottom"/>
            <w:tcBorders>
              <w:right w:val="single" w:sz="8" w:color="auto"/>
            </w:tcBorders>
            <w:gridSpan w:val="6"/>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540"/>
              <w:spacing w:after="0" w:line="175" w:lineRule="exact"/>
              <w:rPr>
                <w:sz w:val="20"/>
                <w:szCs w:val="20"/>
                <w:color w:val="auto"/>
              </w:rPr>
            </w:pPr>
            <w:r>
              <w:rPr>
                <w:rFonts w:ascii="Arial" w:cs="Arial" w:eastAsia="Arial" w:hAnsi="Arial"/>
                <w:sz w:val="16"/>
                <w:szCs w:val="16"/>
                <w:b w:val="1"/>
                <w:bCs w:val="1"/>
                <w:i w:val="1"/>
                <w:iCs w:val="1"/>
                <w:color w:val="auto"/>
              </w:rPr>
              <w:t>since 2010</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until his retirement in October 2024. He also served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as Managing Director of Alvarez and Marsal from</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April 2009 through December 2022. From 2005 to</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w w:val="98"/>
              </w:rPr>
              <w:t>Audit</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2009, Mr. Burk was the global energy practice leader</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for Spencer Stuart, a privately owned executive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right w:val="single" w:sz="8" w:color="auto"/>
            </w:tcBorders>
            <w:gridSpan w:val="5"/>
          </w:tcPr>
          <w:p>
            <w:pPr>
              <w:jc w:val="center"/>
              <w:ind w:right="300"/>
              <w:spacing w:after="0" w:line="175" w:lineRule="exact"/>
              <w:rPr>
                <w:sz w:val="20"/>
                <w:szCs w:val="20"/>
                <w:color w:val="auto"/>
              </w:rPr>
            </w:pPr>
            <w:r>
              <w:rPr>
                <w:rFonts w:ascii="Arial" w:cs="Arial" w:eastAsia="Arial" w:hAnsi="Arial"/>
                <w:sz w:val="16"/>
                <w:szCs w:val="16"/>
                <w:color w:val="auto"/>
              </w:rPr>
              <w:t>Compensation</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recruiting firm. Prior to joining Spencer Stuart,</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Burk served as managing partner of Deloitte &amp;</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Touche’s global oil and natural gas group from 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to 2005. He began his professional career in 1972</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with Arthur Andersen and served as managing</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of Arthur Andersen’s global oil and natural</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gas group from 1989 until 2002. Mr. Burk served 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board of directors and audit committee of EV</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Partners, L.P. from September 2006 until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June 2018. Mr. Burk served as a director and as chair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the audit committee of PNGS GP LLC, the general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of PAA Natural Gas Storage, L.P.,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April 2010 through December 2013. Mr. Burk also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as a board member of the Sam Houston Area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of the Boy Scouts of America. He received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BBA in Accounting from Stephen F. Austin State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University, graduating with highest honors. We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believe that Mr. Burk’s background, spanning over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30 years of extensive public accounting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consulting experience in the energy industry, coupled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his demonstrated leadership abilities, bring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valuable experience and insight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840" w:type="dxa"/>
            <w:vAlign w:val="bottom"/>
            <w:tcBorders>
              <w:right w:val="single" w:sz="8" w:color="auto"/>
            </w:tcBorders>
            <w:gridSpan w:val="6"/>
          </w:tcPr>
          <w:p>
            <w:pPr>
              <w:jc w:val="center"/>
              <w:ind w:right="160"/>
              <w:spacing w:after="0" w:line="169" w:lineRule="exact"/>
              <w:rPr>
                <w:sz w:val="20"/>
                <w:szCs w:val="20"/>
                <w:color w:val="auto"/>
              </w:rPr>
            </w:pPr>
            <w:r>
              <w:rPr>
                <w:rFonts w:ascii="Arial" w:cs="Arial" w:eastAsia="Arial" w:hAnsi="Arial"/>
                <w:sz w:val="16"/>
                <w:szCs w:val="16"/>
                <w:b w:val="1"/>
                <w:bCs w:val="1"/>
                <w:color w:val="auto"/>
                <w:w w:val="99"/>
              </w:rPr>
              <w:t>KEVIN S. MCCARTHY</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Kevin S. McCarthy, age 66</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of PAGP GP since October 2020. He served as Vice</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right w:val="single" w:sz="8" w:color="auto"/>
            </w:tcBorders>
            <w:gridSpan w:val="4"/>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Chairman at Kayne Anderson from 2019 to 2023.</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During his 19-year tenure at Kayne Anderson, he co-</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 w:type="dxa"/>
            <w:vAlign w:val="bottom"/>
            <w:tcBorders>
              <w:left w:val="single" w:sz="8" w:color="auto"/>
            </w:tcBorders>
          </w:tcPr>
          <w:p>
            <w:pPr>
              <w:spacing w:after="0"/>
              <w:rPr>
                <w:sz w:val="5"/>
                <w:szCs w:val="5"/>
                <w:color w:val="auto"/>
              </w:rPr>
            </w:pPr>
          </w:p>
        </w:tc>
        <w:tc>
          <w:tcPr>
            <w:tcW w:w="1840" w:type="dxa"/>
            <w:vAlign w:val="bottom"/>
            <w:tcBorders>
              <w:right w:val="single" w:sz="8" w:color="auto"/>
            </w:tcBorders>
            <w:gridSpan w:val="6"/>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540"/>
              <w:spacing w:after="0" w:line="175" w:lineRule="exact"/>
              <w:rPr>
                <w:sz w:val="20"/>
                <w:szCs w:val="20"/>
                <w:color w:val="auto"/>
              </w:rPr>
            </w:pPr>
            <w:r>
              <w:rPr>
                <w:rFonts w:ascii="Arial" w:cs="Arial" w:eastAsia="Arial" w:hAnsi="Arial"/>
                <w:sz w:val="16"/>
                <w:szCs w:val="16"/>
                <w:b w:val="1"/>
                <w:bCs w:val="1"/>
                <w:i w:val="1"/>
                <w:iCs w:val="1"/>
                <w:color w:val="auto"/>
              </w:rPr>
              <w:t>since 2020</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founded the firm’s energy infrastructure 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activities, and served as CEO and Chairman of the</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Board of Directors for Kayne Anderson’s closed-end</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right w:val="single" w:sz="8" w:color="auto"/>
            </w:tcBorders>
            <w:gridSpan w:val="4"/>
            <w:vMerge w:val="restart"/>
          </w:tcPr>
          <w:p>
            <w:pPr>
              <w:jc w:val="center"/>
              <w:ind w:right="520"/>
              <w:spacing w:after="0"/>
              <w:rPr>
                <w:sz w:val="20"/>
                <w:szCs w:val="20"/>
                <w:color w:val="auto"/>
              </w:rPr>
            </w:pPr>
            <w:r>
              <w:rPr>
                <w:rFonts w:ascii="Arial" w:cs="Arial" w:eastAsia="Arial" w:hAnsi="Arial"/>
                <w:sz w:val="16"/>
                <w:szCs w:val="16"/>
                <w:color w:val="auto"/>
              </w:rPr>
              <w:t>Governance</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funds. Prior to joining Kayne Anderson in 2004,</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right w:val="single" w:sz="8" w:color="auto"/>
            </w:tcBorders>
            <w:gridSpan w:val="4"/>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McCarthy was global head of energy investment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9"/>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520"/>
              <w:spacing w:after="0" w:line="175" w:lineRule="exact"/>
              <w:rPr>
                <w:sz w:val="20"/>
                <w:szCs w:val="20"/>
                <w:color w:val="auto"/>
              </w:rPr>
            </w:pPr>
            <w:r>
              <w:rPr>
                <w:rFonts w:ascii="Arial" w:cs="Arial" w:eastAsia="Arial" w:hAnsi="Arial"/>
                <w:sz w:val="16"/>
                <w:szCs w:val="16"/>
                <w:color w:val="auto"/>
              </w:rPr>
              <w:t>HSES</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banking at UBS Securities LLC and held similar</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164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Other Current Public</w:t>
            </w:r>
          </w:p>
        </w:tc>
        <w:tc>
          <w:tcPr>
            <w:tcW w:w="20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positions at PaineWebber Incorporated and Dean</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left w:val="single" w:sz="8" w:color="auto"/>
            </w:tcBorders>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line="143" w:lineRule="exact"/>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00"/>
        </w:trPr>
        <w:tc>
          <w:tcPr>
            <w:tcW w:w="200" w:type="dxa"/>
            <w:vAlign w:val="bottom"/>
            <w:tcBorders>
              <w:left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Witter Reynolds. Mr. McCarthy serves as a director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tcBorders>
              <w:right w:val="single" w:sz="8" w:color="auto"/>
            </w:tcBorders>
            <w:gridSpan w:val="5"/>
            <w:vMerge w:val="restart"/>
          </w:tcPr>
          <w:p>
            <w:pPr>
              <w:jc w:val="center"/>
              <w:ind w:right="300"/>
              <w:spacing w:after="0" w:line="169" w:lineRule="exact"/>
              <w:rPr>
                <w:sz w:val="20"/>
                <w:szCs w:val="20"/>
                <w:color w:val="auto"/>
              </w:rPr>
            </w:pPr>
            <w:r>
              <w:rPr>
                <w:rFonts w:ascii="Arial" w:cs="Arial" w:eastAsia="Arial" w:hAnsi="Arial"/>
                <w:sz w:val="16"/>
                <w:szCs w:val="16"/>
                <w:b w:val="1"/>
                <w:bCs w:val="1"/>
                <w:color w:val="auto"/>
              </w:rPr>
              <w:t>Company Boards:</w:t>
            </w: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Borders>
              <w:right w:val="single" w:sz="8" w:color="auto"/>
            </w:tcBorders>
            <w:gridSpan w:val="5"/>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Kinetik Holdings Inc. and Chord Energy Corporation,</w:t>
            </w: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0" w:type="dxa"/>
            <w:vAlign w:val="bottom"/>
            <w:tcBorders>
              <w:left w:val="single" w:sz="8" w:color="auto"/>
            </w:tcBorders>
          </w:tcPr>
          <w:p>
            <w:pPr>
              <w:spacing w:after="0"/>
              <w:rPr>
                <w:sz w:val="9"/>
                <w:szCs w:val="9"/>
                <w:color w:val="auto"/>
              </w:rPr>
            </w:pPr>
          </w:p>
        </w:tc>
        <w:tc>
          <w:tcPr>
            <w:tcW w:w="184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color w:val="auto"/>
                <w:w w:val="99"/>
              </w:rPr>
              <w:t>Kinetik Holdings Inc.</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previously served as a director of Whiting</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0" w:type="dxa"/>
            <w:vAlign w:val="bottom"/>
            <w:tcBorders>
              <w:left w:val="single" w:sz="8" w:color="auto"/>
            </w:tcBorders>
          </w:tcPr>
          <w:p>
            <w:pPr>
              <w:spacing w:after="0"/>
              <w:rPr>
                <w:sz w:val="8"/>
                <w:szCs w:val="8"/>
                <w:color w:val="auto"/>
              </w:rPr>
            </w:pPr>
          </w:p>
        </w:tc>
        <w:tc>
          <w:tcPr>
            <w:tcW w:w="1840" w:type="dxa"/>
            <w:vAlign w:val="bottom"/>
            <w:tcBorders>
              <w:right w:val="single" w:sz="8" w:color="auto"/>
            </w:tcBorders>
            <w:gridSpan w:val="6"/>
            <w:vMerge w:val="continue"/>
          </w:tcPr>
          <w:p>
            <w:pPr>
              <w:spacing w:after="0"/>
              <w:rPr>
                <w:sz w:val="8"/>
                <w:szCs w:val="8"/>
                <w:color w:val="auto"/>
              </w:rPr>
            </w:pPr>
          </w:p>
        </w:tc>
        <w:tc>
          <w:tcPr>
            <w:tcW w:w="39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Borders>
              <w:right w:val="single" w:sz="8" w:color="auto"/>
            </w:tcBorders>
            <w:gridSpan w:val="5"/>
            <w:vMerge w:val="restart"/>
          </w:tcPr>
          <w:p>
            <w:pPr>
              <w:jc w:val="center"/>
              <w:ind w:right="300"/>
              <w:spacing w:after="0"/>
              <w:rPr>
                <w:sz w:val="20"/>
                <w:szCs w:val="20"/>
                <w:color w:val="auto"/>
              </w:rPr>
            </w:pPr>
            <w:r>
              <w:rPr>
                <w:rFonts w:ascii="Arial" w:cs="Arial" w:eastAsia="Arial" w:hAnsi="Arial"/>
                <w:sz w:val="16"/>
                <w:szCs w:val="16"/>
                <w:color w:val="auto"/>
              </w:rPr>
              <w:t>Chord Energy</w:t>
            </w: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Petroleum Corporation (Chairman), Altus Midstream</w:t>
            </w: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Borders>
              <w:right w:val="single" w:sz="8" w:color="auto"/>
            </w:tcBorders>
            <w:gridSpan w:val="5"/>
            <w:vMerge w:val="continue"/>
          </w:tcPr>
          <w:p>
            <w:pPr>
              <w:spacing w:after="0"/>
              <w:rPr>
                <w:sz w:val="14"/>
                <w:szCs w:val="14"/>
                <w:color w:val="auto"/>
              </w:rPr>
            </w:pPr>
          </w:p>
        </w:tc>
        <w:tc>
          <w:tcPr>
            <w:tcW w:w="39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Company, Range Resources Corporation, ONEOK,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right w:val="single" w:sz="8" w:color="auto"/>
            </w:tcBorders>
            <w:gridSpan w:val="4"/>
          </w:tcPr>
          <w:p>
            <w:pPr>
              <w:jc w:val="center"/>
              <w:ind w:right="520"/>
              <w:spacing w:after="0"/>
              <w:rPr>
                <w:sz w:val="20"/>
                <w:szCs w:val="20"/>
                <w:color w:val="auto"/>
              </w:rPr>
            </w:pPr>
            <w:r>
              <w:rPr>
                <w:rFonts w:ascii="Arial" w:cs="Arial" w:eastAsia="Arial" w:hAnsi="Arial"/>
                <w:sz w:val="16"/>
                <w:szCs w:val="16"/>
                <w:color w:val="auto"/>
              </w:rPr>
              <w:t>Corporation</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Emerge Energy Services LP and K-Sea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Transportation Partners L.P. He also sits on the board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directors of the Gladney Fund, a Fort Worth based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adoption agency. Mr. McCarthy earned a BA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economics and geology from Amherst College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 MBA in Finance from the Wharton School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University of Pennsylvania. Mr. McCarthy’s extensive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investment management background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in the energy sector, along with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breadth and depth of his market and industry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knowledge, brings substantial experience, insight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skill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3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Harry N. Pefanis, age 68</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PAGP GP since February 2017 and served as</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tcBorders>
              <w:left w:val="single" w:sz="8" w:color="auto"/>
              <w:right w:val="single" w:sz="8" w:color="auto"/>
            </w:tcBorders>
            <w:gridSpan w:val="3"/>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President of PAGP GP and GP LLC from March 2021</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until his retirement effective June 1, 2025. He</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6"/>
        </w:trPr>
        <w:tc>
          <w:tcPr>
            <w:tcW w:w="560" w:type="dxa"/>
            <w:vAlign w:val="bottom"/>
            <w:tcBorders>
              <w:left w:val="single" w:sz="8" w:color="auto"/>
            </w:tcBorders>
          </w:tcPr>
          <w:p>
            <w:pPr>
              <w:spacing w:after="0"/>
              <w:rPr>
                <w:sz w:val="12"/>
                <w:szCs w:val="12"/>
                <w:color w:val="auto"/>
              </w:rPr>
            </w:pPr>
          </w:p>
        </w:tc>
        <w:tc>
          <w:tcPr>
            <w:tcW w:w="1480" w:type="dxa"/>
            <w:vAlign w:val="bottom"/>
            <w:tcBorders>
              <w:right w:val="single" w:sz="8" w:color="auto"/>
            </w:tcBorders>
            <w:gridSpan w:val="2"/>
            <w:vMerge w:val="restart"/>
          </w:tcPr>
          <w:p>
            <w:pPr>
              <w:jc w:val="center"/>
              <w:ind w:right="500"/>
              <w:spacing w:after="0" w:line="175" w:lineRule="exact"/>
              <w:rPr>
                <w:sz w:val="20"/>
                <w:szCs w:val="20"/>
                <w:color w:val="auto"/>
              </w:rPr>
            </w:pPr>
            <w:r>
              <w:rPr>
                <w:rFonts w:ascii="Arial" w:cs="Arial" w:eastAsia="Arial" w:hAnsi="Arial"/>
                <w:sz w:val="16"/>
                <w:szCs w:val="16"/>
                <w:b w:val="1"/>
                <w:bCs w:val="1"/>
                <w:i w:val="1"/>
                <w:iCs w:val="1"/>
                <w:color w:val="auto"/>
              </w:rPr>
              <w:t>since 2017</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currently serves as a Senior Advisor to the CEO. 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60" w:type="dxa"/>
            <w:vAlign w:val="bottom"/>
            <w:tcBorders>
              <w:left w:val="single" w:sz="8" w:color="auto"/>
            </w:tcBorders>
          </w:tcPr>
          <w:p>
            <w:pPr>
              <w:spacing w:after="0"/>
              <w:rPr>
                <w:sz w:val="2"/>
                <w:szCs w:val="2"/>
                <w:color w:val="auto"/>
              </w:rPr>
            </w:pPr>
          </w:p>
        </w:tc>
        <w:tc>
          <w:tcPr>
            <w:tcW w:w="1480" w:type="dxa"/>
            <w:vAlign w:val="bottom"/>
            <w:tcBorders>
              <w:right w:val="single" w:sz="8" w:color="auto"/>
            </w:tcBorders>
            <w:gridSpan w:val="2"/>
            <w:vMerge w:val="continue"/>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President</w:t>
            </w: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previously served as President and Chief</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Commercial Officer of PAGP GP and GP LLC from</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9"/>
              </w:rPr>
              <w:t>Committees:</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January 2018 until March 2021. He served as</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Chief Operating Officer of GP LLC</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87"/>
        </w:trPr>
        <w:tc>
          <w:tcPr>
            <w:tcW w:w="560" w:type="dxa"/>
            <w:vAlign w:val="bottom"/>
            <w:tcBorders>
              <w:left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gridSpan w:val="2"/>
          </w:tcPr>
          <w:p>
            <w:pPr>
              <w:jc w:val="center"/>
              <w:ind w:right="480"/>
              <w:spacing w:after="0" w:line="175" w:lineRule="exact"/>
              <w:rPr>
                <w:sz w:val="20"/>
                <w:szCs w:val="20"/>
                <w:color w:val="auto"/>
              </w:rPr>
            </w:pPr>
            <w:r>
              <w:rPr>
                <w:rFonts w:ascii="Arial" w:cs="Arial" w:eastAsia="Arial" w:hAnsi="Arial"/>
                <w:sz w:val="16"/>
                <w:szCs w:val="16"/>
                <w:color w:val="auto"/>
              </w:rPr>
              <w:t>None</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PAA’s formation in 1998 through</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2017, and as President and Chief</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Operating Officer of PAGP GP from July 2013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through December 2017. He was also a director of</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PAA’s former general partner. In addition, he was</w:t>
            </w: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6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9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20"/>
        </w:trPr>
        <w:tc>
          <w:tcPr>
            <w:tcW w:w="5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Vice President — Midstream of Plains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Resources from May 1998 to May 2001, and he</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previously served in various roles of increasing</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responsibility from 1983 to 1998. Mr. Pefanis served</w:t>
            </w: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a director of Oasis Midstream Partners, L.P.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July 2018 until February 2022. Mr. Pefanis currently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as a director of the Memorial Hermann Health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System. He is also a director of the Memorial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Hermann Foundation and a trustee of the University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Oklahoma Foundation. Mr. Pefanis’s involvement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PAA since its formation and his considerable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operational, commercial, accounting and financial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experience brings important and valuable skills to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6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GARY R. PETERSEN</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Gary R. Petersen, age 79</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spacing w:after="0"/>
              <w:rPr>
                <w:sz w:val="14"/>
                <w:szCs w:val="14"/>
                <w:color w:val="auto"/>
              </w:rPr>
            </w:pPr>
          </w:p>
        </w:tc>
        <w:tc>
          <w:tcPr>
            <w:tcW w:w="148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3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of PAGP GP since November 2016. He served as a</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1480" w:type="dxa"/>
            <w:vAlign w:val="bottom"/>
            <w:tcBorders>
              <w:right w:val="single" w:sz="8" w:color="auto"/>
            </w:tcBorders>
            <w:gridSpan w:val="2"/>
            <w:vMerge w:val="continue"/>
          </w:tcPr>
          <w:p>
            <w:pPr>
              <w:spacing w:after="0"/>
              <w:rPr>
                <w:sz w:val="11"/>
                <w:szCs w:val="11"/>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director of PAA’s general partner from June 2001 until</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Petersen is a Managing Partner</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1480" w:type="dxa"/>
            <w:vAlign w:val="bottom"/>
            <w:tcBorders>
              <w:right w:val="single" w:sz="8" w:color="auto"/>
            </w:tcBorders>
            <w:gridSpan w:val="2"/>
            <w:vMerge w:val="restart"/>
          </w:tcPr>
          <w:p>
            <w:pPr>
              <w:jc w:val="center"/>
              <w:ind w:right="500"/>
              <w:spacing w:after="0" w:line="175" w:lineRule="exact"/>
              <w:rPr>
                <w:sz w:val="20"/>
                <w:szCs w:val="20"/>
                <w:color w:val="auto"/>
              </w:rPr>
            </w:pPr>
            <w:r>
              <w:rPr>
                <w:rFonts w:ascii="Arial" w:cs="Arial" w:eastAsia="Arial" w:hAnsi="Arial"/>
                <w:sz w:val="16"/>
                <w:szCs w:val="16"/>
                <w:b w:val="1"/>
                <w:bCs w:val="1"/>
                <w:i w:val="1"/>
                <w:iCs w:val="1"/>
                <w:color w:val="auto"/>
              </w:rPr>
              <w:t>since 2001</w:t>
            </w: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of EnCap, an investment management firm which 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60" w:type="dxa"/>
            <w:vAlign w:val="bottom"/>
            <w:tcBorders>
              <w:left w:val="single" w:sz="8" w:color="auto"/>
            </w:tcBorders>
          </w:tcPr>
          <w:p>
            <w:pPr>
              <w:spacing w:after="0"/>
              <w:rPr>
                <w:sz w:val="2"/>
                <w:szCs w:val="2"/>
                <w:color w:val="auto"/>
              </w:rPr>
            </w:pPr>
          </w:p>
        </w:tc>
        <w:tc>
          <w:tcPr>
            <w:tcW w:w="1480" w:type="dxa"/>
            <w:vAlign w:val="bottom"/>
            <w:tcBorders>
              <w:right w:val="single" w:sz="8" w:color="auto"/>
            </w:tcBorders>
            <w:gridSpan w:val="2"/>
            <w:vMerge w:val="continue"/>
          </w:tcPr>
          <w:p>
            <w:pPr>
              <w:spacing w:after="0"/>
              <w:rPr>
                <w:sz w:val="2"/>
                <w:szCs w:val="2"/>
                <w:color w:val="auto"/>
              </w:rPr>
            </w:pPr>
          </w:p>
        </w:tc>
        <w:tc>
          <w:tcPr>
            <w:tcW w:w="39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60" w:type="dxa"/>
            <w:vAlign w:val="bottom"/>
            <w:tcBorders>
              <w:left w:val="single" w:sz="8" w:color="auto"/>
            </w:tcBorders>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60" w:type="dxa"/>
            <w:vAlign w:val="bottom"/>
            <w:tcBorders>
              <w:right w:val="single" w:sz="8" w:color="auto"/>
            </w:tcBorders>
            <w:vMerge w:val="restart"/>
          </w:tcPr>
          <w:p>
            <w:pPr>
              <w:jc w:val="right"/>
              <w:ind w:right="480"/>
              <w:spacing w:after="0"/>
              <w:rPr>
                <w:sz w:val="20"/>
                <w:szCs w:val="20"/>
                <w:color w:val="auto"/>
              </w:rPr>
            </w:pPr>
            <w:r>
              <w:rPr>
                <w:rFonts w:ascii="Arial" w:cs="Arial" w:eastAsia="Arial" w:hAnsi="Arial"/>
                <w:sz w:val="8"/>
                <w:szCs w:val="8"/>
                <w:b w:val="1"/>
                <w:bCs w:val="1"/>
                <w:color w:val="auto"/>
                <w:w w:val="73"/>
              </w:rPr>
              <w:t>:</w:t>
            </w:r>
          </w:p>
        </w:tc>
        <w:tc>
          <w:tcPr>
            <w:tcW w:w="39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co-founded in 1988. He also served as a director of</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EV Energy Partners, L.P. from September 2006 until</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June 2018. He had previously served as Senior Vice</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Manager of the Corporate Finance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gridSpan w:val="2"/>
          </w:tcPr>
          <w:p>
            <w:pPr>
              <w:jc w:val="center"/>
              <w:ind w:right="480"/>
              <w:spacing w:after="0" w:line="175" w:lineRule="exact"/>
              <w:rPr>
                <w:sz w:val="20"/>
                <w:szCs w:val="20"/>
                <w:color w:val="auto"/>
              </w:rPr>
            </w:pPr>
            <w:r>
              <w:rPr>
                <w:rFonts w:ascii="Arial" w:cs="Arial" w:eastAsia="Arial" w:hAnsi="Arial"/>
                <w:sz w:val="16"/>
                <w:szCs w:val="16"/>
                <w:color w:val="auto"/>
              </w:rPr>
              <w:t>Governance</w:t>
            </w: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Division of the Energy Banking Group for</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RepublicBank Corporation. Prior to his position at</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39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RepublicBank, he was Executive Vice President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member of the Board of Directors of Nicklos Oil &amp;</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07"/>
        </w:trPr>
        <w:tc>
          <w:tcPr>
            <w:tcW w:w="5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39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Gas Company from 1979 to 1984. He served from</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1970 to 1971 in the U.S. Army as a First Lieutenant</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Finance Corps and as an Army Officer in the</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Army Security Agency. He is a member of the</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Petroleum Association of America,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Producers Forum and the Petroleum Club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Mr. Petersen is a director of the Memorial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Hermann Health System and the Houston Museum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Natural Science. He also sits on the board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trustees of The Council on Recovery. Mr. Petersen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holds BBA and MBA degrees in finance from Texas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Tech University. Mr. Petersen has been involved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energy sector for over 35 years, garnering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extensive knowledge of the energy sectors’ various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cycles, as well as the current market and industry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knowledge that comes with management of billions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dollars of energy-related investments. In tandem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leadership qualities evidenced by his executive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background, we believe that Mr. Petersen brings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numerous valuable attributes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6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5399"/>
        <w:spacing w:after="0"/>
        <w:rPr>
          <w:sz w:val="20"/>
          <w:szCs w:val="20"/>
          <w:color w:val="auto"/>
        </w:rPr>
      </w:pPr>
      <w:r>
        <w:rPr>
          <w:rFonts w:ascii="Arial" w:cs="Arial" w:eastAsia="Arial" w:hAnsi="Arial"/>
          <w:sz w:val="18"/>
          <w:szCs w:val="18"/>
          <w:color w:val="auto"/>
        </w:rPr>
        <w:t>Class III Directors (terms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4131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41319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GREG L. ARMSTRONG</w:t>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Not Independent</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16"/>
          <w:szCs w:val="16"/>
          <w:b w:val="1"/>
          <w:bCs w:val="1"/>
          <w:i w:val="1"/>
          <w:iCs w:val="1"/>
          <w:color w:val="auto"/>
        </w:rPr>
        <w:t>PAGP/PAA Director</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6"/>
          <w:szCs w:val="16"/>
          <w:b w:val="1"/>
          <w:bCs w:val="1"/>
          <w:i w:val="1"/>
          <w:iCs w:val="1"/>
          <w:color w:val="auto"/>
        </w:rPr>
        <w:t>since 1998</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b w:val="1"/>
          <w:bCs w:val="1"/>
          <w:i w:val="1"/>
          <w:iCs w:val="1"/>
          <w:color w:val="auto"/>
        </w:rPr>
        <w:t>Former Chairman and</w:t>
      </w:r>
    </w:p>
    <w:p>
      <w:pPr>
        <w:spacing w:after="0" w:line="6"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i w:val="1"/>
          <w:iCs w:val="1"/>
          <w:color w:val="auto"/>
        </w:rPr>
        <w:t>CEO</w:t>
      </w:r>
    </w:p>
    <w:p>
      <w:pPr>
        <w:spacing w:after="0" w:line="84" w:lineRule="exact"/>
        <w:rPr>
          <w:sz w:val="20"/>
          <w:szCs w:val="20"/>
          <w:color w:val="auto"/>
        </w:rPr>
      </w:pPr>
    </w:p>
    <w:p>
      <w:pPr>
        <w:jc w:val="center"/>
        <w:ind w:left="144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0"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i w:val="1"/>
          <w:iCs w:val="1"/>
          <w:color w:val="auto"/>
        </w:rPr>
        <w:t>Greg L. Armstrong, age 67</w:t>
      </w:r>
      <w:r>
        <w:rPr>
          <w:rFonts w:ascii="Arial" w:cs="Arial" w:eastAsia="Arial" w:hAnsi="Arial"/>
          <w:sz w:val="15"/>
          <w:szCs w:val="15"/>
          <w:color w:val="auto"/>
        </w:rPr>
        <w:t>, has served as a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of PAGP GP since 2013. He has also served as a Senior Advisor to the CEO since January 1, 2020. Mr. Armstrong served as Chairman of the Board of PAGP GP from July 2013 through December 31, 2019 and as Chief Executive Officer of PAGP GP from July 2013 until his retirement from such position in October 2018. He also served as Chief Executive Officer of GP LLC from PAA’s formation in 1998 until his retirement from that position in October 2018. He served as a director of PAA’s general partner or former general partner from PAA’s formation until November 2016 when the Board of PAGP GP assumed responsibility for PAA in addition to PAGP and Plains AAP. In addition, he was President, Chief Executive Officer and director of Plains Resources Inc. from 1992 to May 2001 and served in various roles of increasing responsibility from 1981 to 1992. Mr. Armstrong served as a director of the Federal Reserve Bank of Dallas from 2015 to 2021, retiring as Chair at the end of 2021. Mr. Armstrong also served as a director of NOV, Inc. and its predecessors from 2004 to May 2025, including serving as lead director from May 2023 until</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May 2025. Mr. Armstrong currently serves as chair of the board of the Memorial Hermann Health System. Mr. Armstrong also serves on the board of the Houston Zoo and is a member of the advisory board of the Maguire Energy Institute at the Cox School of Business at Southern Methodist University, the Baker Institute and Veriten, and is a past Chairman of the National Petroleum Council. Mr. Armstrong’s experience with PAA since its formation, including as former Chairman and CEO, and his long-time involvement in the energy industry, provide the Board with invaluable insight and perspective.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039"/>
        <w:spacing w:after="0" w:line="268" w:lineRule="auto"/>
        <w:rPr>
          <w:sz w:val="20"/>
          <w:szCs w:val="20"/>
          <w:color w:val="auto"/>
        </w:rPr>
      </w:pPr>
      <w:r>
        <w:rPr>
          <w:rFonts w:ascii="Arial" w:cs="Arial" w:eastAsia="Arial" w:hAnsi="Arial"/>
          <w:sz w:val="16"/>
          <w:szCs w:val="16"/>
          <w:u w:val="single" w:color="auto"/>
          <w:color w:val="auto"/>
        </w:rPr>
        <w:t>Board Qualifications/ Attributes:</w:t>
      </w:r>
    </w:p>
    <w:p>
      <w:pPr>
        <w:spacing w:after="0" w:line="62" w:lineRule="exact"/>
        <w:rPr>
          <w:sz w:val="20"/>
          <w:szCs w:val="20"/>
          <w:color w:val="auto"/>
        </w:rPr>
      </w:pPr>
    </w:p>
    <w:p>
      <w:pPr>
        <w:ind w:left="160" w:right="1199" w:hanging="158"/>
        <w:spacing w:after="0" w:line="302" w:lineRule="auto"/>
        <w:tabs>
          <w:tab w:leader="none" w:pos="1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38" w:lineRule="exact"/>
        <w:rPr>
          <w:rFonts w:ascii="Arial" w:cs="Arial" w:eastAsia="Arial" w:hAnsi="Arial"/>
          <w:sz w:val="15"/>
          <w:szCs w:val="15"/>
          <w:color w:val="auto"/>
        </w:rPr>
      </w:pPr>
    </w:p>
    <w:p>
      <w:pPr>
        <w:ind w:left="160" w:hanging="158"/>
        <w:spacing w:after="0"/>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99" w:lineRule="exact"/>
        <w:rPr>
          <w:rFonts w:ascii="Arial" w:cs="Arial" w:eastAsia="Arial" w:hAnsi="Arial"/>
          <w:sz w:val="16"/>
          <w:szCs w:val="16"/>
          <w:color w:val="auto"/>
        </w:rPr>
      </w:pPr>
    </w:p>
    <w:p>
      <w:pPr>
        <w:ind w:left="160" w:right="679" w:hanging="158"/>
        <w:spacing w:after="0" w:line="302" w:lineRule="auto"/>
        <w:tabs>
          <w:tab w:leader="none" w:pos="1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Business Development/ Strategy/Commercial</w:t>
      </w:r>
    </w:p>
    <w:p>
      <w:pPr>
        <w:spacing w:after="0" w:line="38" w:lineRule="exact"/>
        <w:rPr>
          <w:rFonts w:ascii="Arial" w:cs="Arial" w:eastAsia="Arial" w:hAnsi="Arial"/>
          <w:sz w:val="15"/>
          <w:szCs w:val="15"/>
          <w:color w:val="auto"/>
        </w:rPr>
      </w:pPr>
    </w:p>
    <w:p>
      <w:pPr>
        <w:ind w:left="160" w:hanging="158"/>
        <w:spacing w:after="0"/>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Governance/​Government</w:t>
      </w:r>
    </w:p>
    <w:p>
      <w:pPr>
        <w:spacing w:after="0" w:line="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Relations/​Legal</w:t>
      </w:r>
    </w:p>
    <w:p>
      <w:pPr>
        <w:spacing w:after="0" w:line="97" w:lineRule="exact"/>
        <w:rPr>
          <w:rFonts w:ascii="Arial" w:cs="Arial" w:eastAsia="Arial" w:hAnsi="Arial"/>
          <w:sz w:val="16"/>
          <w:szCs w:val="16"/>
          <w:color w:val="auto"/>
        </w:rPr>
      </w:pPr>
    </w:p>
    <w:p>
      <w:pPr>
        <w:ind w:left="160" w:hanging="158"/>
        <w:spacing w:after="0"/>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Operations/​Engineering/</w:t>
      </w:r>
    </w:p>
    <w:p>
      <w:pPr>
        <w:spacing w:after="0" w:line="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Construction/​Technical</w:t>
      </w:r>
    </w:p>
    <w:p>
      <w:pPr>
        <w:spacing w:after="0" w:line="97" w:lineRule="exact"/>
        <w:rPr>
          <w:rFonts w:ascii="Arial" w:cs="Arial" w:eastAsia="Arial" w:hAnsi="Arial"/>
          <w:sz w:val="16"/>
          <w:szCs w:val="16"/>
          <w:color w:val="auto"/>
        </w:rPr>
      </w:pPr>
    </w:p>
    <w:p>
      <w:pPr>
        <w:ind w:left="160" w:hanging="158"/>
        <w:spacing w:after="0"/>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99" w:lineRule="exact"/>
        <w:rPr>
          <w:rFonts w:ascii="Arial" w:cs="Arial" w:eastAsia="Arial" w:hAnsi="Arial"/>
          <w:sz w:val="16"/>
          <w:szCs w:val="16"/>
          <w:color w:val="auto"/>
        </w:rPr>
      </w:pPr>
    </w:p>
    <w:p>
      <w:pPr>
        <w:ind w:left="160" w:hanging="158"/>
        <w:spacing w:after="0"/>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3461" w:lineRule="exact"/>
        <w:rPr>
          <w:sz w:val="20"/>
          <w:szCs w:val="20"/>
          <w:color w:val="auto"/>
        </w:rPr>
      </w:pPr>
    </w:p>
    <w:p>
      <w:pPr>
        <w:sectPr>
          <w:pgSz w:w="11900" w:h="16838" w:orient="portrait"/>
          <w:cols w:equalWidth="0" w:num="3">
            <w:col w:w="3180" w:space="200"/>
            <w:col w:w="3760" w:space="2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160" w:type="dxa"/>
            <w:vAlign w:val="bottom"/>
            <w:tcBorders>
              <w:top w:val="single" w:sz="8" w:color="auto"/>
              <w:left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8"/>
          </w:tcPr>
          <w:p>
            <w:pPr>
              <w:jc w:val="center"/>
              <w:ind w:right="100"/>
              <w:spacing w:after="0"/>
              <w:rPr>
                <w:sz w:val="20"/>
                <w:szCs w:val="20"/>
                <w:color w:val="auto"/>
              </w:rPr>
            </w:pPr>
            <w:r>
              <w:rPr>
                <w:rFonts w:ascii="Arial" w:cs="Arial" w:eastAsia="Arial" w:hAnsi="Arial"/>
                <w:sz w:val="16"/>
                <w:szCs w:val="16"/>
                <w:b w:val="1"/>
                <w:bCs w:val="1"/>
                <w:color w:val="auto"/>
                <w:w w:val="97"/>
              </w:rPr>
              <w:t>JOHN T. RAYMOND</w:t>
            </w:r>
          </w:p>
        </w:tc>
        <w:tc>
          <w:tcPr>
            <w:tcW w:w="4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John T. Raymond, age 55</w:t>
            </w:r>
            <w:r>
              <w:rPr>
                <w:rFonts w:ascii="Arial" w:cs="Arial" w:eastAsia="Arial" w:hAnsi="Arial"/>
                <w:sz w:val="16"/>
                <w:szCs w:val="16"/>
                <w:color w:val="auto"/>
              </w:rPr>
              <w:t>, has served as a director of</w:t>
            </w:r>
          </w:p>
        </w:tc>
        <w:tc>
          <w:tcPr>
            <w:tcW w:w="100" w:type="dxa"/>
            <w:vAlign w:val="bottom"/>
            <w:tcBorders>
              <w:top w:val="single" w:sz="8" w:color="auto"/>
            </w:tcBorders>
          </w:tcPr>
          <w:p>
            <w:pPr>
              <w:spacing w:after="0"/>
              <w:rPr>
                <w:sz w:val="24"/>
                <w:szCs w:val="24"/>
                <w:color w:val="auto"/>
              </w:rPr>
            </w:pPr>
          </w:p>
        </w:tc>
        <w:tc>
          <w:tcPr>
            <w:tcW w:w="210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1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right w:val="single" w:sz="8" w:color="auto"/>
            </w:tcBorders>
            <w:gridSpan w:val="7"/>
            <w:vMerge w:val="restart"/>
          </w:tcPr>
          <w:p>
            <w:pPr>
              <w:jc w:val="center"/>
              <w:ind w:right="280"/>
              <w:spacing w:after="0"/>
              <w:rPr>
                <w:sz w:val="20"/>
                <w:szCs w:val="20"/>
                <w:color w:val="auto"/>
              </w:rPr>
            </w:pPr>
            <w:r>
              <w:rPr>
                <w:rFonts w:ascii="Arial" w:cs="Arial" w:eastAsia="Arial" w:hAnsi="Arial"/>
                <w:sz w:val="16"/>
                <w:szCs w:val="16"/>
                <w:b w:val="1"/>
                <w:bCs w:val="1"/>
                <w:i w:val="1"/>
                <w:iCs w:val="1"/>
                <w:color w:val="auto"/>
              </w:rPr>
              <w:t>Lead Director</w:t>
            </w:r>
          </w:p>
        </w:tc>
        <w:tc>
          <w:tcPr>
            <w:tcW w:w="40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PAGP GP since October 2013 and as Lead Director</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4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Borders>
              <w:right w:val="single" w:sz="8" w:color="auto"/>
            </w:tcBorders>
            <w:gridSpan w:val="7"/>
            <w:vMerge w:val="continue"/>
          </w:tcPr>
          <w:p>
            <w:pPr>
              <w:spacing w:after="0"/>
              <w:rPr>
                <w:sz w:val="7"/>
                <w:szCs w:val="7"/>
                <w:color w:val="auto"/>
              </w:rPr>
            </w:pPr>
          </w:p>
        </w:tc>
        <w:tc>
          <w:tcPr>
            <w:tcW w:w="4060" w:type="dxa"/>
            <w:vAlign w:val="bottom"/>
            <w:tcBorders>
              <w:right w:val="single" w:sz="8" w:color="auto"/>
            </w:tcBorders>
            <w:vMerge w:val="restart"/>
          </w:tcPr>
          <w:p>
            <w:pPr>
              <w:ind w:left="60"/>
              <w:spacing w:after="0" w:line="155" w:lineRule="exact"/>
              <w:rPr>
                <w:sz w:val="20"/>
                <w:szCs w:val="20"/>
                <w:color w:val="auto"/>
              </w:rPr>
            </w:pPr>
            <w:r>
              <w:rPr>
                <w:rFonts w:ascii="Arial" w:cs="Arial" w:eastAsia="Arial" w:hAnsi="Arial"/>
                <w:sz w:val="16"/>
                <w:szCs w:val="16"/>
                <w:color w:val="auto"/>
              </w:rPr>
              <w:t>since June 2025. He served as a director of PAA’s</w:t>
            </w:r>
          </w:p>
        </w:tc>
        <w:tc>
          <w:tcPr>
            <w:tcW w:w="10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47"/>
        </w:trPr>
        <w:tc>
          <w:tcPr>
            <w:tcW w:w="16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Borders>
              <w:right w:val="single" w:sz="8" w:color="auto"/>
            </w:tcBorders>
            <w:gridSpan w:val="5"/>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general partner from December 2010 until</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tcBorders>
              <w:right w:val="single" w:sz="8" w:color="auto"/>
            </w:tcBorders>
            <w:gridSpan w:val="5"/>
            <w:vMerge w:val="continue"/>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8"/>
        </w:trPr>
        <w:tc>
          <w:tcPr>
            <w:tcW w:w="160" w:type="dxa"/>
            <w:vAlign w:val="bottom"/>
            <w:tcBorders>
              <w:left w:val="single" w:sz="8" w:color="auto"/>
            </w:tcBorders>
          </w:tcPr>
          <w:p>
            <w:pPr>
              <w:spacing w:after="0"/>
              <w:rPr>
                <w:sz w:val="12"/>
                <w:szCs w:val="12"/>
                <w:color w:val="auto"/>
              </w:rPr>
            </w:pPr>
          </w:p>
        </w:tc>
        <w:tc>
          <w:tcPr>
            <w:tcW w:w="1800" w:type="dxa"/>
            <w:vAlign w:val="bottom"/>
            <w:tcBorders>
              <w:right w:val="single" w:sz="8" w:color="auto"/>
            </w:tcBorders>
            <w:gridSpan w:val="8"/>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60" w:type="dxa"/>
            <w:vAlign w:val="bottom"/>
            <w:tcBorders>
              <w:right w:val="single" w:sz="8" w:color="auto"/>
            </w:tcBorders>
          </w:tcPr>
          <w:p>
            <w:pPr>
              <w:ind w:left="60"/>
              <w:spacing w:after="0" w:line="148" w:lineRule="exact"/>
              <w:rPr>
                <w:sz w:val="20"/>
                <w:szCs w:val="20"/>
                <w:color w:val="auto"/>
              </w:rPr>
            </w:pPr>
            <w:r>
              <w:rPr>
                <w:rFonts w:ascii="Arial" w:cs="Arial" w:eastAsia="Arial" w:hAnsi="Arial"/>
                <w:sz w:val="16"/>
                <w:szCs w:val="16"/>
                <w:color w:val="auto"/>
              </w:rPr>
              <w:t>November 2016. Mr. Raymond is the founder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800" w:type="dxa"/>
            <w:vAlign w:val="bottom"/>
            <w:tcBorders>
              <w:right w:val="single" w:sz="8" w:color="auto"/>
            </w:tcBorders>
            <w:gridSpan w:val="8"/>
            <w:vMerge w:val="continue"/>
          </w:tcPr>
          <w:p>
            <w:pPr>
              <w:spacing w:after="0"/>
              <w:rPr>
                <w:sz w:val="14"/>
                <w:szCs w:val="14"/>
                <w:color w:val="auto"/>
              </w:rPr>
            </w:pPr>
          </w:p>
        </w:tc>
        <w:tc>
          <w:tcPr>
            <w:tcW w:w="4060" w:type="dxa"/>
            <w:vAlign w:val="bottom"/>
            <w:tcBorders>
              <w:right w:val="single" w:sz="8" w:color="auto"/>
            </w:tcBorders>
          </w:tcPr>
          <w:p>
            <w:pPr>
              <w:ind w:left="60"/>
              <w:spacing w:after="0" w:line="163" w:lineRule="exact"/>
              <w:rPr>
                <w:sz w:val="20"/>
                <w:szCs w:val="20"/>
                <w:color w:val="auto"/>
              </w:rPr>
            </w:pPr>
            <w:r>
              <w:rPr>
                <w:rFonts w:ascii="Arial" w:cs="Arial" w:eastAsia="Arial" w:hAnsi="Arial"/>
                <w:sz w:val="16"/>
                <w:szCs w:val="16"/>
                <w:color w:val="auto"/>
              </w:rPr>
              <w:t>majority owner of EMG, which is the management</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3"/>
        </w:trPr>
        <w:tc>
          <w:tcPr>
            <w:tcW w:w="1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tcBorders>
              <w:right w:val="single" w:sz="8" w:color="auto"/>
            </w:tcBorders>
            <w:gridSpan w:val="5"/>
            <w:vMerge w:val="restart"/>
          </w:tcPr>
          <w:p>
            <w:pPr>
              <w:jc w:val="center"/>
              <w:ind w:right="460"/>
              <w:spacing w:after="0"/>
              <w:rPr>
                <w:sz w:val="20"/>
                <w:szCs w:val="20"/>
                <w:color w:val="auto"/>
              </w:rPr>
            </w:pPr>
            <w:r>
              <w:rPr>
                <w:rFonts w:ascii="Arial" w:cs="Arial" w:eastAsia="Arial" w:hAnsi="Arial"/>
                <w:sz w:val="16"/>
                <w:szCs w:val="16"/>
                <w:b w:val="1"/>
                <w:bCs w:val="1"/>
                <w:i w:val="1"/>
                <w:iCs w:val="1"/>
                <w:color w:val="auto"/>
              </w:rPr>
              <w:t>since 2010</w:t>
            </w:r>
          </w:p>
        </w:tc>
        <w:tc>
          <w:tcPr>
            <w:tcW w:w="4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company for a series of specialized private equity</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right w:val="single" w:sz="8" w:color="auto"/>
            </w:tcBorders>
            <w:gridSpan w:val="5"/>
            <w:vMerge w:val="continue"/>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right w:val="single" w:sz="8" w:color="auto"/>
            </w:tcBorders>
            <w:gridSpan w:val="6"/>
            <w:vMerge w:val="restart"/>
          </w:tcPr>
          <w:p>
            <w:pPr>
              <w:jc w:val="center"/>
              <w:ind w:right="420"/>
              <w:spacing w:after="0"/>
              <w:rPr>
                <w:sz w:val="20"/>
                <w:szCs w:val="20"/>
                <w:color w:val="auto"/>
              </w:rPr>
            </w:pPr>
            <w:r>
              <w:rPr>
                <w:rFonts w:ascii="Arial" w:cs="Arial" w:eastAsia="Arial" w:hAnsi="Arial"/>
                <w:sz w:val="16"/>
                <w:szCs w:val="16"/>
                <w:b w:val="1"/>
                <w:bCs w:val="1"/>
                <w:color w:val="auto"/>
              </w:rPr>
              <w:t>Committees:</w:t>
            </w: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funds. EMG was founded in 2006 and focuses on</w:t>
            </w:r>
          </w:p>
        </w:tc>
        <w:tc>
          <w:tcPr>
            <w:tcW w:w="100" w:type="dxa"/>
            <w:vAlign w:val="bottom"/>
          </w:tcPr>
          <w:p>
            <w:pPr>
              <w:spacing w:after="0"/>
              <w:rPr>
                <w:sz w:val="15"/>
                <w:szCs w:val="15"/>
                <w:color w:val="auto"/>
              </w:rPr>
            </w:pPr>
          </w:p>
        </w:tc>
        <w:tc>
          <w:tcPr>
            <w:tcW w:w="1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68"/>
        </w:trPr>
        <w:tc>
          <w:tcPr>
            <w:tcW w:w="1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Borders>
              <w:right w:val="single" w:sz="8" w:color="auto"/>
            </w:tcBorders>
            <w:gridSpan w:val="6"/>
            <w:vMerge w:val="continue"/>
          </w:tcPr>
          <w:p>
            <w:pPr>
              <w:spacing w:after="0"/>
              <w:rPr>
                <w:sz w:val="5"/>
                <w:szCs w:val="5"/>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investing across various facets of the global natural</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6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87"/>
        </w:trPr>
        <w:tc>
          <w:tcPr>
            <w:tcW w:w="1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right w:val="single" w:sz="8" w:color="auto"/>
            </w:tcBorders>
            <w:gridSpan w:val="6"/>
          </w:tcPr>
          <w:p>
            <w:pPr>
              <w:jc w:val="center"/>
              <w:ind w:right="420"/>
              <w:spacing w:after="0" w:line="175" w:lineRule="exact"/>
              <w:rPr>
                <w:sz w:val="20"/>
                <w:szCs w:val="20"/>
                <w:color w:val="auto"/>
              </w:rPr>
            </w:pPr>
            <w:r>
              <w:rPr>
                <w:rFonts w:ascii="Arial" w:cs="Arial" w:eastAsia="Arial" w:hAnsi="Arial"/>
                <w:sz w:val="16"/>
                <w:szCs w:val="16"/>
                <w:color w:val="auto"/>
                <w:w w:val="98"/>
              </w:rPr>
              <w:t>Compensation</w:t>
            </w: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resource industry including the upstream and</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21"/>
        </w:trPr>
        <w:tc>
          <w:tcPr>
            <w:tcW w:w="1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Borders>
              <w:right w:val="single" w:sz="8" w:color="auto"/>
            </w:tcBorders>
            <w:gridSpan w:val="7"/>
            <w:vMerge w:val="restart"/>
          </w:tcPr>
          <w:p>
            <w:pPr>
              <w:jc w:val="center"/>
              <w:ind w:right="280"/>
              <w:spacing w:after="0"/>
              <w:rPr>
                <w:sz w:val="20"/>
                <w:szCs w:val="20"/>
                <w:color w:val="auto"/>
              </w:rPr>
            </w:pPr>
            <w:r>
              <w:rPr>
                <w:rFonts w:ascii="Arial" w:cs="Arial" w:eastAsia="Arial" w:hAnsi="Arial"/>
                <w:sz w:val="16"/>
                <w:szCs w:val="16"/>
                <w:color w:val="auto"/>
                <w:w w:val="99"/>
              </w:rPr>
              <w:t>Governance (chair)</w:t>
            </w: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midstream segments of the energy complex. As of</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Borders>
              <w:right w:val="single" w:sz="8" w:color="auto"/>
            </w:tcBorders>
            <w:gridSpan w:val="7"/>
            <w:vMerge w:val="continue"/>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right w:val="single" w:sz="8" w:color="auto"/>
            </w:tcBorders>
            <w:gridSpan w:val="7"/>
            <w:vMerge w:val="continue"/>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September 30, 2025, EMG had approximately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tcBorders>
          </w:tcPr>
          <w:p>
            <w:pPr>
              <w:spacing w:after="0"/>
              <w:rPr>
                <w:sz w:val="18"/>
                <w:szCs w:val="18"/>
                <w:color w:val="auto"/>
              </w:rPr>
            </w:pPr>
          </w:p>
        </w:tc>
        <w:tc>
          <w:tcPr>
            <w:tcW w:w="16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Other Current Public</w:t>
            </w:r>
          </w:p>
        </w:tc>
        <w:tc>
          <w:tcPr>
            <w:tcW w:w="16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$12 billion of assets under management. From 1998</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56"/>
        </w:trPr>
        <w:tc>
          <w:tcPr>
            <w:tcW w:w="1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6"/>
                <w:szCs w:val="16"/>
                <w:b w:val="1"/>
                <w:bCs w:val="1"/>
                <w:color w:val="auto"/>
                <w:w w:val="99"/>
              </w:rPr>
              <w:t>Company Boards</w:t>
            </w:r>
          </w:p>
        </w:tc>
        <w:tc>
          <w:tcPr>
            <w:tcW w:w="320" w:type="dxa"/>
            <w:vAlign w:val="bottom"/>
            <w:tcBorders>
              <w:right w:val="single" w:sz="8" w:color="auto"/>
            </w:tcBorders>
            <w:gridSpan w:val="2"/>
          </w:tcPr>
          <w:p>
            <w:pPr>
              <w:jc w:val="right"/>
              <w:ind w:right="260"/>
              <w:spacing w:after="0" w:line="155" w:lineRule="exact"/>
              <w:rPr>
                <w:sz w:val="20"/>
                <w:szCs w:val="20"/>
                <w:color w:val="auto"/>
              </w:rPr>
            </w:pPr>
            <w:r>
              <w:rPr>
                <w:rFonts w:ascii="Arial" w:cs="Arial" w:eastAsia="Arial" w:hAnsi="Arial"/>
                <w:sz w:val="16"/>
                <w:szCs w:val="16"/>
                <w:b w:val="1"/>
                <w:bCs w:val="1"/>
                <w:color w:val="auto"/>
                <w:w w:val="74"/>
              </w:rPr>
              <w:t>:</w:t>
            </w:r>
          </w:p>
        </w:tc>
        <w:tc>
          <w:tcPr>
            <w:tcW w:w="406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5"/>
                <w:szCs w:val="15"/>
                <w:color w:val="auto"/>
              </w:rPr>
              <w:t>until founding EMG, Mr. Raymond held various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right w:val="single" w:sz="8" w:color="auto"/>
            </w:tcBorders>
            <w:gridSpan w:val="3"/>
          </w:tcPr>
          <w:p>
            <w:pPr>
              <w:ind w:left="60"/>
              <w:spacing w:after="0" w:line="155" w:lineRule="exact"/>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14"/>
        </w:trPr>
        <w:tc>
          <w:tcPr>
            <w:tcW w:w="160" w:type="dxa"/>
            <w:vAlign w:val="bottom"/>
            <w:tcBorders>
              <w:left w:val="single" w:sz="8" w:color="auto"/>
            </w:tcBorders>
          </w:tcPr>
          <w:p>
            <w:pPr>
              <w:spacing w:after="0"/>
              <w:rPr>
                <w:sz w:val="9"/>
                <w:szCs w:val="9"/>
                <w:color w:val="auto"/>
              </w:rPr>
            </w:pPr>
          </w:p>
        </w:tc>
        <w:tc>
          <w:tcPr>
            <w:tcW w:w="1800" w:type="dxa"/>
            <w:vAlign w:val="bottom"/>
            <w:tcBorders>
              <w:right w:val="single" w:sz="8" w:color="auto"/>
            </w:tcBorders>
            <w:gridSpan w:val="8"/>
            <w:vMerge w:val="restart"/>
          </w:tcPr>
          <w:p>
            <w:pPr>
              <w:jc w:val="center"/>
              <w:ind w:right="100"/>
              <w:spacing w:after="0"/>
              <w:rPr>
                <w:sz w:val="20"/>
                <w:szCs w:val="20"/>
                <w:color w:val="auto"/>
              </w:rPr>
            </w:pPr>
            <w:r>
              <w:rPr>
                <w:rFonts w:ascii="Arial" w:cs="Arial" w:eastAsia="Arial" w:hAnsi="Arial"/>
                <w:sz w:val="16"/>
                <w:szCs w:val="16"/>
                <w:color w:val="auto"/>
                <w:w w:val="99"/>
              </w:rPr>
              <w:t>NGL Energy Holdings</w:t>
            </w:r>
          </w:p>
        </w:tc>
        <w:tc>
          <w:tcPr>
            <w:tcW w:w="406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color w:val="auto"/>
              </w:rPr>
              <w:t>executive leadership positions with several energy</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800" w:type="dxa"/>
            <w:vAlign w:val="bottom"/>
            <w:tcBorders>
              <w:right w:val="single" w:sz="8" w:color="auto"/>
            </w:tcBorders>
            <w:gridSpan w:val="8"/>
            <w:vMerge w:val="continue"/>
          </w:tcPr>
          <w:p>
            <w:pPr>
              <w:spacing w:after="0"/>
              <w:rPr>
                <w:sz w:val="15"/>
                <w:szCs w:val="15"/>
                <w:color w:val="auto"/>
              </w:rPr>
            </w:pPr>
          </w:p>
        </w:tc>
        <w:tc>
          <w:tcPr>
            <w:tcW w:w="40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6"/>
                <w:szCs w:val="16"/>
                <w:color w:val="auto"/>
              </w:rPr>
              <w:t>companies, including Plains Resources Inc. (the</w:t>
            </w:r>
          </w:p>
        </w:tc>
        <w:tc>
          <w:tcPr>
            <w:tcW w:w="10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right w:val="single" w:sz="8" w:color="auto"/>
            </w:tcBorders>
            <w:gridSpan w:val="5"/>
          </w:tcPr>
          <w:p>
            <w:pPr>
              <w:jc w:val="center"/>
              <w:ind w:right="460"/>
              <w:spacing w:after="0" w:line="175" w:lineRule="exact"/>
              <w:rPr>
                <w:sz w:val="20"/>
                <w:szCs w:val="20"/>
                <w:color w:val="auto"/>
              </w:rPr>
            </w:pPr>
            <w:r>
              <w:rPr>
                <w:rFonts w:ascii="Arial" w:cs="Arial" w:eastAsia="Arial" w:hAnsi="Arial"/>
                <w:sz w:val="16"/>
                <w:szCs w:val="16"/>
                <w:color w:val="auto"/>
              </w:rPr>
              <w:t>LLC</w:t>
            </w: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publicly traded predecessor company to Vulcan</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Energy), Plains Exploration and Production Company,</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Kinder Morgan, Inc. and Ocean Energy, Inc. From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16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1992 to 1998, he was a Vice President with Howard</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Weil Labouisse Friedrichs, Inc. Mr. Raymond has been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a direct or indirect owner of PAA’s general partner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since 2001 and served on the board of PAA’s general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partner from 2001 to 2005. He serves 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numerous other private company boards and currently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serves on the board of NGL Energy Holdings LLC,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general partner of NGL Energy Partners, L.P.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Freeman School of Business at Tulane University with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dual concentrations in finance and accounting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currently sits on the board of the Business School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Council. He also serves as a director on the board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the American Heart Association, as a member of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MD Anderson Cancer Center Board of Visitors, UT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Medicine Executive Advisory Board and is a former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member of YPO. We believe that Mr. Raymond’s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experience with investment in and management of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variety of upstream and midstream assets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 provides a valuable resource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Borders>
              <w:right w:val="single" w:sz="8" w:color="auto"/>
            </w:tcBorders>
            <w:gridSpan w:val="5"/>
          </w:tcPr>
          <w:p>
            <w:pPr>
              <w:jc w:val="center"/>
              <w:ind w:right="460"/>
              <w:spacing w:after="0" w:line="169" w:lineRule="exact"/>
              <w:rPr>
                <w:sz w:val="20"/>
                <w:szCs w:val="20"/>
                <w:color w:val="auto"/>
              </w:rPr>
            </w:pPr>
            <w:r>
              <w:rPr>
                <w:rFonts w:ascii="Arial" w:cs="Arial" w:eastAsia="Arial" w:hAnsi="Arial"/>
                <w:sz w:val="16"/>
                <w:szCs w:val="16"/>
                <w:b w:val="1"/>
                <w:bCs w:val="1"/>
                <w:color w:val="auto"/>
              </w:rPr>
              <w:t>BOBBY S.</w:t>
            </w:r>
          </w:p>
        </w:tc>
        <w:tc>
          <w:tcPr>
            <w:tcW w:w="406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i w:val="1"/>
                <w:iCs w:val="1"/>
                <w:color w:val="auto"/>
              </w:rPr>
              <w:t>Bobby S. Shackouls, age 75</w:t>
            </w:r>
            <w:r>
              <w:rPr>
                <w:rFonts w:ascii="Arial" w:cs="Arial" w:eastAsia="Arial" w:hAnsi="Arial"/>
                <w:sz w:val="16"/>
                <w:szCs w:val="16"/>
                <w:color w:val="auto"/>
              </w:rPr>
              <w:t>, has served as a director</w:t>
            </w:r>
          </w:p>
        </w:tc>
        <w:tc>
          <w:tcPr>
            <w:tcW w:w="100" w:type="dxa"/>
            <w:vAlign w:val="bottom"/>
          </w:tcPr>
          <w:p>
            <w:pPr>
              <w:spacing w:after="0"/>
              <w:rPr>
                <w:sz w:val="14"/>
                <w:szCs w:val="14"/>
                <w:color w:val="auto"/>
              </w:rPr>
            </w:pPr>
          </w:p>
        </w:tc>
        <w:tc>
          <w:tcPr>
            <w:tcW w:w="210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1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right w:val="single" w:sz="8" w:color="auto"/>
            </w:tcBorders>
            <w:gridSpan w:val="6"/>
          </w:tcPr>
          <w:p>
            <w:pPr>
              <w:jc w:val="center"/>
              <w:ind w:right="420"/>
              <w:spacing w:after="0" w:line="155" w:lineRule="exact"/>
              <w:rPr>
                <w:sz w:val="20"/>
                <w:szCs w:val="20"/>
                <w:color w:val="auto"/>
              </w:rPr>
            </w:pPr>
            <w:r>
              <w:rPr>
                <w:rFonts w:ascii="Arial" w:cs="Arial" w:eastAsia="Arial" w:hAnsi="Arial"/>
                <w:sz w:val="16"/>
                <w:szCs w:val="16"/>
                <w:b w:val="1"/>
                <w:bCs w:val="1"/>
                <w:color w:val="auto"/>
              </w:rPr>
              <w:t>SHACKOULS</w:t>
            </w:r>
          </w:p>
        </w:tc>
        <w:tc>
          <w:tcPr>
            <w:tcW w:w="40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of PAGP GP since January 2014 and served as Lead</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4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Borders>
              <w:right w:val="single" w:sz="8" w:color="auto"/>
            </w:tcBorders>
            <w:gridSpan w:val="5"/>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Director from January 2020 until June 2025.</w:t>
            </w:r>
          </w:p>
        </w:tc>
        <w:tc>
          <w:tcPr>
            <w:tcW w:w="10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2"/>
        </w:trPr>
        <w:tc>
          <w:tcPr>
            <w:tcW w:w="1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Borders>
              <w:right w:val="single" w:sz="8" w:color="auto"/>
            </w:tcBorders>
            <w:gridSpan w:val="5"/>
            <w:vMerge w:val="continue"/>
          </w:tcPr>
          <w:p>
            <w:pPr>
              <w:spacing w:after="0"/>
              <w:rPr>
                <w:sz w:val="10"/>
                <w:szCs w:val="10"/>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Mr. Shackouls served as Chairman of Burlington</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160" w:type="dxa"/>
            <w:vAlign w:val="bottom"/>
            <w:tcBorders>
              <w:left w:val="single" w:sz="8" w:color="auto"/>
            </w:tcBorders>
          </w:tcPr>
          <w:p>
            <w:pPr>
              <w:spacing w:after="0"/>
              <w:rPr>
                <w:sz w:val="13"/>
                <w:szCs w:val="13"/>
                <w:color w:val="auto"/>
              </w:rPr>
            </w:pPr>
          </w:p>
        </w:tc>
        <w:tc>
          <w:tcPr>
            <w:tcW w:w="1800" w:type="dxa"/>
            <w:vAlign w:val="bottom"/>
            <w:tcBorders>
              <w:right w:val="single" w:sz="8" w:color="auto"/>
            </w:tcBorders>
            <w:gridSpan w:val="8"/>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Resources Inc. from 1997 until its acquisition by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60" w:type="dxa"/>
            <w:vAlign w:val="bottom"/>
            <w:tcBorders>
              <w:left w:val="single" w:sz="8" w:color="auto"/>
            </w:tcBorders>
          </w:tcPr>
          <w:p>
            <w:pPr>
              <w:spacing w:after="0"/>
              <w:rPr>
                <w:sz w:val="3"/>
                <w:szCs w:val="3"/>
                <w:color w:val="auto"/>
              </w:rPr>
            </w:pPr>
          </w:p>
        </w:tc>
        <w:tc>
          <w:tcPr>
            <w:tcW w:w="1800" w:type="dxa"/>
            <w:vAlign w:val="bottom"/>
            <w:tcBorders>
              <w:right w:val="single" w:sz="8" w:color="auto"/>
            </w:tcBorders>
            <w:gridSpan w:val="8"/>
            <w:vMerge w:val="continue"/>
          </w:tcPr>
          <w:p>
            <w:pPr>
              <w:spacing w:after="0"/>
              <w:rPr>
                <w:sz w:val="3"/>
                <w:szCs w:val="3"/>
                <w:color w:val="auto"/>
              </w:rPr>
            </w:pPr>
          </w:p>
        </w:tc>
        <w:tc>
          <w:tcPr>
            <w:tcW w:w="40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right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i w:val="1"/>
                <w:iCs w:val="1"/>
                <w:color w:val="auto"/>
              </w:rPr>
              <w:t>since 2010</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ConocoPhillips in 2006, and he continued to serve on</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1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60" w:type="dxa"/>
            <w:vAlign w:val="bottom"/>
            <w:tcBorders>
              <w:right w:val="single" w:sz="8" w:color="auto"/>
            </w:tcBorders>
          </w:tcPr>
          <w:p>
            <w:pPr>
              <w:ind w:left="60"/>
              <w:spacing w:after="0" w:line="121" w:lineRule="exact"/>
              <w:rPr>
                <w:sz w:val="20"/>
                <w:szCs w:val="20"/>
                <w:color w:val="auto"/>
              </w:rPr>
            </w:pPr>
            <w:r>
              <w:rPr>
                <w:rFonts w:ascii="Arial" w:cs="Arial" w:eastAsia="Arial" w:hAnsi="Arial"/>
                <w:sz w:val="14"/>
                <w:szCs w:val="14"/>
                <w:color w:val="auto"/>
              </w:rPr>
              <w:t>the ConocoPhillips Board of Directors until his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60" w:type="dxa"/>
            <w:vAlign w:val="bottom"/>
            <w:tcBorders>
              <w:right w:val="single" w:sz="8" w:color="auto"/>
            </w:tcBorders>
            <w:gridSpan w:val="4"/>
          </w:tcPr>
          <w:p>
            <w:pPr>
              <w:spacing w:after="0"/>
              <w:rPr>
                <w:sz w:val="13"/>
                <w:szCs w:val="13"/>
                <w:color w:val="auto"/>
              </w:rPr>
            </w:pPr>
          </w:p>
        </w:tc>
        <w:tc>
          <w:tcPr>
            <w:tcW w:w="40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retirement in May 2011. Prior thereto, Mr. Shackouls</w:t>
            </w:r>
          </w:p>
        </w:tc>
        <w:tc>
          <w:tcPr>
            <w:tcW w:w="1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line="15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800" w:type="dxa"/>
            <w:vAlign w:val="bottom"/>
            <w:tcBorders>
              <w:right w:val="single" w:sz="8" w:color="auto"/>
            </w:tcBorders>
            <w:gridSpan w:val="8"/>
            <w:vMerge w:val="restart"/>
          </w:tcPr>
          <w:p>
            <w:pPr>
              <w:jc w:val="center"/>
              <w:ind w:right="120"/>
              <w:spacing w:after="0"/>
              <w:rPr>
                <w:sz w:val="20"/>
                <w:szCs w:val="20"/>
                <w:color w:val="auto"/>
              </w:rPr>
            </w:pPr>
            <w:r>
              <w:rPr>
                <w:rFonts w:ascii="Arial" w:cs="Arial" w:eastAsia="Arial" w:hAnsi="Arial"/>
                <w:sz w:val="16"/>
                <w:szCs w:val="16"/>
                <w:color w:val="auto"/>
                <w:w w:val="99"/>
              </w:rPr>
              <w:t>Compensation (chair)</w:t>
            </w: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served as President and Chief Executive Officer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right w:val="single" w:sz="8" w:color="auto"/>
            </w:tcBorders>
            <w:gridSpan w:val="3"/>
          </w:tcPr>
          <w:p>
            <w:pPr>
              <w:ind w:left="6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160" w:type="dxa"/>
            <w:vAlign w:val="bottom"/>
            <w:tcBorders>
              <w:left w:val="single" w:sz="8" w:color="auto"/>
            </w:tcBorders>
          </w:tcPr>
          <w:p>
            <w:pPr>
              <w:spacing w:after="0"/>
              <w:rPr>
                <w:sz w:val="9"/>
                <w:szCs w:val="9"/>
                <w:color w:val="auto"/>
              </w:rPr>
            </w:pPr>
          </w:p>
        </w:tc>
        <w:tc>
          <w:tcPr>
            <w:tcW w:w="1800" w:type="dxa"/>
            <w:vAlign w:val="bottom"/>
            <w:tcBorders>
              <w:right w:val="single" w:sz="8" w:color="auto"/>
            </w:tcBorders>
            <w:gridSpan w:val="8"/>
            <w:vMerge w:val="continue"/>
          </w:tcPr>
          <w:p>
            <w:pPr>
              <w:spacing w:after="0"/>
              <w:rPr>
                <w:sz w:val="9"/>
                <w:szCs w:val="9"/>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Meridian Oil, Inc., a wholly owned subsidiary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21"/>
        </w:trPr>
        <w:tc>
          <w:tcPr>
            <w:tcW w:w="16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Borders>
              <w:right w:val="single" w:sz="8" w:color="auto"/>
            </w:tcBorders>
            <w:gridSpan w:val="5"/>
            <w:vMerge w:val="restart"/>
          </w:tcPr>
          <w:p>
            <w:pPr>
              <w:jc w:val="center"/>
              <w:ind w:right="460"/>
              <w:spacing w:after="0" w:line="175" w:lineRule="exact"/>
              <w:rPr>
                <w:sz w:val="20"/>
                <w:szCs w:val="20"/>
                <w:color w:val="auto"/>
              </w:rPr>
            </w:pPr>
            <w:r>
              <w:rPr>
                <w:rFonts w:ascii="Arial" w:cs="Arial" w:eastAsia="Arial" w:hAnsi="Arial"/>
                <w:sz w:val="16"/>
                <w:szCs w:val="16"/>
                <w:color w:val="auto"/>
                <w:w w:val="98"/>
              </w:rPr>
              <w:t>Governance</w:t>
            </w: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Burlington Resources, from 1994 to 1995, and 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tcBorders>
              <w:right w:val="single" w:sz="8" w:color="auto"/>
            </w:tcBorders>
            <w:gridSpan w:val="5"/>
            <w:vMerge w:val="continue"/>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President and Chief Executive Officer of Burlington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Resources from 1995 until 2006. Mr. Shackouls served</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1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as a director of The Kroger Co. from 1999 until</w:t>
            </w: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1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vMerge w:val="restart"/>
          </w:tcPr>
          <w:p>
            <w:pPr>
              <w:ind w:left="60"/>
              <w:spacing w:after="0" w:line="175" w:lineRule="exact"/>
              <w:rPr>
                <w:sz w:val="20"/>
                <w:szCs w:val="20"/>
                <w:color w:val="auto"/>
              </w:rPr>
            </w:pPr>
            <w:r>
              <w:rPr>
                <w:rFonts w:ascii="Arial" w:cs="Arial" w:eastAsia="Arial" w:hAnsi="Arial"/>
                <w:sz w:val="16"/>
                <w:szCs w:val="16"/>
                <w:color w:val="auto"/>
              </w:rPr>
              <w:t>January 2021, as a director of Oasis Petroleum from</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6"/>
                <w:szCs w:val="16"/>
                <w:color w:val="auto"/>
              </w:rPr>
              <w:t>2012 until November 2020, and as a director of</w:t>
            </w:r>
          </w:p>
        </w:tc>
        <w:tc>
          <w:tcPr>
            <w:tcW w:w="10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6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Quintana Energy Services from January 2019 until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July 2020. He served as a director and member of the</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audit committee of PNGS GP LLC, the general partner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of PAA Natural Gas Storage, L.P., from April 2010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through December 2013. We believe that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Mr. Shackouls’ extensive experience within the energy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industry offers valuable perspective and, in tandem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with his long history of leadership as the CEO of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public company, make him highly qualified to serve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 member of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jc w:val="both"/>
        <w:ind w:left="1260" w:right="660" w:firstLine="360"/>
        <w:spacing w:after="0" w:line="261"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00" w:type="dxa"/>
            <w:vAlign w:val="bottom"/>
            <w:tcBorders>
              <w:left w:val="single" w:sz="8" w:color="424E6A"/>
            </w:tcBorders>
            <w:shd w:val="clear" w:color="auto" w:fill="424E6A"/>
          </w:tcPr>
          <w:p>
            <w:pPr>
              <w:spacing w:after="0"/>
              <w:rPr>
                <w:sz w:val="17"/>
                <w:szCs w:val="17"/>
                <w:color w:val="auto"/>
              </w:rPr>
            </w:pPr>
          </w:p>
        </w:tc>
        <w:tc>
          <w:tcPr>
            <w:tcW w:w="540" w:type="dxa"/>
            <w:vAlign w:val="bottom"/>
            <w:tcBorders>
              <w:right w:val="single" w:sz="8" w:color="424E6A"/>
            </w:tcBorders>
            <w:shd w:val="clear" w:color="auto" w:fill="424E6A"/>
          </w:tcPr>
          <w:p>
            <w:pPr>
              <w:spacing w:after="0"/>
              <w:rPr>
                <w:sz w:val="17"/>
                <w:szCs w:val="17"/>
                <w:color w:val="auto"/>
              </w:rPr>
            </w:pPr>
          </w:p>
        </w:tc>
        <w:tc>
          <w:tcPr>
            <w:tcW w:w="880" w:type="dxa"/>
            <w:vAlign w:val="bottom"/>
            <w:shd w:val="clear" w:color="auto" w:fill="424E6A"/>
          </w:tcPr>
          <w:p>
            <w:pPr>
              <w:jc w:val="center"/>
              <w:ind w:left="183"/>
              <w:spacing w:after="0"/>
              <w:rPr>
                <w:sz w:val="20"/>
                <w:szCs w:val="20"/>
                <w:color w:val="auto"/>
              </w:rPr>
            </w:pPr>
            <w:r>
              <w:rPr>
                <w:rFonts w:ascii="Arial" w:cs="Arial" w:eastAsia="Arial" w:hAnsi="Arial"/>
                <w:sz w:val="14"/>
                <w:szCs w:val="14"/>
                <w:b w:val="1"/>
                <w:bCs w:val="1"/>
                <w:color w:val="FFFFFF"/>
                <w:w w:val="98"/>
              </w:rPr>
              <w:t>Age</w:t>
            </w: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5020" w:type="dxa"/>
            <w:vAlign w:val="bottom"/>
            <w:tcBorders>
              <w:right w:val="single" w:sz="8" w:color="424E6A"/>
            </w:tcBorders>
            <w:shd w:val="clear" w:color="auto" w:fill="424E6A"/>
          </w:tcPr>
          <w:p>
            <w:pPr>
              <w:spacing w:after="0"/>
              <w:rPr>
                <w:sz w:val="17"/>
                <w:szCs w:val="17"/>
                <w:color w:val="auto"/>
              </w:rPr>
            </w:pPr>
          </w:p>
        </w:tc>
      </w:tr>
      <w:tr>
        <w:trPr>
          <w:trHeight w:val="198"/>
        </w:trPr>
        <w:tc>
          <w:tcPr>
            <w:tcW w:w="20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820" w:type="dxa"/>
            <w:vAlign w:val="bottom"/>
            <w:gridSpan w:val="4"/>
            <w:shd w:val="clear" w:color="auto" w:fill="424E6A"/>
          </w:tcPr>
          <w:p>
            <w:pPr>
              <w:ind w:left="4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(as of 3/23/26) </w:t>
            </w:r>
            <w:r>
              <w:rPr>
                <w:rFonts w:ascii="Arial" w:cs="Arial" w:eastAsia="Arial" w:hAnsi="Arial"/>
                <w:sz w:val="22"/>
                <w:szCs w:val="22"/>
                <w:b w:val="1"/>
                <w:bCs w:val="1"/>
                <w:color w:val="FFFFFF"/>
                <w:vertAlign w:val="subscript"/>
              </w:rPr>
              <w:t>​ ​</w:t>
            </w:r>
          </w:p>
        </w:tc>
        <w:tc>
          <w:tcPr>
            <w:tcW w:w="5020" w:type="dxa"/>
            <w:vAlign w:val="bottom"/>
            <w:tcBorders>
              <w:right w:val="single" w:sz="8" w:color="424E6A"/>
            </w:tcBorders>
            <w:shd w:val="clear" w:color="auto" w:fill="424E6A"/>
          </w:tcPr>
          <w:p>
            <w:pPr>
              <w:ind w:left="218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540" w:type="dxa"/>
            <w:vAlign w:val="bottom"/>
            <w:tcBorders>
              <w:bottom w:val="single" w:sz="8" w:color="424E6A"/>
              <w:right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jc w:val="center"/>
              <w:ind w:left="20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65</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2"/>
                <w:szCs w:val="22"/>
                <w:color w:val="auto"/>
              </w:rPr>
            </w:pPr>
          </w:p>
        </w:tc>
        <w:tc>
          <w:tcPr>
            <w:tcW w:w="50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50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Richard K. McGee</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65</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50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Chris R. Chandler</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50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L. Goebel</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50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Chris Herbold</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53</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50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hanging="36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Biographical information for Mr. Chiang is located under Proposal 1 — Election of Class I Directors.</w:t>
      </w:r>
    </w:p>
    <w:p>
      <w:pPr>
        <w:spacing w:after="0" w:line="158" w:lineRule="exact"/>
        <w:rPr>
          <w:sz w:val="20"/>
          <w:szCs w:val="20"/>
          <w:color w:val="auto"/>
        </w:rPr>
      </w:pPr>
    </w:p>
    <w:p>
      <w:pPr>
        <w:ind w:left="1260" w:right="620" w:firstLine="360"/>
        <w:spacing w:after="0" w:line="258"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03" w:lineRule="exact"/>
        <w:rPr>
          <w:sz w:val="20"/>
          <w:szCs w:val="20"/>
          <w:color w:val="auto"/>
        </w:rPr>
      </w:pPr>
    </w:p>
    <w:p>
      <w:pPr>
        <w:ind w:left="1260" w:right="760" w:firstLine="360"/>
        <w:spacing w:after="0" w:line="245"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ind w:left="1260" w:right="620"/>
        <w:spacing w:after="0" w:line="242"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5" w:lineRule="exact"/>
        <w:rPr>
          <w:sz w:val="20"/>
          <w:szCs w:val="20"/>
          <w:color w:val="auto"/>
        </w:rPr>
      </w:pPr>
    </w:p>
    <w:p>
      <w:pPr>
        <w:ind w:left="1260" w:right="640" w:firstLine="360"/>
        <w:spacing w:after="0" w:line="246"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30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08" w:lineRule="exact"/>
        <w:rPr>
          <w:sz w:val="20"/>
          <w:szCs w:val="20"/>
          <w:color w:val="auto"/>
        </w:rPr>
      </w:pPr>
    </w:p>
    <w:p>
      <w:pPr>
        <w:ind w:left="1260" w:right="1060" w:firstLine="360"/>
        <w:spacing w:after="0" w:line="282" w:lineRule="auto"/>
        <w:rPr>
          <w:sz w:val="20"/>
          <w:szCs w:val="20"/>
          <w:color w:val="auto"/>
        </w:rPr>
      </w:pPr>
      <w:r>
        <w:rPr>
          <w:rFonts w:ascii="Arial" w:cs="Arial" w:eastAsia="Arial" w:hAnsi="Arial"/>
          <w:sz w:val="17"/>
          <w:szCs w:val="17"/>
          <w:i w:val="1"/>
          <w:iCs w:val="1"/>
          <w:color w:val="auto"/>
        </w:rPr>
        <w:t xml:space="preserve">Jeremy L. Goebel </w:t>
      </w:r>
      <w:r>
        <w:rPr>
          <w:rFonts w:ascii="Arial" w:cs="Arial" w:eastAsia="Arial" w:hAnsi="Arial"/>
          <w:sz w:val="17"/>
          <w:szCs w:val="17"/>
          <w:color w:val="auto"/>
        </w:rPr>
        <w:t>has served as Executive Vice President and Chief Commercial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25 years of energy and investment banking experience. Mr. Goebel also serves as Executive Vice President and Chief Commercial Officer of PAGP GP.</w:t>
      </w:r>
    </w:p>
    <w:p>
      <w:pPr>
        <w:spacing w:after="0" w:line="115" w:lineRule="exact"/>
        <w:rPr>
          <w:sz w:val="20"/>
          <w:szCs w:val="20"/>
          <w:color w:val="auto"/>
        </w:rPr>
      </w:pPr>
    </w:p>
    <w:p>
      <w:pPr>
        <w:jc w:val="both"/>
        <w:ind w:left="1260" w:right="61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18"/>
          <w:szCs w:val="18"/>
          <w:i w:val="1"/>
          <w:iCs w:val="1"/>
          <w:color w:val="auto"/>
        </w:rPr>
        <w:t>Chair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Victor Burk</w:t>
      </w: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John T. Raymond</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r>
        <w:rPr>
          <w:rFonts w:ascii="Arial" w:cs="Arial" w:eastAsia="Arial" w:hAnsi="Arial"/>
          <w:sz w:val="26"/>
          <w:szCs w:val="26"/>
          <w:b w:val="1"/>
          <w:bCs w:val="1"/>
          <w:color w:val="auto"/>
          <w:vertAlign w:val="superscript"/>
        </w:rPr>
        <w:t>1</w:t>
      </w:r>
    </w:p>
    <w:p>
      <w:pPr>
        <w:spacing w:after="0" w:line="115"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For 2025, our Named Executive Officers (sometimes referred to as “NEOs”) include our CEO and President, our CFO, and the three most highly compensated executive officers (other than our CEO and CFO). Our NEOs for 2025 include the following individuals:</w:t>
      </w:r>
    </w:p>
    <w:p>
      <w:pPr>
        <w:spacing w:after="0" w:line="95"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4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1760" w:type="dxa"/>
            <w:vAlign w:val="bottom"/>
            <w:gridSpan w:val="2"/>
            <w:shd w:val="clear" w:color="auto" w:fill="424E6A"/>
          </w:tcPr>
          <w:p>
            <w:pPr>
              <w:ind w:left="680"/>
              <w:spacing w:after="0"/>
              <w:rPr>
                <w:sz w:val="20"/>
                <w:szCs w:val="20"/>
                <w:color w:val="auto"/>
              </w:rPr>
            </w:pPr>
            <w:r>
              <w:rPr>
                <w:rFonts w:ascii="Arial" w:cs="Arial" w:eastAsia="Arial" w:hAnsi="Arial"/>
                <w:sz w:val="14"/>
                <w:szCs w:val="14"/>
                <w:b w:val="1"/>
                <w:bCs w:val="1"/>
                <w:color w:val="FFFFFF"/>
              </w:rPr>
              <w:t>​ ​</w:t>
            </w:r>
          </w:p>
        </w:tc>
        <w:tc>
          <w:tcPr>
            <w:tcW w:w="2980" w:type="dxa"/>
            <w:vAlign w:val="bottom"/>
            <w:shd w:val="clear" w:color="auto" w:fill="424E6A"/>
          </w:tcPr>
          <w:p>
            <w:pPr>
              <w:ind w:left="940"/>
              <w:spacing w:after="0"/>
              <w:rPr>
                <w:sz w:val="20"/>
                <w:szCs w:val="20"/>
                <w:color w:val="auto"/>
              </w:rPr>
            </w:pPr>
            <w:r>
              <w:rPr>
                <w:rFonts w:ascii="Arial" w:cs="Arial" w:eastAsia="Arial" w:hAnsi="Arial"/>
                <w:sz w:val="14"/>
                <w:szCs w:val="14"/>
                <w:b w:val="1"/>
                <w:bCs w:val="1"/>
                <w:color w:val="FFFFFF"/>
              </w:rPr>
              <w:t>Title</w:t>
            </w:r>
          </w:p>
        </w:tc>
        <w:tc>
          <w:tcPr>
            <w:tcW w:w="2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r>
      <w:tr>
        <w:trPr>
          <w:trHeight w:val="256"/>
        </w:trPr>
        <w:tc>
          <w:tcPr>
            <w:tcW w:w="246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Chief Executive Officer and President</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80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80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2025 Executive Compensation Highlights</w:t>
      </w:r>
    </w:p>
    <w:p>
      <w:pPr>
        <w:spacing w:after="0" w:line="15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discussion set forth below in this Compensation Discussion and Analysis describes our current approach to executive compensation and elaborates upon the various actions taken and adjustments made with respect to our executive compensation program for 2025. Highlights include:</w:t>
      </w:r>
    </w:p>
    <w:p>
      <w:pPr>
        <w:spacing w:after="0" w:line="74" w:lineRule="exact"/>
        <w:rPr>
          <w:sz w:val="20"/>
          <w:szCs w:val="20"/>
          <w:color w:val="auto"/>
        </w:rPr>
      </w:pPr>
    </w:p>
    <w:p>
      <w:pPr>
        <w:ind w:left="1800" w:right="699" w:hanging="180"/>
        <w:spacing w:after="0" w:line="255"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Annual Compensation Elements: </w:t>
      </w:r>
      <w:r>
        <w:rPr>
          <w:rFonts w:ascii="Arial" w:cs="Arial" w:eastAsia="Arial" w:hAnsi="Arial"/>
          <w:sz w:val="18"/>
          <w:szCs w:val="18"/>
          <w:color w:val="auto"/>
        </w:rPr>
        <w:t>Following its annual review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2025, the Compensation Committee approved adjustments to NEO base salaries to support retention and maintain competitive positioning relative to peers, taking updated market data and individual considerations into account. Additionally, the annual LTIP target (as</w:t>
      </w:r>
    </w:p>
    <w:p>
      <w:pPr>
        <w:spacing w:after="0" w:line="2" w:lineRule="exact"/>
        <w:rPr>
          <w:rFonts w:ascii="Arial" w:cs="Arial" w:eastAsia="Arial" w:hAnsi="Arial"/>
          <w:sz w:val="18"/>
          <w:szCs w:val="18"/>
          <w:color w:val="auto"/>
        </w:rPr>
      </w:pPr>
    </w:p>
    <w:p>
      <w:pPr>
        <w:ind w:left="1800" w:right="599"/>
        <w:spacing w:after="0" w:line="266" w:lineRule="auto"/>
        <w:rPr>
          <w:rFonts w:ascii="Arial" w:cs="Arial" w:eastAsia="Arial" w:hAnsi="Arial"/>
          <w:sz w:val="18"/>
          <w:szCs w:val="18"/>
          <w:color w:val="auto"/>
        </w:rPr>
      </w:pPr>
      <w:r>
        <w:rPr>
          <w:rFonts w:ascii="Arial" w:cs="Arial" w:eastAsia="Arial" w:hAnsi="Arial"/>
          <w:sz w:val="18"/>
          <w:szCs w:val="18"/>
          <w:color w:val="auto"/>
        </w:rPr>
        <w:t>a percentage of base salary) for Mr. Chiang was increased. Additional information regarding our annual compensation elements is described below.</w:t>
      </w:r>
    </w:p>
    <w:p>
      <w:pPr>
        <w:spacing w:after="0" w:line="49" w:lineRule="exact"/>
        <w:rPr>
          <w:rFonts w:ascii="Arial" w:cs="Arial" w:eastAsia="Arial" w:hAnsi="Arial"/>
          <w:sz w:val="18"/>
          <w:szCs w:val="18"/>
          <w:color w:val="auto"/>
        </w:rPr>
      </w:pPr>
    </w:p>
    <w:p>
      <w:pPr>
        <w:jc w:val="both"/>
        <w:ind w:left="1800" w:right="499" w:hanging="180"/>
        <w:spacing w:after="0" w:line="262"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Considering PAA’s strong performance on HSE metrics and management’s very</w:t>
      </w:r>
      <w:r>
        <w:rPr>
          <w:rFonts w:ascii="Arial" w:cs="Arial" w:eastAsia="Arial" w:hAnsi="Arial"/>
          <w:sz w:val="18"/>
          <w:szCs w:val="18"/>
          <w:b w:val="1"/>
          <w:bCs w:val="1"/>
          <w:color w:val="auto"/>
        </w:rPr>
        <w:t xml:space="preserve"> </w:t>
      </w:r>
      <w:r>
        <w:rPr>
          <w:rFonts w:ascii="Arial" w:cs="Arial" w:eastAsia="Arial" w:hAnsi="Arial"/>
          <w:sz w:val="18"/>
          <w:szCs w:val="18"/>
          <w:color w:val="auto"/>
        </w:rPr>
        <w:t>strong performance with respect to strategic positioning for 2026 during a challenging year, NEO bonuses paid out at 131% of target. Additional information regarding our 2025 bonus program is described below.</w:t>
      </w:r>
    </w:p>
    <w:p>
      <w:pPr>
        <w:spacing w:after="0" w:line="68" w:lineRule="exact"/>
        <w:rPr>
          <w:rFonts w:ascii="Arial" w:cs="Arial" w:eastAsia="Arial" w:hAnsi="Arial"/>
          <w:sz w:val="18"/>
          <w:szCs w:val="18"/>
          <w:color w:val="auto"/>
        </w:rPr>
      </w:pPr>
    </w:p>
    <w:p>
      <w:pPr>
        <w:ind w:left="1800" w:right="459" w:hanging="180"/>
        <w:spacing w:after="0" w:line="282" w:lineRule="auto"/>
        <w:tabs>
          <w:tab w:leader="none" w:pos="1800"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Long-Term Incentive Matters: </w:t>
      </w:r>
      <w:r>
        <w:rPr>
          <w:rFonts w:ascii="Arial" w:cs="Arial" w:eastAsia="Arial" w:hAnsi="Arial"/>
          <w:sz w:val="17"/>
          <w:szCs w:val="17"/>
          <w:color w:val="auto"/>
        </w:rPr>
        <w:t>Time-based and performance-based long-term incentive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in 2022 vested (became payable 1 for 1 in PAA common units) in August 2025. Taking all vesting criteria into account, the 2022 grants paid out at 127.5% of target. Consistent with our annual practice, in August 2025 we granted long-term equity incentive awards to our NEOs,</w:t>
      </w:r>
    </w:p>
    <w:p>
      <w:pPr>
        <w:spacing w:after="0" w:line="207" w:lineRule="exact"/>
        <w:rPr>
          <w:rFonts w:ascii="Arial" w:cs="Arial" w:eastAsia="Arial" w:hAnsi="Arial"/>
          <w:sz w:val="17"/>
          <w:szCs w:val="17"/>
          <w:color w:val="auto"/>
        </w:rPr>
      </w:pPr>
    </w:p>
    <w:p>
      <w:pPr>
        <w:ind w:left="1620" w:right="499" w:hanging="360"/>
        <w:spacing w:after="0" w:line="238" w:lineRule="auto"/>
        <w:rPr>
          <w:rFonts w:ascii="Arial" w:cs="Arial" w:eastAsia="Arial" w:hAnsi="Arial"/>
          <w:sz w:val="17"/>
          <w:szCs w:val="17"/>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related to their services performed on behalf of PAA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-925830</wp:posOffset>
            </wp:positionV>
            <wp:extent cx="123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99"/>
        <w:spacing w:after="0" w:line="254" w:lineRule="auto"/>
        <w:rPr>
          <w:sz w:val="20"/>
          <w:szCs w:val="20"/>
          <w:color w:val="auto"/>
        </w:rPr>
      </w:pPr>
      <w:r>
        <w:rPr>
          <w:rFonts w:ascii="Arial" w:cs="Arial" w:eastAsia="Arial" w:hAnsi="Arial"/>
          <w:sz w:val="18"/>
          <w:szCs w:val="18"/>
          <w:color w:val="auto"/>
        </w:rPr>
        <w:t>50% of which are time-based and 50% of which are performance-based with vesting based on Total Shareholder Return (“TSR”) and Distributable Cash Flow per common unit equivalent (“DCF/CUE”) results measured over a cumulative three-year performance period. In addition, to support the retention of our CEO for up to five more years, continued execution of key strategic initiatives and the development of potential successors, we extended the expiration date of our CEO’s promotional grant originally awarded in 2018. Lastly, to provide incremental retention incentive to remain with Plains to drive key initiatives and support long-term succession planning, we granted special retention long-term incentive awards to two of our NEOs who are proven leaders and critical to the future leadership and success of Plains. Additional information regarding our long-term incentive awards is described below.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56"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tcBorders>
            <w:shd w:val="clear" w:color="auto" w:fill="424E6A"/>
          </w:tcPr>
          <w:p>
            <w:pPr>
              <w:ind w:left="1620"/>
              <w:spacing w:after="0"/>
              <w:rPr>
                <w:sz w:val="20"/>
                <w:szCs w:val="20"/>
                <w:color w:val="auto"/>
              </w:rPr>
            </w:pPr>
            <w:r>
              <w:rPr>
                <w:rFonts w:ascii="Arial" w:cs="Arial" w:eastAsia="Arial" w:hAnsi="Arial"/>
                <w:sz w:val="14"/>
                <w:szCs w:val="14"/>
                <w:b w:val="1"/>
                <w:bCs w:val="1"/>
                <w:color w:val="FFFFFF"/>
              </w:rPr>
              <w:t>What We Do</w:t>
            </w:r>
          </w:p>
        </w:tc>
        <w:tc>
          <w:tcPr>
            <w:tcW w:w="420" w:type="dxa"/>
            <w:vAlign w:val="bottom"/>
            <w:tcBorders>
              <w:top w:val="single" w:sz="8" w:color="auto"/>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3840" w:type="dxa"/>
            <w:vAlign w:val="bottom"/>
            <w:tcBorders>
              <w:top w:val="single" w:sz="8" w:color="auto"/>
              <w:right w:val="single" w:sz="8" w:color="auto"/>
            </w:tcBorders>
            <w:shd w:val="clear" w:color="auto" w:fill="424E6A"/>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31"/>
        </w:trPr>
        <w:tc>
          <w:tcPr>
            <w:tcW w:w="3960" w:type="dxa"/>
            <w:vAlign w:val="bottom"/>
            <w:tcBorders>
              <w:top w:val="single" w:sz="8" w:color="424E6A"/>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emphasize pay for performance</w:t>
            </w:r>
          </w:p>
        </w:tc>
        <w:tc>
          <w:tcPr>
            <w:tcW w:w="160" w:type="dxa"/>
            <w:vAlign w:val="bottom"/>
            <w:tcBorders>
              <w:top w:val="single" w:sz="8" w:color="424E6A"/>
              <w:right w:val="single" w:sz="8" w:color="auto"/>
            </w:tcBorders>
          </w:tcPr>
          <w:p>
            <w:pPr>
              <w:spacing w:after="0"/>
              <w:rPr>
                <w:sz w:val="20"/>
                <w:szCs w:val="20"/>
                <w:color w:val="auto"/>
              </w:rPr>
            </w:pPr>
          </w:p>
        </w:tc>
        <w:tc>
          <w:tcPr>
            <w:tcW w:w="260" w:type="dxa"/>
            <w:vAlign w:val="bottom"/>
            <w:tcBorders>
              <w:top w:val="single" w:sz="8" w:color="424E6A"/>
            </w:tcBorders>
          </w:tcPr>
          <w:p>
            <w:pPr>
              <w:spacing w:after="0"/>
              <w:rPr>
                <w:sz w:val="20"/>
                <w:szCs w:val="20"/>
                <w:color w:val="auto"/>
              </w:rPr>
            </w:pPr>
          </w:p>
        </w:tc>
        <w:tc>
          <w:tcPr>
            <w:tcW w:w="3840" w:type="dxa"/>
            <w:vAlign w:val="bottom"/>
            <w:tcBorders>
              <w:top w:val="single" w:sz="8" w:color="424E6A"/>
              <w:right w:val="single" w:sz="8" w:color="auto"/>
            </w:tcBorders>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83"/>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 80% of target NEO compensation is</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variable and/or at risk</w:t>
            </w: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annual bonus program is 100%</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39"/>
        </w:trPr>
        <w:tc>
          <w:tcPr>
            <w:tcW w:w="3960" w:type="dxa"/>
            <w:vAlign w:val="bottom"/>
            <w:tcBorders>
              <w:left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149"/>
        </w:trPr>
        <w:tc>
          <w:tcPr>
            <w:tcW w:w="3960" w:type="dxa"/>
            <w:vAlign w:val="bottom"/>
            <w:tcBorders>
              <w:left w:val="single" w:sz="8" w:color="auto"/>
            </w:tcBorders>
            <w:vMerge w:val="restart"/>
          </w:tcPr>
          <w:p>
            <w:pPr>
              <w:ind w:left="420"/>
              <w:spacing w:after="0"/>
              <w:rPr>
                <w:sz w:val="20"/>
                <w:szCs w:val="20"/>
                <w:color w:val="auto"/>
              </w:rPr>
            </w:pPr>
            <w:r>
              <w:rPr>
                <w:rFonts w:ascii="Arial" w:cs="Arial" w:eastAsia="Arial" w:hAnsi="Arial"/>
                <w:sz w:val="18"/>
                <w:szCs w:val="18"/>
                <w:color w:val="auto"/>
              </w:rPr>
              <w:t>performance based with payout based on a</w:t>
            </w: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60" w:type="dxa"/>
            <w:vAlign w:val="bottom"/>
            <w:tcBorders>
              <w:left w:val="single" w:sz="8" w:color="auto"/>
            </w:tcBorders>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71"/>
        </w:trPr>
        <w:tc>
          <w:tcPr>
            <w:tcW w:w="3960" w:type="dxa"/>
            <w:vAlign w:val="bottom"/>
            <w:tcBorders>
              <w:left w:val="single" w:sz="8" w:color="auto"/>
            </w:tcBorders>
            <w:vMerge w:val="restart"/>
          </w:tcPr>
          <w:p>
            <w:pPr>
              <w:ind w:left="420"/>
              <w:spacing w:after="0"/>
              <w:rPr>
                <w:sz w:val="20"/>
                <w:szCs w:val="20"/>
                <w:color w:val="auto"/>
              </w:rPr>
            </w:pPr>
            <w:r>
              <w:rPr>
                <w:rFonts w:ascii="Arial" w:cs="Arial" w:eastAsia="Arial" w:hAnsi="Arial"/>
                <w:sz w:val="18"/>
                <w:szCs w:val="18"/>
                <w:color w:val="auto"/>
              </w:rPr>
              <w:t>formulaic framework</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960" w:type="dxa"/>
            <w:vAlign w:val="bottom"/>
            <w:tcBorders>
              <w:left w:val="single" w:sz="8" w:color="auto"/>
            </w:tcBorders>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07"/>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NEO long-term equity incentives are</w:t>
            </w:r>
          </w:p>
        </w:tc>
        <w:tc>
          <w:tcPr>
            <w:tcW w:w="1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60" w:type="dxa"/>
            <w:vAlign w:val="bottom"/>
            <w:tcBorders>
              <w:left w:val="single" w:sz="8" w:color="auto"/>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ind w:left="180"/>
              <w:spacing w:after="0" w:line="181" w:lineRule="exact"/>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170"/>
        </w:trPr>
        <w:tc>
          <w:tcPr>
            <w:tcW w:w="3960" w:type="dxa"/>
            <w:vAlign w:val="bottom"/>
            <w:tcBorders>
              <w:left w:val="single" w:sz="8" w:color="auto"/>
            </w:tcBorders>
          </w:tcPr>
          <w:p>
            <w:pPr>
              <w:ind w:left="420"/>
              <w:spacing w:after="0" w:line="170" w:lineRule="exact"/>
              <w:rPr>
                <w:sz w:val="20"/>
                <w:szCs w:val="20"/>
                <w:color w:val="auto"/>
              </w:rPr>
            </w:pPr>
            <w:r>
              <w:rPr>
                <w:rFonts w:ascii="Arial" w:cs="Arial" w:eastAsia="Arial" w:hAnsi="Arial"/>
                <w:sz w:val="18"/>
                <w:szCs w:val="18"/>
                <w:color w:val="auto"/>
              </w:rPr>
              <w:t>performance based, requiring performance</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181"/>
        </w:trPr>
        <w:tc>
          <w:tcPr>
            <w:tcW w:w="3960" w:type="dxa"/>
            <w:vAlign w:val="bottom"/>
            <w:tcBorders>
              <w:left w:val="single" w:sz="8" w:color="auto"/>
            </w:tcBorders>
          </w:tcPr>
          <w:p>
            <w:pPr>
              <w:ind w:left="420"/>
              <w:spacing w:after="0" w:line="181" w:lineRule="exact"/>
              <w:rPr>
                <w:sz w:val="20"/>
                <w:szCs w:val="20"/>
                <w:color w:val="auto"/>
              </w:rPr>
            </w:pPr>
            <w:r>
              <w:rPr>
                <w:rFonts w:ascii="Arial" w:cs="Arial" w:eastAsia="Arial" w:hAnsi="Arial"/>
                <w:sz w:val="18"/>
                <w:szCs w:val="18"/>
                <w:color w:val="auto"/>
              </w:rPr>
              <w:t>over a multi-year period</w:t>
            </w: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Compensation program design mitigates</w:t>
            </w: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181"/>
        </w:trPr>
        <w:tc>
          <w:tcPr>
            <w:tcW w:w="3960" w:type="dxa"/>
            <w:vAlign w:val="bottom"/>
            <w:tcBorders>
              <w:left w:val="single" w:sz="8" w:color="auto"/>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ind w:left="180"/>
              <w:spacing w:after="0" w:line="181" w:lineRule="exact"/>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against excessive risk taking</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Regular investor engagement on</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compensation and other matters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Equity Ownership Guidelines for executive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officers and directors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Clawback Policy that applies to incentive-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based and other compensation</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96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-3205480</wp:posOffset>
            </wp:positionV>
            <wp:extent cx="5212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-3188335</wp:posOffset>
            </wp:positionV>
            <wp:extent cx="60325" cy="60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-2982595</wp:posOffset>
            </wp:positionV>
            <wp:extent cx="6032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-2811145</wp:posOffset>
            </wp:positionV>
            <wp:extent cx="6032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-2477135</wp:posOffset>
            </wp:positionV>
            <wp:extent cx="6032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-2142490</wp:posOffset>
            </wp:positionV>
            <wp:extent cx="60325" cy="603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-1816735</wp:posOffset>
            </wp:positionV>
            <wp:extent cx="60325" cy="603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56" w:lineRule="exact"/>
        <w:rPr>
          <w:sz w:val="20"/>
          <w:szCs w:val="20"/>
          <w:color w:val="auto"/>
        </w:rPr>
      </w:pPr>
    </w:p>
    <w:p>
      <w:pPr>
        <w:ind w:left="1260" w:firstLine="360"/>
        <w:spacing w:after="0" w:line="254" w:lineRule="auto"/>
        <w:rPr>
          <w:sz w:val="20"/>
          <w:szCs w:val="20"/>
          <w:color w:val="auto"/>
        </w:rPr>
      </w:pPr>
      <w:r>
        <w:rPr>
          <w:rFonts w:ascii="Arial" w:cs="Arial" w:eastAsia="Arial" w:hAnsi="Arial"/>
          <w:sz w:val="18"/>
          <w:szCs w:val="18"/>
          <w:color w:val="auto"/>
        </w:rPr>
        <w:t>At our last annual meeting, approximately 98% of our voting equity holders approved our executive compensation program. Our holders have approved our executive compensation program every year for the last five years with an average approval rate of approximately 98%. Although these “say on pay” votes are advisory and non-binding, our Compensation Committee and Board value the opinions of our unitholders and consider the results of say on pay votes as well as direct feedback received from investors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679" w:hanging="99"/>
        <w:spacing w:after="0" w:line="284" w:lineRule="auto"/>
        <w:rPr>
          <w:sz w:val="20"/>
          <w:szCs w:val="20"/>
          <w:color w:val="auto"/>
        </w:rPr>
      </w:pPr>
      <w:r>
        <w:rPr>
          <w:rFonts w:ascii="Arial" w:cs="Arial" w:eastAsia="Arial" w:hAnsi="Arial"/>
          <w:sz w:val="28"/>
          <w:szCs w:val="28"/>
          <w:b w:val="1"/>
          <w:bCs w:val="1"/>
          <w:color w:val="auto"/>
        </w:rPr>
        <w:t>~98% Say on Pay Support at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-892175</wp:posOffset>
            </wp:positionV>
            <wp:extent cx="1783080" cy="1045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1045845"/>
                    </a:xfrm>
                    <a:prstGeom prst="rect">
                      <a:avLst/>
                    </a:prstGeom>
                    <a:noFill/>
                  </pic:spPr>
                </pic:pic>
              </a:graphicData>
            </a:graphic>
          </wp:anchor>
        </w:drawing>
      </w:r>
    </w:p>
    <w:p>
      <w:pPr>
        <w:spacing w:after="0" w:line="965" w:lineRule="exact"/>
        <w:rPr>
          <w:sz w:val="20"/>
          <w:szCs w:val="20"/>
          <w:color w:val="auto"/>
        </w:rPr>
      </w:pPr>
    </w:p>
    <w:p>
      <w:pPr>
        <w:sectPr>
          <w:pgSz w:w="11900" w:h="16838" w:orient="portrait"/>
          <w:cols w:equalWidth="0" w:num="2">
            <w:col w:w="6380" w:space="560"/>
            <w:col w:w="2939"/>
          </w:cols>
          <w:pgMar w:left="580" w:top="97"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7"/>
          <w:szCs w:val="17"/>
          <w:color w:val="auto"/>
        </w:rPr>
        <w:t>Our investor relations team and members of our senior 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governance practices. As we strive for continuous improvement, we believe that this feedback loop is critical to maintaining a compensation program and structure that aligns the interests of our executive officers with the interests of our investors.</w:t>
      </w:r>
    </w:p>
    <w:p>
      <w:pPr>
        <w:spacing w:after="0" w:line="98"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8"/>
          <w:szCs w:val="18"/>
          <w:color w:val="auto"/>
        </w:rPr>
        <w:t>Overall, the design of our 2025 executive compensation program did not materially change relative to 2024. The Compensation Committee and our management team are constantly reviewing the design of our programs to ensure that they remain aligned with investor interests and evolving best practices. We will continue to seek direct input from our investors as part of that process.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6"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Our executive compensation philosophy is grounded in a long-term pay for performance culture designed to attract and retain key management talent in a competitive industry and market. Our program combines a lower percentage of base pay with a higher percentage of variable, at-risk compensation opportunities based on objective and transparent performance requirements. As demonstrated in the graphic below, in 2025, at target, approximately 92% of our CEO’s compensation and approximately 84%, on average, of our other NEOs’ compensation consisted of at-risk compensation.</w:t>
      </w:r>
    </w:p>
    <w:p>
      <w:pPr>
        <w:spacing w:after="0" w:line="14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120650</wp:posOffset>
            </wp:positionV>
            <wp:extent cx="4149090" cy="263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4909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Adjusted EBITDA attributable to PAA</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and distributable cash flow (“DCF”) per common unit and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maintaining financial flexibility and generating attractive shareholder returns.</w:t>
      </w:r>
    </w:p>
    <w:p>
      <w:pPr>
        <w:spacing w:after="0" w:line="113" w:lineRule="exact"/>
        <w:rPr>
          <w:sz w:val="20"/>
          <w:szCs w:val="20"/>
          <w:color w:val="auto"/>
        </w:rPr>
      </w:pPr>
    </w:p>
    <w:p>
      <w:pPr>
        <w:jc w:val="both"/>
        <w:ind w:left="1260" w:right="499" w:firstLine="360"/>
        <w:spacing w:after="0" w:line="268"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76" w:lineRule="exact"/>
        <w:rPr>
          <w:sz w:val="20"/>
          <w:szCs w:val="20"/>
          <w:color w:val="auto"/>
        </w:rPr>
      </w:pPr>
    </w:p>
    <w:p>
      <w:pPr>
        <w:ind w:left="1800" w:right="619" w:hanging="180"/>
        <w:spacing w:after="0" w:line="28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58" w:lineRule="exact"/>
        <w:rPr>
          <w:rFonts w:ascii="Arial" w:cs="Arial" w:eastAsia="Arial" w:hAnsi="Arial"/>
          <w:sz w:val="18"/>
          <w:szCs w:val="18"/>
          <w:color w:val="auto"/>
        </w:rPr>
      </w:pPr>
    </w:p>
    <w:p>
      <w:pPr>
        <w:ind w:left="1800" w:right="519" w:hanging="180"/>
        <w:spacing w:after="0" w:line="268"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(57% for the CEO and 54% on average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NEOs) to achievement of specific near-term and long-term goals that drive long-term growth in unitholder value; and</w:t>
      </w:r>
    </w:p>
    <w:p>
      <w:pPr>
        <w:spacing w:after="0" w:line="89"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equity incentives and encouragement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4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We use three primary elements of compensation in combination with market competitive benefits to achieve our executive compensation program objectives — (i) base salary, (ii) annual cash incentive awards and (iii) long-term equity incentive awards. Our mix of compensation elements is designed to reinforce near-term and long-term business and strategic objectives, recognize and reward performance, motivate long-term value creation, attract and retain talent and align the interests of our executives with those of our equity holders. The following table sets forth the key elements of our 2025 executive compensation program:</w:t>
      </w:r>
    </w:p>
    <w:p>
      <w:pPr>
        <w:spacing w:after="0" w:line="73"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180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200" w:type="dxa"/>
            <w:vAlign w:val="bottom"/>
            <w:tcBorders>
              <w:top w:val="single" w:sz="8" w:color="auto"/>
              <w:bottom w:val="single" w:sz="8" w:color="auto"/>
            </w:tcBorders>
            <w:gridSpan w:val="3"/>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2400" w:type="dxa"/>
            <w:vAlign w:val="bottom"/>
            <w:tcBorders>
              <w:top w:val="single" w:sz="8" w:color="auto"/>
              <w:bottom w:val="single" w:sz="8" w:color="auto"/>
            </w:tcBorders>
            <w:shd w:val="clear" w:color="auto" w:fill="424E6A"/>
          </w:tcPr>
          <w:p>
            <w:pPr>
              <w:ind w:left="720"/>
              <w:spacing w:after="0"/>
              <w:rPr>
                <w:sz w:val="20"/>
                <w:szCs w:val="20"/>
                <w:color w:val="auto"/>
              </w:rPr>
            </w:pPr>
            <w:r>
              <w:rPr>
                <w:rFonts w:ascii="Arial" w:cs="Arial" w:eastAsia="Arial" w:hAnsi="Arial"/>
                <w:sz w:val="14"/>
                <w:szCs w:val="14"/>
                <w:b w:val="1"/>
                <w:bCs w:val="1"/>
                <w:color w:val="FFFFFF"/>
              </w:rPr>
              <w:t>Why We Pay It</w:t>
            </w:r>
          </w:p>
        </w:tc>
        <w:tc>
          <w:tcPr>
            <w:tcW w:w="300" w:type="dxa"/>
            <w:vAlign w:val="bottom"/>
            <w:tcBorders>
              <w:top w:val="single" w:sz="8" w:color="auto"/>
              <w:bottom w:val="single" w:sz="8" w:color="auto"/>
            </w:tcBorders>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3520" w:type="dxa"/>
            <w:vAlign w:val="bottom"/>
            <w:tcBorders>
              <w:top w:val="single" w:sz="8" w:color="auto"/>
              <w:bottom w:val="single" w:sz="8" w:color="auto"/>
              <w:right w:val="single" w:sz="8" w:color="auto"/>
            </w:tcBorders>
            <w:shd w:val="clear" w:color="auto" w:fill="424E6A"/>
          </w:tcPr>
          <w:p>
            <w:pPr>
              <w:ind w:left="122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41"/>
        </w:trPr>
        <w:tc>
          <w:tcPr>
            <w:tcW w:w="180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Base Salary</w:t>
            </w:r>
          </w:p>
        </w:tc>
        <w:tc>
          <w:tcPr>
            <w:tcW w:w="120" w:type="dxa"/>
            <w:vAlign w:val="bottom"/>
            <w:tcBorders>
              <w:right w:val="single" w:sz="8" w:color="auto"/>
            </w:tcBorders>
            <w:shd w:val="clear" w:color="auto" w:fill="D9DCE1"/>
          </w:tcPr>
          <w:p>
            <w:pPr>
              <w:spacing w:after="0"/>
              <w:rPr>
                <w:sz w:val="20"/>
                <w:szCs w:val="20"/>
                <w:color w:val="auto"/>
              </w:rPr>
            </w:pPr>
          </w:p>
        </w:tc>
        <w:tc>
          <w:tcPr>
            <w:tcW w:w="20" w:type="dxa"/>
            <w:vAlign w:val="bottom"/>
            <w:shd w:val="clear" w:color="auto" w:fill="D9DCE1"/>
          </w:tcPr>
          <w:p>
            <w:pPr>
              <w:spacing w:after="0"/>
              <w:rPr>
                <w:sz w:val="20"/>
                <w:szCs w:val="20"/>
                <w:color w:val="auto"/>
              </w:rPr>
            </w:pPr>
          </w:p>
        </w:tc>
        <w:tc>
          <w:tcPr>
            <w:tcW w:w="60" w:type="dxa"/>
            <w:vAlign w:val="bottom"/>
            <w:shd w:val="clear" w:color="auto" w:fill="D9DCE1"/>
          </w:tcPr>
          <w:p>
            <w:pPr>
              <w:spacing w:after="0"/>
              <w:rPr>
                <w:sz w:val="20"/>
                <w:szCs w:val="20"/>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rPr>
              <w:t>Attract and retain high-</w:t>
            </w:r>
          </w:p>
        </w:tc>
        <w:tc>
          <w:tcPr>
            <w:tcW w:w="100" w:type="dxa"/>
            <w:vAlign w:val="bottom"/>
            <w:tcBorders>
              <w:right w:val="single" w:sz="8" w:color="auto"/>
            </w:tcBorders>
            <w:shd w:val="clear" w:color="auto" w:fill="D9DCE1"/>
          </w:tcPr>
          <w:p>
            <w:pPr>
              <w:spacing w:after="0"/>
              <w:rPr>
                <w:sz w:val="20"/>
                <w:szCs w:val="20"/>
                <w:color w:val="auto"/>
              </w:rPr>
            </w:pPr>
          </w:p>
        </w:tc>
        <w:tc>
          <w:tcPr>
            <w:tcW w:w="200" w:type="dxa"/>
            <w:vAlign w:val="bottom"/>
            <w:shd w:val="clear" w:color="auto" w:fill="D9DCE1"/>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Foundational element of our compensation</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tcBorders>
            <w:shd w:val="clear" w:color="auto" w:fill="D9DCE1"/>
          </w:tcPr>
          <w:p>
            <w:pPr>
              <w:spacing w:after="0"/>
              <w:rPr>
                <w:sz w:val="17"/>
                <w:szCs w:val="17"/>
                <w:color w:val="auto"/>
              </w:rPr>
            </w:pPr>
          </w:p>
        </w:tc>
        <w:tc>
          <w:tcPr>
            <w:tcW w:w="120" w:type="dxa"/>
            <w:vAlign w:val="bottom"/>
            <w:tcBorders>
              <w:right w:val="single" w:sz="8" w:color="auto"/>
            </w:tcBorders>
            <w:shd w:val="clear" w:color="auto" w:fill="D9DCE1"/>
          </w:tcPr>
          <w:p>
            <w:pPr>
              <w:spacing w:after="0"/>
              <w:rPr>
                <w:sz w:val="17"/>
                <w:szCs w:val="17"/>
                <w:color w:val="auto"/>
              </w:rPr>
            </w:pPr>
          </w:p>
        </w:tc>
        <w:tc>
          <w:tcPr>
            <w:tcW w:w="20" w:type="dxa"/>
            <w:vAlign w:val="bottom"/>
            <w:shd w:val="clear" w:color="auto" w:fill="D9DCE1"/>
          </w:tcPr>
          <w:p>
            <w:pPr>
              <w:spacing w:after="0"/>
              <w:rPr>
                <w:sz w:val="17"/>
                <w:szCs w:val="17"/>
                <w:color w:val="auto"/>
              </w:rPr>
            </w:pPr>
          </w:p>
        </w:tc>
        <w:tc>
          <w:tcPr>
            <w:tcW w:w="60" w:type="dxa"/>
            <w:vAlign w:val="bottom"/>
            <w:shd w:val="clear" w:color="auto" w:fill="D9DCE1"/>
          </w:tcPr>
          <w:p>
            <w:pPr>
              <w:spacing w:after="0"/>
              <w:rPr>
                <w:sz w:val="17"/>
                <w:szCs w:val="17"/>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rPr>
              <w:t>performing executives by</w:t>
            </w: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program; short-term and long-term incentive</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tcBorders>
            <w:shd w:val="clear" w:color="auto" w:fill="D9DCE1"/>
          </w:tcPr>
          <w:p>
            <w:pPr>
              <w:spacing w:after="0"/>
              <w:rPr>
                <w:sz w:val="17"/>
                <w:szCs w:val="17"/>
                <w:color w:val="auto"/>
              </w:rPr>
            </w:pPr>
          </w:p>
        </w:tc>
        <w:tc>
          <w:tcPr>
            <w:tcW w:w="120" w:type="dxa"/>
            <w:vAlign w:val="bottom"/>
            <w:tcBorders>
              <w:right w:val="single" w:sz="8" w:color="auto"/>
            </w:tcBorders>
            <w:shd w:val="clear" w:color="auto" w:fill="D9DCE1"/>
          </w:tcPr>
          <w:p>
            <w:pPr>
              <w:spacing w:after="0"/>
              <w:rPr>
                <w:sz w:val="17"/>
                <w:szCs w:val="17"/>
                <w:color w:val="auto"/>
              </w:rPr>
            </w:pPr>
          </w:p>
        </w:tc>
        <w:tc>
          <w:tcPr>
            <w:tcW w:w="20" w:type="dxa"/>
            <w:vAlign w:val="bottom"/>
            <w:shd w:val="clear" w:color="auto" w:fill="D9DCE1"/>
          </w:tcPr>
          <w:p>
            <w:pPr>
              <w:spacing w:after="0"/>
              <w:rPr>
                <w:sz w:val="17"/>
                <w:szCs w:val="17"/>
                <w:color w:val="auto"/>
              </w:rPr>
            </w:pPr>
          </w:p>
        </w:tc>
        <w:tc>
          <w:tcPr>
            <w:tcW w:w="60" w:type="dxa"/>
            <w:vAlign w:val="bottom"/>
            <w:shd w:val="clear" w:color="auto" w:fill="D9DCE1"/>
          </w:tcPr>
          <w:p>
            <w:pPr>
              <w:spacing w:after="0"/>
              <w:rPr>
                <w:sz w:val="17"/>
                <w:szCs w:val="17"/>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rPr>
              <w:t>providing a secure and</w:t>
            </w: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compensation components are based on</w:t>
            </w:r>
          </w:p>
        </w:tc>
        <w:tc>
          <w:tcPr>
            <w:tcW w:w="0" w:type="dxa"/>
            <w:vAlign w:val="bottom"/>
          </w:tcPr>
          <w:p>
            <w:pPr>
              <w:spacing w:after="0"/>
              <w:rPr>
                <w:sz w:val="1"/>
                <w:szCs w:val="1"/>
                <w:color w:val="auto"/>
              </w:rPr>
            </w:pPr>
          </w:p>
        </w:tc>
      </w:tr>
      <w:tr>
        <w:trPr>
          <w:trHeight w:val="225"/>
        </w:trPr>
        <w:tc>
          <w:tcPr>
            <w:tcW w:w="1800" w:type="dxa"/>
            <w:vAlign w:val="bottom"/>
            <w:tcBorders>
              <w:left w:val="single" w:sz="8" w:color="auto"/>
            </w:tcBorders>
            <w:shd w:val="clear" w:color="auto" w:fill="D9DCE1"/>
          </w:tcPr>
          <w:p>
            <w:pPr>
              <w:spacing w:after="0"/>
              <w:rPr>
                <w:sz w:val="19"/>
                <w:szCs w:val="19"/>
                <w:color w:val="auto"/>
              </w:rPr>
            </w:pPr>
          </w:p>
        </w:tc>
        <w:tc>
          <w:tcPr>
            <w:tcW w:w="120" w:type="dxa"/>
            <w:vAlign w:val="bottom"/>
            <w:tcBorders>
              <w:right w:val="single" w:sz="8" w:color="auto"/>
            </w:tcBorders>
            <w:shd w:val="clear" w:color="auto" w:fill="D9DCE1"/>
          </w:tcPr>
          <w:p>
            <w:pPr>
              <w:spacing w:after="0"/>
              <w:rPr>
                <w:sz w:val="19"/>
                <w:szCs w:val="19"/>
                <w:color w:val="auto"/>
              </w:rPr>
            </w:pPr>
          </w:p>
        </w:tc>
        <w:tc>
          <w:tcPr>
            <w:tcW w:w="20" w:type="dxa"/>
            <w:vAlign w:val="bottom"/>
            <w:shd w:val="clear" w:color="auto" w:fill="D9DCE1"/>
          </w:tcPr>
          <w:p>
            <w:pPr>
              <w:spacing w:after="0"/>
              <w:rPr>
                <w:sz w:val="19"/>
                <w:szCs w:val="19"/>
                <w:color w:val="auto"/>
              </w:rPr>
            </w:pPr>
          </w:p>
        </w:tc>
        <w:tc>
          <w:tcPr>
            <w:tcW w:w="60" w:type="dxa"/>
            <w:vAlign w:val="bottom"/>
            <w:shd w:val="clear" w:color="auto" w:fill="D9DCE1"/>
          </w:tcPr>
          <w:p>
            <w:pPr>
              <w:spacing w:after="0"/>
              <w:rPr>
                <w:sz w:val="19"/>
                <w:szCs w:val="19"/>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w w:val="99"/>
              </w:rPr>
              <w:t>appropriate level of base salary</w:t>
            </w:r>
          </w:p>
        </w:tc>
        <w:tc>
          <w:tcPr>
            <w:tcW w:w="100" w:type="dxa"/>
            <w:vAlign w:val="bottom"/>
            <w:tcBorders>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a percentage of base salary</w:t>
            </w:r>
          </w:p>
        </w:tc>
        <w:tc>
          <w:tcPr>
            <w:tcW w:w="0" w:type="dxa"/>
            <w:vAlign w:val="bottom"/>
          </w:tcPr>
          <w:p>
            <w:pPr>
              <w:spacing w:after="0"/>
              <w:rPr>
                <w:sz w:val="1"/>
                <w:szCs w:val="1"/>
                <w:color w:val="auto"/>
              </w:rPr>
            </w:pPr>
          </w:p>
        </w:tc>
      </w:tr>
      <w:tr>
        <w:trPr>
          <w:trHeight w:val="329"/>
        </w:trPr>
        <w:tc>
          <w:tcPr>
            <w:tcW w:w="1800" w:type="dxa"/>
            <w:vAlign w:val="bottom"/>
            <w:tcBorders>
              <w:left w:val="single" w:sz="8" w:color="auto"/>
            </w:tcBorders>
            <w:shd w:val="clear" w:color="auto" w:fill="D9DCE1"/>
          </w:tcPr>
          <w:p>
            <w:pPr>
              <w:spacing w:after="0"/>
              <w:rPr>
                <w:sz w:val="24"/>
                <w:szCs w:val="24"/>
                <w:color w:val="auto"/>
              </w:rPr>
            </w:pPr>
          </w:p>
        </w:tc>
        <w:tc>
          <w:tcPr>
            <w:tcW w:w="120" w:type="dxa"/>
            <w:vAlign w:val="bottom"/>
            <w:tcBorders>
              <w:right w:val="single" w:sz="8" w:color="auto"/>
            </w:tcBorders>
            <w:shd w:val="clear" w:color="auto" w:fill="D9DCE1"/>
          </w:tcPr>
          <w:p>
            <w:pPr>
              <w:spacing w:after="0"/>
              <w:rPr>
                <w:sz w:val="24"/>
                <w:szCs w:val="24"/>
                <w:color w:val="auto"/>
              </w:rPr>
            </w:pPr>
          </w:p>
        </w:tc>
        <w:tc>
          <w:tcPr>
            <w:tcW w:w="20" w:type="dxa"/>
            <w:vAlign w:val="bottom"/>
            <w:shd w:val="clear" w:color="auto" w:fill="D9DCE1"/>
          </w:tcPr>
          <w:p>
            <w:pPr>
              <w:spacing w:after="0"/>
              <w:rPr>
                <w:sz w:val="24"/>
                <w:szCs w:val="24"/>
                <w:color w:val="auto"/>
              </w:rPr>
            </w:pPr>
          </w:p>
        </w:tc>
        <w:tc>
          <w:tcPr>
            <w:tcW w:w="60" w:type="dxa"/>
            <w:vAlign w:val="bottom"/>
            <w:shd w:val="clear" w:color="auto" w:fill="D9DCE1"/>
          </w:tcPr>
          <w:p>
            <w:pPr>
              <w:spacing w:after="0"/>
              <w:rPr>
                <w:sz w:val="24"/>
                <w:szCs w:val="24"/>
                <w:color w:val="auto"/>
              </w:rPr>
            </w:pPr>
          </w:p>
        </w:tc>
        <w:tc>
          <w:tcPr>
            <w:tcW w:w="2400" w:type="dxa"/>
            <w:vAlign w:val="bottom"/>
            <w:shd w:val="clear" w:color="auto" w:fill="D9DCE1"/>
          </w:tcPr>
          <w:p>
            <w:pPr>
              <w:spacing w:after="0"/>
              <w:rPr>
                <w:sz w:val="24"/>
                <w:szCs w:val="24"/>
                <w:color w:val="auto"/>
              </w:rPr>
            </w:pPr>
          </w:p>
        </w:tc>
        <w:tc>
          <w:tcPr>
            <w:tcW w:w="10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7"/>
                <w:szCs w:val="17"/>
                <w:color w:val="auto"/>
              </w:rPr>
              <w:t>• Subject to adjustment periodically based in</w:t>
            </w:r>
          </w:p>
        </w:tc>
        <w:tc>
          <w:tcPr>
            <w:tcW w:w="0" w:type="dxa"/>
            <w:vAlign w:val="bottom"/>
          </w:tcPr>
          <w:p>
            <w:pPr>
              <w:spacing w:after="0"/>
              <w:rPr>
                <w:sz w:val="1"/>
                <w:szCs w:val="1"/>
                <w:color w:val="auto"/>
              </w:rPr>
            </w:pPr>
          </w:p>
        </w:tc>
      </w:tr>
      <w:tr>
        <w:trPr>
          <w:trHeight w:val="225"/>
        </w:trPr>
        <w:tc>
          <w:tcPr>
            <w:tcW w:w="1800" w:type="dxa"/>
            <w:vAlign w:val="bottom"/>
            <w:tcBorders>
              <w:left w:val="single" w:sz="8" w:color="auto"/>
            </w:tcBorders>
            <w:shd w:val="clear" w:color="auto" w:fill="D9DCE1"/>
          </w:tcPr>
          <w:p>
            <w:pPr>
              <w:spacing w:after="0"/>
              <w:rPr>
                <w:sz w:val="19"/>
                <w:szCs w:val="19"/>
                <w:color w:val="auto"/>
              </w:rPr>
            </w:pPr>
          </w:p>
        </w:tc>
        <w:tc>
          <w:tcPr>
            <w:tcW w:w="120" w:type="dxa"/>
            <w:vAlign w:val="bottom"/>
            <w:tcBorders>
              <w:right w:val="single" w:sz="8" w:color="auto"/>
            </w:tcBorders>
            <w:shd w:val="clear" w:color="auto" w:fill="D9DCE1"/>
          </w:tcPr>
          <w:p>
            <w:pPr>
              <w:spacing w:after="0"/>
              <w:rPr>
                <w:sz w:val="19"/>
                <w:szCs w:val="19"/>
                <w:color w:val="auto"/>
              </w:rPr>
            </w:pPr>
          </w:p>
        </w:tc>
        <w:tc>
          <w:tcPr>
            <w:tcW w:w="20" w:type="dxa"/>
            <w:vAlign w:val="bottom"/>
            <w:shd w:val="clear" w:color="auto" w:fill="D9DCE1"/>
          </w:tcPr>
          <w:p>
            <w:pPr>
              <w:spacing w:after="0"/>
              <w:rPr>
                <w:sz w:val="19"/>
                <w:szCs w:val="19"/>
                <w:color w:val="auto"/>
              </w:rPr>
            </w:pPr>
          </w:p>
        </w:tc>
        <w:tc>
          <w:tcPr>
            <w:tcW w:w="60" w:type="dxa"/>
            <w:vAlign w:val="bottom"/>
            <w:shd w:val="clear" w:color="auto" w:fill="D9DCE1"/>
          </w:tcPr>
          <w:p>
            <w:pPr>
              <w:spacing w:after="0"/>
              <w:rPr>
                <w:sz w:val="19"/>
                <w:szCs w:val="19"/>
                <w:color w:val="auto"/>
              </w:rPr>
            </w:pPr>
          </w:p>
        </w:tc>
        <w:tc>
          <w:tcPr>
            <w:tcW w:w="2400" w:type="dxa"/>
            <w:vAlign w:val="bottom"/>
            <w:shd w:val="clear" w:color="auto" w:fill="D9DCE1"/>
          </w:tcPr>
          <w:p>
            <w:pPr>
              <w:spacing w:after="0"/>
              <w:rPr>
                <w:sz w:val="19"/>
                <w:szCs w:val="19"/>
                <w:color w:val="auto"/>
              </w:rPr>
            </w:pPr>
          </w:p>
        </w:tc>
        <w:tc>
          <w:tcPr>
            <w:tcW w:w="100" w:type="dxa"/>
            <w:vAlign w:val="bottom"/>
            <w:tcBorders>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part on competitive market data</w:t>
            </w:r>
          </w:p>
        </w:tc>
        <w:tc>
          <w:tcPr>
            <w:tcW w:w="0" w:type="dxa"/>
            <w:vAlign w:val="bottom"/>
          </w:tcPr>
          <w:p>
            <w:pPr>
              <w:spacing w:after="0"/>
              <w:rPr>
                <w:sz w:val="1"/>
                <w:szCs w:val="1"/>
                <w:color w:val="auto"/>
              </w:rPr>
            </w:pPr>
          </w:p>
        </w:tc>
      </w:tr>
      <w:tr>
        <w:trPr>
          <w:trHeight w:val="337"/>
        </w:trPr>
        <w:tc>
          <w:tcPr>
            <w:tcW w:w="1800" w:type="dxa"/>
            <w:vAlign w:val="bottom"/>
            <w:tcBorders>
              <w:left w:val="single" w:sz="8" w:color="auto"/>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spacing w:after="0"/>
              <w:rPr>
                <w:sz w:val="24"/>
                <w:szCs w:val="24"/>
                <w:color w:val="auto"/>
              </w:rPr>
            </w:pPr>
          </w:p>
        </w:tc>
        <w:tc>
          <w:tcPr>
            <w:tcW w:w="20" w:type="dxa"/>
            <w:vAlign w:val="bottom"/>
            <w:tcBorders>
              <w:bottom w:val="single" w:sz="8" w:color="auto"/>
            </w:tcBorders>
            <w:shd w:val="clear" w:color="auto" w:fill="D9DCE1"/>
          </w:tcPr>
          <w:p>
            <w:pPr>
              <w:spacing w:after="0"/>
              <w:rPr>
                <w:sz w:val="24"/>
                <w:szCs w:val="24"/>
                <w:color w:val="auto"/>
              </w:rPr>
            </w:pPr>
          </w:p>
        </w:tc>
        <w:tc>
          <w:tcPr>
            <w:tcW w:w="60" w:type="dxa"/>
            <w:vAlign w:val="bottom"/>
            <w:tcBorders>
              <w:bottom w:val="single" w:sz="8" w:color="auto"/>
            </w:tcBorders>
            <w:shd w:val="clear" w:color="auto" w:fill="D9DCE1"/>
          </w:tcPr>
          <w:p>
            <w:pPr>
              <w:spacing w:after="0"/>
              <w:rPr>
                <w:sz w:val="24"/>
                <w:szCs w:val="24"/>
                <w:color w:val="auto"/>
              </w:rPr>
            </w:pPr>
          </w:p>
        </w:tc>
        <w:tc>
          <w:tcPr>
            <w:tcW w:w="2400" w:type="dxa"/>
            <w:vAlign w:val="bottom"/>
            <w:tcBorders>
              <w:bottom w:val="single" w:sz="8" w:color="auto"/>
            </w:tcBorders>
            <w:shd w:val="clear" w:color="auto" w:fill="D9DCE1"/>
          </w:tcPr>
          <w:p>
            <w:pPr>
              <w:spacing w:after="0"/>
              <w:rPr>
                <w:sz w:val="24"/>
                <w:szCs w:val="24"/>
                <w:color w:val="auto"/>
              </w:rPr>
            </w:pPr>
          </w:p>
        </w:tc>
        <w:tc>
          <w:tcPr>
            <w:tcW w:w="100" w:type="dxa"/>
            <w:vAlign w:val="bottom"/>
            <w:tcBorders>
              <w:bottom w:val="single" w:sz="8" w:color="auto"/>
              <w:right w:val="single" w:sz="8" w:color="auto"/>
            </w:tcBorders>
            <w:shd w:val="clear" w:color="auto" w:fill="D9DCE1"/>
          </w:tcPr>
          <w:p>
            <w:pPr>
              <w:spacing w:after="0"/>
              <w:rPr>
                <w:sz w:val="24"/>
                <w:szCs w:val="24"/>
                <w:color w:val="auto"/>
              </w:rPr>
            </w:pPr>
          </w:p>
        </w:tc>
        <w:tc>
          <w:tcPr>
            <w:tcW w:w="20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Smallest component of NEO compensation</w:t>
            </w:r>
          </w:p>
        </w:tc>
        <w:tc>
          <w:tcPr>
            <w:tcW w:w="0" w:type="dxa"/>
            <w:vAlign w:val="bottom"/>
          </w:tcPr>
          <w:p>
            <w:pPr>
              <w:spacing w:after="0"/>
              <w:rPr>
                <w:sz w:val="1"/>
                <w:szCs w:val="1"/>
                <w:color w:val="auto"/>
              </w:rPr>
            </w:pPr>
          </w:p>
        </w:tc>
      </w:tr>
      <w:tr>
        <w:trPr>
          <w:trHeight w:val="241"/>
        </w:trPr>
        <w:tc>
          <w:tcPr>
            <w:tcW w:w="180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Annual Cash Incentive</w:t>
            </w:r>
          </w:p>
        </w:tc>
        <w:tc>
          <w:tcPr>
            <w:tcW w:w="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7"/>
                <w:szCs w:val="17"/>
                <w:color w:val="auto"/>
              </w:rPr>
              <w:t>Motivate and reward near-term</w:t>
            </w:r>
          </w:p>
        </w:tc>
        <w:tc>
          <w:tcPr>
            <w:tcW w:w="100" w:type="dxa"/>
            <w:vAlign w:val="bottom"/>
            <w:tcBorders>
              <w:right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100% performance based</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Awards</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Arial" w:cs="Arial" w:eastAsia="Arial" w:hAnsi="Arial"/>
                <w:sz w:val="17"/>
                <w:szCs w:val="17"/>
                <w:color w:val="auto"/>
              </w:rPr>
              <w:t>performance, strategic</w:t>
            </w:r>
          </w:p>
        </w:tc>
        <w:tc>
          <w:tcPr>
            <w:tcW w:w="10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 Encourages achievement of objective and</w:t>
            </w: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0" w:type="dxa"/>
            <w:vAlign w:val="bottom"/>
            <w:vMerge w:val="restart"/>
          </w:tcPr>
          <w:p>
            <w:pPr>
              <w:ind w:left="20"/>
              <w:spacing w:after="0"/>
              <w:rPr>
                <w:sz w:val="20"/>
                <w:szCs w:val="20"/>
                <w:color w:val="auto"/>
              </w:rPr>
            </w:pPr>
            <w:r>
              <w:rPr>
                <w:rFonts w:ascii="Arial" w:cs="Arial" w:eastAsia="Arial" w:hAnsi="Arial"/>
                <w:sz w:val="17"/>
                <w:szCs w:val="17"/>
                <w:color w:val="auto"/>
              </w:rPr>
              <w:t>positioning and retention</w:t>
            </w:r>
          </w:p>
        </w:tc>
        <w:tc>
          <w:tcPr>
            <w:tcW w:w="100" w:type="dxa"/>
            <w:vAlign w:val="bottom"/>
            <w:tcBorders>
              <w:right w:val="single" w:sz="8" w:color="auto"/>
            </w:tcBorders>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800" w:type="dxa"/>
            <w:vAlign w:val="bottom"/>
            <w:tcBorders>
              <w:lef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transparent annual business, HSE and</w:t>
            </w:r>
          </w:p>
        </w:tc>
        <w:tc>
          <w:tcPr>
            <w:tcW w:w="0" w:type="dxa"/>
            <w:vAlign w:val="bottom"/>
          </w:tcPr>
          <w:p>
            <w:pPr>
              <w:spacing w:after="0"/>
              <w:rPr>
                <w:sz w:val="1"/>
                <w:szCs w:val="1"/>
                <w:color w:val="auto"/>
              </w:rPr>
            </w:pPr>
          </w:p>
        </w:tc>
      </w:tr>
      <w:tr>
        <w:trPr>
          <w:trHeight w:val="86"/>
        </w:trPr>
        <w:tc>
          <w:tcPr>
            <w:tcW w:w="1800" w:type="dxa"/>
            <w:vAlign w:val="bottom"/>
            <w:tcBorders>
              <w:lef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individual goals established at beginning of</w:t>
            </w:r>
          </w:p>
        </w:tc>
        <w:tc>
          <w:tcPr>
            <w:tcW w:w="0" w:type="dxa"/>
            <w:vAlign w:val="bottom"/>
          </w:tcPr>
          <w:p>
            <w:pPr>
              <w:spacing w:after="0"/>
              <w:rPr>
                <w:sz w:val="1"/>
                <w:szCs w:val="1"/>
                <w:color w:val="auto"/>
              </w:rPr>
            </w:pPr>
          </w:p>
        </w:tc>
      </w:tr>
      <w:tr>
        <w:trPr>
          <w:trHeight w:val="225"/>
        </w:trPr>
        <w:tc>
          <w:tcPr>
            <w:tcW w:w="180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year</w:t>
            </w:r>
          </w:p>
        </w:tc>
        <w:tc>
          <w:tcPr>
            <w:tcW w:w="0" w:type="dxa"/>
            <w:vAlign w:val="bottom"/>
          </w:tcPr>
          <w:p>
            <w:pPr>
              <w:spacing w:after="0"/>
              <w:rPr>
                <w:sz w:val="1"/>
                <w:szCs w:val="1"/>
                <w:color w:val="auto"/>
              </w:rPr>
            </w:pPr>
          </w:p>
        </w:tc>
      </w:tr>
      <w:tr>
        <w:trPr>
          <w:trHeight w:val="338"/>
        </w:trPr>
        <w:tc>
          <w:tcPr>
            <w:tcW w:w="18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rPr>
              <w:t>• Payout based on formulaic framework</w:t>
            </w:r>
          </w:p>
        </w:tc>
        <w:tc>
          <w:tcPr>
            <w:tcW w:w="0" w:type="dxa"/>
            <w:vAlign w:val="bottom"/>
          </w:tcPr>
          <w:p>
            <w:pPr>
              <w:spacing w:after="0"/>
              <w:rPr>
                <w:sz w:val="1"/>
                <w:szCs w:val="1"/>
                <w:color w:val="auto"/>
              </w:rPr>
            </w:pPr>
          </w:p>
        </w:tc>
      </w:tr>
      <w:tr>
        <w:trPr>
          <w:trHeight w:val="115"/>
        </w:trPr>
        <w:tc>
          <w:tcPr>
            <w:tcW w:w="1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620" w:right="499" w:hanging="360"/>
        <w:spacing w:after="0" w:line="241"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166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340" w:type="dxa"/>
            <w:vAlign w:val="bottom"/>
            <w:tcBorders>
              <w:top w:val="single" w:sz="8" w:color="auto"/>
              <w:bottom w:val="single" w:sz="8" w:color="auto"/>
            </w:tcBorders>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rPr>
              <w:t>​ ​</w:t>
            </w:r>
          </w:p>
        </w:tc>
        <w:tc>
          <w:tcPr>
            <w:tcW w:w="2400" w:type="dxa"/>
            <w:vAlign w:val="bottom"/>
            <w:tcBorders>
              <w:top w:val="single" w:sz="8" w:color="auto"/>
              <w:bottom w:val="single" w:sz="8" w:color="auto"/>
            </w:tcBorders>
            <w:shd w:val="clear" w:color="auto" w:fill="424E6A"/>
          </w:tcPr>
          <w:p>
            <w:pPr>
              <w:ind w:left="720"/>
              <w:spacing w:after="0"/>
              <w:rPr>
                <w:sz w:val="20"/>
                <w:szCs w:val="20"/>
                <w:color w:val="auto"/>
              </w:rPr>
            </w:pPr>
            <w:r>
              <w:rPr>
                <w:rFonts w:ascii="Arial" w:cs="Arial" w:eastAsia="Arial" w:hAnsi="Arial"/>
                <w:sz w:val="14"/>
                <w:szCs w:val="14"/>
                <w:b w:val="1"/>
                <w:bCs w:val="1"/>
                <w:color w:val="FFFFFF"/>
              </w:rPr>
              <w:t>Why We Pay It</w:t>
            </w:r>
          </w:p>
        </w:tc>
        <w:tc>
          <w:tcPr>
            <w:tcW w:w="300" w:type="dxa"/>
            <w:vAlign w:val="bottom"/>
            <w:tcBorders>
              <w:top w:val="single" w:sz="8" w:color="auto"/>
              <w:bottom w:val="single" w:sz="8" w:color="auto"/>
            </w:tcBorders>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3520" w:type="dxa"/>
            <w:vAlign w:val="bottom"/>
            <w:tcBorders>
              <w:top w:val="single" w:sz="8" w:color="auto"/>
              <w:bottom w:val="single" w:sz="8" w:color="auto"/>
              <w:right w:val="single" w:sz="8" w:color="auto"/>
            </w:tcBorders>
            <w:shd w:val="clear" w:color="auto" w:fill="424E6A"/>
          </w:tcPr>
          <w:p>
            <w:pPr>
              <w:ind w:left="122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28"/>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Long-Term Equity</w:t>
            </w:r>
          </w:p>
        </w:tc>
        <w:tc>
          <w:tcPr>
            <w:tcW w:w="260" w:type="dxa"/>
            <w:vAlign w:val="bottom"/>
            <w:tcBorders>
              <w:right w:val="single" w:sz="8" w:color="auto"/>
            </w:tcBorders>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rPr>
              <w:t>Motivate and reward long-term</w:t>
            </w:r>
          </w:p>
        </w:tc>
        <w:tc>
          <w:tcPr>
            <w:tcW w:w="100" w:type="dxa"/>
            <w:vAlign w:val="bottom"/>
            <w:tcBorders>
              <w:right w:val="single" w:sz="8" w:color="auto"/>
            </w:tcBorders>
            <w:shd w:val="clear" w:color="auto" w:fill="D9DCE1"/>
          </w:tcPr>
          <w:p>
            <w:pPr>
              <w:spacing w:after="0"/>
              <w:rPr>
                <w:sz w:val="19"/>
                <w:szCs w:val="19"/>
                <w:color w:val="auto"/>
              </w:rPr>
            </w:pPr>
          </w:p>
        </w:tc>
        <w:tc>
          <w:tcPr>
            <w:tcW w:w="200" w:type="dxa"/>
            <w:vAlign w:val="bottom"/>
            <w:shd w:val="clear" w:color="auto" w:fill="D9DCE1"/>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Long-term equity incentives are 50%</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Incentive Awards</w:t>
            </w: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w w:val="99"/>
              </w:rPr>
              <w:t>performance and retention, and</w:t>
            </w:r>
          </w:p>
        </w:tc>
        <w:tc>
          <w:tcPr>
            <w:tcW w:w="100" w:type="dxa"/>
            <w:vAlign w:val="bottom"/>
            <w:tcBorders>
              <w:right w:val="single" w:sz="8" w:color="auto"/>
            </w:tcBorders>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performance-based and 50% time-based</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tcBorders>
            <w:shd w:val="clear" w:color="auto" w:fill="D9DCE1"/>
          </w:tcPr>
          <w:p>
            <w:pPr>
              <w:spacing w:after="0"/>
              <w:rPr>
                <w:sz w:val="17"/>
                <w:szCs w:val="17"/>
                <w:color w:val="auto"/>
              </w:rPr>
            </w:pPr>
          </w:p>
        </w:tc>
        <w:tc>
          <w:tcPr>
            <w:tcW w:w="26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2400" w:type="dxa"/>
            <w:vAlign w:val="bottom"/>
            <w:shd w:val="clear" w:color="auto" w:fill="D9DCE1"/>
          </w:tcPr>
          <w:p>
            <w:pPr>
              <w:ind w:left="20"/>
              <w:spacing w:after="0"/>
              <w:rPr>
                <w:sz w:val="20"/>
                <w:szCs w:val="20"/>
                <w:color w:val="auto"/>
              </w:rPr>
            </w:pPr>
            <w:r>
              <w:rPr>
                <w:rFonts w:ascii="Arial" w:cs="Arial" w:eastAsia="Arial" w:hAnsi="Arial"/>
                <w:sz w:val="17"/>
                <w:szCs w:val="17"/>
                <w:color w:val="auto"/>
                <w:w w:val="99"/>
              </w:rPr>
              <w:t>create additional alignment with</w:t>
            </w: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vMerge w:val="restart"/>
            <w:shd w:val="clear" w:color="auto" w:fill="D9DCE1"/>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7"/>
                <w:szCs w:val="17"/>
                <w:color w:val="auto"/>
              </w:rPr>
              <w:t>Performance-based awards earned based</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tcBorders>
            <w:shd w:val="clear" w:color="auto" w:fill="D9DCE1"/>
          </w:tcPr>
          <w:p>
            <w:pPr>
              <w:spacing w:after="0"/>
              <w:rPr>
                <w:sz w:val="11"/>
                <w:szCs w:val="11"/>
                <w:color w:val="auto"/>
              </w:rPr>
            </w:pPr>
          </w:p>
        </w:tc>
        <w:tc>
          <w:tcPr>
            <w:tcW w:w="260" w:type="dxa"/>
            <w:vAlign w:val="bottom"/>
            <w:tcBorders>
              <w:right w:val="single" w:sz="8" w:color="auto"/>
            </w:tcBorders>
            <w:shd w:val="clear" w:color="auto" w:fill="D9DCE1"/>
          </w:tcPr>
          <w:p>
            <w:pPr>
              <w:spacing w:after="0"/>
              <w:rPr>
                <w:sz w:val="11"/>
                <w:szCs w:val="11"/>
                <w:color w:val="auto"/>
              </w:rPr>
            </w:pPr>
          </w:p>
        </w:tc>
        <w:tc>
          <w:tcPr>
            <w:tcW w:w="80" w:type="dxa"/>
            <w:vAlign w:val="bottom"/>
            <w:shd w:val="clear" w:color="auto" w:fill="D9DCE1"/>
          </w:tcPr>
          <w:p>
            <w:pPr>
              <w:spacing w:after="0"/>
              <w:rPr>
                <w:sz w:val="11"/>
                <w:szCs w:val="11"/>
                <w:color w:val="auto"/>
              </w:rPr>
            </w:pPr>
          </w:p>
        </w:tc>
        <w:tc>
          <w:tcPr>
            <w:tcW w:w="2400" w:type="dxa"/>
            <w:vAlign w:val="bottom"/>
            <w:vMerge w:val="restart"/>
            <w:shd w:val="clear" w:color="auto" w:fill="D9DCE1"/>
          </w:tcPr>
          <w:p>
            <w:pPr>
              <w:ind w:left="20"/>
              <w:spacing w:after="0"/>
              <w:rPr>
                <w:sz w:val="20"/>
                <w:szCs w:val="20"/>
                <w:color w:val="auto"/>
              </w:rPr>
            </w:pPr>
            <w:r>
              <w:rPr>
                <w:rFonts w:ascii="Arial" w:cs="Arial" w:eastAsia="Arial" w:hAnsi="Arial"/>
                <w:sz w:val="17"/>
                <w:szCs w:val="17"/>
                <w:color w:val="auto"/>
              </w:rPr>
              <w:t>investors</w:t>
            </w:r>
          </w:p>
        </w:tc>
        <w:tc>
          <w:tcPr>
            <w:tcW w:w="100" w:type="dxa"/>
            <w:vAlign w:val="bottom"/>
            <w:tcBorders>
              <w:right w:val="single" w:sz="8" w:color="auto"/>
            </w:tcBorders>
            <w:shd w:val="clear" w:color="auto" w:fill="D9DCE1"/>
          </w:tcPr>
          <w:p>
            <w:pPr>
              <w:spacing w:after="0"/>
              <w:rPr>
                <w:sz w:val="11"/>
                <w:szCs w:val="11"/>
                <w:color w:val="auto"/>
              </w:rPr>
            </w:pPr>
          </w:p>
        </w:tc>
        <w:tc>
          <w:tcPr>
            <w:tcW w:w="200" w:type="dxa"/>
            <w:vAlign w:val="bottom"/>
            <w:vMerge w:val="continue"/>
            <w:shd w:val="clear" w:color="auto" w:fill="D9DCE1"/>
          </w:tcPr>
          <w:p>
            <w:pPr>
              <w:spacing w:after="0"/>
              <w:rPr>
                <w:sz w:val="11"/>
                <w:szCs w:val="11"/>
                <w:color w:val="auto"/>
              </w:rPr>
            </w:pPr>
          </w:p>
        </w:tc>
        <w:tc>
          <w:tcPr>
            <w:tcW w:w="3520" w:type="dxa"/>
            <w:vAlign w:val="bottom"/>
            <w:tcBorders>
              <w:right w:val="single" w:sz="8" w:color="auto"/>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60" w:type="dxa"/>
            <w:vAlign w:val="bottom"/>
            <w:tcBorders>
              <w:left w:val="single" w:sz="8" w:color="auto"/>
            </w:tcBorders>
            <w:shd w:val="clear" w:color="auto" w:fill="D9DCE1"/>
          </w:tcPr>
          <w:p>
            <w:pPr>
              <w:spacing w:after="0"/>
              <w:rPr>
                <w:sz w:val="7"/>
                <w:szCs w:val="7"/>
                <w:color w:val="auto"/>
              </w:rPr>
            </w:pPr>
          </w:p>
        </w:tc>
        <w:tc>
          <w:tcPr>
            <w:tcW w:w="260" w:type="dxa"/>
            <w:vAlign w:val="bottom"/>
            <w:tcBorders>
              <w:right w:val="single" w:sz="8" w:color="auto"/>
            </w:tcBorders>
            <w:shd w:val="clear" w:color="auto" w:fill="D9DCE1"/>
          </w:tcPr>
          <w:p>
            <w:pPr>
              <w:spacing w:after="0"/>
              <w:rPr>
                <w:sz w:val="7"/>
                <w:szCs w:val="7"/>
                <w:color w:val="auto"/>
              </w:rPr>
            </w:pPr>
          </w:p>
        </w:tc>
        <w:tc>
          <w:tcPr>
            <w:tcW w:w="80" w:type="dxa"/>
            <w:vAlign w:val="bottom"/>
            <w:shd w:val="clear" w:color="auto" w:fill="D9DCE1"/>
          </w:tcPr>
          <w:p>
            <w:pPr>
              <w:spacing w:after="0"/>
              <w:rPr>
                <w:sz w:val="7"/>
                <w:szCs w:val="7"/>
                <w:color w:val="auto"/>
              </w:rPr>
            </w:pPr>
          </w:p>
        </w:tc>
        <w:tc>
          <w:tcPr>
            <w:tcW w:w="2400" w:type="dxa"/>
            <w:vAlign w:val="bottom"/>
            <w:vMerge w:val="continue"/>
            <w:shd w:val="clear" w:color="auto" w:fill="D9DCE1"/>
          </w:tcPr>
          <w:p>
            <w:pPr>
              <w:spacing w:after="0"/>
              <w:rPr>
                <w:sz w:val="7"/>
                <w:szCs w:val="7"/>
                <w:color w:val="auto"/>
              </w:rPr>
            </w:pPr>
          </w:p>
        </w:tc>
        <w:tc>
          <w:tcPr>
            <w:tcW w:w="100" w:type="dxa"/>
            <w:vAlign w:val="bottom"/>
            <w:tcBorders>
              <w:right w:val="single" w:sz="8" w:color="auto"/>
            </w:tcBorders>
            <w:shd w:val="clear" w:color="auto" w:fill="D9DCE1"/>
          </w:tcPr>
          <w:p>
            <w:pPr>
              <w:spacing w:after="0"/>
              <w:rPr>
                <w:sz w:val="7"/>
                <w:szCs w:val="7"/>
                <w:color w:val="auto"/>
              </w:rPr>
            </w:pPr>
          </w:p>
        </w:tc>
        <w:tc>
          <w:tcPr>
            <w:tcW w:w="200" w:type="dxa"/>
            <w:vAlign w:val="bottom"/>
            <w:shd w:val="clear" w:color="auto" w:fill="D9DCE1"/>
          </w:tcPr>
          <w:p>
            <w:pPr>
              <w:spacing w:after="0"/>
              <w:rPr>
                <w:sz w:val="7"/>
                <w:szCs w:val="7"/>
                <w:color w:val="auto"/>
              </w:rPr>
            </w:pPr>
          </w:p>
        </w:tc>
        <w:tc>
          <w:tcPr>
            <w:tcW w:w="35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7"/>
                <w:szCs w:val="17"/>
                <w:color w:val="auto"/>
              </w:rPr>
              <w:t>upon performance over cumulative three-</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tcBorders>
            <w:shd w:val="clear" w:color="auto" w:fill="D9DCE1"/>
          </w:tcPr>
          <w:p>
            <w:pPr>
              <w:spacing w:after="0"/>
              <w:rPr>
                <w:sz w:val="10"/>
                <w:szCs w:val="10"/>
                <w:color w:val="auto"/>
              </w:rPr>
            </w:pPr>
          </w:p>
        </w:tc>
        <w:tc>
          <w:tcPr>
            <w:tcW w:w="260" w:type="dxa"/>
            <w:vAlign w:val="bottom"/>
            <w:tcBorders>
              <w:right w:val="single" w:sz="8" w:color="auto"/>
            </w:tcBorders>
            <w:shd w:val="clear" w:color="auto" w:fill="D9DCE1"/>
          </w:tcPr>
          <w:p>
            <w:pPr>
              <w:spacing w:after="0"/>
              <w:rPr>
                <w:sz w:val="10"/>
                <w:szCs w:val="10"/>
                <w:color w:val="auto"/>
              </w:rPr>
            </w:pPr>
          </w:p>
        </w:tc>
        <w:tc>
          <w:tcPr>
            <w:tcW w:w="80" w:type="dxa"/>
            <w:vAlign w:val="bottom"/>
            <w:shd w:val="clear" w:color="auto" w:fill="D9DCE1"/>
          </w:tcPr>
          <w:p>
            <w:pPr>
              <w:spacing w:after="0"/>
              <w:rPr>
                <w:sz w:val="10"/>
                <w:szCs w:val="10"/>
                <w:color w:val="auto"/>
              </w:rPr>
            </w:pPr>
          </w:p>
        </w:tc>
        <w:tc>
          <w:tcPr>
            <w:tcW w:w="2400" w:type="dxa"/>
            <w:vAlign w:val="bottom"/>
            <w:shd w:val="clear" w:color="auto" w:fill="D9DCE1"/>
          </w:tcPr>
          <w:p>
            <w:pPr>
              <w:spacing w:after="0"/>
              <w:rPr>
                <w:sz w:val="10"/>
                <w:szCs w:val="10"/>
                <w:color w:val="auto"/>
              </w:rPr>
            </w:pPr>
          </w:p>
        </w:tc>
        <w:tc>
          <w:tcPr>
            <w:tcW w:w="100" w:type="dxa"/>
            <w:vAlign w:val="bottom"/>
            <w:tcBorders>
              <w:right w:val="single" w:sz="8" w:color="auto"/>
            </w:tcBorders>
            <w:shd w:val="clear" w:color="auto" w:fill="D9DCE1"/>
          </w:tcPr>
          <w:p>
            <w:pPr>
              <w:spacing w:after="0"/>
              <w:rPr>
                <w:sz w:val="10"/>
                <w:szCs w:val="10"/>
                <w:color w:val="auto"/>
              </w:rPr>
            </w:pPr>
          </w:p>
        </w:tc>
        <w:tc>
          <w:tcPr>
            <w:tcW w:w="200" w:type="dxa"/>
            <w:vAlign w:val="bottom"/>
            <w:shd w:val="clear" w:color="auto" w:fill="D9DCE1"/>
          </w:tcPr>
          <w:p>
            <w:pPr>
              <w:spacing w:after="0"/>
              <w:rPr>
                <w:sz w:val="10"/>
                <w:szCs w:val="10"/>
                <w:color w:val="auto"/>
              </w:rPr>
            </w:pPr>
          </w:p>
        </w:tc>
        <w:tc>
          <w:tcPr>
            <w:tcW w:w="3520" w:type="dxa"/>
            <w:vAlign w:val="bottom"/>
            <w:tcBorders>
              <w:right w:val="single" w:sz="8" w:color="auto"/>
            </w:tcBorders>
            <w:vMerge w:val="continue"/>
            <w:shd w:val="clear" w:color="auto" w:fill="D9DCE1"/>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660" w:type="dxa"/>
            <w:vAlign w:val="bottom"/>
            <w:tcBorders>
              <w:left w:val="single" w:sz="8" w:color="auto"/>
            </w:tcBorders>
            <w:shd w:val="clear" w:color="auto" w:fill="D9DCE1"/>
          </w:tcPr>
          <w:p>
            <w:pPr>
              <w:spacing w:after="0"/>
              <w:rPr>
                <w:sz w:val="19"/>
                <w:szCs w:val="19"/>
                <w:color w:val="auto"/>
              </w:rPr>
            </w:pPr>
          </w:p>
        </w:tc>
        <w:tc>
          <w:tcPr>
            <w:tcW w:w="260" w:type="dxa"/>
            <w:vAlign w:val="bottom"/>
            <w:tcBorders>
              <w:right w:val="single" w:sz="8" w:color="auto"/>
            </w:tcBorders>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2400" w:type="dxa"/>
            <w:vAlign w:val="bottom"/>
            <w:shd w:val="clear" w:color="auto" w:fill="D9DCE1"/>
          </w:tcPr>
          <w:p>
            <w:pPr>
              <w:spacing w:after="0"/>
              <w:rPr>
                <w:sz w:val="19"/>
                <w:szCs w:val="19"/>
                <w:color w:val="auto"/>
              </w:rPr>
            </w:pPr>
          </w:p>
        </w:tc>
        <w:tc>
          <w:tcPr>
            <w:tcW w:w="100" w:type="dxa"/>
            <w:vAlign w:val="bottom"/>
            <w:tcBorders>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year period</w:t>
            </w:r>
          </w:p>
        </w:tc>
        <w:tc>
          <w:tcPr>
            <w:tcW w:w="0" w:type="dxa"/>
            <w:vAlign w:val="bottom"/>
          </w:tcPr>
          <w:p>
            <w:pPr>
              <w:spacing w:after="0"/>
              <w:rPr>
                <w:sz w:val="1"/>
                <w:szCs w:val="1"/>
                <w:color w:val="auto"/>
              </w:rPr>
            </w:pPr>
          </w:p>
        </w:tc>
      </w:tr>
      <w:tr>
        <w:trPr>
          <w:trHeight w:val="315"/>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400" w:type="dxa"/>
            <w:vAlign w:val="bottom"/>
            <w:shd w:val="clear" w:color="auto" w:fill="D9DCE1"/>
          </w:tcPr>
          <w:p>
            <w:pPr>
              <w:spacing w:after="0"/>
              <w:rPr>
                <w:sz w:val="24"/>
                <w:szCs w:val="24"/>
                <w:color w:val="auto"/>
              </w:rPr>
            </w:pPr>
          </w:p>
        </w:tc>
        <w:tc>
          <w:tcPr>
            <w:tcW w:w="10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7"/>
                <w:szCs w:val="17"/>
                <w:color w:val="auto"/>
              </w:rPr>
              <w:t>• Performance metrics include relative TSR</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40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with negative TSR modifier, and DCF/CUE</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tcBorders>
            <w:shd w:val="clear" w:color="auto" w:fill="D9DCE1"/>
          </w:tcPr>
          <w:p>
            <w:pPr>
              <w:spacing w:after="0"/>
              <w:rPr>
                <w:sz w:val="17"/>
                <w:szCs w:val="17"/>
                <w:color w:val="auto"/>
              </w:rPr>
            </w:pPr>
          </w:p>
        </w:tc>
        <w:tc>
          <w:tcPr>
            <w:tcW w:w="26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240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with leverage modifier (potential downward</w:t>
            </w:r>
          </w:p>
        </w:tc>
        <w:tc>
          <w:tcPr>
            <w:tcW w:w="0" w:type="dxa"/>
            <w:vAlign w:val="bottom"/>
          </w:tcPr>
          <w:p>
            <w:pPr>
              <w:spacing w:after="0"/>
              <w:rPr>
                <w:sz w:val="1"/>
                <w:szCs w:val="1"/>
                <w:color w:val="auto"/>
              </w:rPr>
            </w:pPr>
          </w:p>
        </w:tc>
      </w:tr>
      <w:tr>
        <w:trPr>
          <w:trHeight w:val="225"/>
        </w:trPr>
        <w:tc>
          <w:tcPr>
            <w:tcW w:w="1660" w:type="dxa"/>
            <w:vAlign w:val="bottom"/>
            <w:tcBorders>
              <w:left w:val="single" w:sz="8" w:color="auto"/>
            </w:tcBorders>
            <w:shd w:val="clear" w:color="auto" w:fill="D9DCE1"/>
          </w:tcPr>
          <w:p>
            <w:pPr>
              <w:spacing w:after="0"/>
              <w:rPr>
                <w:sz w:val="19"/>
                <w:szCs w:val="19"/>
                <w:color w:val="auto"/>
              </w:rPr>
            </w:pPr>
          </w:p>
        </w:tc>
        <w:tc>
          <w:tcPr>
            <w:tcW w:w="260" w:type="dxa"/>
            <w:vAlign w:val="bottom"/>
            <w:tcBorders>
              <w:right w:val="single" w:sz="8" w:color="auto"/>
            </w:tcBorders>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2400" w:type="dxa"/>
            <w:vAlign w:val="bottom"/>
            <w:shd w:val="clear" w:color="auto" w:fill="D9DCE1"/>
          </w:tcPr>
          <w:p>
            <w:pPr>
              <w:spacing w:after="0"/>
              <w:rPr>
                <w:sz w:val="19"/>
                <w:szCs w:val="19"/>
                <w:color w:val="auto"/>
              </w:rPr>
            </w:pPr>
          </w:p>
        </w:tc>
        <w:tc>
          <w:tcPr>
            <w:tcW w:w="100" w:type="dxa"/>
            <w:vAlign w:val="bottom"/>
            <w:tcBorders>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adjustment only)</w:t>
            </w:r>
          </w:p>
        </w:tc>
        <w:tc>
          <w:tcPr>
            <w:tcW w:w="0" w:type="dxa"/>
            <w:vAlign w:val="bottom"/>
          </w:tcPr>
          <w:p>
            <w:pPr>
              <w:spacing w:after="0"/>
              <w:rPr>
                <w:sz w:val="1"/>
                <w:szCs w:val="1"/>
                <w:color w:val="auto"/>
              </w:rPr>
            </w:pPr>
          </w:p>
        </w:tc>
      </w:tr>
      <w:tr>
        <w:trPr>
          <w:trHeight w:val="329"/>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400" w:type="dxa"/>
            <w:vAlign w:val="bottom"/>
            <w:shd w:val="clear" w:color="auto" w:fill="D9DCE1"/>
          </w:tcPr>
          <w:p>
            <w:pPr>
              <w:spacing w:after="0"/>
              <w:rPr>
                <w:sz w:val="24"/>
                <w:szCs w:val="24"/>
                <w:color w:val="auto"/>
              </w:rPr>
            </w:pPr>
          </w:p>
        </w:tc>
        <w:tc>
          <w:tcPr>
            <w:tcW w:w="10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7"/>
                <w:szCs w:val="17"/>
                <w:color w:val="auto"/>
              </w:rPr>
              <w:t>• Distribution Equivalent Rights (“DERs”)</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tcBorders>
            <w:shd w:val="clear" w:color="auto" w:fill="D9DCE1"/>
          </w:tcPr>
          <w:p>
            <w:pPr>
              <w:spacing w:after="0"/>
              <w:rPr>
                <w:sz w:val="17"/>
                <w:szCs w:val="17"/>
                <w:color w:val="auto"/>
              </w:rPr>
            </w:pPr>
          </w:p>
        </w:tc>
        <w:tc>
          <w:tcPr>
            <w:tcW w:w="26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240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associated with long-term equity awards</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tcBorders>
            <w:shd w:val="clear" w:color="auto" w:fill="D9DCE1"/>
          </w:tcPr>
          <w:p>
            <w:pPr>
              <w:spacing w:after="0"/>
              <w:rPr>
                <w:sz w:val="17"/>
                <w:szCs w:val="17"/>
                <w:color w:val="auto"/>
              </w:rPr>
            </w:pPr>
          </w:p>
        </w:tc>
        <w:tc>
          <w:tcPr>
            <w:tcW w:w="26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240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5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provide additional potential incentive and</w:t>
            </w: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bottom w:val="single" w:sz="8" w:color="D9DCE1"/>
            </w:tcBorders>
            <w:shd w:val="clear" w:color="auto" w:fill="D9DCE1"/>
          </w:tcPr>
          <w:p>
            <w:pPr>
              <w:spacing w:after="0"/>
              <w:rPr>
                <w:sz w:val="21"/>
                <w:szCs w:val="21"/>
                <w:color w:val="auto"/>
              </w:rPr>
            </w:pPr>
          </w:p>
        </w:tc>
        <w:tc>
          <w:tcPr>
            <w:tcW w:w="260" w:type="dxa"/>
            <w:vAlign w:val="bottom"/>
            <w:tcBorders>
              <w:bottom w:val="single" w:sz="8" w:color="D9DCE1"/>
              <w:right w:val="single" w:sz="8" w:color="auto"/>
            </w:tcBorders>
            <w:shd w:val="clear" w:color="auto" w:fill="D9DCE1"/>
          </w:tcPr>
          <w:p>
            <w:pPr>
              <w:spacing w:after="0"/>
              <w:rPr>
                <w:sz w:val="21"/>
                <w:szCs w:val="21"/>
                <w:color w:val="auto"/>
              </w:rPr>
            </w:pPr>
          </w:p>
        </w:tc>
        <w:tc>
          <w:tcPr>
            <w:tcW w:w="80" w:type="dxa"/>
            <w:vAlign w:val="bottom"/>
            <w:tcBorders>
              <w:bottom w:val="single" w:sz="8" w:color="D9DCE1"/>
            </w:tcBorders>
            <w:shd w:val="clear" w:color="auto" w:fill="D9DCE1"/>
          </w:tcPr>
          <w:p>
            <w:pPr>
              <w:spacing w:after="0"/>
              <w:rPr>
                <w:sz w:val="21"/>
                <w:szCs w:val="21"/>
                <w:color w:val="auto"/>
              </w:rPr>
            </w:pPr>
          </w:p>
        </w:tc>
        <w:tc>
          <w:tcPr>
            <w:tcW w:w="2400" w:type="dxa"/>
            <w:vAlign w:val="bottom"/>
            <w:tcBorders>
              <w:bottom w:val="single" w:sz="8" w:color="D9DCE1"/>
            </w:tcBorders>
            <w:shd w:val="clear" w:color="auto" w:fill="D9DCE1"/>
          </w:tcPr>
          <w:p>
            <w:pPr>
              <w:spacing w:after="0"/>
              <w:rPr>
                <w:sz w:val="21"/>
                <w:szCs w:val="21"/>
                <w:color w:val="auto"/>
              </w:rPr>
            </w:pPr>
          </w:p>
        </w:tc>
        <w:tc>
          <w:tcPr>
            <w:tcW w:w="100" w:type="dxa"/>
            <w:vAlign w:val="bottom"/>
            <w:tcBorders>
              <w:bottom w:val="single" w:sz="8" w:color="D9DCE1"/>
              <w:right w:val="single" w:sz="8" w:color="auto"/>
            </w:tcBorders>
            <w:shd w:val="clear" w:color="auto" w:fill="D9DCE1"/>
          </w:tcPr>
          <w:p>
            <w:pPr>
              <w:spacing w:after="0"/>
              <w:rPr>
                <w:sz w:val="21"/>
                <w:szCs w:val="21"/>
                <w:color w:val="auto"/>
              </w:rPr>
            </w:pPr>
          </w:p>
        </w:tc>
        <w:tc>
          <w:tcPr>
            <w:tcW w:w="200" w:type="dxa"/>
            <w:vAlign w:val="bottom"/>
            <w:tcBorders>
              <w:bottom w:val="single" w:sz="8" w:color="D9DCE1"/>
            </w:tcBorders>
            <w:shd w:val="clear" w:color="auto" w:fill="D9DCE1"/>
          </w:tcPr>
          <w:p>
            <w:pPr>
              <w:spacing w:after="0"/>
              <w:rPr>
                <w:sz w:val="21"/>
                <w:szCs w:val="21"/>
                <w:color w:val="auto"/>
              </w:rPr>
            </w:pPr>
          </w:p>
        </w:tc>
        <w:tc>
          <w:tcPr>
            <w:tcW w:w="3520" w:type="dxa"/>
            <w:vAlign w:val="bottom"/>
            <w:tcBorders>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alignment with other equity holders</w:t>
            </w:r>
          </w:p>
        </w:tc>
        <w:tc>
          <w:tcPr>
            <w:tcW w:w="0" w:type="dxa"/>
            <w:vAlign w:val="bottom"/>
          </w:tcPr>
          <w:p>
            <w:pPr>
              <w:spacing w:after="0"/>
              <w:rPr>
                <w:sz w:val="1"/>
                <w:szCs w:val="1"/>
                <w:color w:val="auto"/>
              </w:rPr>
            </w:pPr>
          </w:p>
        </w:tc>
      </w:tr>
      <w:tr>
        <w:trPr>
          <w:trHeight w:val="228"/>
        </w:trPr>
        <w:tc>
          <w:tcPr>
            <w:tcW w:w="16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Employee Benefits</w:t>
            </w:r>
          </w:p>
        </w:tc>
        <w:tc>
          <w:tcPr>
            <w:tcW w:w="26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Attract and retain talent</w:t>
            </w:r>
          </w:p>
        </w:tc>
        <w:tc>
          <w:tcPr>
            <w:tcW w:w="10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Customary health and welfare benefits for all</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U.S. employees, including 401(k) Plan with</w:t>
            </w:r>
          </w:p>
        </w:tc>
        <w:tc>
          <w:tcPr>
            <w:tcW w:w="0" w:type="dxa"/>
            <w:vAlign w:val="bottom"/>
          </w:tcPr>
          <w:p>
            <w:pPr>
              <w:spacing w:after="0"/>
              <w:rPr>
                <w:sz w:val="1"/>
                <w:szCs w:val="1"/>
                <w:color w:val="auto"/>
              </w:rPr>
            </w:pPr>
          </w:p>
        </w:tc>
      </w:tr>
      <w:tr>
        <w:trPr>
          <w:trHeight w:val="225"/>
        </w:trPr>
        <w:tc>
          <w:tcPr>
            <w:tcW w:w="166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company matching</w:t>
            </w:r>
          </w:p>
        </w:tc>
        <w:tc>
          <w:tcPr>
            <w:tcW w:w="0" w:type="dxa"/>
            <w:vAlign w:val="bottom"/>
          </w:tcPr>
          <w:p>
            <w:pPr>
              <w:spacing w:after="0"/>
              <w:rPr>
                <w:sz w:val="1"/>
                <w:szCs w:val="1"/>
                <w:color w:val="auto"/>
              </w:rPr>
            </w:pPr>
          </w:p>
        </w:tc>
      </w:tr>
      <w:tr>
        <w:trPr>
          <w:trHeight w:val="324"/>
        </w:trPr>
        <w:tc>
          <w:tcPr>
            <w:tcW w:w="16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 No defined benefit or pension plans</w:t>
            </w:r>
          </w:p>
        </w:tc>
        <w:tc>
          <w:tcPr>
            <w:tcW w:w="0" w:type="dxa"/>
            <w:vAlign w:val="bottom"/>
          </w:tcPr>
          <w:p>
            <w:pPr>
              <w:spacing w:after="0"/>
              <w:rPr>
                <w:sz w:val="1"/>
                <w:szCs w:val="1"/>
                <w:color w:val="auto"/>
              </w:rPr>
            </w:pPr>
          </w:p>
        </w:tc>
      </w:tr>
      <w:tr>
        <w:trPr>
          <w:trHeight w:val="324"/>
        </w:trPr>
        <w:tc>
          <w:tcPr>
            <w:tcW w:w="16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 significant perquisites</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2025 Independent Study of Executive Compensation and TSR Peer Group</w:t>
      </w:r>
    </w:p>
    <w:p>
      <w:pPr>
        <w:spacing w:after="0" w:line="156"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i w:val="1"/>
          <w:iCs w:val="1"/>
          <w:color w:val="auto"/>
        </w:rPr>
        <w:t xml:space="preserve">Compensation Peer Comparison Study. </w:t>
      </w:r>
      <w:r>
        <w:rPr>
          <w:rFonts w:ascii="Arial" w:cs="Arial" w:eastAsia="Arial" w:hAnsi="Arial"/>
          <w:sz w:val="18"/>
          <w:szCs w:val="18"/>
          <w:color w:val="auto"/>
        </w:rPr>
        <w:t>With respect to our 2025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 engaged and relied upon Meridian to provide independent counsel and advice regarding our executive compensation program design and practices as compared to our peers and to conduct a peer comparison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08"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comparison peer group for 2025 included 11 companies across a wide range of revenues, asset values and enterprise values that are primarily engaged in the midstream business in the United States. The entities in the 2025 compensation comparison peer group are listed in the table below.</w:t>
      </w:r>
    </w:p>
    <w:p>
      <w:pPr>
        <w:spacing w:after="0" w:line="108"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comparison peer group, including how overall compensation is divided among long-term incentives, annual incentives and base salary. Meridian also compared the amount and structure of compensation for our executive officers to the comparison peer group.</w:t>
      </w:r>
    </w:p>
    <w:p>
      <w:pPr>
        <w:spacing w:after="0" w:line="103" w:lineRule="exact"/>
        <w:rPr>
          <w:sz w:val="20"/>
          <w:szCs w:val="20"/>
          <w:color w:val="auto"/>
        </w:rPr>
      </w:pPr>
    </w:p>
    <w:p>
      <w:pPr>
        <w:ind w:left="1260" w:right="479" w:firstLine="360"/>
        <w:spacing w:after="0" w:line="247" w:lineRule="auto"/>
        <w:rPr>
          <w:sz w:val="20"/>
          <w:szCs w:val="20"/>
          <w:color w:val="auto"/>
        </w:rPr>
      </w:pPr>
      <w:r>
        <w:rPr>
          <w:rFonts w:ascii="Arial" w:cs="Arial" w:eastAsia="Arial" w:hAnsi="Arial"/>
          <w:sz w:val="18"/>
          <w:szCs w:val="18"/>
          <w:color w:val="auto"/>
        </w:rPr>
        <w:t>To provide a broader context to the Compensation Committee, Meridian also provided the Committee with relevant data from six additional midstream companies, 10 upstream companies (used exclusively for pay mix comparison purposes), and relevant survey data (used as a secondary reference for additional context); however, the compensation comparison peer group listed in the table below served as the primary source of external comparative information.</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Meridian’s study, which was completed in November 2024 and considered in detail by the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Compensation Committee in January 2025, included the following summary findings:</w:t>
      </w:r>
    </w:p>
    <w:p>
      <w:pPr>
        <w:spacing w:after="0" w:line="86" w:lineRule="exact"/>
        <w:rPr>
          <w:sz w:val="20"/>
          <w:szCs w:val="20"/>
          <w:color w:val="auto"/>
        </w:rPr>
      </w:pPr>
    </w:p>
    <w:p>
      <w:pPr>
        <w:ind w:left="1800" w:right="1299" w:hanging="180"/>
        <w:spacing w:after="0" w:line="28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target compensation for all NEOs (other than the CEO) on average was generally competitive with peers; and</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target compensation for the CEO was below the median relative to peers.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8"/>
          <w:szCs w:val="18"/>
          <w:i w:val="1"/>
          <w:iCs w:val="1"/>
          <w:color w:val="auto"/>
        </w:rPr>
        <w:t xml:space="preserve">TSR Comparator Peer Group. </w:t>
      </w:r>
      <w:r>
        <w:rPr>
          <w:rFonts w:ascii="Arial" w:cs="Arial" w:eastAsia="Arial" w:hAnsi="Arial"/>
          <w:sz w:val="18"/>
          <w:szCs w:val="18"/>
          <w:color w:val="auto"/>
        </w:rPr>
        <w:t>For a portion (25%) of the long-term incentive awards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2025, we included relative TSR as a performance metric for the three-year performance period ending June 30, 2028. The entities in our TSR Comparator Peer Group for the 2025 long-term incentive awards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-71120</wp:posOffset>
            </wp:positionV>
            <wp:extent cx="5212080" cy="2820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2820035"/>
                    </a:xfrm>
                    <a:prstGeom prst="rect">
                      <a:avLst/>
                    </a:prstGeom>
                    <a:noFill/>
                  </pic:spPr>
                </pic:pic>
              </a:graphicData>
            </a:graphic>
          </wp:anchor>
        </w:drawing>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FFFFFF"/>
              </w:rPr>
              <w:t>2025 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FFFFFF"/>
              </w:rPr>
              <w:t>Comparison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FFFFFF"/>
              </w:rPr>
              <w:t>2025 TSR Comparator</w:t>
            </w:r>
          </w:p>
        </w:tc>
      </w:tr>
      <w:tr>
        <w:trPr>
          <w:trHeight w:val="171"/>
        </w:trPr>
        <w:tc>
          <w:tcPr>
            <w:tcW w:w="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FFFFFF"/>
              </w:rPr>
              <w:t>Entity/Index Name (Ticker)</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FFFFFF"/>
              </w:rPr>
              <w:t>​ ​</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FFFFFF"/>
              </w:rPr>
              <w:t>Peer Group</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FFFFFF"/>
              </w:rPr>
              <w:t>Peer Group</w:t>
            </w: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Energy Transfer LP (ET)</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Enterprise Products Partners LP (EPD)</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Kinder Morgan Inc. (KMI)</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 Williams Companies Inc. (WMB)</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MPLX LP (MPLX)</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ONEOK Inc. (OKE)</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Targa Resources Corp. (TRGP)</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Western Midstream Partners LP (WES)</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EnLink Midstream LLC (ENLC)</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Equitrans Midstream Corporation (ETRN)</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Genesis Energy LP (GEL)</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Kinetik Holdings Inc. (KNTK)</w:t>
            </w:r>
          </w:p>
        </w:tc>
        <w:tc>
          <w:tcPr>
            <w:tcW w:w="9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S&amp;P 500 Index (SPX)</w:t>
            </w:r>
          </w:p>
        </w:tc>
        <w:tc>
          <w:tcPr>
            <w:tcW w:w="800" w:type="dxa"/>
            <w:vAlign w:val="bottom"/>
            <w:tcBorders>
              <w:bottom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D9DCE1"/>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Alerian Midstream Energy Index (AMNA)</w:t>
            </w:r>
          </w:p>
        </w:tc>
        <w:tc>
          <w:tcPr>
            <w:tcW w:w="92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4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0" w:type="dxa"/>
            <w:vAlign w:val="bottom"/>
          </w:tcPr>
          <w:p>
            <w:pPr>
              <w:spacing w:after="0"/>
              <w:rPr>
                <w:sz w:val="23"/>
                <w:szCs w:val="23"/>
                <w:color w:val="auto"/>
              </w:rPr>
            </w:pPr>
          </w:p>
        </w:tc>
      </w:tr>
    </w:tbl>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56"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85"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however, in February 2023, the Compensation Committee determined that it would commence annual market-based reviews starting in 2024. We have also historically made salary adjustments periodically in connection with promotions, the assumption of increased responsibilities or to address changes in competitive market data. Based on Meridian’s compensation comparison study and as a part of the market-based review by the Compensation Committee in January 2025, Mr. Chiang’s annual base salary was increased by $50,000 in order to better align his compensation with the peer median for the CEO role. Base salaries for the other NEOs were increased by approximately 3.6% to 7.3% depending on position.</w:t>
      </w:r>
    </w:p>
    <w:p>
      <w:pPr>
        <w:spacing w:after="0" w:line="10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2025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146050</wp:posOffset>
            </wp:positionV>
            <wp:extent cx="3874770" cy="2117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8"/>
          <w:szCs w:val="18"/>
          <w:color w:val="auto"/>
        </w:rPr>
        <w:t>At the end of each year, the CEO provides a written assessment of Company and individual performance (for all NEOs other than himself) relative to goals and objectives established at the beginning of the year. In connection with his assessment of Company and individual performance, the CEO considers various factors, including:</w:t>
      </w:r>
    </w:p>
    <w:p>
      <w:pPr>
        <w:spacing w:after="0" w:line="84" w:lineRule="exact"/>
        <w:rPr>
          <w:sz w:val="20"/>
          <w:szCs w:val="20"/>
          <w:color w:val="auto"/>
        </w:rPr>
      </w:pPr>
    </w:p>
    <w:p>
      <w:pPr>
        <w:ind w:left="1800" w:right="57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71" w:lineRule="exact"/>
        <w:rPr>
          <w:rFonts w:ascii="Arial" w:cs="Arial" w:eastAsia="Arial" w:hAnsi="Arial"/>
          <w:sz w:val="18"/>
          <w:szCs w:val="18"/>
          <w:color w:val="auto"/>
        </w:rPr>
      </w:pPr>
    </w:p>
    <w:p>
      <w:pPr>
        <w:ind w:left="1800" w:right="73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58"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relative positioning at the end of the year with respect to future growth and performance; and</w:t>
      </w:r>
    </w:p>
    <w:p>
      <w:pPr>
        <w:spacing w:after="0" w:line="155" w:lineRule="exact"/>
        <w:rPr>
          <w:rFonts w:ascii="Arial" w:cs="Arial" w:eastAsia="Arial" w:hAnsi="Arial"/>
          <w:sz w:val="17"/>
          <w:szCs w:val="17"/>
          <w:color w:val="auto"/>
        </w:rPr>
      </w:pPr>
    </w:p>
    <w:p>
      <w:pPr>
        <w:ind w:left="1800" w:right="619" w:hanging="180"/>
        <w:spacing w:after="0" w:line="28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 at the end of the year with respect to our targeted leverage metrics and credit profile.</w:t>
      </w:r>
    </w:p>
    <w:p>
      <w:pPr>
        <w:spacing w:after="0" w:line="85"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8"/>
          <w:szCs w:val="18"/>
          <w:color w:val="auto"/>
        </w:rPr>
        <w:t>Based on the conclusions set forth in the annual performance assessment, the CEO submits to the Compensation Committee the results of the formulaic bonus calculations, along with any recommendations for adjustments, for all Named Executive Officers other than himself. The Compensation Committee may adjust the CEO’s recommendations upward or downward in its discretion. The Compensation Committee’s recommendations are then submitted to the Board for final review and approval.</w:t>
      </w:r>
    </w:p>
    <w:p>
      <w:pPr>
        <w:spacing w:after="0" w:line="103" w:lineRule="exact"/>
        <w:rPr>
          <w:sz w:val="20"/>
          <w:szCs w:val="20"/>
          <w:color w:val="auto"/>
        </w:rPr>
      </w:pPr>
    </w:p>
    <w:p>
      <w:pPr>
        <w:ind w:left="1260" w:right="419" w:firstLine="360"/>
        <w:spacing w:after="0" w:line="294"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w:t>
      </w:r>
    </w:p>
    <w:p>
      <w:pPr>
        <w:spacing w:after="0" w:line="82"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2025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146050</wp:posOffset>
            </wp:positionV>
            <wp:extent cx="4183380" cy="132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8338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8"/>
          <w:szCs w:val="18"/>
          <w:color w:val="auto"/>
        </w:rPr>
        <w:t>NEOs are eligible to receive an annual grant of phantom units based on a formula tied to base salary and PAA’s unit price. The size of the annual grant for a specified individual is based on a designated target percentage of their base salary that accounts for their expected contribution in respect of longer-term performance objectives. Based on Meridian’s compensation comparison study and as a part of the market-based review by the Compensation Committee in January 2025, the annual LTIP target (as a percentage of base salary) for Mr. Chiang was increased from 750% to 850%. No changes were made to the annual LTIP targets for the other NEOs.</w:t>
      </w:r>
    </w:p>
    <w:p>
      <w:pPr>
        <w:spacing w:after="0" w:line="103"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achievement of designated performance thresholds and continued employment for a full three-year period. Phantom unit grants for the Named Executive Officers typically include DERs, and for the regular annual awards granted in 2025,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 Our long-term incentive plan grants for our NEOs also provide for accelerated vesting in the event their employment is terminated as a result of or in connection with death, disability, termination without cause, change of control or retirement on terms and timing that are approved by the CEO (or by the Board in the case of the CEO). See “— Potential Payments Upon Termination or Change-in-Control.”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2025 Performance Overview and Specific Application of Compensation Elements in 2025</w:t>
      </w:r>
    </w:p>
    <w:p>
      <w:pPr>
        <w:spacing w:after="0" w:line="156" w:lineRule="exact"/>
        <w:rPr>
          <w:sz w:val="20"/>
          <w:szCs w:val="20"/>
          <w:color w:val="auto"/>
        </w:rPr>
      </w:pPr>
    </w:p>
    <w:p>
      <w:pPr>
        <w:ind w:left="1260" w:right="519" w:firstLine="360"/>
        <w:spacing w:after="0" w:line="276" w:lineRule="auto"/>
        <w:rPr>
          <w:sz w:val="20"/>
          <w:szCs w:val="20"/>
          <w:color w:val="auto"/>
        </w:rPr>
      </w:pPr>
      <w:r>
        <w:rPr>
          <w:rFonts w:ascii="Arial" w:cs="Arial" w:eastAsia="Arial" w:hAnsi="Arial"/>
          <w:sz w:val="18"/>
          <w:szCs w:val="18"/>
          <w:color w:val="auto"/>
        </w:rPr>
        <w:t>At the beginning of 2025, we established key quantitative financial, safety and environmental objectives, along with several qualitative goals. These objectives and goals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212080" cy="4217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4217670"/>
                    </a:xfrm>
                    <a:prstGeom prst="rect">
                      <a:avLst/>
                    </a:prstGeom>
                    <a:noFill/>
                  </pic:spPr>
                </pic:pic>
              </a:graphicData>
            </a:graphic>
          </wp:anchor>
        </w:drawing>
      </w:r>
    </w:p>
    <w:p>
      <w:pPr>
        <w:spacing w:after="0" w:line="17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FFFFFF"/>
        </w:rPr>
        <w:t>2025 Performance Objectives and Results (all figures rounded)</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Quantitative Goals</w:t>
      </w:r>
    </w:p>
    <w:p>
      <w:pPr>
        <w:spacing w:after="0" w:line="39" w:lineRule="exact"/>
        <w:rPr>
          <w:sz w:val="20"/>
          <w:szCs w:val="20"/>
          <w:color w:val="auto"/>
        </w:rPr>
      </w:pPr>
    </w:p>
    <w:tbl>
      <w:tblPr>
        <w:tblLayout w:type="fixed"/>
        <w:tblInd w:w="1280" w:type="dxa"/>
        <w:tblCellMar>
          <w:top w:w="0" w:type="dxa"/>
          <w:left w:w="0" w:type="dxa"/>
          <w:bottom w:w="0" w:type="dxa"/>
          <w:right w:w="0" w:type="dxa"/>
        </w:tblCellMar>
      </w:tblPr>
      <w:tr>
        <w:trPr>
          <w:trHeight w:val="244"/>
        </w:trPr>
        <w:tc>
          <w:tcPr>
            <w:tcW w:w="2620" w:type="dxa"/>
            <w:vAlign w:val="bottom"/>
            <w:tcBorders>
              <w:top w:val="single" w:sz="8" w:color="424E6A"/>
              <w:bottom w:val="single" w:sz="8" w:color="424E6A"/>
            </w:tcBorders>
          </w:tcPr>
          <w:p>
            <w:pPr>
              <w:ind w:left="1060"/>
              <w:spacing w:after="0"/>
              <w:rPr>
                <w:sz w:val="20"/>
                <w:szCs w:val="20"/>
                <w:color w:val="auto"/>
              </w:rPr>
            </w:pPr>
            <w:r>
              <w:rPr>
                <w:rFonts w:ascii="Arial" w:cs="Arial" w:eastAsia="Arial" w:hAnsi="Arial"/>
                <w:sz w:val="16"/>
                <w:szCs w:val="16"/>
                <w:b w:val="1"/>
                <w:bCs w:val="1"/>
                <w:color w:val="auto"/>
              </w:rPr>
              <w:t>Metrics</w:t>
            </w:r>
          </w:p>
        </w:tc>
        <w:tc>
          <w:tcPr>
            <w:tcW w:w="100" w:type="dxa"/>
            <w:vAlign w:val="bottom"/>
            <w:tcBorders>
              <w:top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420" w:type="dxa"/>
            <w:vAlign w:val="bottom"/>
            <w:tcBorders>
              <w:top w:val="single" w:sz="8" w:color="424E6A"/>
              <w:bottom w:val="single" w:sz="8" w:color="424E6A"/>
            </w:tcBorders>
          </w:tcPr>
          <w:p>
            <w:pPr>
              <w:ind w:left="720"/>
              <w:spacing w:after="0"/>
              <w:rPr>
                <w:sz w:val="20"/>
                <w:szCs w:val="20"/>
                <w:color w:val="auto"/>
              </w:rPr>
            </w:pPr>
            <w:r>
              <w:rPr>
                <w:rFonts w:ascii="Arial" w:cs="Arial" w:eastAsia="Arial" w:hAnsi="Arial"/>
                <w:sz w:val="16"/>
                <w:szCs w:val="16"/>
                <w:b w:val="1"/>
                <w:bCs w:val="1"/>
                <w:color w:val="auto"/>
              </w:rPr>
              <w:t>2025 Goals</w:t>
            </w:r>
          </w:p>
        </w:tc>
        <w:tc>
          <w:tcPr>
            <w:tcW w:w="120" w:type="dxa"/>
            <w:vAlign w:val="bottom"/>
            <w:tcBorders>
              <w:top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480" w:type="dxa"/>
            <w:vAlign w:val="bottom"/>
            <w:tcBorders>
              <w:top w:val="single" w:sz="8" w:color="424E6A"/>
              <w:bottom w:val="single" w:sz="8" w:color="424E6A"/>
            </w:tcBorders>
          </w:tcPr>
          <w:p>
            <w:pPr>
              <w:jc w:val="right"/>
              <w:ind w:right="753"/>
              <w:spacing w:after="0"/>
              <w:rPr>
                <w:sz w:val="20"/>
                <w:szCs w:val="20"/>
                <w:color w:val="auto"/>
              </w:rPr>
            </w:pPr>
            <w:r>
              <w:rPr>
                <w:rFonts w:ascii="Arial" w:cs="Arial" w:eastAsia="Arial" w:hAnsi="Arial"/>
                <w:sz w:val="16"/>
                <w:szCs w:val="16"/>
                <w:b w:val="1"/>
                <w:bCs w:val="1"/>
                <w:color w:val="auto"/>
              </w:rPr>
              <w:t>2025 Results</w:t>
            </w:r>
          </w:p>
        </w:tc>
      </w:tr>
      <w:tr>
        <w:trPr>
          <w:trHeight w:val="202"/>
        </w:trPr>
        <w:tc>
          <w:tcPr>
            <w:tcW w:w="2620" w:type="dxa"/>
            <w:vAlign w:val="bottom"/>
          </w:tcPr>
          <w:p>
            <w:pPr>
              <w:ind w:left="60"/>
              <w:spacing w:after="0" w:line="201"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2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$2.900 billion</w:t>
            </w:r>
          </w:p>
        </w:tc>
        <w:tc>
          <w:tcPr>
            <w:tcW w:w="120" w:type="dxa"/>
            <w:vAlign w:val="bottom"/>
            <w:tcBorders>
              <w:right w:val="single" w:sz="8" w:color="424E6A"/>
            </w:tcBorders>
          </w:tcPr>
          <w:p>
            <w:pPr>
              <w:spacing w:after="0"/>
              <w:rPr>
                <w:sz w:val="17"/>
                <w:szCs w:val="17"/>
                <w:color w:val="auto"/>
              </w:rPr>
            </w:pPr>
          </w:p>
        </w:tc>
        <w:tc>
          <w:tcPr>
            <w:tcW w:w="2700" w:type="dxa"/>
            <w:vAlign w:val="bottom"/>
            <w:gridSpan w:val="2"/>
          </w:tcPr>
          <w:p>
            <w:pPr>
              <w:jc w:val="right"/>
              <w:ind w:right="1473"/>
              <w:spacing w:after="0" w:line="201" w:lineRule="exact"/>
              <w:rPr>
                <w:sz w:val="20"/>
                <w:szCs w:val="20"/>
                <w:color w:val="auto"/>
              </w:rPr>
            </w:pPr>
            <w:r>
              <w:rPr>
                <w:rFonts w:ascii="Arial" w:cs="Arial" w:eastAsia="Arial" w:hAnsi="Arial"/>
                <w:sz w:val="18"/>
                <w:szCs w:val="18"/>
                <w:color w:val="auto"/>
              </w:rPr>
              <w:t>$2.833 billion</w:t>
            </w:r>
          </w:p>
        </w:tc>
      </w:tr>
      <w:tr>
        <w:trPr>
          <w:trHeight w:val="278"/>
        </w:trPr>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20" w:type="dxa"/>
            <w:vAlign w:val="bottom"/>
            <w:tcBorders>
              <w:bottom w:val="single" w:sz="8" w:color="424E6A"/>
            </w:tcBorders>
          </w:tcPr>
          <w:p>
            <w:pPr>
              <w:spacing w:after="0"/>
              <w:rPr>
                <w:sz w:val="24"/>
                <w:szCs w:val="24"/>
                <w:color w:val="auto"/>
              </w:rPr>
            </w:pPr>
          </w:p>
        </w:tc>
        <w:tc>
          <w:tcPr>
            <w:tcW w:w="12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r>
      <w:tr>
        <w:trPr>
          <w:trHeight w:val="277"/>
        </w:trPr>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Implied DCF per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264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424E6A"/>
              <w:right w:val="single" w:sz="8" w:color="424E6A"/>
            </w:tcBorders>
          </w:tcPr>
          <w:p>
            <w:pPr>
              <w:spacing w:after="0"/>
              <w:rPr>
                <w:sz w:val="24"/>
                <w:szCs w:val="24"/>
                <w:color w:val="auto"/>
              </w:rPr>
            </w:pPr>
          </w:p>
        </w:tc>
        <w:tc>
          <w:tcPr>
            <w:tcW w:w="2700" w:type="dxa"/>
            <w:vAlign w:val="bottom"/>
            <w:tcBorders>
              <w:bottom w:val="single" w:sz="8" w:color="424E6A"/>
            </w:tcBorders>
            <w:gridSpan w:val="2"/>
          </w:tcPr>
          <w:p>
            <w:pPr>
              <w:ind w:left="80"/>
              <w:spacing w:after="0"/>
              <w:rPr>
                <w:sz w:val="20"/>
                <w:szCs w:val="20"/>
                <w:color w:val="auto"/>
              </w:rPr>
            </w:pPr>
            <w:r>
              <w:rPr>
                <w:rFonts w:ascii="Arial" w:cs="Arial" w:eastAsia="Arial" w:hAnsi="Arial"/>
                <w:sz w:val="18"/>
                <w:szCs w:val="18"/>
                <w:color w:val="auto"/>
              </w:rPr>
              <w:t>$2.61</w:t>
            </w:r>
          </w:p>
        </w:tc>
      </w:tr>
      <w:tr>
        <w:trPr>
          <w:trHeight w:val="245"/>
        </w:trPr>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w w:val="98"/>
              </w:rPr>
              <w:t>Total Preventable Recordable</w:t>
            </w:r>
          </w:p>
        </w:tc>
        <w:tc>
          <w:tcPr>
            <w:tcW w:w="120" w:type="dxa"/>
            <w:vAlign w:val="bottom"/>
            <w:tcBorders>
              <w:right w:val="single" w:sz="8" w:color="424E6A"/>
            </w:tcBorders>
          </w:tcPr>
          <w:p>
            <w:pPr>
              <w:spacing w:after="0"/>
              <w:rPr>
                <w:sz w:val="21"/>
                <w:szCs w:val="21"/>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493"/>
              <w:spacing w:after="0"/>
              <w:rPr>
                <w:sz w:val="20"/>
                <w:szCs w:val="20"/>
                <w:color w:val="auto"/>
              </w:rPr>
            </w:pPr>
            <w:r>
              <w:rPr>
                <w:rFonts w:ascii="Arial" w:cs="Arial" w:eastAsia="Arial" w:hAnsi="Arial"/>
                <w:sz w:val="18"/>
                <w:szCs w:val="18"/>
                <w:color w:val="auto"/>
              </w:rPr>
              <w:t>TRIR: 0.22</w:t>
            </w:r>
          </w:p>
        </w:tc>
      </w:tr>
      <w:tr>
        <w:trPr>
          <w:trHeight w:val="279"/>
        </w:trPr>
        <w:tc>
          <w:tcPr>
            <w:tcW w:w="2620" w:type="dxa"/>
            <w:vAlign w:val="bottom"/>
          </w:tcPr>
          <w:p>
            <w:pPr>
              <w:spacing w:after="0"/>
              <w:rPr>
                <w:sz w:val="24"/>
                <w:szCs w:val="24"/>
                <w:color w:val="auto"/>
              </w:rPr>
            </w:pPr>
          </w:p>
        </w:tc>
        <w:tc>
          <w:tcPr>
            <w:tcW w:w="100" w:type="dxa"/>
            <w:vAlign w:val="bottom"/>
            <w:tcBorders>
              <w:right w:val="single" w:sz="8" w:color="424E6A"/>
            </w:tcBorders>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Injury Rate (TRIR): 0.25</w:t>
            </w:r>
          </w:p>
        </w:tc>
        <w:tc>
          <w:tcPr>
            <w:tcW w:w="120" w:type="dxa"/>
            <w:vAlign w:val="bottom"/>
            <w:tcBorders>
              <w:right w:val="single" w:sz="8" w:color="424E6A"/>
            </w:tcBorders>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533"/>
              <w:spacing w:after="0"/>
              <w:rPr>
                <w:sz w:val="20"/>
                <w:szCs w:val="20"/>
                <w:color w:val="auto"/>
              </w:rPr>
            </w:pPr>
            <w:r>
              <w:rPr>
                <w:rFonts w:ascii="Arial" w:cs="Arial" w:eastAsia="Arial" w:hAnsi="Arial"/>
                <w:sz w:val="18"/>
                <w:szCs w:val="18"/>
                <w:color w:val="auto"/>
              </w:rPr>
              <w:t>OPRR: 10</w:t>
            </w:r>
          </w:p>
        </w:tc>
      </w:tr>
      <w:tr>
        <w:trPr>
          <w:trHeight w:val="247"/>
        </w:trPr>
        <w:tc>
          <w:tcPr>
            <w:tcW w:w="2620" w:type="dxa"/>
            <w:vAlign w:val="bottom"/>
          </w:tcPr>
          <w:p>
            <w:pPr>
              <w:spacing w:after="0"/>
              <w:rPr>
                <w:sz w:val="21"/>
                <w:szCs w:val="21"/>
                <w:color w:val="auto"/>
              </w:rPr>
            </w:pP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rPr>
              <w:t>Off Property Reportable</w:t>
            </w:r>
          </w:p>
        </w:tc>
        <w:tc>
          <w:tcPr>
            <w:tcW w:w="120" w:type="dxa"/>
            <w:vAlign w:val="bottom"/>
            <w:tcBorders>
              <w:right w:val="single" w:sz="8" w:color="424E6A"/>
            </w:tcBorders>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39"/>
        </w:trPr>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Releases (OPRR): 10</w:t>
            </w:r>
          </w:p>
        </w:tc>
        <w:tc>
          <w:tcPr>
            <w:tcW w:w="12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0"/>
        </w:trPr>
        <w:tc>
          <w:tcPr>
            <w:tcW w:w="262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tcPr>
          <w:p>
            <w:pPr>
              <w:spacing w:after="0"/>
              <w:rPr>
                <w:sz w:val="4"/>
                <w:szCs w:val="4"/>
                <w:color w:val="auto"/>
              </w:rPr>
            </w:pPr>
          </w:p>
        </w:tc>
        <w:tc>
          <w:tcPr>
            <w:tcW w:w="220" w:type="dxa"/>
            <w:vAlign w:val="bottom"/>
            <w:tcBorders>
              <w:bottom w:val="single" w:sz="8" w:color="424E6A"/>
            </w:tcBorders>
          </w:tcPr>
          <w:p>
            <w:pPr>
              <w:spacing w:after="0"/>
              <w:rPr>
                <w:sz w:val="4"/>
                <w:szCs w:val="4"/>
                <w:color w:val="auto"/>
              </w:rPr>
            </w:pPr>
          </w:p>
        </w:tc>
        <w:tc>
          <w:tcPr>
            <w:tcW w:w="2420" w:type="dxa"/>
            <w:vAlign w:val="bottom"/>
            <w:tcBorders>
              <w:bottom w:val="single" w:sz="8" w:color="424E6A"/>
            </w:tcBorders>
          </w:tcPr>
          <w:p>
            <w:pPr>
              <w:spacing w:after="0"/>
              <w:rPr>
                <w:sz w:val="4"/>
                <w:szCs w:val="4"/>
                <w:color w:val="auto"/>
              </w:rPr>
            </w:pPr>
          </w:p>
        </w:tc>
        <w:tc>
          <w:tcPr>
            <w:tcW w:w="120" w:type="dxa"/>
            <w:vAlign w:val="bottom"/>
            <w:tcBorders>
              <w:bottom w:val="single" w:sz="8" w:color="424E6A"/>
              <w:right w:val="single" w:sz="8" w:color="424E6A"/>
            </w:tcBorders>
          </w:tcPr>
          <w:p>
            <w:pPr>
              <w:spacing w:after="0"/>
              <w:rPr>
                <w:sz w:val="4"/>
                <w:szCs w:val="4"/>
                <w:color w:val="auto"/>
              </w:rPr>
            </w:pPr>
          </w:p>
        </w:tc>
        <w:tc>
          <w:tcPr>
            <w:tcW w:w="220" w:type="dxa"/>
            <w:vAlign w:val="bottom"/>
            <w:tcBorders>
              <w:bottom w:val="single" w:sz="8" w:color="424E6A"/>
            </w:tcBorders>
          </w:tcPr>
          <w:p>
            <w:pPr>
              <w:spacing w:after="0"/>
              <w:rPr>
                <w:sz w:val="4"/>
                <w:szCs w:val="4"/>
                <w:color w:val="auto"/>
              </w:rPr>
            </w:pPr>
          </w:p>
        </w:tc>
        <w:tc>
          <w:tcPr>
            <w:tcW w:w="2480" w:type="dxa"/>
            <w:vAlign w:val="bottom"/>
            <w:tcBorders>
              <w:bottom w:val="single" w:sz="8" w:color="424E6A"/>
            </w:tcBorders>
          </w:tcPr>
          <w:p>
            <w:pPr>
              <w:spacing w:after="0"/>
              <w:rPr>
                <w:sz w:val="4"/>
                <w:szCs w:val="4"/>
                <w:color w:val="auto"/>
              </w:rPr>
            </w:pPr>
          </w:p>
        </w:tc>
      </w:tr>
      <w:tr>
        <w:trPr>
          <w:trHeight w:val="250"/>
        </w:trPr>
        <w:tc>
          <w:tcPr>
            <w:tcW w:w="2620" w:type="dxa"/>
            <w:vAlign w:val="bottom"/>
            <w:shd w:val="clear" w:color="auto" w:fill="D9DCE1"/>
          </w:tcPr>
          <w:p>
            <w:pPr>
              <w:ind w:left="60"/>
              <w:spacing w:after="0"/>
              <w:rPr>
                <w:sz w:val="20"/>
                <w:szCs w:val="20"/>
                <w:color w:val="auto"/>
              </w:rPr>
            </w:pPr>
            <w:r>
              <w:rPr>
                <w:rFonts w:ascii="Arial" w:cs="Arial" w:eastAsia="Arial" w:hAnsi="Arial"/>
                <w:sz w:val="16"/>
                <w:szCs w:val="16"/>
                <w:b w:val="1"/>
                <w:bCs w:val="1"/>
                <w:color w:val="auto"/>
              </w:rPr>
              <w:t>Qualitative Goals</w:t>
            </w:r>
            <w:r>
              <w:rPr>
                <w:rFonts w:ascii="Arial" w:cs="Arial" w:eastAsia="Arial" w:hAnsi="Arial"/>
                <w:sz w:val="17"/>
                <w:szCs w:val="17"/>
                <w:b w:val="1"/>
                <w:bCs w:val="1"/>
                <w:color w:val="auto"/>
              </w:rPr>
              <w:t>​</w:t>
            </w:r>
          </w:p>
        </w:tc>
        <w:tc>
          <w:tcPr>
            <w:tcW w:w="100" w:type="dxa"/>
            <w:vAlign w:val="bottom"/>
            <w:tcBorders>
              <w:right w:val="single" w:sz="8" w:color="D9DCE1"/>
            </w:tcBorders>
            <w:shd w:val="clear" w:color="auto" w:fill="D9DCE1"/>
          </w:tcPr>
          <w:p>
            <w:pPr>
              <w:spacing w:after="0"/>
              <w:rPr>
                <w:sz w:val="21"/>
                <w:szCs w:val="21"/>
                <w:color w:val="auto"/>
              </w:rPr>
            </w:pPr>
          </w:p>
        </w:tc>
        <w:tc>
          <w:tcPr>
            <w:tcW w:w="220" w:type="dxa"/>
            <w:vAlign w:val="bottom"/>
            <w:shd w:val="clear" w:color="auto" w:fill="D9DCE1"/>
          </w:tcPr>
          <w:p>
            <w:pPr>
              <w:spacing w:after="0"/>
              <w:rPr>
                <w:sz w:val="21"/>
                <w:szCs w:val="21"/>
                <w:color w:val="auto"/>
              </w:rPr>
            </w:pPr>
          </w:p>
        </w:tc>
        <w:tc>
          <w:tcPr>
            <w:tcW w:w="2420" w:type="dxa"/>
            <w:vAlign w:val="bottom"/>
            <w:shd w:val="clear" w:color="auto" w:fill="D9DCE1"/>
          </w:tcPr>
          <w:p>
            <w:pPr>
              <w:spacing w:after="0"/>
              <w:rPr>
                <w:sz w:val="21"/>
                <w:szCs w:val="21"/>
                <w:color w:val="auto"/>
              </w:rPr>
            </w:pPr>
          </w:p>
        </w:tc>
        <w:tc>
          <w:tcPr>
            <w:tcW w:w="120" w:type="dxa"/>
            <w:vAlign w:val="bottom"/>
            <w:tcBorders>
              <w:right w:val="single" w:sz="8" w:color="D9DCE1"/>
            </w:tcBorders>
            <w:shd w:val="clear" w:color="auto" w:fill="D9DCE1"/>
          </w:tcPr>
          <w:p>
            <w:pPr>
              <w:spacing w:after="0"/>
              <w:rPr>
                <w:sz w:val="21"/>
                <w:szCs w:val="21"/>
                <w:color w:val="auto"/>
              </w:rPr>
            </w:pPr>
          </w:p>
        </w:tc>
        <w:tc>
          <w:tcPr>
            <w:tcW w:w="220" w:type="dxa"/>
            <w:vAlign w:val="bottom"/>
            <w:shd w:val="clear" w:color="auto" w:fill="D9DCE1"/>
          </w:tcPr>
          <w:p>
            <w:pPr>
              <w:spacing w:after="0"/>
              <w:rPr>
                <w:sz w:val="21"/>
                <w:szCs w:val="21"/>
                <w:color w:val="auto"/>
              </w:rPr>
            </w:pPr>
          </w:p>
        </w:tc>
        <w:tc>
          <w:tcPr>
            <w:tcW w:w="2480" w:type="dxa"/>
            <w:vAlign w:val="bottom"/>
            <w:shd w:val="clear" w:color="auto" w:fill="D9DCE1"/>
          </w:tcPr>
          <w:p>
            <w:pPr>
              <w:spacing w:after="0"/>
              <w:rPr>
                <w:sz w:val="21"/>
                <w:szCs w:val="21"/>
                <w:color w:val="auto"/>
              </w:rPr>
            </w:pPr>
          </w:p>
        </w:tc>
      </w:tr>
    </w:tbl>
    <w:p>
      <w:pPr>
        <w:spacing w:after="0" w:line="49" w:lineRule="exact"/>
        <w:rPr>
          <w:sz w:val="20"/>
          <w:szCs w:val="20"/>
          <w:color w:val="auto"/>
        </w:rPr>
      </w:pPr>
    </w:p>
    <w:p>
      <w:pPr>
        <w:ind w:left="1520" w:right="759" w:hanging="179"/>
        <w:spacing w:after="0" w:line="268"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maintain financial flexibility and liquidity; maintain leverage ratio comfortably in range of 3.25x to 3.75x; generate meaningful free cash flow and increase returns of free cash flow after distributions to unitholders.</w:t>
      </w:r>
    </w:p>
    <w:p>
      <w:pPr>
        <w:spacing w:after="0" w:line="49" w:lineRule="exact"/>
        <w:rPr>
          <w:rFonts w:ascii="Arial" w:cs="Arial" w:eastAsia="Arial" w:hAnsi="Arial"/>
          <w:sz w:val="18"/>
          <w:szCs w:val="18"/>
          <w:color w:val="auto"/>
        </w:rPr>
      </w:pPr>
    </w:p>
    <w:p>
      <w:pPr>
        <w:jc w:val="both"/>
        <w:ind w:left="1520" w:right="699" w:hanging="179"/>
        <w:spacing w:after="0" w:line="268"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completing our capital program and maintaining prudent risk adjusted return hurdles for projects under development; advance key projects that will support future growth and returns; and enhance existing assets.</w:t>
      </w:r>
    </w:p>
    <w:p>
      <w:pPr>
        <w:spacing w:after="0" w:line="49" w:lineRule="exact"/>
        <w:rPr>
          <w:rFonts w:ascii="Arial" w:cs="Arial" w:eastAsia="Arial" w:hAnsi="Arial"/>
          <w:sz w:val="18"/>
          <w:szCs w:val="18"/>
          <w:color w:val="auto"/>
        </w:rPr>
      </w:pPr>
    </w:p>
    <w:p>
      <w:pPr>
        <w:ind w:left="1520" w:right="499" w:hanging="179"/>
        <w:spacing w:after="0" w:line="282" w:lineRule="auto"/>
        <w:tabs>
          <w:tab w:leader="none" w:pos="15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Operations and Management</w:t>
      </w:r>
      <w:r>
        <w:rPr>
          <w:rFonts w:ascii="Arial" w:cs="Arial" w:eastAsia="Arial" w:hAnsi="Arial"/>
          <w:sz w:val="17"/>
          <w:szCs w:val="17"/>
          <w:color w:val="auto"/>
        </w:rPr>
        <w:t>: advance and complete key programs and initiatives, including efforts designed to streamline and improve the efficiency of our operations, systems and processes; progress health, safety and environmental goals; and advance key initiatives related to leadership and career development and succession planning, employee engagement, and employee wellbeing.</w:t>
      </w:r>
    </w:p>
    <w:p>
      <w:pPr>
        <w:spacing w:after="0" w:line="80" w:lineRule="exact"/>
        <w:rPr>
          <w:rFonts w:ascii="Arial" w:cs="Arial" w:eastAsia="Arial" w:hAnsi="Arial"/>
          <w:sz w:val="17"/>
          <w:szCs w:val="17"/>
          <w:color w:val="auto"/>
        </w:rPr>
      </w:pPr>
    </w:p>
    <w:p>
      <w:pPr>
        <w:ind w:left="1980" w:right="599" w:hanging="279"/>
        <w:spacing w:after="0" w:line="259" w:lineRule="auto"/>
        <w:tabs>
          <w:tab w:leader="none" w:pos="1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75 of PAA’s Annual Report on Form 10-K for the year ended December 31, 2025 as filed with the SEC (File No. 001-14569).</w:t>
      </w:r>
    </w:p>
    <w:p>
      <w:pPr>
        <w:spacing w:after="0" w:line="206" w:lineRule="exact"/>
        <w:rPr>
          <w:sz w:val="20"/>
          <w:szCs w:val="20"/>
          <w:color w:val="auto"/>
        </w:rPr>
      </w:pPr>
    </w:p>
    <w:p>
      <w:pPr>
        <w:ind w:left="1260" w:right="559" w:firstLine="360"/>
        <w:spacing w:after="0" w:line="303" w:lineRule="auto"/>
        <w:rPr>
          <w:sz w:val="20"/>
          <w:szCs w:val="20"/>
          <w:color w:val="auto"/>
        </w:rPr>
      </w:pPr>
      <w:r>
        <w:rPr>
          <w:rFonts w:ascii="Arial" w:cs="Arial" w:eastAsia="Arial" w:hAnsi="Arial"/>
          <w:sz w:val="18"/>
          <w:szCs w:val="18"/>
          <w:color w:val="auto"/>
        </w:rPr>
        <w:t>Set forth below is a brief recap of our 2025 performance relative to our goals and objectives for the year:</w:t>
      </w:r>
    </w:p>
    <w:p>
      <w:pPr>
        <w:spacing w:after="0" w:line="58" w:lineRule="exact"/>
        <w:rPr>
          <w:sz w:val="20"/>
          <w:szCs w:val="20"/>
          <w:color w:val="auto"/>
        </w:rPr>
      </w:pPr>
    </w:p>
    <w:p>
      <w:pPr>
        <w:ind w:left="1800" w:right="51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and DCF per CUE, our actual results were below plan by approximately 2% and 3%, respectively. The underperformance was driven primarily by lower prices and pipeline loss allowance revenues offset by favorable NGL market opportunities, trucking cost optimization efforts and two months of EBITDA contributions from the EPIC acquisition.</w:t>
      </w:r>
    </w:p>
    <w:p>
      <w:pPr>
        <w:spacing w:after="0" w:line="98"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exited the year with a leverage ratio of 3.9x (above our leverage ratio target range) primarily driven by debt issued to fund the EPIC acquisition. The leverage ratio is expected to return to approximately the midpoint of our target range following receipt of proceeds from the pending sale of our Canadian NGL business.</w:t>
      </w:r>
    </w:p>
    <w:p>
      <w:pPr>
        <w:spacing w:after="0" w:line="81" w:lineRule="exact"/>
        <w:rPr>
          <w:rFonts w:ascii="Arial" w:cs="Arial" w:eastAsia="Arial" w:hAnsi="Arial"/>
          <w:sz w:val="18"/>
          <w:szCs w:val="18"/>
          <w:color w:val="auto"/>
        </w:rPr>
      </w:pPr>
    </w:p>
    <w:p>
      <w:pPr>
        <w:ind w:left="1800" w:right="59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achieved a record low total preventable recordable injury rate (“TRIR”) of 0.22, and reduced injury severity.</w:t>
      </w:r>
    </w:p>
    <w:p>
      <w:pPr>
        <w:spacing w:after="0" w:line="71" w:lineRule="exact"/>
        <w:rPr>
          <w:rFonts w:ascii="Arial" w:cs="Arial" w:eastAsia="Arial" w:hAnsi="Arial"/>
          <w:sz w:val="18"/>
          <w:szCs w:val="18"/>
          <w:color w:val="auto"/>
        </w:rPr>
      </w:pPr>
    </w:p>
    <w:p>
      <w:pPr>
        <w:ind w:left="1800" w:right="53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met our target for off-property reportable releases (“OPRR”) of 10 and achieved a record low number of total reportable releases.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8"/>
          <w:szCs w:val="18"/>
          <w:color w:val="auto"/>
        </w:rPr>
        <w:t>In developing his annual bonus recommendations, our CEO primarily considered the quantitative factors and context described above. Other factors noted by our CEO as being relevant to his assessment of our 2025 performance included the following:</w:t>
      </w:r>
    </w:p>
    <w:p>
      <w:pPr>
        <w:spacing w:after="0" w:line="63" w:lineRule="exact"/>
        <w:rPr>
          <w:sz w:val="20"/>
          <w:szCs w:val="20"/>
          <w:color w:val="auto"/>
        </w:rPr>
      </w:pPr>
    </w:p>
    <w:p>
      <w:pPr>
        <w:ind w:left="1800" w:right="93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Reached an agreement to sell our Canadian NGL business to Keyera Corp. at an attractive valuation of approximately $3.75 billion, with closing targeted for May 2026.</w:t>
      </w:r>
    </w:p>
    <w:p>
      <w:pPr>
        <w:spacing w:after="0" w:line="58" w:lineRule="exact"/>
        <w:rPr>
          <w:rFonts w:ascii="Arial" w:cs="Arial" w:eastAsia="Arial" w:hAnsi="Arial"/>
          <w:sz w:val="18"/>
          <w:szCs w:val="18"/>
          <w:color w:val="auto"/>
        </w:rPr>
      </w:pPr>
    </w:p>
    <w:p>
      <w:pPr>
        <w:ind w:left="1800" w:right="739" w:hanging="180"/>
        <w:spacing w:after="0" w:line="262"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Proactively redeployed the anticipated NGL sale proceeds to acquire the Permian EPIC crude system for approximately $2.90 billion in a transaction that was immediately accretive to distributable cash flow (DCF) and provided Plains with a higher quality and more durable cash flow stream.</w:t>
      </w:r>
    </w:p>
    <w:p>
      <w:pPr>
        <w:spacing w:after="0" w:line="68"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Further advanced our bolt-on acquisition strategy by completing five additional transactions for aggregate purchase price consideration of approximately $800 million net to Plains.</w:t>
      </w:r>
    </w:p>
    <w:p>
      <w:pPr>
        <w:spacing w:after="0" w:line="44" w:lineRule="exact"/>
        <w:rPr>
          <w:rFonts w:ascii="Arial" w:cs="Arial" w:eastAsia="Arial" w:hAnsi="Arial"/>
          <w:sz w:val="18"/>
          <w:szCs w:val="18"/>
          <w:color w:val="auto"/>
        </w:rPr>
      </w:pPr>
    </w:p>
    <w:p>
      <w:pPr>
        <w:ind w:left="1800" w:right="81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Maintained top-quartile health, safety and environmental (HSE) performance despite multiple concurrent initiatives and organizational changes.</w:t>
      </w:r>
    </w:p>
    <w:p>
      <w:pPr>
        <w:spacing w:after="0" w:line="44"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key long-haul contracts in the Permian Basin and significantly expanded our dedicated acreage.</w:t>
      </w:r>
    </w:p>
    <w:p>
      <w:pPr>
        <w:spacing w:after="0" w:line="44" w:lineRule="exact"/>
        <w:rPr>
          <w:rFonts w:ascii="Arial" w:cs="Arial" w:eastAsia="Arial" w:hAnsi="Arial"/>
          <w:sz w:val="18"/>
          <w:szCs w:val="18"/>
          <w:color w:val="auto"/>
        </w:rPr>
      </w:pPr>
    </w:p>
    <w:p>
      <w:pPr>
        <w:ind w:left="1800" w:right="699" w:hanging="180"/>
        <w:spacing w:after="0" w:line="268"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Strengthened our financial flexibility through the issuance and refinancing of senior notes, refinancing EPIC’s term loan at lower rates, repurchasing a portion of our outstanding Series A preferred units and the extension of the maturity of our credit facilities.</w:t>
      </w:r>
    </w:p>
    <w:p>
      <w:pPr>
        <w:spacing w:after="0" w:line="62" w:lineRule="exact"/>
        <w:rPr>
          <w:rFonts w:ascii="Arial" w:cs="Arial" w:eastAsia="Arial" w:hAnsi="Arial"/>
          <w:sz w:val="18"/>
          <w:szCs w:val="18"/>
          <w:color w:val="auto"/>
        </w:rPr>
      </w:pPr>
    </w:p>
    <w:p>
      <w:pPr>
        <w:ind w:left="1800" w:right="95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Significantly advanced efforts related to optimization, streamlining, efficiency and other cost reduction initiatives and opportunities.</w:t>
      </w:r>
    </w:p>
    <w:p>
      <w:pPr>
        <w:spacing w:after="0" w:line="44" w:lineRule="exact"/>
        <w:rPr>
          <w:rFonts w:ascii="Arial" w:cs="Arial" w:eastAsia="Arial" w:hAnsi="Arial"/>
          <w:sz w:val="18"/>
          <w:szCs w:val="18"/>
          <w:color w:val="auto"/>
        </w:rPr>
      </w:pPr>
    </w:p>
    <w:p>
      <w:pPr>
        <w:ind w:left="1800" w:right="579" w:hanging="180"/>
        <w:spacing w:after="0" w:line="318"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Advanced our leadership development, succession planning and employee career development efforts, and continued to enhance employee communication, engagement and wellbeing.</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2025 Compensation Elements</w:t>
      </w:r>
    </w:p>
    <w:p>
      <w:pPr>
        <w:spacing w:after="0" w:line="15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For 2025, the elements of compensation were applied as described below.</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February 2025, the Compensation Committee recommended and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a $50,000 increase to Mr. Chiang’s annual base salary. Base salaries for the other NEOs were increased by approximately 3.6% to 7.3% depending on position. The 2025 annual base salaries for our NEOs were as follows:</w:t>
      </w:r>
    </w:p>
    <w:p>
      <w:pPr>
        <w:spacing w:after="0" w:line="155" w:lineRule="exact"/>
        <w:rPr>
          <w:sz w:val="20"/>
          <w:szCs w:val="20"/>
          <w:color w:val="auto"/>
        </w:rPr>
      </w:pPr>
    </w:p>
    <w:tbl>
      <w:tblPr>
        <w:tblLayout w:type="fixed"/>
        <w:tblInd w:w="1630" w:type="dxa"/>
        <w:tblCellMar>
          <w:top w:w="0" w:type="dxa"/>
          <w:left w:w="0" w:type="dxa"/>
          <w:bottom w:w="0" w:type="dxa"/>
          <w:right w:w="0" w:type="dxa"/>
        </w:tblCellMar>
      </w:tblPr>
      <w:tr>
        <w:trPr>
          <w:trHeight w:val="270"/>
        </w:trPr>
        <w:tc>
          <w:tcPr>
            <w:tcW w:w="5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20" w:type="dxa"/>
            <w:vAlign w:val="bottom"/>
            <w:shd w:val="clear" w:color="auto" w:fill="424E6A"/>
          </w:tcPr>
          <w:p>
            <w:pPr>
              <w:ind w:left="46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gridSpan w:val="2"/>
            <w:shd w:val="clear" w:color="auto" w:fill="424E6A"/>
          </w:tcPr>
          <w:p>
            <w:pPr>
              <w:ind w:left="500"/>
              <w:spacing w:after="0"/>
              <w:rPr>
                <w:sz w:val="20"/>
                <w:szCs w:val="20"/>
                <w:color w:val="auto"/>
              </w:rPr>
            </w:pPr>
            <w:r>
              <w:rPr>
                <w:rFonts w:ascii="Arial" w:cs="Arial" w:eastAsia="Arial" w:hAnsi="Arial"/>
                <w:sz w:val="14"/>
                <w:szCs w:val="14"/>
                <w:b w:val="1"/>
                <w:bCs w:val="1"/>
                <w:color w:val="FFFFFF"/>
              </w:rPr>
              <w:t>​ ​</w:t>
            </w:r>
          </w:p>
        </w:tc>
        <w:tc>
          <w:tcPr>
            <w:tcW w:w="24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6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31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$900,000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$570,000</w:t>
            </w:r>
          </w:p>
        </w:tc>
        <w:tc>
          <w:tcPr>
            <w:tcW w:w="6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$590,000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$625,000</w:t>
            </w:r>
          </w:p>
        </w:tc>
        <w:tc>
          <w:tcPr>
            <w:tcW w:w="6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There were no adjustments to the annual bonus targets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in 2025. The 2025 annual bonus targets for our NEOs, expressed as a percentage of base salary, were as follows:</w:t>
      </w:r>
    </w:p>
    <w:p>
      <w:pPr>
        <w:spacing w:after="0" w:line="162"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540" w:type="dxa"/>
            <w:vAlign w:val="bottom"/>
            <w:tcBorders>
              <w:left w:val="single" w:sz="8" w:color="424E6A"/>
            </w:tcBorders>
            <w:shd w:val="clear" w:color="auto" w:fill="424E6A"/>
          </w:tcPr>
          <w:p>
            <w:pPr>
              <w:spacing w:after="0"/>
              <w:rPr>
                <w:sz w:val="17"/>
                <w:szCs w:val="17"/>
                <w:color w:val="auto"/>
              </w:rPr>
            </w:pPr>
          </w:p>
        </w:tc>
        <w:tc>
          <w:tcPr>
            <w:tcW w:w="2620" w:type="dxa"/>
            <w:vAlign w:val="bottom"/>
            <w:shd w:val="clear" w:color="auto" w:fill="424E6A"/>
          </w:tcPr>
          <w:p>
            <w:pPr>
              <w:spacing w:after="0"/>
              <w:rPr>
                <w:sz w:val="17"/>
                <w:szCs w:val="17"/>
                <w:color w:val="auto"/>
              </w:rPr>
            </w:pPr>
          </w:p>
        </w:tc>
        <w:tc>
          <w:tcPr>
            <w:tcW w:w="560" w:type="dxa"/>
            <w:vAlign w:val="bottom"/>
            <w:tcBorders>
              <w:right w:val="single" w:sz="8" w:color="424E6A"/>
            </w:tcBorders>
            <w:shd w:val="clear" w:color="auto" w:fill="424E6A"/>
          </w:tcPr>
          <w:p>
            <w:pPr>
              <w:spacing w:after="0"/>
              <w:rPr>
                <w:sz w:val="17"/>
                <w:szCs w:val="17"/>
                <w:color w:val="auto"/>
              </w:rPr>
            </w:pPr>
          </w:p>
        </w:tc>
        <w:tc>
          <w:tcPr>
            <w:tcW w:w="440" w:type="dxa"/>
            <w:vAlign w:val="bottom"/>
            <w:shd w:val="clear" w:color="auto" w:fill="424E6A"/>
          </w:tcPr>
          <w:p>
            <w:pPr>
              <w:spacing w:after="0"/>
              <w:rPr>
                <w:sz w:val="17"/>
                <w:szCs w:val="17"/>
                <w:color w:val="auto"/>
              </w:rPr>
            </w:pPr>
          </w:p>
        </w:tc>
        <w:tc>
          <w:tcPr>
            <w:tcW w:w="2900" w:type="dxa"/>
            <w:vAlign w:val="bottom"/>
            <w:shd w:val="clear" w:color="auto" w:fill="424E6A"/>
          </w:tcPr>
          <w:p>
            <w:pPr>
              <w:ind w:left="720"/>
              <w:spacing w:after="0"/>
              <w:rPr>
                <w:sz w:val="20"/>
                <w:szCs w:val="20"/>
                <w:color w:val="auto"/>
              </w:rPr>
            </w:pPr>
            <w:r>
              <w:rPr>
                <w:rFonts w:ascii="Arial" w:cs="Arial" w:eastAsia="Arial" w:hAnsi="Arial"/>
                <w:sz w:val="14"/>
                <w:szCs w:val="14"/>
                <w:b w:val="1"/>
                <w:bCs w:val="1"/>
                <w:color w:val="FFFFFF"/>
              </w:rPr>
              <w:t>Annual Bonus Target</w:t>
            </w:r>
          </w:p>
        </w:tc>
        <w:tc>
          <w:tcPr>
            <w:tcW w:w="420" w:type="dxa"/>
            <w:vAlign w:val="bottom"/>
            <w:tcBorders>
              <w:right w:val="single" w:sz="8" w:color="424E6A"/>
            </w:tcBorders>
            <w:shd w:val="clear" w:color="auto" w:fill="424E6A"/>
          </w:tcPr>
          <w:p>
            <w:pPr>
              <w:spacing w:after="0"/>
              <w:rPr>
                <w:sz w:val="17"/>
                <w:szCs w:val="17"/>
                <w:color w:val="auto"/>
              </w:rPr>
            </w:pPr>
          </w:p>
        </w:tc>
      </w:tr>
      <w:tr>
        <w:trPr>
          <w:trHeight w:val="212"/>
        </w:trPr>
        <w:tc>
          <w:tcPr>
            <w:tcW w:w="5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20" w:type="dxa"/>
            <w:vAlign w:val="bottom"/>
            <w:shd w:val="clear" w:color="auto" w:fill="424E6A"/>
          </w:tcPr>
          <w:p>
            <w:pPr>
              <w:ind w:left="460"/>
              <w:spacing w:after="0"/>
              <w:rPr>
                <w:sz w:val="20"/>
                <w:szCs w:val="20"/>
                <w:color w:val="auto"/>
              </w:rPr>
            </w:pPr>
            <w:r>
              <w:rPr>
                <w:rFonts w:ascii="Arial" w:cs="Arial" w:eastAsia="Arial" w:hAnsi="Arial"/>
                <w:sz w:val="14"/>
                <w:szCs w:val="14"/>
                <w:b w:val="1"/>
                <w:bCs w:val="1"/>
                <w:color w:val="FFFFFF"/>
              </w:rPr>
              <w:t>Named Executive Officer</w:t>
            </w:r>
          </w:p>
        </w:tc>
        <w:tc>
          <w:tcPr>
            <w:tcW w:w="1000" w:type="dxa"/>
            <w:vAlign w:val="bottom"/>
            <w:gridSpan w:val="2"/>
            <w:shd w:val="clear" w:color="auto" w:fill="424E6A"/>
          </w:tcPr>
          <w:p>
            <w:pPr>
              <w:ind w:left="500"/>
              <w:spacing w:after="0"/>
              <w:rPr>
                <w:sz w:val="20"/>
                <w:szCs w:val="20"/>
                <w:color w:val="auto"/>
              </w:rPr>
            </w:pPr>
            <w:r>
              <w:rPr>
                <w:rFonts w:ascii="Arial" w:cs="Arial" w:eastAsia="Arial" w:hAnsi="Arial"/>
                <w:sz w:val="14"/>
                <w:szCs w:val="14"/>
                <w:b w:val="1"/>
                <w:bCs w:val="1"/>
                <w:color w:val="FFFFFF"/>
              </w:rPr>
              <w:t>​ ​</w:t>
            </w:r>
          </w:p>
        </w:tc>
        <w:tc>
          <w:tcPr>
            <w:tcW w:w="2900" w:type="dxa"/>
            <w:vAlign w:val="bottom"/>
            <w:shd w:val="clear" w:color="auto" w:fill="424E6A"/>
          </w:tcPr>
          <w:p>
            <w:pPr>
              <w:ind w:left="340"/>
              <w:spacing w:after="0"/>
              <w:rPr>
                <w:sz w:val="20"/>
                <w:szCs w:val="20"/>
                <w:color w:val="auto"/>
              </w:rPr>
            </w:pPr>
            <w:r>
              <w:rPr>
                <w:rFonts w:ascii="Arial" w:cs="Arial" w:eastAsia="Arial" w:hAnsi="Arial"/>
                <w:sz w:val="14"/>
                <w:szCs w:val="14"/>
                <w:b w:val="1"/>
                <w:bCs w:val="1"/>
                <w:color w:val="FFFFFF"/>
              </w:rPr>
              <w:t>(as a Percentage of Base Salary)</w:t>
            </w:r>
          </w:p>
        </w:tc>
        <w:tc>
          <w:tcPr>
            <w:tcW w:w="4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7"/>
        </w:trPr>
        <w:tc>
          <w:tcPr>
            <w:tcW w:w="31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goals (and weightings) for 2025 cash incentive awards established at the beginning of the year were company performance (60% overall weighting allocated among Adjusted EBITDA attributable to PAA (40%), DCF per CUE (40%) and safety/environmental (20%)) and individual performance (40% weighting). The minimum and maximum payout levels of 0% and 200%, respectively, for Adjusted EBITDA attributable to PAA and DCF per CUE were set at approximately 93% and 107%, respectively, of the applicable target with linear interpolation between those points. The minimum and maximum payout levels of 0% and 200%, respectively, for safety (TRIR) and environmental (OPRR) metrics were set at a range of between 0.36 (min) to 0.14 (max) for TRIR and a range of between 15 (min) and 5 (max) for OPRR, in both cases with linear interpolation between those points. Individual performance metric payouts were determined by the Compensation Committee based on its assessment of individual contributions towards achieving our 2025 goals and objectives.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Company Performance (60% weight)</w:t>
      </w:r>
    </w:p>
    <w:p>
      <w:pPr>
        <w:spacing w:after="0" w:line="15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table below reflects the weighting, payout range and actual results for each company performance metric. Individual performance scores and payout calculations are set forth below under “—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3" w:lineRule="exact"/>
        <w:rPr>
          <w:sz w:val="20"/>
          <w:szCs w:val="20"/>
          <w:color w:val="auto"/>
        </w:rPr>
      </w:pPr>
    </w:p>
    <w:tbl>
      <w:tblPr>
        <w:tblLayout w:type="fixed"/>
        <w:tblInd w:w="1270" w:type="dxa"/>
        <w:tblCellMar>
          <w:top w:w="0" w:type="dxa"/>
          <w:left w:w="0" w:type="dxa"/>
          <w:bottom w:w="0" w:type="dxa"/>
          <w:right w:w="0" w:type="dxa"/>
        </w:tblCellMar>
      </w:tblPr>
      <w:tr>
        <w:trPr>
          <w:trHeight w:val="335"/>
        </w:trPr>
        <w:tc>
          <w:tcPr>
            <w:tcW w:w="26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Company Performance Metrics</w:t>
            </w:r>
          </w:p>
        </w:tc>
        <w:tc>
          <w:tcPr>
            <w:tcW w:w="2260" w:type="dxa"/>
            <w:vAlign w:val="bottom"/>
            <w:gridSpan w:val="6"/>
            <w:shd w:val="clear" w:color="auto" w:fill="424E6A"/>
          </w:tcPr>
          <w:p>
            <w:pPr>
              <w:ind w:left="6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Weight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Target</w:t>
            </w:r>
          </w:p>
        </w:tc>
        <w:tc>
          <w:tcPr>
            <w:tcW w:w="260" w:type="dxa"/>
            <w:vAlign w:val="bottom"/>
            <w:shd w:val="clear" w:color="auto" w:fill="424E6A"/>
          </w:tcPr>
          <w:p>
            <w:pPr>
              <w:ind w:left="20"/>
              <w:spacing w:after="0"/>
              <w:rPr>
                <w:sz w:val="20"/>
                <w:szCs w:val="20"/>
                <w:color w:val="auto"/>
              </w:rPr>
            </w:pPr>
            <w:r>
              <w:rPr>
                <w:rFonts w:ascii="Arial" w:cs="Arial" w:eastAsia="Arial" w:hAnsi="Arial"/>
                <w:sz w:val="14"/>
                <w:szCs w:val="14"/>
                <w:b w:val="1"/>
                <w:bCs w:val="1"/>
                <w:color w:val="FFFFFF"/>
              </w:rPr>
              <w:t>​ ​</w:t>
            </w:r>
          </w:p>
        </w:tc>
        <w:tc>
          <w:tcPr>
            <w:tcW w:w="460" w:type="dxa"/>
            <w:vAlign w:val="bottom"/>
            <w:shd w:val="clear" w:color="auto" w:fill="424E6A"/>
          </w:tcPr>
          <w:p>
            <w:pPr>
              <w:jc w:val="right"/>
              <w:ind w:right="95"/>
              <w:spacing w:after="0"/>
              <w:rPr>
                <w:sz w:val="20"/>
                <w:szCs w:val="20"/>
                <w:color w:val="auto"/>
              </w:rPr>
            </w:pPr>
            <w:r>
              <w:rPr>
                <w:rFonts w:ascii="Arial" w:cs="Arial" w:eastAsia="Arial" w:hAnsi="Arial"/>
                <w:sz w:val="14"/>
                <w:szCs w:val="14"/>
                <w:b w:val="1"/>
                <w:bCs w:val="1"/>
                <w:color w:val="FFFFFF"/>
                <w:w w:val="95"/>
              </w:rPr>
              <w:t>Max</w:t>
            </w:r>
          </w:p>
        </w:tc>
        <w:tc>
          <w:tcPr>
            <w:tcW w:w="700" w:type="dxa"/>
            <w:vAlign w:val="bottom"/>
            <w:gridSpan w:val="2"/>
            <w:shd w:val="clear" w:color="auto" w:fill="424E6A"/>
          </w:tcPr>
          <w:p>
            <w:pPr>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Result</w:t>
            </w:r>
          </w:p>
        </w:tc>
        <w:tc>
          <w:tcPr>
            <w:tcW w:w="1020" w:type="dxa"/>
            <w:vAlign w:val="bottom"/>
            <w:gridSpan w:val="3"/>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Payout % </w:t>
            </w:r>
            <w:r>
              <w:rPr>
                <w:rFonts w:ascii="Arial" w:cs="Arial" w:eastAsia="Arial" w:hAnsi="Arial"/>
                <w:sz w:val="28"/>
                <w:szCs w:val="28"/>
                <w:b w:val="1"/>
                <w:bCs w:val="1"/>
                <w:color w:val="FFFFFF"/>
                <w:vertAlign w:val="subscript"/>
              </w:rPr>
              <w:t>​ ​</w:t>
            </w:r>
          </w:p>
        </w:tc>
        <w:tc>
          <w:tcPr>
            <w:tcW w:w="70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Wgtd %</w:t>
            </w:r>
          </w:p>
        </w:tc>
        <w:tc>
          <w:tcPr>
            <w:tcW w:w="160" w:type="dxa"/>
            <w:vAlign w:val="bottom"/>
            <w:tcBorders>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66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Adjusted EBITDA attributable to</w:t>
            </w:r>
          </w:p>
        </w:tc>
        <w:tc>
          <w:tcPr>
            <w:tcW w:w="240" w:type="dxa"/>
            <w:vAlign w:val="bottom"/>
            <w:shd w:val="clear" w:color="auto" w:fill="D9DCE1"/>
          </w:tcPr>
          <w:p>
            <w:pPr>
              <w:spacing w:after="0"/>
              <w:rPr>
                <w:sz w:val="21"/>
                <w:szCs w:val="21"/>
                <w:color w:val="auto"/>
              </w:rPr>
            </w:pPr>
          </w:p>
        </w:tc>
        <w:tc>
          <w:tcPr>
            <w:tcW w:w="260" w:type="dxa"/>
            <w:vAlign w:val="bottom"/>
            <w:shd w:val="clear" w:color="auto" w:fill="D9DCE1"/>
          </w:tcPr>
          <w:p>
            <w:pPr>
              <w:spacing w:after="0"/>
              <w:rPr>
                <w:sz w:val="21"/>
                <w:szCs w:val="21"/>
                <w:color w:val="auto"/>
              </w:rPr>
            </w:pPr>
          </w:p>
        </w:tc>
        <w:tc>
          <w:tcPr>
            <w:tcW w:w="540" w:type="dxa"/>
            <w:vAlign w:val="bottom"/>
            <w:shd w:val="clear" w:color="auto" w:fill="D9DCE1"/>
          </w:tcPr>
          <w:p>
            <w:pPr>
              <w:spacing w:after="0"/>
              <w:rPr>
                <w:sz w:val="21"/>
                <w:szCs w:val="21"/>
                <w:color w:val="auto"/>
              </w:rPr>
            </w:pPr>
          </w:p>
        </w:tc>
        <w:tc>
          <w:tcPr>
            <w:tcW w:w="440" w:type="dxa"/>
            <w:vAlign w:val="bottom"/>
            <w:shd w:val="clear" w:color="auto" w:fill="D9DCE1"/>
          </w:tcPr>
          <w:p>
            <w:pPr>
              <w:spacing w:after="0"/>
              <w:rPr>
                <w:sz w:val="21"/>
                <w:szCs w:val="21"/>
                <w:color w:val="auto"/>
              </w:rPr>
            </w:pPr>
          </w:p>
        </w:tc>
        <w:tc>
          <w:tcPr>
            <w:tcW w:w="360" w:type="dxa"/>
            <w:vAlign w:val="bottom"/>
            <w:shd w:val="clear" w:color="auto" w:fill="D9DCE1"/>
          </w:tcPr>
          <w:p>
            <w:pPr>
              <w:spacing w:after="0"/>
              <w:rPr>
                <w:sz w:val="21"/>
                <w:szCs w:val="21"/>
                <w:color w:val="auto"/>
              </w:rPr>
            </w:pPr>
          </w:p>
        </w:tc>
        <w:tc>
          <w:tcPr>
            <w:tcW w:w="420" w:type="dxa"/>
            <w:vAlign w:val="bottom"/>
            <w:shd w:val="clear" w:color="auto" w:fill="D9DCE1"/>
          </w:tcPr>
          <w:p>
            <w:pPr>
              <w:spacing w:after="0"/>
              <w:rPr>
                <w:sz w:val="21"/>
                <w:szCs w:val="21"/>
                <w:color w:val="auto"/>
              </w:rPr>
            </w:pPr>
          </w:p>
        </w:tc>
        <w:tc>
          <w:tcPr>
            <w:tcW w:w="260" w:type="dxa"/>
            <w:vAlign w:val="bottom"/>
            <w:shd w:val="clear" w:color="auto" w:fill="D9DCE1"/>
          </w:tcPr>
          <w:p>
            <w:pPr>
              <w:spacing w:after="0"/>
              <w:rPr>
                <w:sz w:val="21"/>
                <w:szCs w:val="21"/>
                <w:color w:val="auto"/>
              </w:rPr>
            </w:pPr>
          </w:p>
        </w:tc>
        <w:tc>
          <w:tcPr>
            <w:tcW w:w="460" w:type="dxa"/>
            <w:vAlign w:val="bottom"/>
            <w:shd w:val="clear" w:color="auto" w:fill="D9DCE1"/>
          </w:tcPr>
          <w:p>
            <w:pPr>
              <w:spacing w:after="0"/>
              <w:rPr>
                <w:sz w:val="21"/>
                <w:szCs w:val="21"/>
                <w:color w:val="auto"/>
              </w:rPr>
            </w:pPr>
          </w:p>
        </w:tc>
        <w:tc>
          <w:tcPr>
            <w:tcW w:w="280" w:type="dxa"/>
            <w:vAlign w:val="bottom"/>
            <w:shd w:val="clear" w:color="auto" w:fill="D9DCE1"/>
          </w:tcPr>
          <w:p>
            <w:pPr>
              <w:spacing w:after="0"/>
              <w:rPr>
                <w:sz w:val="21"/>
                <w:szCs w:val="21"/>
                <w:color w:val="auto"/>
              </w:rPr>
            </w:pPr>
          </w:p>
        </w:tc>
        <w:tc>
          <w:tcPr>
            <w:tcW w:w="420" w:type="dxa"/>
            <w:vAlign w:val="bottom"/>
            <w:shd w:val="clear" w:color="auto" w:fill="D9DCE1"/>
          </w:tcPr>
          <w:p>
            <w:pPr>
              <w:spacing w:after="0"/>
              <w:rPr>
                <w:sz w:val="21"/>
                <w:szCs w:val="21"/>
                <w:color w:val="auto"/>
              </w:rPr>
            </w:pPr>
          </w:p>
        </w:tc>
        <w:tc>
          <w:tcPr>
            <w:tcW w:w="220" w:type="dxa"/>
            <w:vAlign w:val="bottom"/>
            <w:shd w:val="clear" w:color="auto" w:fill="D9DCE1"/>
          </w:tcPr>
          <w:p>
            <w:pPr>
              <w:spacing w:after="0"/>
              <w:rPr>
                <w:sz w:val="21"/>
                <w:szCs w:val="21"/>
                <w:color w:val="auto"/>
              </w:rPr>
            </w:pPr>
          </w:p>
        </w:tc>
        <w:tc>
          <w:tcPr>
            <w:tcW w:w="340" w:type="dxa"/>
            <w:vAlign w:val="bottom"/>
            <w:shd w:val="clear" w:color="auto" w:fill="D9DCE1"/>
          </w:tcPr>
          <w:p>
            <w:pPr>
              <w:spacing w:after="0"/>
              <w:rPr>
                <w:sz w:val="21"/>
                <w:szCs w:val="21"/>
                <w:color w:val="auto"/>
              </w:rPr>
            </w:pPr>
          </w:p>
        </w:tc>
        <w:tc>
          <w:tcPr>
            <w:tcW w:w="460" w:type="dxa"/>
            <w:vAlign w:val="bottom"/>
            <w:shd w:val="clear" w:color="auto" w:fill="D9DCE1"/>
          </w:tcPr>
          <w:p>
            <w:pPr>
              <w:spacing w:after="0"/>
              <w:rPr>
                <w:sz w:val="21"/>
                <w:szCs w:val="21"/>
                <w:color w:val="auto"/>
              </w:rPr>
            </w:pPr>
          </w:p>
        </w:tc>
        <w:tc>
          <w:tcPr>
            <w:tcW w:w="700" w:type="dxa"/>
            <w:vAlign w:val="bottom"/>
            <w:shd w:val="clear" w:color="auto" w:fill="D9DCE1"/>
          </w:tcPr>
          <w:p>
            <w:pPr>
              <w:spacing w:after="0"/>
              <w:rPr>
                <w:sz w:val="21"/>
                <w:szCs w:val="21"/>
                <w:color w:val="auto"/>
              </w:rPr>
            </w:pPr>
          </w:p>
        </w:tc>
        <w:tc>
          <w:tcPr>
            <w:tcW w:w="160" w:type="dxa"/>
            <w:vAlign w:val="bottom"/>
            <w:tcBorders>
              <w:right w:val="single" w:sz="8" w:color="424E6A"/>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6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PAA (dollars in millions)</w:t>
            </w:r>
          </w:p>
        </w:tc>
        <w:tc>
          <w:tcPr>
            <w:tcW w:w="24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24E6A"/>
            </w:tcBorders>
            <w:gridSpan w:val="3"/>
            <w:shd w:val="clear" w:color="auto" w:fill="D9DCE1"/>
          </w:tcPr>
          <w:p>
            <w:pPr>
              <w:ind w:left="60"/>
              <w:spacing w:after="0"/>
              <w:rPr>
                <w:sz w:val="20"/>
                <w:szCs w:val="20"/>
                <w:color w:val="auto"/>
              </w:rPr>
            </w:pPr>
            <w:r>
              <w:rPr>
                <w:rFonts w:ascii="Arial" w:cs="Arial" w:eastAsia="Arial" w:hAnsi="Arial"/>
                <w:sz w:val="18"/>
                <w:szCs w:val="18"/>
                <w:color w:val="auto"/>
              </w:rPr>
              <w:t>​40%​​​ ​$2,700</w:t>
            </w:r>
          </w:p>
        </w:tc>
        <w:tc>
          <w:tcPr>
            <w:tcW w:w="7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​​​​$2,900</w:t>
            </w:r>
          </w:p>
        </w:tc>
        <w:tc>
          <w:tcPr>
            <w:tcW w:w="72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8"/>
                <w:szCs w:val="18"/>
                <w:color w:val="auto"/>
              </w:rPr>
              <w:t>​​​$3,100</w:t>
            </w:r>
          </w:p>
        </w:tc>
        <w:tc>
          <w:tcPr>
            <w:tcW w:w="700" w:type="dxa"/>
            <w:vAlign w:val="bottom"/>
            <w:tcBorders>
              <w:bottom w:val="single" w:sz="8" w:color="424E6A"/>
            </w:tcBorders>
            <w:gridSpan w:val="2"/>
            <w:shd w:val="clear" w:color="auto" w:fill="D9DCE1"/>
          </w:tcPr>
          <w:p>
            <w:pPr>
              <w:spacing w:after="0"/>
              <w:rPr>
                <w:sz w:val="20"/>
                <w:szCs w:val="20"/>
                <w:color w:val="auto"/>
              </w:rPr>
            </w:pPr>
            <w:r>
              <w:rPr>
                <w:rFonts w:ascii="Arial" w:cs="Arial" w:eastAsia="Arial" w:hAnsi="Arial"/>
                <w:sz w:val="18"/>
                <w:szCs w:val="18"/>
                <w:color w:val="auto"/>
              </w:rPr>
              <w:t>​​​$2,833</w:t>
            </w:r>
          </w:p>
        </w:tc>
        <w:tc>
          <w:tcPr>
            <w:tcW w:w="2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 67%​​​</w:t>
            </w:r>
          </w:p>
        </w:tc>
        <w:tc>
          <w:tcPr>
            <w:tcW w:w="70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Implied DCF/CUE</w:t>
            </w:r>
          </w:p>
        </w:tc>
        <w:tc>
          <w:tcPr>
            <w:tcW w:w="2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4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424E6A"/>
            </w:tcBorders>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53%</w:t>
            </w:r>
            <w:r>
              <w:rPr>
                <w:rFonts w:ascii="Arial" w:cs="Arial" w:eastAsia="Arial" w:hAnsi="Arial"/>
                <w:sz w:val="15"/>
                <w:szCs w:val="15"/>
                <w:color w:val="auto"/>
              </w:rPr>
              <w:t>​​​</w:t>
            </w:r>
          </w:p>
        </w:tc>
        <w:tc>
          <w:tcPr>
            <w:tcW w:w="70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6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24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w:t>
            </w:r>
          </w:p>
        </w:tc>
        <w:tc>
          <w:tcPr>
            <w:tcW w:w="4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0.36</w:t>
            </w: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bottom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127%</w:t>
            </w:r>
            <w:r>
              <w:rPr>
                <w:rFonts w:ascii="Arial" w:cs="Arial" w:eastAsia="Arial" w:hAnsi="Arial"/>
                <w:sz w:val="15"/>
                <w:szCs w:val="15"/>
                <w:color w:val="auto"/>
              </w:rPr>
              <w:t>​​​</w:t>
            </w:r>
          </w:p>
        </w:tc>
        <w:tc>
          <w:tcPr>
            <w:tcW w:w="70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Environmental (OPRR)</w:t>
            </w:r>
          </w:p>
        </w:tc>
        <w:tc>
          <w:tcPr>
            <w:tcW w:w="2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w:t>
            </w:r>
          </w:p>
        </w:tc>
        <w:tc>
          <w:tcPr>
            <w:tcW w:w="44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100%</w:t>
            </w:r>
            <w:r>
              <w:rPr>
                <w:rFonts w:ascii="Arial" w:cs="Arial" w:eastAsia="Arial" w:hAnsi="Arial"/>
                <w:sz w:val="15"/>
                <w:szCs w:val="15"/>
                <w:color w:val="auto"/>
              </w:rPr>
              <w:t>​​​</w:t>
            </w:r>
          </w:p>
        </w:tc>
        <w:tc>
          <w:tcPr>
            <w:tcW w:w="70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6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Company Performance Subtotal</w:t>
            </w:r>
          </w:p>
        </w:tc>
        <w:tc>
          <w:tcPr>
            <w:tcW w:w="24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424E6A"/>
            </w:tcBorders>
            <w:shd w:val="clear" w:color="auto" w:fill="D9DCE1"/>
          </w:tcPr>
          <w:p>
            <w:pPr>
              <w:spacing w:after="0"/>
              <w:rPr>
                <w:sz w:val="21"/>
                <w:szCs w:val="21"/>
                <w:color w:val="auto"/>
              </w:rPr>
            </w:pP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shd w:val="clear" w:color="auto" w:fill="D9DCE1"/>
          </w:tcPr>
          <w:p>
            <w:pPr>
              <w:spacing w:after="0"/>
              <w:rPr>
                <w:sz w:val="21"/>
                <w:szCs w:val="21"/>
                <w:color w:val="auto"/>
              </w:rPr>
            </w:pPr>
          </w:p>
        </w:tc>
        <w:tc>
          <w:tcPr>
            <w:tcW w:w="26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spacing w:after="0"/>
              <w:rPr>
                <w:sz w:val="21"/>
                <w:szCs w:val="21"/>
                <w:color w:val="auto"/>
              </w:rPr>
            </w:pPr>
          </w:p>
        </w:tc>
        <w:tc>
          <w:tcPr>
            <w:tcW w:w="280" w:type="dxa"/>
            <w:vAlign w:val="bottom"/>
            <w:tcBorders>
              <w:bottom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shd w:val="clear" w:color="auto" w:fill="D9DCE1"/>
          </w:tcPr>
          <w:p>
            <w:pPr>
              <w:spacing w:after="0"/>
              <w:rPr>
                <w:sz w:val="21"/>
                <w:szCs w:val="21"/>
                <w:color w:val="auto"/>
              </w:rPr>
            </w:pPr>
          </w:p>
        </w:tc>
        <w:tc>
          <w:tcPr>
            <w:tcW w:w="2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70%</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60" w:type="dxa"/>
            <w:vAlign w:val="bottom"/>
            <w:tcBorders>
              <w:left w:val="single" w:sz="8" w:color="424E6A"/>
              <w:bottom w:val="single" w:sz="8" w:color="424E6A"/>
            </w:tcBorders>
          </w:tcPr>
          <w:p>
            <w:pPr>
              <w:ind w:left="60"/>
              <w:spacing w:after="0" w:line="250" w:lineRule="exact"/>
              <w:rPr>
                <w:sz w:val="20"/>
                <w:szCs w:val="20"/>
                <w:color w:val="auto"/>
              </w:rPr>
            </w:pPr>
            <w:r>
              <w:rPr>
                <w:rFonts w:ascii="Arial" w:cs="Arial" w:eastAsia="Arial" w:hAnsi="Arial"/>
                <w:sz w:val="18"/>
                <w:szCs w:val="18"/>
                <w:color w:val="auto"/>
              </w:rPr>
              <w:t>Adjustment</w:t>
            </w:r>
            <w:r>
              <w:rPr>
                <w:rFonts w:ascii="Arial" w:cs="Arial" w:eastAsia="Arial" w:hAnsi="Arial"/>
                <w:sz w:val="23"/>
                <w:szCs w:val="23"/>
                <w:color w:val="auto"/>
                <w:vertAlign w:val="superscript"/>
              </w:rPr>
              <w:t>(1)</w:t>
            </w:r>
          </w:p>
        </w:tc>
        <w:tc>
          <w:tcPr>
            <w:tcW w:w="2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424E6A"/>
            </w:tcBorders>
          </w:tcPr>
          <w:p>
            <w:pPr>
              <w:spacing w:after="0"/>
              <w:rPr>
                <w:sz w:val="21"/>
                <w:szCs w:val="21"/>
                <w:color w:val="auto"/>
              </w:rPr>
            </w:pPr>
          </w:p>
        </w:tc>
        <w:tc>
          <w:tcPr>
            <w:tcW w:w="3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66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i w:val="1"/>
                <w:iCs w:val="1"/>
                <w:color w:val="auto"/>
              </w:rPr>
              <w:t>Adjusted Final Company</w:t>
            </w:r>
          </w:p>
        </w:tc>
        <w:tc>
          <w:tcPr>
            <w:tcW w:w="240" w:type="dxa"/>
            <w:vAlign w:val="bottom"/>
            <w:shd w:val="clear" w:color="auto" w:fill="D9DCE1"/>
          </w:tcPr>
          <w:p>
            <w:pPr>
              <w:spacing w:after="0"/>
              <w:rPr>
                <w:sz w:val="21"/>
                <w:szCs w:val="21"/>
                <w:color w:val="auto"/>
              </w:rPr>
            </w:pPr>
          </w:p>
        </w:tc>
        <w:tc>
          <w:tcPr>
            <w:tcW w:w="260" w:type="dxa"/>
            <w:vAlign w:val="bottom"/>
            <w:shd w:val="clear" w:color="auto" w:fill="D9DCE1"/>
          </w:tcPr>
          <w:p>
            <w:pPr>
              <w:spacing w:after="0"/>
              <w:rPr>
                <w:sz w:val="21"/>
                <w:szCs w:val="21"/>
                <w:color w:val="auto"/>
              </w:rPr>
            </w:pPr>
          </w:p>
        </w:tc>
        <w:tc>
          <w:tcPr>
            <w:tcW w:w="540" w:type="dxa"/>
            <w:vAlign w:val="bottom"/>
            <w:shd w:val="clear" w:color="auto" w:fill="D9DCE1"/>
          </w:tcPr>
          <w:p>
            <w:pPr>
              <w:spacing w:after="0"/>
              <w:rPr>
                <w:sz w:val="21"/>
                <w:szCs w:val="21"/>
                <w:color w:val="auto"/>
              </w:rPr>
            </w:pPr>
          </w:p>
        </w:tc>
        <w:tc>
          <w:tcPr>
            <w:tcW w:w="440" w:type="dxa"/>
            <w:vAlign w:val="bottom"/>
            <w:shd w:val="clear" w:color="auto" w:fill="D9DCE1"/>
          </w:tcPr>
          <w:p>
            <w:pPr>
              <w:spacing w:after="0"/>
              <w:rPr>
                <w:sz w:val="21"/>
                <w:szCs w:val="21"/>
                <w:color w:val="auto"/>
              </w:rPr>
            </w:pPr>
          </w:p>
        </w:tc>
        <w:tc>
          <w:tcPr>
            <w:tcW w:w="360" w:type="dxa"/>
            <w:vAlign w:val="bottom"/>
            <w:shd w:val="clear" w:color="auto" w:fill="D9DCE1"/>
          </w:tcPr>
          <w:p>
            <w:pPr>
              <w:spacing w:after="0"/>
              <w:rPr>
                <w:sz w:val="21"/>
                <w:szCs w:val="21"/>
                <w:color w:val="auto"/>
              </w:rPr>
            </w:pPr>
          </w:p>
        </w:tc>
        <w:tc>
          <w:tcPr>
            <w:tcW w:w="420" w:type="dxa"/>
            <w:vAlign w:val="bottom"/>
            <w:shd w:val="clear" w:color="auto" w:fill="D9DCE1"/>
          </w:tcPr>
          <w:p>
            <w:pPr>
              <w:spacing w:after="0"/>
              <w:rPr>
                <w:sz w:val="21"/>
                <w:szCs w:val="21"/>
                <w:color w:val="auto"/>
              </w:rPr>
            </w:pPr>
          </w:p>
        </w:tc>
        <w:tc>
          <w:tcPr>
            <w:tcW w:w="260" w:type="dxa"/>
            <w:vAlign w:val="bottom"/>
            <w:shd w:val="clear" w:color="auto" w:fill="D9DCE1"/>
          </w:tcPr>
          <w:p>
            <w:pPr>
              <w:spacing w:after="0"/>
              <w:rPr>
                <w:sz w:val="21"/>
                <w:szCs w:val="21"/>
                <w:color w:val="auto"/>
              </w:rPr>
            </w:pPr>
          </w:p>
        </w:tc>
        <w:tc>
          <w:tcPr>
            <w:tcW w:w="460" w:type="dxa"/>
            <w:vAlign w:val="bottom"/>
            <w:shd w:val="clear" w:color="auto" w:fill="D9DCE1"/>
          </w:tcPr>
          <w:p>
            <w:pPr>
              <w:spacing w:after="0"/>
              <w:rPr>
                <w:sz w:val="21"/>
                <w:szCs w:val="21"/>
                <w:color w:val="auto"/>
              </w:rPr>
            </w:pPr>
          </w:p>
        </w:tc>
        <w:tc>
          <w:tcPr>
            <w:tcW w:w="280" w:type="dxa"/>
            <w:vAlign w:val="bottom"/>
            <w:shd w:val="clear" w:color="auto" w:fill="D9DCE1"/>
          </w:tcPr>
          <w:p>
            <w:pPr>
              <w:spacing w:after="0"/>
              <w:rPr>
                <w:sz w:val="21"/>
                <w:szCs w:val="21"/>
                <w:color w:val="auto"/>
              </w:rPr>
            </w:pPr>
          </w:p>
        </w:tc>
        <w:tc>
          <w:tcPr>
            <w:tcW w:w="420" w:type="dxa"/>
            <w:vAlign w:val="bottom"/>
            <w:shd w:val="clear" w:color="auto" w:fill="D9DCE1"/>
          </w:tcPr>
          <w:p>
            <w:pPr>
              <w:spacing w:after="0"/>
              <w:rPr>
                <w:sz w:val="21"/>
                <w:szCs w:val="21"/>
                <w:color w:val="auto"/>
              </w:rPr>
            </w:pPr>
          </w:p>
        </w:tc>
        <w:tc>
          <w:tcPr>
            <w:tcW w:w="220" w:type="dxa"/>
            <w:vAlign w:val="bottom"/>
            <w:shd w:val="clear" w:color="auto" w:fill="D9DCE1"/>
          </w:tcPr>
          <w:p>
            <w:pPr>
              <w:spacing w:after="0"/>
              <w:rPr>
                <w:sz w:val="21"/>
                <w:szCs w:val="21"/>
                <w:color w:val="auto"/>
              </w:rPr>
            </w:pPr>
          </w:p>
        </w:tc>
        <w:tc>
          <w:tcPr>
            <w:tcW w:w="340" w:type="dxa"/>
            <w:vAlign w:val="bottom"/>
            <w:shd w:val="clear" w:color="auto" w:fill="D9DCE1"/>
          </w:tcPr>
          <w:p>
            <w:pPr>
              <w:spacing w:after="0"/>
              <w:rPr>
                <w:sz w:val="21"/>
                <w:szCs w:val="21"/>
                <w:color w:val="auto"/>
              </w:rPr>
            </w:pPr>
          </w:p>
        </w:tc>
        <w:tc>
          <w:tcPr>
            <w:tcW w:w="460" w:type="dxa"/>
            <w:vAlign w:val="bottom"/>
            <w:shd w:val="clear" w:color="auto" w:fill="D9DCE1"/>
          </w:tcPr>
          <w:p>
            <w:pPr>
              <w:spacing w:after="0"/>
              <w:rPr>
                <w:sz w:val="21"/>
                <w:szCs w:val="21"/>
                <w:color w:val="auto"/>
              </w:rPr>
            </w:pPr>
          </w:p>
        </w:tc>
        <w:tc>
          <w:tcPr>
            <w:tcW w:w="700" w:type="dxa"/>
            <w:vAlign w:val="bottom"/>
            <w:shd w:val="clear" w:color="auto" w:fill="D9DCE1"/>
          </w:tcPr>
          <w:p>
            <w:pPr>
              <w:spacing w:after="0"/>
              <w:rPr>
                <w:sz w:val="21"/>
                <w:szCs w:val="21"/>
                <w:color w:val="auto"/>
              </w:rPr>
            </w:pPr>
          </w:p>
        </w:tc>
        <w:tc>
          <w:tcPr>
            <w:tcW w:w="160" w:type="dxa"/>
            <w:vAlign w:val="bottom"/>
            <w:tcBorders>
              <w:right w:val="single" w:sz="8" w:color="424E6A"/>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660" w:type="dxa"/>
            <w:vAlign w:val="bottom"/>
            <w:tcBorders>
              <w:left w:val="single" w:sz="8" w:color="424E6A"/>
            </w:tcBorders>
            <w:shd w:val="clear" w:color="auto" w:fill="D9DCE1"/>
          </w:tcPr>
          <w:p>
            <w:pPr>
              <w:ind w:left="240"/>
              <w:spacing w:after="0" w:line="184" w:lineRule="exact"/>
              <w:rPr>
                <w:sz w:val="20"/>
                <w:szCs w:val="20"/>
                <w:color w:val="auto"/>
              </w:rPr>
            </w:pPr>
            <w:r>
              <w:rPr>
                <w:rFonts w:ascii="Arial" w:cs="Arial" w:eastAsia="Arial" w:hAnsi="Arial"/>
                <w:sz w:val="17"/>
                <w:szCs w:val="17"/>
                <w:i w:val="1"/>
                <w:iCs w:val="1"/>
                <w:color w:val="auto"/>
              </w:rPr>
              <w:t>Performance Score</w:t>
            </w:r>
            <w:r>
              <w:rPr>
                <w:rFonts w:ascii="Arial" w:cs="Arial" w:eastAsia="Arial" w:hAnsi="Arial"/>
                <w:sz w:val="21"/>
                <w:szCs w:val="21"/>
                <w:i w:val="1"/>
                <w:iCs w:val="1"/>
                <w:color w:val="auto"/>
                <w:vertAlign w:val="superscript"/>
              </w:rPr>
              <w:t>(1)</w:t>
            </w:r>
          </w:p>
        </w:tc>
        <w:tc>
          <w:tcPr>
            <w:tcW w:w="240" w:type="dxa"/>
            <w:vAlign w:val="bottom"/>
            <w:vMerge w:val="restart"/>
            <w:shd w:val="clear" w:color="auto" w:fill="D9DCE1"/>
          </w:tcPr>
          <w:p>
            <w:pPr>
              <w:ind w:left="60"/>
              <w:spacing w:after="0"/>
              <w:rPr>
                <w:sz w:val="20"/>
                <w:szCs w:val="20"/>
                <w:color w:val="auto"/>
              </w:rPr>
            </w:pPr>
            <w:r>
              <w:rPr>
                <w:rFonts w:ascii="Arial" w:cs="Arial" w:eastAsia="Arial" w:hAnsi="Arial"/>
                <w:sz w:val="18"/>
                <w:szCs w:val="18"/>
                <w:i w:val="1"/>
                <w:iCs w:val="1"/>
                <w:color w:val="auto"/>
              </w:rPr>
              <w:t>​​</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8"/>
                <w:szCs w:val="18"/>
                <w:i w:val="1"/>
                <w:iCs w:val="1"/>
                <w:color w:val="auto"/>
              </w:rPr>
              <w:t>​</w:t>
            </w:r>
          </w:p>
        </w:tc>
        <w:tc>
          <w:tcPr>
            <w:tcW w:w="540" w:type="dxa"/>
            <w:vAlign w:val="bottom"/>
            <w:vMerge w:val="restart"/>
            <w:shd w:val="clear" w:color="auto" w:fill="D9DCE1"/>
          </w:tcPr>
          <w:p>
            <w:pPr>
              <w:ind w:left="160"/>
              <w:spacing w:after="0"/>
              <w:rPr>
                <w:sz w:val="20"/>
                <w:szCs w:val="20"/>
                <w:color w:val="auto"/>
              </w:rPr>
            </w:pPr>
            <w:r>
              <w:rPr>
                <w:rFonts w:ascii="Arial" w:cs="Arial" w:eastAsia="Arial" w:hAnsi="Arial"/>
                <w:sz w:val="18"/>
                <w:szCs w:val="18"/>
                <w:i w:val="1"/>
                <w:iCs w:val="1"/>
                <w:color w:val="auto"/>
              </w:rPr>
              <w:t>​​​ ​</w:t>
            </w:r>
          </w:p>
        </w:tc>
        <w:tc>
          <w:tcPr>
            <w:tcW w:w="440" w:type="dxa"/>
            <w:vAlign w:val="bottom"/>
            <w:shd w:val="clear" w:color="auto" w:fill="D9DCE1"/>
          </w:tcPr>
          <w:p>
            <w:pPr>
              <w:spacing w:after="0"/>
              <w:rPr>
                <w:sz w:val="15"/>
                <w:szCs w:val="15"/>
                <w:color w:val="auto"/>
              </w:rPr>
            </w:pPr>
          </w:p>
        </w:tc>
        <w:tc>
          <w:tcPr>
            <w:tcW w:w="360" w:type="dxa"/>
            <w:vAlign w:val="bottom"/>
            <w:vMerge w:val="restart"/>
            <w:shd w:val="clear" w:color="auto" w:fill="D9DCE1"/>
          </w:tcPr>
          <w:p>
            <w:pPr>
              <w:ind w:left="4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D9DCE1"/>
          </w:tcPr>
          <w:p>
            <w:pPr>
              <w:spacing w:after="0"/>
              <w:rPr>
                <w:sz w:val="15"/>
                <w:szCs w:val="15"/>
                <w:color w:val="auto"/>
              </w:rPr>
            </w:pPr>
          </w:p>
        </w:tc>
        <w:tc>
          <w:tcPr>
            <w:tcW w:w="260" w:type="dxa"/>
            <w:vAlign w:val="bottom"/>
            <w:vMerge w:val="restart"/>
            <w:shd w:val="clear" w:color="auto" w:fill="D9DCE1"/>
          </w:tcPr>
          <w:p>
            <w:pPr>
              <w:ind w:left="20"/>
              <w:spacing w:after="0"/>
              <w:rPr>
                <w:sz w:val="20"/>
                <w:szCs w:val="20"/>
                <w:color w:val="auto"/>
              </w:rPr>
            </w:pPr>
            <w:r>
              <w:rPr>
                <w:rFonts w:ascii="Arial" w:cs="Arial" w:eastAsia="Arial" w:hAnsi="Arial"/>
                <w:sz w:val="18"/>
                <w:szCs w:val="18"/>
                <w:i w:val="1"/>
                <w:iCs w:val="1"/>
                <w:color w:val="auto"/>
              </w:rPr>
              <w:t>​​​</w:t>
            </w:r>
          </w:p>
        </w:tc>
        <w:tc>
          <w:tcPr>
            <w:tcW w:w="460" w:type="dxa"/>
            <w:vAlign w:val="bottom"/>
            <w:shd w:val="clear" w:color="auto" w:fill="D9DCE1"/>
          </w:tcPr>
          <w:p>
            <w:pPr>
              <w:spacing w:after="0"/>
              <w:rPr>
                <w:sz w:val="15"/>
                <w:szCs w:val="15"/>
                <w:color w:val="auto"/>
              </w:rPr>
            </w:pPr>
          </w:p>
        </w:tc>
        <w:tc>
          <w:tcPr>
            <w:tcW w:w="280" w:type="dxa"/>
            <w:vAlign w:val="bottom"/>
            <w:vMerge w:val="restart"/>
            <w:shd w:val="clear" w:color="auto" w:fill="D9DCE1"/>
          </w:tcPr>
          <w:p>
            <w:pPr>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D9DCE1"/>
          </w:tcPr>
          <w:p>
            <w:pPr>
              <w:spacing w:after="0"/>
              <w:rPr>
                <w:sz w:val="15"/>
                <w:szCs w:val="15"/>
                <w:color w:val="auto"/>
              </w:rPr>
            </w:pPr>
          </w:p>
        </w:tc>
        <w:tc>
          <w:tcPr>
            <w:tcW w:w="220" w:type="dxa"/>
            <w:vAlign w:val="bottom"/>
            <w:vMerge w:val="restart"/>
            <w:shd w:val="clear" w:color="auto" w:fill="D9DCE1"/>
          </w:tcPr>
          <w:p>
            <w:pPr>
              <w:ind w:left="20"/>
              <w:spacing w:after="0"/>
              <w:rPr>
                <w:sz w:val="20"/>
                <w:szCs w:val="20"/>
                <w:color w:val="auto"/>
              </w:rPr>
            </w:pPr>
            <w:r>
              <w:rPr>
                <w:rFonts w:ascii="Arial" w:cs="Arial" w:eastAsia="Arial" w:hAnsi="Arial"/>
                <w:sz w:val="18"/>
                <w:szCs w:val="18"/>
                <w:i w:val="1"/>
                <w:iCs w:val="1"/>
                <w:color w:val="auto"/>
              </w:rPr>
              <w:t>​​</w:t>
            </w:r>
          </w:p>
        </w:tc>
        <w:tc>
          <w:tcPr>
            <w:tcW w:w="340" w:type="dxa"/>
            <w:vAlign w:val="bottom"/>
            <w:vMerge w:val="restart"/>
            <w:shd w:val="clear" w:color="auto" w:fill="D9DCE1"/>
          </w:tcPr>
          <w:p>
            <w:pPr>
              <w:ind w:left="80"/>
              <w:spacing w:after="0"/>
              <w:rPr>
                <w:sz w:val="20"/>
                <w:szCs w:val="20"/>
                <w:color w:val="auto"/>
              </w:rPr>
            </w:pPr>
            <w:r>
              <w:rPr>
                <w:rFonts w:ascii="Arial" w:cs="Arial" w:eastAsia="Arial" w:hAnsi="Arial"/>
                <w:sz w:val="18"/>
                <w:szCs w:val="18"/>
                <w:i w:val="1"/>
                <w:iCs w:val="1"/>
                <w:color w:val="auto"/>
              </w:rPr>
              <w:t>​</w:t>
            </w:r>
          </w:p>
        </w:tc>
        <w:tc>
          <w:tcPr>
            <w:tcW w:w="460" w:type="dxa"/>
            <w:vAlign w:val="bottom"/>
            <w:vMerge w:val="restart"/>
            <w:shd w:val="clear" w:color="auto" w:fill="D9DCE1"/>
          </w:tcPr>
          <w:p>
            <w:pPr>
              <w:jc w:val="right"/>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D9DCE1"/>
          </w:tcPr>
          <w:p>
            <w:pPr>
              <w:ind w:left="240"/>
              <w:spacing w:after="0" w:line="183" w:lineRule="exact"/>
              <w:rPr>
                <w:sz w:val="20"/>
                <w:szCs w:val="20"/>
                <w:color w:val="auto"/>
              </w:rPr>
            </w:pPr>
            <w:r>
              <w:rPr>
                <w:rFonts w:ascii="Arial" w:cs="Arial" w:eastAsia="Arial" w:hAnsi="Arial"/>
                <w:sz w:val="18"/>
                <w:szCs w:val="18"/>
                <w:i w:val="1"/>
                <w:iCs w:val="1"/>
                <w:color w:val="auto"/>
              </w:rPr>
              <w:t>85%</w:t>
            </w:r>
          </w:p>
        </w:tc>
        <w:tc>
          <w:tcPr>
            <w:tcW w:w="160" w:type="dxa"/>
            <w:vAlign w:val="bottom"/>
            <w:tcBorders>
              <w:right w:val="single" w:sz="8" w:color="424E6A"/>
            </w:tcBorders>
            <w:vMerge w:val="restart"/>
            <w:shd w:val="clear" w:color="auto" w:fill="D9DCE1"/>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08"/>
        </w:trPr>
        <w:tc>
          <w:tcPr>
            <w:tcW w:w="2660" w:type="dxa"/>
            <w:vAlign w:val="bottom"/>
            <w:tcBorders>
              <w:left w:val="single" w:sz="8" w:color="424E6A"/>
              <w:bottom w:val="single" w:sz="8" w:color="424E6A"/>
            </w:tcBorders>
            <w:shd w:val="clear" w:color="auto" w:fill="D9DCE1"/>
          </w:tcPr>
          <w:p>
            <w:pPr>
              <w:spacing w:after="0"/>
              <w:rPr>
                <w:sz w:val="9"/>
                <w:szCs w:val="9"/>
                <w:color w:val="auto"/>
              </w:rPr>
            </w:pPr>
          </w:p>
        </w:tc>
        <w:tc>
          <w:tcPr>
            <w:tcW w:w="240" w:type="dxa"/>
            <w:vAlign w:val="bottom"/>
            <w:tcBorders>
              <w:bottom w:val="single" w:sz="8" w:color="424E6A"/>
            </w:tcBorders>
            <w:vMerge w:val="continue"/>
            <w:shd w:val="clear" w:color="auto" w:fill="D9DCE1"/>
          </w:tcPr>
          <w:p>
            <w:pPr>
              <w:spacing w:after="0"/>
              <w:rPr>
                <w:sz w:val="9"/>
                <w:szCs w:val="9"/>
                <w:color w:val="auto"/>
              </w:rPr>
            </w:pPr>
          </w:p>
        </w:tc>
        <w:tc>
          <w:tcPr>
            <w:tcW w:w="260" w:type="dxa"/>
            <w:vAlign w:val="bottom"/>
            <w:tcBorders>
              <w:bottom w:val="single" w:sz="8" w:color="424E6A"/>
            </w:tcBorders>
            <w:vMerge w:val="continue"/>
            <w:shd w:val="clear" w:color="auto" w:fill="D9DCE1"/>
          </w:tcPr>
          <w:p>
            <w:pPr>
              <w:spacing w:after="0"/>
              <w:rPr>
                <w:sz w:val="9"/>
                <w:szCs w:val="9"/>
                <w:color w:val="auto"/>
              </w:rPr>
            </w:pPr>
          </w:p>
        </w:tc>
        <w:tc>
          <w:tcPr>
            <w:tcW w:w="540" w:type="dxa"/>
            <w:vAlign w:val="bottom"/>
            <w:tcBorders>
              <w:bottom w:val="single" w:sz="8" w:color="424E6A"/>
            </w:tcBorders>
            <w:vMerge w:val="continue"/>
            <w:shd w:val="clear" w:color="auto" w:fill="D9DCE1"/>
          </w:tcPr>
          <w:p>
            <w:pPr>
              <w:spacing w:after="0"/>
              <w:rPr>
                <w:sz w:val="9"/>
                <w:szCs w:val="9"/>
                <w:color w:val="auto"/>
              </w:rPr>
            </w:pPr>
          </w:p>
        </w:tc>
        <w:tc>
          <w:tcPr>
            <w:tcW w:w="440" w:type="dxa"/>
            <w:vAlign w:val="bottom"/>
            <w:tcBorders>
              <w:bottom w:val="single" w:sz="8" w:color="424E6A"/>
            </w:tcBorders>
            <w:shd w:val="clear" w:color="auto" w:fill="D9DCE1"/>
          </w:tcPr>
          <w:p>
            <w:pPr>
              <w:spacing w:after="0"/>
              <w:rPr>
                <w:sz w:val="9"/>
                <w:szCs w:val="9"/>
                <w:color w:val="auto"/>
              </w:rPr>
            </w:pPr>
          </w:p>
        </w:tc>
        <w:tc>
          <w:tcPr>
            <w:tcW w:w="360" w:type="dxa"/>
            <w:vAlign w:val="bottom"/>
            <w:tcBorders>
              <w:bottom w:val="single" w:sz="8" w:color="424E6A"/>
            </w:tcBorders>
            <w:vMerge w:val="continue"/>
            <w:shd w:val="clear" w:color="auto" w:fill="D9DCE1"/>
          </w:tcPr>
          <w:p>
            <w:pPr>
              <w:spacing w:after="0"/>
              <w:rPr>
                <w:sz w:val="9"/>
                <w:szCs w:val="9"/>
                <w:color w:val="auto"/>
              </w:rPr>
            </w:pPr>
          </w:p>
        </w:tc>
        <w:tc>
          <w:tcPr>
            <w:tcW w:w="420" w:type="dxa"/>
            <w:vAlign w:val="bottom"/>
            <w:tcBorders>
              <w:bottom w:val="single" w:sz="8" w:color="424E6A"/>
            </w:tcBorders>
            <w:shd w:val="clear" w:color="auto" w:fill="D9DCE1"/>
          </w:tcPr>
          <w:p>
            <w:pPr>
              <w:spacing w:after="0"/>
              <w:rPr>
                <w:sz w:val="9"/>
                <w:szCs w:val="9"/>
                <w:color w:val="auto"/>
              </w:rPr>
            </w:pPr>
          </w:p>
        </w:tc>
        <w:tc>
          <w:tcPr>
            <w:tcW w:w="260" w:type="dxa"/>
            <w:vAlign w:val="bottom"/>
            <w:tcBorders>
              <w:bottom w:val="single" w:sz="8" w:color="424E6A"/>
            </w:tcBorders>
            <w:vMerge w:val="continue"/>
            <w:shd w:val="clear" w:color="auto" w:fill="D9DCE1"/>
          </w:tcPr>
          <w:p>
            <w:pPr>
              <w:spacing w:after="0"/>
              <w:rPr>
                <w:sz w:val="9"/>
                <w:szCs w:val="9"/>
                <w:color w:val="auto"/>
              </w:rPr>
            </w:pPr>
          </w:p>
        </w:tc>
        <w:tc>
          <w:tcPr>
            <w:tcW w:w="460" w:type="dxa"/>
            <w:vAlign w:val="bottom"/>
            <w:tcBorders>
              <w:bottom w:val="single" w:sz="8" w:color="424E6A"/>
            </w:tcBorders>
            <w:shd w:val="clear" w:color="auto" w:fill="D9DCE1"/>
          </w:tcPr>
          <w:p>
            <w:pPr>
              <w:spacing w:after="0"/>
              <w:rPr>
                <w:sz w:val="9"/>
                <w:szCs w:val="9"/>
                <w:color w:val="auto"/>
              </w:rPr>
            </w:pPr>
          </w:p>
        </w:tc>
        <w:tc>
          <w:tcPr>
            <w:tcW w:w="280" w:type="dxa"/>
            <w:vAlign w:val="bottom"/>
            <w:tcBorders>
              <w:bottom w:val="single" w:sz="8" w:color="424E6A"/>
            </w:tcBorders>
            <w:vMerge w:val="continue"/>
            <w:shd w:val="clear" w:color="auto" w:fill="D9DCE1"/>
          </w:tcPr>
          <w:p>
            <w:pPr>
              <w:spacing w:after="0"/>
              <w:rPr>
                <w:sz w:val="9"/>
                <w:szCs w:val="9"/>
                <w:color w:val="auto"/>
              </w:rPr>
            </w:pPr>
          </w:p>
        </w:tc>
        <w:tc>
          <w:tcPr>
            <w:tcW w:w="420" w:type="dxa"/>
            <w:vAlign w:val="bottom"/>
            <w:tcBorders>
              <w:bottom w:val="single" w:sz="8" w:color="424E6A"/>
            </w:tcBorders>
            <w:shd w:val="clear" w:color="auto" w:fill="D9DCE1"/>
          </w:tcPr>
          <w:p>
            <w:pPr>
              <w:spacing w:after="0"/>
              <w:rPr>
                <w:sz w:val="9"/>
                <w:szCs w:val="9"/>
                <w:color w:val="auto"/>
              </w:rPr>
            </w:pPr>
          </w:p>
        </w:tc>
        <w:tc>
          <w:tcPr>
            <w:tcW w:w="220" w:type="dxa"/>
            <w:vAlign w:val="bottom"/>
            <w:tcBorders>
              <w:bottom w:val="single" w:sz="8" w:color="424E6A"/>
            </w:tcBorders>
            <w:vMerge w:val="continue"/>
            <w:shd w:val="clear" w:color="auto" w:fill="D9DCE1"/>
          </w:tcPr>
          <w:p>
            <w:pPr>
              <w:spacing w:after="0"/>
              <w:rPr>
                <w:sz w:val="9"/>
                <w:szCs w:val="9"/>
                <w:color w:val="auto"/>
              </w:rPr>
            </w:pPr>
          </w:p>
        </w:tc>
        <w:tc>
          <w:tcPr>
            <w:tcW w:w="340" w:type="dxa"/>
            <w:vAlign w:val="bottom"/>
            <w:tcBorders>
              <w:bottom w:val="single" w:sz="8" w:color="424E6A"/>
            </w:tcBorders>
            <w:vMerge w:val="continue"/>
            <w:shd w:val="clear" w:color="auto" w:fill="D9DCE1"/>
          </w:tcPr>
          <w:p>
            <w:pPr>
              <w:spacing w:after="0"/>
              <w:rPr>
                <w:sz w:val="9"/>
                <w:szCs w:val="9"/>
                <w:color w:val="auto"/>
              </w:rPr>
            </w:pPr>
          </w:p>
        </w:tc>
        <w:tc>
          <w:tcPr>
            <w:tcW w:w="460" w:type="dxa"/>
            <w:vAlign w:val="bottom"/>
            <w:tcBorders>
              <w:bottom w:val="single" w:sz="8" w:color="424E6A"/>
            </w:tcBorders>
            <w:vMerge w:val="continue"/>
            <w:shd w:val="clear" w:color="auto" w:fill="D9DCE1"/>
          </w:tcPr>
          <w:p>
            <w:pPr>
              <w:spacing w:after="0"/>
              <w:rPr>
                <w:sz w:val="9"/>
                <w:szCs w:val="9"/>
                <w:color w:val="auto"/>
              </w:rPr>
            </w:pPr>
          </w:p>
        </w:tc>
        <w:tc>
          <w:tcPr>
            <w:tcW w:w="700" w:type="dxa"/>
            <w:vAlign w:val="bottom"/>
            <w:tcBorders>
              <w:bottom w:val="single" w:sz="8" w:color="424E6A"/>
            </w:tcBorders>
            <w:shd w:val="clear" w:color="auto" w:fill="D9DCE1"/>
          </w:tcPr>
          <w:p>
            <w:pPr>
              <w:ind w:left="240"/>
              <w:spacing w:after="0" w:line="108" w:lineRule="exact"/>
              <w:rPr>
                <w:sz w:val="20"/>
                <w:szCs w:val="20"/>
                <w:color w:val="auto"/>
              </w:rPr>
            </w:pPr>
            <w:r>
              <w:rPr>
                <w:rFonts w:ascii="Arial" w:cs="Arial" w:eastAsia="Arial" w:hAnsi="Arial"/>
                <w:sz w:val="12"/>
                <w:szCs w:val="12"/>
                <w:i w:val="1"/>
                <w:iCs w:val="1"/>
                <w:color w:val="auto"/>
              </w:rPr>
              <w:t>​</w:t>
            </w:r>
          </w:p>
        </w:tc>
        <w:tc>
          <w:tcPr>
            <w:tcW w:w="160" w:type="dxa"/>
            <w:vAlign w:val="bottom"/>
            <w:tcBorders>
              <w:bottom w:val="single" w:sz="8" w:color="424E6A"/>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79" w:hanging="360"/>
        <w:spacing w:after="0" w:line="235" w:lineRule="auto"/>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The Compensation Committee approved a 15 percentage point discretionary increase to the overall weighted Company Performance score considering PAA’s strong performance on HSE metrics and management’s very strong performance with respect to strategic positioning for 2026 during a challenging year. See “2025 Performance Overview and Specific Application of Compensation Elements in 2025” above and “Individual Performance” below for additional discussion of 2025 performance relative to goals and objectives.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 (40% weight)</w:t>
      </w:r>
    </w:p>
    <w:p>
      <w:pPr>
        <w:spacing w:after="0" w:line="15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As noted above, individual performance accounts for 40% of the annual bonus opportunity for our Named Executive Officers. Each officer’s individual contributions toward satisfaction of company goals and objectives is evaluated and payouts may range from 0-200% of target. During 2025, the executive leadership team executed exceptionally well together and successfully led the organization through a very challenging year, maintained focus on key strategic initiatives and HSE matters and put the company in a very good position heading into 2026. The individual payout scores for our NEOs for 2025 are set forth in the table below and take these factors into account, together with the specific items described for each NEO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05"/>
        </w:trPr>
        <w:tc>
          <w:tcPr>
            <w:tcW w:w="1460" w:type="dxa"/>
            <w:vAlign w:val="bottom"/>
            <w:tcBorders>
              <w:top w:val="single" w:sz="8" w:color="auto"/>
              <w:left w:val="single" w:sz="8" w:color="auto"/>
              <w:right w:val="single" w:sz="8" w:color="424E6A"/>
            </w:tcBorders>
            <w:vMerge w:val="restart"/>
            <w:shd w:val="clear" w:color="auto" w:fill="424E6A"/>
          </w:tcPr>
          <w:p>
            <w:pPr>
              <w:ind w:left="120"/>
              <w:spacing w:after="0"/>
              <w:rPr>
                <w:sz w:val="20"/>
                <w:szCs w:val="20"/>
                <w:color w:val="auto"/>
              </w:rPr>
            </w:pPr>
            <w:r>
              <w:rPr>
                <w:rFonts w:ascii="Arial" w:cs="Arial" w:eastAsia="Arial" w:hAnsi="Arial"/>
                <w:sz w:val="18"/>
                <w:szCs w:val="18"/>
                <w:b w:val="1"/>
                <w:bCs w:val="1"/>
                <w:color w:val="FFFFFF"/>
              </w:rPr>
              <w:t>Name</w:t>
            </w:r>
          </w:p>
        </w:tc>
        <w:tc>
          <w:tcPr>
            <w:tcW w:w="5900" w:type="dxa"/>
            <w:vAlign w:val="bottom"/>
            <w:tcBorders>
              <w:top w:val="single" w:sz="8" w:color="auto"/>
              <w:right w:val="single" w:sz="8" w:color="424E6A"/>
            </w:tcBorders>
            <w:vMerge w:val="restart"/>
            <w:shd w:val="clear" w:color="auto" w:fill="424E6A"/>
          </w:tcPr>
          <w:p>
            <w:pPr>
              <w:ind w:left="1260"/>
              <w:spacing w:after="0"/>
              <w:rPr>
                <w:sz w:val="20"/>
                <w:szCs w:val="20"/>
                <w:color w:val="auto"/>
              </w:rPr>
            </w:pPr>
            <w:r>
              <w:rPr>
                <w:rFonts w:ascii="Arial" w:cs="Arial" w:eastAsia="Arial" w:hAnsi="Arial"/>
                <w:sz w:val="18"/>
                <w:szCs w:val="18"/>
                <w:b w:val="1"/>
                <w:bCs w:val="1"/>
                <w:color w:val="FFFFFF"/>
              </w:rPr>
              <w:t>2025 Individual Performance Highlights</w:t>
            </w:r>
          </w:p>
        </w:tc>
        <w:tc>
          <w:tcPr>
            <w:tcW w:w="860" w:type="dxa"/>
            <w:vAlign w:val="bottom"/>
            <w:tcBorders>
              <w:top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8"/>
                <w:szCs w:val="18"/>
                <w:b w:val="1"/>
                <w:bCs w:val="1"/>
                <w:color w:val="FFFFFF"/>
              </w:rPr>
              <w:t>Payout</w:t>
            </w:r>
          </w:p>
        </w:tc>
        <w:tc>
          <w:tcPr>
            <w:tcW w:w="0" w:type="dxa"/>
            <w:vAlign w:val="bottom"/>
          </w:tcPr>
          <w:p>
            <w:pPr>
              <w:spacing w:after="0"/>
              <w:rPr>
                <w:sz w:val="1"/>
                <w:szCs w:val="1"/>
                <w:color w:val="auto"/>
              </w:rPr>
            </w:pPr>
          </w:p>
        </w:tc>
      </w:tr>
      <w:tr>
        <w:trPr>
          <w:trHeight w:val="221"/>
        </w:trPr>
        <w:tc>
          <w:tcPr>
            <w:tcW w:w="1460" w:type="dxa"/>
            <w:vAlign w:val="bottom"/>
            <w:tcBorders>
              <w:left w:val="single" w:sz="8" w:color="auto"/>
              <w:bottom w:val="single" w:sz="8" w:color="auto"/>
              <w:right w:val="single" w:sz="8" w:color="424E6A"/>
            </w:tcBorders>
            <w:vMerge w:val="continue"/>
            <w:shd w:val="clear" w:color="auto" w:fill="424E6A"/>
          </w:tcPr>
          <w:p>
            <w:pPr>
              <w:spacing w:after="0"/>
              <w:rPr>
                <w:sz w:val="19"/>
                <w:szCs w:val="19"/>
                <w:color w:val="auto"/>
              </w:rPr>
            </w:pPr>
          </w:p>
        </w:tc>
        <w:tc>
          <w:tcPr>
            <w:tcW w:w="5900" w:type="dxa"/>
            <w:vAlign w:val="bottom"/>
            <w:tcBorders>
              <w:bottom w:val="single" w:sz="8" w:color="auto"/>
              <w:right w:val="single" w:sz="8" w:color="424E6A"/>
            </w:tcBorders>
            <w:vMerge w:val="continue"/>
            <w:shd w:val="clear" w:color="auto" w:fill="424E6A"/>
          </w:tcPr>
          <w:p>
            <w:pPr>
              <w:spacing w:after="0"/>
              <w:rPr>
                <w:sz w:val="19"/>
                <w:szCs w:val="19"/>
                <w:color w:val="auto"/>
              </w:rPr>
            </w:pPr>
          </w:p>
        </w:tc>
        <w:tc>
          <w:tcPr>
            <w:tcW w:w="860" w:type="dxa"/>
            <w:vAlign w:val="bottom"/>
            <w:tcBorders>
              <w:bottom w:val="single" w:sz="8" w:color="auto"/>
              <w:right w:val="single" w:sz="8" w:color="auto"/>
            </w:tcBorders>
            <w:shd w:val="clear" w:color="auto" w:fill="424E6A"/>
          </w:tcPr>
          <w:p>
            <w:pPr>
              <w:jc w:val="center"/>
              <w:spacing w:after="0"/>
              <w:rPr>
                <w:sz w:val="20"/>
                <w:szCs w:val="20"/>
                <w:color w:val="auto"/>
              </w:rPr>
            </w:pPr>
            <w:r>
              <w:rPr>
                <w:rFonts w:ascii="Arial" w:cs="Arial" w:eastAsia="Arial" w:hAnsi="Arial"/>
                <w:sz w:val="18"/>
                <w:szCs w:val="18"/>
                <w:b w:val="1"/>
                <w:bCs w:val="1"/>
                <w:color w:val="FFFFFF"/>
                <w:w w:val="99"/>
              </w:rPr>
              <w:t>Score</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right w:val="single" w:sz="8" w:color="auto"/>
            </w:tcBorders>
            <w:shd w:val="clear" w:color="auto" w:fill="D9DCE1"/>
          </w:tcPr>
          <w:p>
            <w:pPr>
              <w:ind w:left="120"/>
              <w:spacing w:after="0" w:line="174" w:lineRule="exact"/>
              <w:rPr>
                <w:sz w:val="20"/>
                <w:szCs w:val="20"/>
                <w:color w:val="auto"/>
              </w:rPr>
            </w:pPr>
            <w:r>
              <w:rPr>
                <w:rFonts w:ascii="Arial" w:cs="Arial" w:eastAsia="Arial" w:hAnsi="Arial"/>
                <w:sz w:val="17"/>
                <w:szCs w:val="17"/>
                <w:color w:val="auto"/>
              </w:rPr>
              <w:t>Willie Chiang</w:t>
            </w:r>
          </w:p>
        </w:tc>
        <w:tc>
          <w:tcPr>
            <w:tcW w:w="5900" w:type="dxa"/>
            <w:vAlign w:val="bottom"/>
            <w:tcBorders>
              <w:right w:val="single" w:sz="8" w:color="auto"/>
            </w:tcBorders>
            <w:shd w:val="clear" w:color="auto" w:fill="D9DCE1"/>
          </w:tcPr>
          <w:p>
            <w:pPr>
              <w:ind w:left="80"/>
              <w:spacing w:after="0" w:line="174" w:lineRule="exact"/>
              <w:rPr>
                <w:sz w:val="20"/>
                <w:szCs w:val="20"/>
                <w:color w:val="auto"/>
              </w:rPr>
            </w:pPr>
            <w:r>
              <w:rPr>
                <w:rFonts w:ascii="Arial" w:cs="Arial" w:eastAsia="Arial" w:hAnsi="Arial"/>
                <w:sz w:val="17"/>
                <w:szCs w:val="17"/>
                <w:color w:val="auto"/>
              </w:rPr>
              <w:t>• Overall leadership, culture and tone setting</w:t>
            </w:r>
          </w:p>
        </w:tc>
        <w:tc>
          <w:tcPr>
            <w:tcW w:w="860" w:type="dxa"/>
            <w:vAlign w:val="bottom"/>
            <w:tcBorders>
              <w:right w:val="single" w:sz="8" w:color="auto"/>
            </w:tcBorders>
            <w:shd w:val="clear" w:color="auto" w:fill="D9DCE1"/>
          </w:tcPr>
          <w:p>
            <w:pPr>
              <w:jc w:val="center"/>
              <w:spacing w:after="0" w:line="17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Leadership role with respect to key strategic initiatives positioning</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company for 2025+, including Keyera transaction, EPIC acquisition and</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streamlining initiative</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Investor and rating agency engagement/messaging, capital allocation/​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discipline, operating excellence</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60" w:type="dxa"/>
            <w:vAlign w:val="bottom"/>
            <w:tcBorders>
              <w:left w:val="single" w:sz="8" w:color="auto"/>
              <w:bottom w:val="single" w:sz="8" w:color="D9DCE1"/>
              <w:right w:val="single" w:sz="8" w:color="auto"/>
            </w:tcBorders>
            <w:shd w:val="clear" w:color="auto" w:fill="D9DCE1"/>
          </w:tcPr>
          <w:p>
            <w:pPr>
              <w:spacing w:after="0"/>
              <w:rPr>
                <w:sz w:val="21"/>
                <w:szCs w:val="21"/>
                <w:color w:val="auto"/>
              </w:rPr>
            </w:pPr>
          </w:p>
        </w:tc>
        <w:tc>
          <w:tcPr>
            <w:tcW w:w="59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Ongoing Board initiatives, leadership development/succession</w:t>
            </w:r>
          </w:p>
        </w:tc>
        <w:tc>
          <w:tcPr>
            <w:tcW w:w="860" w:type="dxa"/>
            <w:vAlign w:val="bottom"/>
            <w:tcBorders>
              <w:bottom w:val="single" w:sz="8" w:color="D9DCE1"/>
              <w:right w:val="single" w:sz="8" w:color="auto"/>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460" w:type="dxa"/>
            <w:vAlign w:val="bottom"/>
            <w:tcBorders>
              <w:top w:val="single" w:sz="8" w:color="auto"/>
              <w:left w:val="single" w:sz="8" w:color="auto"/>
              <w:right w:val="single" w:sz="8" w:color="auto"/>
            </w:tcBorders>
          </w:tcPr>
          <w:p>
            <w:pPr>
              <w:ind w:left="120"/>
              <w:spacing w:after="0" w:line="174" w:lineRule="exact"/>
              <w:rPr>
                <w:sz w:val="20"/>
                <w:szCs w:val="20"/>
                <w:color w:val="auto"/>
              </w:rPr>
            </w:pPr>
            <w:r>
              <w:rPr>
                <w:rFonts w:ascii="Arial" w:cs="Arial" w:eastAsia="Arial" w:hAnsi="Arial"/>
                <w:sz w:val="17"/>
                <w:szCs w:val="17"/>
                <w:color w:val="auto"/>
              </w:rPr>
              <w:t>Al Swanson</w:t>
            </w:r>
          </w:p>
        </w:tc>
        <w:tc>
          <w:tcPr>
            <w:tcW w:w="5900" w:type="dxa"/>
            <w:vAlign w:val="bottom"/>
            <w:tcBorders>
              <w:top w:val="single" w:sz="8" w:color="auto"/>
              <w:right w:val="single" w:sz="8" w:color="auto"/>
            </w:tcBorders>
          </w:tcPr>
          <w:p>
            <w:pPr>
              <w:ind w:left="80"/>
              <w:spacing w:after="0" w:line="174" w:lineRule="exact"/>
              <w:rPr>
                <w:sz w:val="20"/>
                <w:szCs w:val="20"/>
                <w:color w:val="auto"/>
              </w:rPr>
            </w:pPr>
            <w:r>
              <w:rPr>
                <w:rFonts w:ascii="Arial" w:cs="Arial" w:eastAsia="Arial" w:hAnsi="Arial"/>
                <w:sz w:val="17"/>
                <w:szCs w:val="17"/>
                <w:color w:val="auto"/>
              </w:rPr>
              <w:t>• Finance group leadership in dynamic and complex environment</w:t>
            </w:r>
          </w:p>
        </w:tc>
        <w:tc>
          <w:tcPr>
            <w:tcW w:w="86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Driver of organizational focus on maintaining capital discipline, financial</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flexibility and strong committed liquidity</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60" w:type="dxa"/>
            <w:vAlign w:val="bottom"/>
            <w:tcBorders>
              <w:left w:val="single" w:sz="8" w:color="auto"/>
              <w:right w:val="single" w:sz="8" w:color="auto"/>
            </w:tcBorders>
          </w:tcPr>
          <w:p>
            <w:pPr>
              <w:spacing w:after="0"/>
              <w:rPr>
                <w:sz w:val="15"/>
                <w:szCs w:val="15"/>
                <w:color w:val="auto"/>
              </w:rPr>
            </w:pPr>
          </w:p>
        </w:tc>
        <w:tc>
          <w:tcPr>
            <w:tcW w:w="590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rPr>
              <w:t>• Key role leading financial strategy and capital allocation framework</w:t>
            </w: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Took action to maintain financial flexibility and liquidity, including</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repurchasing ~$330MM of Series A preferred units, accessing the debt</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capital markets 3 times in 2025 raising $3B and paying down the $1.1B</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EPIC term loan by replacing at PAA level with lower rates</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46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right w:val="single" w:sz="8" w:color="auto"/>
            </w:tcBorders>
            <w:shd w:val="clear" w:color="auto" w:fill="D9DCE1"/>
          </w:tcPr>
          <w:p>
            <w:pPr>
              <w:ind w:left="120"/>
              <w:spacing w:after="0" w:line="174" w:lineRule="exact"/>
              <w:rPr>
                <w:sz w:val="20"/>
                <w:szCs w:val="20"/>
                <w:color w:val="auto"/>
              </w:rPr>
            </w:pPr>
            <w:r>
              <w:rPr>
                <w:rFonts w:ascii="Arial" w:cs="Arial" w:eastAsia="Arial" w:hAnsi="Arial"/>
                <w:sz w:val="17"/>
                <w:szCs w:val="17"/>
                <w:color w:val="auto"/>
              </w:rPr>
              <w:t>Richard McGee</w:t>
            </w:r>
          </w:p>
        </w:tc>
        <w:tc>
          <w:tcPr>
            <w:tcW w:w="5900" w:type="dxa"/>
            <w:vAlign w:val="bottom"/>
            <w:tcBorders>
              <w:right w:val="single" w:sz="8" w:color="auto"/>
            </w:tcBorders>
            <w:shd w:val="clear" w:color="auto" w:fill="D9DCE1"/>
          </w:tcPr>
          <w:p>
            <w:pPr>
              <w:ind w:left="80"/>
              <w:spacing w:after="0" w:line="174" w:lineRule="exact"/>
              <w:rPr>
                <w:sz w:val="20"/>
                <w:szCs w:val="20"/>
                <w:color w:val="auto"/>
              </w:rPr>
            </w:pPr>
            <w:r>
              <w:rPr>
                <w:rFonts w:ascii="Arial" w:cs="Arial" w:eastAsia="Arial" w:hAnsi="Arial"/>
                <w:sz w:val="17"/>
                <w:szCs w:val="17"/>
                <w:color w:val="auto"/>
              </w:rPr>
              <w:t>• Legal/Land and HR group oversight/leadership during very active year</w:t>
            </w:r>
          </w:p>
        </w:tc>
        <w:tc>
          <w:tcPr>
            <w:tcW w:w="860" w:type="dxa"/>
            <w:vAlign w:val="bottom"/>
            <w:tcBorders>
              <w:right w:val="single" w:sz="8" w:color="auto"/>
            </w:tcBorders>
            <w:shd w:val="clear" w:color="auto" w:fill="D9DCE1"/>
          </w:tcPr>
          <w:p>
            <w:pPr>
              <w:jc w:val="center"/>
              <w:spacing w:after="0" w:line="17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Leadership/oversight of legal efforts in support of key acquisition,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divestiture, JV and other transactions and key commercial arrangements,</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including the Keyera transaction and the EPIC acquisition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Oversight of effort to manage/mitigate/resolve Line 901 and other litigation</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exposure</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60" w:type="dxa"/>
            <w:vAlign w:val="bottom"/>
            <w:tcBorders>
              <w:left w:val="single" w:sz="8" w:color="auto"/>
              <w:bottom w:val="single" w:sz="8" w:color="D9DCE1"/>
              <w:right w:val="single" w:sz="8" w:color="auto"/>
            </w:tcBorders>
            <w:shd w:val="clear" w:color="auto" w:fill="D9DCE1"/>
          </w:tcPr>
          <w:p>
            <w:pPr>
              <w:spacing w:after="0"/>
              <w:rPr>
                <w:sz w:val="21"/>
                <w:szCs w:val="21"/>
                <w:color w:val="auto"/>
              </w:rPr>
            </w:pPr>
          </w:p>
        </w:tc>
        <w:tc>
          <w:tcPr>
            <w:tcW w:w="59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Key role in various board/governance/HR/compensation initiatives</w:t>
            </w:r>
          </w:p>
        </w:tc>
        <w:tc>
          <w:tcPr>
            <w:tcW w:w="860" w:type="dxa"/>
            <w:vAlign w:val="bottom"/>
            <w:tcBorders>
              <w:bottom w:val="single" w:sz="8" w:color="D9DCE1"/>
              <w:right w:val="single" w:sz="8" w:color="auto"/>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460" w:type="dxa"/>
            <w:vAlign w:val="bottom"/>
            <w:tcBorders>
              <w:top w:val="single" w:sz="8" w:color="auto"/>
              <w:left w:val="single" w:sz="8" w:color="auto"/>
              <w:right w:val="single" w:sz="8" w:color="auto"/>
            </w:tcBorders>
          </w:tcPr>
          <w:p>
            <w:pPr>
              <w:ind w:left="120"/>
              <w:spacing w:after="0" w:line="174" w:lineRule="exact"/>
              <w:rPr>
                <w:sz w:val="20"/>
                <w:szCs w:val="20"/>
                <w:color w:val="auto"/>
              </w:rPr>
            </w:pPr>
            <w:r>
              <w:rPr>
                <w:rFonts w:ascii="Arial" w:cs="Arial" w:eastAsia="Arial" w:hAnsi="Arial"/>
                <w:sz w:val="17"/>
                <w:szCs w:val="17"/>
                <w:color w:val="auto"/>
              </w:rPr>
              <w:t>Chris Chandler</w:t>
            </w:r>
          </w:p>
        </w:tc>
        <w:tc>
          <w:tcPr>
            <w:tcW w:w="5900" w:type="dxa"/>
            <w:vAlign w:val="bottom"/>
            <w:tcBorders>
              <w:top w:val="single" w:sz="8" w:color="auto"/>
              <w:right w:val="single" w:sz="8" w:color="auto"/>
            </w:tcBorders>
          </w:tcPr>
          <w:p>
            <w:pPr>
              <w:ind w:left="80"/>
              <w:spacing w:after="0" w:line="174" w:lineRule="exact"/>
              <w:rPr>
                <w:sz w:val="20"/>
                <w:szCs w:val="20"/>
                <w:color w:val="auto"/>
              </w:rPr>
            </w:pPr>
            <w:r>
              <w:rPr>
                <w:rFonts w:ascii="Arial" w:cs="Arial" w:eastAsia="Arial" w:hAnsi="Arial"/>
                <w:sz w:val="17"/>
                <w:szCs w:val="17"/>
                <w:color w:val="auto"/>
              </w:rPr>
              <w:t>• Overall leadership of operations organization</w:t>
            </w:r>
          </w:p>
        </w:tc>
        <w:tc>
          <w:tcPr>
            <w:tcW w:w="86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 Met or exceeded company HSE goals; best ever safety performance</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and total release count; no Tier 1 or Tier 2 process safety events</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460" w:type="dxa"/>
            <w:vAlign w:val="bottom"/>
            <w:tcBorders>
              <w:left w:val="single" w:sz="8" w:color="auto"/>
              <w:right w:val="single" w:sz="8" w:color="auto"/>
            </w:tcBorders>
          </w:tcPr>
          <w:p>
            <w:pPr>
              <w:spacing w:after="0"/>
              <w:rPr>
                <w:sz w:val="16"/>
                <w:szCs w:val="16"/>
                <w:color w:val="auto"/>
              </w:rPr>
            </w:pPr>
          </w:p>
        </w:tc>
        <w:tc>
          <w:tcPr>
            <w:tcW w:w="5900" w:type="dxa"/>
            <w:vAlign w:val="bottom"/>
            <w:tcBorders>
              <w:right w:val="single" w:sz="8" w:color="auto"/>
            </w:tcBorders>
          </w:tcPr>
          <w:p>
            <w:pPr>
              <w:ind w:left="240"/>
              <w:spacing w:after="0" w:line="194" w:lineRule="exact"/>
              <w:rPr>
                <w:sz w:val="20"/>
                <w:szCs w:val="20"/>
                <w:color w:val="auto"/>
              </w:rPr>
            </w:pPr>
            <w:r>
              <w:rPr>
                <w:rFonts w:ascii="Arial" w:cs="Arial" w:eastAsia="Arial" w:hAnsi="Arial"/>
                <w:sz w:val="17"/>
                <w:szCs w:val="17"/>
                <w:color w:val="auto"/>
              </w:rPr>
              <w:t>• Implemented AFPM Walk the Line process safety program</w:t>
            </w: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 Prepared organization, processes and systems for pending sale of</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Canadian NGL business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 Assumed responsibility for Communications and Stakeholder</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Engagement groups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Key leadership role in streamlining initiatives targeting $100MM of</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efficiency improvements through 2027 (reducing layers, increasing spans,</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adopting career level framework and improving operational processes)</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right w:val="single" w:sz="8" w:color="auto"/>
            </w:tcBorders>
          </w:tcPr>
          <w:p>
            <w:pPr>
              <w:spacing w:after="0"/>
              <w:rPr>
                <w:sz w:val="16"/>
                <w:szCs w:val="16"/>
                <w:color w:val="auto"/>
              </w:rPr>
            </w:pPr>
          </w:p>
        </w:tc>
        <w:tc>
          <w:tcPr>
            <w:tcW w:w="59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 Successful integration of six acquisitions totaling $3.7B, including EPIC</w:t>
            </w: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Overall management of large expansion and maintenance capital budgets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and successful completion of two large strategic capital projects despite</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cost and scheduling challenges</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460" w:type="dxa"/>
            <w:vAlign w:val="bottom"/>
            <w:tcBorders>
              <w:left w:val="single" w:sz="8" w:color="auto"/>
              <w:bottom w:val="single" w:sz="8" w:color="auto"/>
              <w:right w:val="single" w:sz="8" w:color="auto"/>
            </w:tcBorders>
          </w:tcPr>
          <w:p>
            <w:pPr>
              <w:spacing w:after="0"/>
              <w:rPr>
                <w:sz w:val="3"/>
                <w:szCs w:val="3"/>
                <w:color w:val="auto"/>
              </w:rPr>
            </w:pPr>
          </w:p>
        </w:tc>
        <w:tc>
          <w:tcPr>
            <w:tcW w:w="5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right w:val="single" w:sz="8" w:color="auto"/>
            </w:tcBorders>
            <w:shd w:val="clear" w:color="auto" w:fill="D9DCE1"/>
          </w:tcPr>
          <w:p>
            <w:pPr>
              <w:ind w:left="120"/>
              <w:spacing w:after="0" w:line="174" w:lineRule="exact"/>
              <w:rPr>
                <w:sz w:val="20"/>
                <w:szCs w:val="20"/>
                <w:color w:val="auto"/>
              </w:rPr>
            </w:pPr>
            <w:r>
              <w:rPr>
                <w:rFonts w:ascii="Arial" w:cs="Arial" w:eastAsia="Arial" w:hAnsi="Arial"/>
                <w:sz w:val="17"/>
                <w:szCs w:val="17"/>
                <w:color w:val="auto"/>
              </w:rPr>
              <w:t>Jeremy Goebel</w:t>
            </w:r>
          </w:p>
        </w:tc>
        <w:tc>
          <w:tcPr>
            <w:tcW w:w="5900" w:type="dxa"/>
            <w:vAlign w:val="bottom"/>
            <w:tcBorders>
              <w:right w:val="single" w:sz="8" w:color="auto"/>
            </w:tcBorders>
            <w:shd w:val="clear" w:color="auto" w:fill="D9DCE1"/>
          </w:tcPr>
          <w:p>
            <w:pPr>
              <w:ind w:left="80"/>
              <w:spacing w:after="0" w:line="174" w:lineRule="exact"/>
              <w:rPr>
                <w:sz w:val="20"/>
                <w:szCs w:val="20"/>
                <w:color w:val="auto"/>
              </w:rPr>
            </w:pPr>
            <w:r>
              <w:rPr>
                <w:rFonts w:ascii="Arial" w:cs="Arial" w:eastAsia="Arial" w:hAnsi="Arial"/>
                <w:sz w:val="17"/>
                <w:szCs w:val="17"/>
                <w:color w:val="auto"/>
              </w:rPr>
              <w:t>• Overall commercial organization leadership</w:t>
            </w:r>
          </w:p>
        </w:tc>
        <w:tc>
          <w:tcPr>
            <w:tcW w:w="860" w:type="dxa"/>
            <w:vAlign w:val="bottom"/>
            <w:tcBorders>
              <w:right w:val="single" w:sz="8" w:color="auto"/>
            </w:tcBorders>
            <w:shd w:val="clear" w:color="auto" w:fill="D9DCE1"/>
          </w:tcPr>
          <w:p>
            <w:pPr>
              <w:jc w:val="center"/>
              <w:spacing w:after="0" w:line="17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Led key commercial strategies that drove financial performance of crude</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and NGL businesses</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Led key business development initiatives</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 Acquisition of EPIC for $2.9B over two transactions</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 Acquisition of an additional $800MM of assets/businesses</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 Pending divestiture of Canadian NGL business to Keyera for ~$3.75B</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right w:val="single" w:sz="8" w:color="auto"/>
            </w:tcBorders>
            <w:shd w:val="clear" w:color="auto" w:fill="D9DCE1"/>
          </w:tcPr>
          <w:p>
            <w:pPr>
              <w:spacing w:after="0"/>
              <w:rPr>
                <w:sz w:val="15"/>
                <w:szCs w:val="15"/>
                <w:color w:val="auto"/>
              </w:rPr>
            </w:pPr>
          </w:p>
        </w:tc>
        <w:tc>
          <w:tcPr>
            <w:tcW w:w="5900" w:type="dxa"/>
            <w:vAlign w:val="bottom"/>
            <w:tcBorders>
              <w:right w:val="single" w:sz="8" w:color="auto"/>
            </w:tcBorders>
            <w:shd w:val="clear" w:color="auto" w:fill="D9DCE1"/>
          </w:tcPr>
          <w:p>
            <w:pPr>
              <w:ind w:left="240"/>
              <w:spacing w:after="0" w:line="176" w:lineRule="exact"/>
              <w:rPr>
                <w:sz w:val="20"/>
                <w:szCs w:val="20"/>
                <w:color w:val="auto"/>
              </w:rPr>
            </w:pPr>
            <w:r>
              <w:rPr>
                <w:rFonts w:ascii="Arial" w:cs="Arial" w:eastAsia="Arial" w:hAnsi="Arial"/>
                <w:sz w:val="17"/>
                <w:szCs w:val="17"/>
                <w:color w:val="auto"/>
              </w:rPr>
              <w:t>• Increased Permian dedicated acreage by 180,000 acres</w:t>
            </w:r>
          </w:p>
        </w:tc>
        <w:tc>
          <w:tcPr>
            <w:tcW w:w="860" w:type="dxa"/>
            <w:vAlign w:val="bottom"/>
            <w:tcBorders>
              <w:right w:val="single" w:sz="8" w:color="auto"/>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shd w:val="clear" w:color="auto" w:fill="D9DCE1"/>
          </w:tcPr>
          <w:p>
            <w:pPr>
              <w:ind w:left="240"/>
              <w:spacing w:after="0"/>
              <w:rPr>
                <w:sz w:val="20"/>
                <w:szCs w:val="20"/>
                <w:color w:val="auto"/>
              </w:rPr>
            </w:pPr>
            <w:r>
              <w:rPr>
                <w:rFonts w:ascii="Arial" w:cs="Arial" w:eastAsia="Arial" w:hAnsi="Arial"/>
                <w:sz w:val="17"/>
                <w:szCs w:val="17"/>
                <w:color w:val="auto"/>
              </w:rPr>
              <w:t>• Drove lease marketing business simplification and long-term margin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5900" w:type="dxa"/>
            <w:vAlign w:val="bottom"/>
            <w:tcBorders>
              <w:right w:val="single" w:sz="8" w:color="auto"/>
            </w:tcBorders>
            <w:shd w:val="clear" w:color="auto" w:fill="D9DCE1"/>
          </w:tcPr>
          <w:p>
            <w:pPr>
              <w:ind w:left="420"/>
              <w:spacing w:after="0"/>
              <w:rPr>
                <w:sz w:val="20"/>
                <w:szCs w:val="20"/>
                <w:color w:val="auto"/>
              </w:rPr>
            </w:pPr>
            <w:r>
              <w:rPr>
                <w:rFonts w:ascii="Arial" w:cs="Arial" w:eastAsia="Arial" w:hAnsi="Arial"/>
                <w:sz w:val="17"/>
                <w:szCs w:val="17"/>
                <w:color w:val="auto"/>
              </w:rPr>
              <w:t>enhancement initiatives</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Oversight of emerging energy effort</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bottom w:val="single" w:sz="8" w:color="D9DCE1"/>
              <w:right w:val="single" w:sz="8" w:color="auto"/>
            </w:tcBorders>
            <w:shd w:val="clear" w:color="auto" w:fill="D9DCE1"/>
          </w:tcPr>
          <w:p>
            <w:pPr>
              <w:spacing w:after="0"/>
              <w:rPr>
                <w:sz w:val="21"/>
                <w:szCs w:val="21"/>
                <w:color w:val="auto"/>
              </w:rPr>
            </w:pPr>
          </w:p>
        </w:tc>
        <w:tc>
          <w:tcPr>
            <w:tcW w:w="59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7"/>
                <w:szCs w:val="17"/>
                <w:color w:val="auto"/>
              </w:rPr>
              <w:t>• Significant role in attractive positioning of business for 2026+</w:t>
            </w:r>
          </w:p>
        </w:tc>
        <w:tc>
          <w:tcPr>
            <w:tcW w:w="860" w:type="dxa"/>
            <w:vAlign w:val="bottom"/>
            <w:tcBorders>
              <w:bottom w:val="single" w:sz="8" w:color="D9DCE1"/>
              <w:right w:val="single" w:sz="8" w:color="auto"/>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9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80" w:firstLine="360"/>
        <w:spacing w:after="0" w:line="318" w:lineRule="auto"/>
        <w:rPr>
          <w:sz w:val="20"/>
          <w:szCs w:val="20"/>
          <w:color w:val="auto"/>
        </w:rPr>
      </w:pPr>
      <w:r>
        <w:rPr>
          <w:rFonts w:ascii="Arial" w:cs="Arial" w:eastAsia="Arial" w:hAnsi="Arial"/>
          <w:sz w:val="17"/>
          <w:szCs w:val="17"/>
          <w:color w:val="auto"/>
        </w:rPr>
        <w:t>After applying the individual performance scores set forth in the table above, the total formulaic bonus payout calculation for our NEOs was approximately 131%, as set forth in the table below.</w:t>
      </w:r>
    </w:p>
    <w:p>
      <w:pPr>
        <w:spacing w:after="0" w:line="61" w:lineRule="exact"/>
        <w:rPr>
          <w:sz w:val="20"/>
          <w:szCs w:val="20"/>
          <w:color w:val="auto"/>
        </w:rPr>
      </w:pPr>
    </w:p>
    <w:tbl>
      <w:tblPr>
        <w:tblLayout w:type="fixed"/>
        <w:tblInd w:w="830" w:type="dxa"/>
        <w:tblCellMar>
          <w:top w:w="0" w:type="dxa"/>
          <w:left w:w="0" w:type="dxa"/>
          <w:bottom w:w="0" w:type="dxa"/>
          <w:right w:w="0" w:type="dxa"/>
        </w:tblCellMar>
      </w:tblPr>
      <w:tr>
        <w:trPr>
          <w:trHeight w:val="376"/>
        </w:trPr>
        <w:tc>
          <w:tcPr>
            <w:tcW w:w="1400" w:type="dxa"/>
            <w:vAlign w:val="bottom"/>
            <w:tcBorders>
              <w:left w:val="single" w:sz="8" w:color="424E6A"/>
              <w:bottom w:val="single" w:sz="8" w:color="424E6A"/>
            </w:tcBorders>
            <w:shd w:val="clear" w:color="auto" w:fill="424E6A"/>
          </w:tcPr>
          <w:p>
            <w:pPr>
              <w:spacing w:after="0"/>
              <w:rPr>
                <w:sz w:val="24"/>
                <w:szCs w:val="24"/>
                <w:color w:val="auto"/>
              </w:rPr>
            </w:pPr>
          </w:p>
        </w:tc>
        <w:tc>
          <w:tcPr>
            <w:tcW w:w="1260" w:type="dxa"/>
            <w:vAlign w:val="bottom"/>
            <w:tcBorders>
              <w:bottom w:val="single" w:sz="8" w:color="424E6A"/>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bottom w:val="single" w:sz="8" w:color="424E6A"/>
            </w:tcBorders>
            <w:gridSpan w:val="4"/>
            <w:shd w:val="clear" w:color="auto" w:fill="424E6A"/>
          </w:tcPr>
          <w:p>
            <w:pPr>
              <w:ind w:left="240"/>
              <w:spacing w:after="0"/>
              <w:rPr>
                <w:sz w:val="20"/>
                <w:szCs w:val="20"/>
                <w:color w:val="auto"/>
              </w:rPr>
            </w:pPr>
            <w:r>
              <w:rPr>
                <w:rFonts w:ascii="Arial" w:cs="Arial" w:eastAsia="Arial" w:hAnsi="Arial"/>
                <w:sz w:val="14"/>
                <w:szCs w:val="14"/>
                <w:b w:val="1"/>
                <w:bCs w:val="1"/>
                <w:color w:val="FFFFFF"/>
              </w:rPr>
              <w:t xml:space="preserve">Company Results    </w:t>
            </w:r>
            <w:r>
              <w:rPr>
                <w:rFonts w:ascii="Arial" w:cs="Arial" w:eastAsia="Arial" w:hAnsi="Arial"/>
                <w:sz w:val="28"/>
                <w:szCs w:val="28"/>
                <w:b w:val="1"/>
                <w:bCs w:val="1"/>
                <w:color w:val="FFFFFF"/>
                <w:vertAlign w:val="subscript"/>
              </w:rPr>
              <w:t>​ ​</w:t>
            </w:r>
          </w:p>
        </w:tc>
        <w:tc>
          <w:tcPr>
            <w:tcW w:w="22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tcBorders>
              <w:bottom w:val="single" w:sz="8" w:color="424E6A"/>
            </w:tcBorders>
            <w:gridSpan w:val="3"/>
            <w:shd w:val="clear" w:color="auto" w:fill="424E6A"/>
          </w:tcPr>
          <w:p>
            <w:pPr>
              <w:jc w:val="right"/>
              <w:ind w:right="220"/>
              <w:spacing w:after="0"/>
              <w:rPr>
                <w:sz w:val="20"/>
                <w:szCs w:val="20"/>
                <w:color w:val="auto"/>
              </w:rPr>
            </w:pPr>
            <w:r>
              <w:rPr>
                <w:rFonts w:ascii="Arial" w:cs="Arial" w:eastAsia="Arial" w:hAnsi="Arial"/>
                <w:sz w:val="14"/>
                <w:szCs w:val="14"/>
                <w:b w:val="1"/>
                <w:bCs w:val="1"/>
                <w:color w:val="FFFFFF"/>
              </w:rPr>
              <w:t xml:space="preserve">Individual Results    </w:t>
            </w:r>
            <w:r>
              <w:rPr>
                <w:rFonts w:ascii="Arial" w:cs="Arial" w:eastAsia="Arial" w:hAnsi="Arial"/>
                <w:sz w:val="28"/>
                <w:szCs w:val="28"/>
                <w:b w:val="1"/>
                <w:bCs w:val="1"/>
                <w:color w:val="FFFFFF"/>
                <w:vertAlign w:val="subscript"/>
              </w:rPr>
              <w:t>​ ​</w:t>
            </w:r>
          </w:p>
        </w:tc>
        <w:tc>
          <w:tcPr>
            <w:tcW w:w="100" w:type="dxa"/>
            <w:vAlign w:val="bottom"/>
            <w:tcBorders>
              <w:bottom w:val="single" w:sz="8" w:color="424E6A"/>
            </w:tcBorders>
            <w:shd w:val="clear" w:color="auto" w:fill="424E6A"/>
          </w:tcPr>
          <w:p>
            <w:pPr>
              <w:spacing w:after="0"/>
              <w:rPr>
                <w:sz w:val="24"/>
                <w:szCs w:val="24"/>
                <w:color w:val="auto"/>
              </w:rPr>
            </w:pPr>
          </w:p>
        </w:tc>
        <w:tc>
          <w:tcPr>
            <w:tcW w:w="880" w:type="dxa"/>
            <w:vAlign w:val="bottom"/>
            <w:tcBorders>
              <w:bottom w:val="single" w:sz="8" w:color="424E6A"/>
            </w:tcBorders>
            <w:shd w:val="clear" w:color="auto" w:fill="424E6A"/>
          </w:tcPr>
          <w:p>
            <w:pPr>
              <w:jc w:val="center"/>
              <w:ind w:right="107"/>
              <w:spacing w:after="0"/>
              <w:rPr>
                <w:sz w:val="20"/>
                <w:szCs w:val="20"/>
                <w:color w:val="auto"/>
              </w:rPr>
            </w:pPr>
            <w:r>
              <w:rPr>
                <w:rFonts w:ascii="Arial" w:cs="Arial" w:eastAsia="Arial" w:hAnsi="Arial"/>
                <w:sz w:val="14"/>
                <w:szCs w:val="14"/>
                <w:b w:val="1"/>
                <w:bCs w:val="1"/>
                <w:color w:val="FFFFFF"/>
              </w:rPr>
              <w:t>Percent of</w:t>
            </w:r>
          </w:p>
        </w:tc>
        <w:tc>
          <w:tcPr>
            <w:tcW w:w="1080" w:type="dxa"/>
            <w:vAlign w:val="bottom"/>
            <w:tcBorders>
              <w:bottom w:val="single" w:sz="8" w:color="424E6A"/>
              <w:right w:val="single" w:sz="8" w:color="424E6A"/>
            </w:tcBorders>
            <w:shd w:val="clear" w:color="auto" w:fill="424E6A"/>
          </w:tcPr>
          <w:p>
            <w:pPr>
              <w:spacing w:after="0"/>
              <w:rPr>
                <w:sz w:val="24"/>
                <w:szCs w:val="24"/>
                <w:color w:val="auto"/>
              </w:rPr>
            </w:pPr>
          </w:p>
        </w:tc>
      </w:tr>
      <w:tr>
        <w:trPr>
          <w:trHeight w:val="79"/>
        </w:trPr>
        <w:tc>
          <w:tcPr>
            <w:tcW w:w="1400" w:type="dxa"/>
            <w:vAlign w:val="bottom"/>
            <w:tcBorders>
              <w:top w:val="single" w:sz="8" w:color="424E6A"/>
              <w:left w:val="single" w:sz="8" w:color="424E6A"/>
            </w:tcBorders>
            <w:shd w:val="clear" w:color="auto" w:fill="424E6A"/>
          </w:tcPr>
          <w:p>
            <w:pPr>
              <w:spacing w:after="0"/>
              <w:rPr>
                <w:sz w:val="6"/>
                <w:szCs w:val="6"/>
                <w:color w:val="auto"/>
              </w:rPr>
            </w:pPr>
          </w:p>
        </w:tc>
        <w:tc>
          <w:tcPr>
            <w:tcW w:w="1260" w:type="dxa"/>
            <w:vAlign w:val="bottom"/>
            <w:tcBorders>
              <w:top w:val="single" w:sz="8" w:color="424E6A"/>
            </w:tcBorders>
            <w:shd w:val="clear" w:color="auto" w:fill="424E6A"/>
          </w:tcPr>
          <w:p>
            <w:pPr>
              <w:jc w:val="center"/>
              <w:ind w:left="48"/>
              <w:spacing w:after="0" w:line="79" w:lineRule="exact"/>
              <w:rPr>
                <w:sz w:val="20"/>
                <w:szCs w:val="20"/>
                <w:color w:val="auto"/>
              </w:rPr>
            </w:pPr>
            <w:r>
              <w:rPr>
                <w:rFonts w:ascii="Arial" w:cs="Arial" w:eastAsia="Arial" w:hAnsi="Arial"/>
                <w:sz w:val="9"/>
                <w:szCs w:val="9"/>
                <w:b w:val="1"/>
                <w:bCs w:val="1"/>
                <w:color w:val="FFFFFF"/>
              </w:rPr>
              <w:t>2025 Target</w:t>
            </w:r>
          </w:p>
        </w:tc>
        <w:tc>
          <w:tcPr>
            <w:tcW w:w="100" w:type="dxa"/>
            <w:vAlign w:val="bottom"/>
            <w:tcBorders>
              <w:top w:val="single" w:sz="8" w:color="424E6A"/>
            </w:tcBorders>
            <w:shd w:val="clear" w:color="auto" w:fill="424E6A"/>
          </w:tcPr>
          <w:p>
            <w:pPr>
              <w:spacing w:after="0"/>
              <w:rPr>
                <w:sz w:val="6"/>
                <w:szCs w:val="6"/>
                <w:color w:val="auto"/>
              </w:rPr>
            </w:pPr>
          </w:p>
        </w:tc>
        <w:tc>
          <w:tcPr>
            <w:tcW w:w="640" w:type="dxa"/>
            <w:vAlign w:val="bottom"/>
            <w:tcBorders>
              <w:top w:val="single" w:sz="8" w:color="auto"/>
            </w:tcBorders>
            <w:shd w:val="clear" w:color="auto" w:fill="424E6A"/>
          </w:tcPr>
          <w:p>
            <w:pPr>
              <w:spacing w:after="0"/>
              <w:rPr>
                <w:sz w:val="6"/>
                <w:szCs w:val="6"/>
                <w:color w:val="auto"/>
              </w:rPr>
            </w:pPr>
          </w:p>
        </w:tc>
        <w:tc>
          <w:tcPr>
            <w:tcW w:w="600" w:type="dxa"/>
            <w:vAlign w:val="bottom"/>
            <w:tcBorders>
              <w:top w:val="single" w:sz="8" w:color="auto"/>
            </w:tcBorders>
            <w:shd w:val="clear" w:color="auto" w:fill="424E6A"/>
          </w:tcPr>
          <w:p>
            <w:pPr>
              <w:spacing w:after="0"/>
              <w:rPr>
                <w:sz w:val="6"/>
                <w:szCs w:val="6"/>
                <w:color w:val="auto"/>
              </w:rPr>
            </w:pPr>
          </w:p>
        </w:tc>
        <w:tc>
          <w:tcPr>
            <w:tcW w:w="440" w:type="dxa"/>
            <w:vAlign w:val="bottom"/>
            <w:tcBorders>
              <w:top w:val="single" w:sz="8" w:color="auto"/>
            </w:tcBorders>
            <w:shd w:val="clear" w:color="auto" w:fill="424E6A"/>
          </w:tcPr>
          <w:p>
            <w:pPr>
              <w:spacing w:after="0"/>
              <w:rPr>
                <w:sz w:val="6"/>
                <w:szCs w:val="6"/>
                <w:color w:val="auto"/>
              </w:rPr>
            </w:pPr>
          </w:p>
        </w:tc>
        <w:tc>
          <w:tcPr>
            <w:tcW w:w="260" w:type="dxa"/>
            <w:vAlign w:val="bottom"/>
            <w:tcBorders>
              <w:top w:val="single" w:sz="8" w:color="424E6A"/>
            </w:tcBorders>
            <w:shd w:val="clear" w:color="auto" w:fill="424E6A"/>
          </w:tcPr>
          <w:p>
            <w:pPr>
              <w:spacing w:after="0"/>
              <w:rPr>
                <w:sz w:val="6"/>
                <w:szCs w:val="6"/>
                <w:color w:val="auto"/>
              </w:rPr>
            </w:pPr>
          </w:p>
        </w:tc>
        <w:tc>
          <w:tcPr>
            <w:tcW w:w="220" w:type="dxa"/>
            <w:vAlign w:val="bottom"/>
            <w:tcBorders>
              <w:top w:val="single" w:sz="8" w:color="424E6A"/>
            </w:tcBorders>
            <w:shd w:val="clear" w:color="auto" w:fill="424E6A"/>
          </w:tcPr>
          <w:p>
            <w:pPr>
              <w:spacing w:after="0"/>
              <w:rPr>
                <w:sz w:val="6"/>
                <w:szCs w:val="6"/>
                <w:color w:val="auto"/>
              </w:rPr>
            </w:pPr>
          </w:p>
        </w:tc>
        <w:tc>
          <w:tcPr>
            <w:tcW w:w="126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424E6A"/>
            </w:tcBorders>
            <w:shd w:val="clear" w:color="auto" w:fill="424E6A"/>
          </w:tcPr>
          <w:p>
            <w:pPr>
              <w:spacing w:after="0"/>
              <w:rPr>
                <w:sz w:val="6"/>
                <w:szCs w:val="6"/>
                <w:color w:val="auto"/>
              </w:rPr>
            </w:pPr>
          </w:p>
        </w:tc>
        <w:tc>
          <w:tcPr>
            <w:tcW w:w="100" w:type="dxa"/>
            <w:vAlign w:val="bottom"/>
            <w:tcBorders>
              <w:top w:val="single" w:sz="8" w:color="424E6A"/>
            </w:tcBorders>
            <w:shd w:val="clear" w:color="auto" w:fill="424E6A"/>
          </w:tcPr>
          <w:p>
            <w:pPr>
              <w:spacing w:after="0"/>
              <w:rPr>
                <w:sz w:val="6"/>
                <w:szCs w:val="6"/>
                <w:color w:val="auto"/>
              </w:rPr>
            </w:pPr>
          </w:p>
        </w:tc>
        <w:tc>
          <w:tcPr>
            <w:tcW w:w="880" w:type="dxa"/>
            <w:vAlign w:val="bottom"/>
            <w:tcBorders>
              <w:top w:val="single" w:sz="8" w:color="424E6A"/>
            </w:tcBorders>
            <w:shd w:val="clear" w:color="auto" w:fill="424E6A"/>
          </w:tcPr>
          <w:p>
            <w:pPr>
              <w:jc w:val="center"/>
              <w:ind w:right="107"/>
              <w:spacing w:after="0" w:line="79" w:lineRule="exact"/>
              <w:rPr>
                <w:sz w:val="20"/>
                <w:szCs w:val="20"/>
                <w:color w:val="auto"/>
              </w:rPr>
            </w:pPr>
            <w:r>
              <w:rPr>
                <w:rFonts w:ascii="Arial" w:cs="Arial" w:eastAsia="Arial" w:hAnsi="Arial"/>
                <w:sz w:val="9"/>
                <w:szCs w:val="9"/>
                <w:b w:val="1"/>
                <w:bCs w:val="1"/>
                <w:color w:val="FFFFFF"/>
              </w:rPr>
              <w:t>Target</w:t>
            </w:r>
          </w:p>
        </w:tc>
        <w:tc>
          <w:tcPr>
            <w:tcW w:w="1080" w:type="dxa"/>
            <w:vAlign w:val="bottom"/>
            <w:tcBorders>
              <w:top w:val="single" w:sz="8" w:color="424E6A"/>
              <w:right w:val="single" w:sz="8" w:color="424E6A"/>
            </w:tcBorders>
            <w:shd w:val="clear" w:color="auto" w:fill="424E6A"/>
          </w:tcPr>
          <w:p>
            <w:pPr>
              <w:jc w:val="center"/>
              <w:spacing w:after="0" w:line="79" w:lineRule="exact"/>
              <w:rPr>
                <w:sz w:val="20"/>
                <w:szCs w:val="20"/>
                <w:color w:val="auto"/>
              </w:rPr>
            </w:pPr>
            <w:r>
              <w:rPr>
                <w:rFonts w:ascii="Arial" w:cs="Arial" w:eastAsia="Arial" w:hAnsi="Arial"/>
                <w:sz w:val="9"/>
                <w:szCs w:val="9"/>
                <w:b w:val="1"/>
                <w:bCs w:val="1"/>
                <w:color w:val="FFFFFF"/>
              </w:rPr>
              <w:t>2025 Actual</w:t>
            </w:r>
          </w:p>
        </w:tc>
      </w:tr>
      <w:tr>
        <w:trPr>
          <w:trHeight w:val="162"/>
        </w:trPr>
        <w:tc>
          <w:tcPr>
            <w:tcW w:w="1400" w:type="dxa"/>
            <w:vAlign w:val="bottom"/>
            <w:tcBorders>
              <w:lef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Named Executive</w:t>
            </w:r>
          </w:p>
        </w:tc>
        <w:tc>
          <w:tcPr>
            <w:tcW w:w="1260" w:type="dxa"/>
            <w:vAlign w:val="bottom"/>
            <w:shd w:val="clear" w:color="auto" w:fill="424E6A"/>
          </w:tcPr>
          <w:p>
            <w:pPr>
              <w:jc w:val="center"/>
              <w:ind w:left="48"/>
              <w:spacing w:after="0"/>
              <w:rPr>
                <w:sz w:val="20"/>
                <w:szCs w:val="20"/>
                <w:color w:val="auto"/>
              </w:rPr>
            </w:pPr>
            <w:r>
              <w:rPr>
                <w:rFonts w:ascii="Arial" w:cs="Arial" w:eastAsia="Arial" w:hAnsi="Arial"/>
                <w:sz w:val="14"/>
                <w:szCs w:val="14"/>
                <w:b w:val="1"/>
                <w:bCs w:val="1"/>
                <w:color w:val="FFFFFF"/>
              </w:rPr>
              <w:t>Bonus</w:t>
            </w: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Company</w:t>
            </w:r>
          </w:p>
        </w:tc>
        <w:tc>
          <w:tcPr>
            <w:tcW w:w="4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26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Individual</w:t>
            </w:r>
          </w:p>
        </w:tc>
        <w:tc>
          <w:tcPr>
            <w:tcW w:w="420" w:type="dxa"/>
            <w:vAlign w:val="bottom"/>
            <w:shd w:val="clear" w:color="auto" w:fill="424E6A"/>
          </w:tcPr>
          <w:p>
            <w:pPr>
              <w:spacing w:after="0"/>
              <w:rPr>
                <w:sz w:val="14"/>
                <w:szCs w:val="14"/>
                <w:color w:val="auto"/>
              </w:rPr>
            </w:pPr>
          </w:p>
        </w:tc>
        <w:tc>
          <w:tcPr>
            <w:tcW w:w="42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87"/>
              <w:spacing w:after="0"/>
              <w:rPr>
                <w:sz w:val="20"/>
                <w:szCs w:val="20"/>
                <w:color w:val="auto"/>
              </w:rPr>
            </w:pPr>
            <w:r>
              <w:rPr>
                <w:rFonts w:ascii="Arial" w:cs="Arial" w:eastAsia="Arial" w:hAnsi="Arial"/>
                <w:sz w:val="14"/>
                <w:szCs w:val="14"/>
                <w:b w:val="1"/>
                <w:bCs w:val="1"/>
                <w:color w:val="FFFFFF"/>
              </w:rPr>
              <w:t>Bonus</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Bonus</w:t>
            </w:r>
          </w:p>
        </w:tc>
      </w:tr>
      <w:tr>
        <w:trPr>
          <w:trHeight w:val="198"/>
        </w:trPr>
        <w:tc>
          <w:tcPr>
            <w:tcW w:w="1400" w:type="dxa"/>
            <w:vAlign w:val="bottom"/>
            <w:tcBorders>
              <w:lef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Officer</w:t>
            </w:r>
          </w:p>
        </w:tc>
        <w:tc>
          <w:tcPr>
            <w:tcW w:w="1360" w:type="dxa"/>
            <w:vAlign w:val="bottom"/>
            <w:gridSpan w:val="2"/>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Amount   </w:t>
            </w:r>
            <w:r>
              <w:rPr>
                <w:rFonts w:ascii="Arial" w:cs="Arial" w:eastAsia="Arial" w:hAnsi="Arial"/>
                <w:sz w:val="22"/>
                <w:szCs w:val="22"/>
                <w:b w:val="1"/>
                <w:bCs w:val="1"/>
                <w:color w:val="FFFFFF"/>
                <w:vertAlign w:val="subscript"/>
              </w:rPr>
              <w:t>​ ​</w:t>
            </w:r>
          </w:p>
        </w:tc>
        <w:tc>
          <w:tcPr>
            <w:tcW w:w="640" w:type="dxa"/>
            <w:vAlign w:val="bottom"/>
            <w:shd w:val="clear" w:color="auto" w:fill="424E6A"/>
          </w:tcPr>
          <w:p>
            <w:pPr>
              <w:ind w:left="160"/>
              <w:spacing w:after="0"/>
              <w:rPr>
                <w:sz w:val="20"/>
                <w:szCs w:val="20"/>
                <w:color w:val="auto"/>
              </w:rPr>
            </w:pPr>
            <w:r>
              <w:rPr>
                <w:rFonts w:ascii="Arial" w:cs="Arial" w:eastAsia="Arial" w:hAnsi="Arial"/>
                <w:sz w:val="14"/>
                <w:szCs w:val="14"/>
                <w:b w:val="1"/>
                <w:bCs w:val="1"/>
                <w:color w:val="FFFFFF"/>
              </w:rPr>
              <w:t>Score</w:t>
            </w:r>
          </w:p>
        </w:tc>
        <w:tc>
          <w:tcPr>
            <w:tcW w:w="1300" w:type="dxa"/>
            <w:vAlign w:val="bottom"/>
            <w:gridSpan w:val="3"/>
            <w:shd w:val="clear" w:color="auto" w:fill="424E6A"/>
          </w:tcPr>
          <w:p>
            <w:pPr>
              <w:ind w:left="120"/>
              <w:spacing w:after="0" w:line="199" w:lineRule="exact"/>
              <w:rPr>
                <w:sz w:val="20"/>
                <w:szCs w:val="20"/>
                <w:color w:val="auto"/>
              </w:rPr>
            </w:pPr>
            <w:r>
              <w:rPr>
                <w:rFonts w:ascii="Arial" w:cs="Arial" w:eastAsia="Arial" w:hAnsi="Arial"/>
                <w:sz w:val="12"/>
                <w:szCs w:val="12"/>
                <w:b w:val="1"/>
                <w:bCs w:val="1"/>
                <w:color w:val="FFFFFF"/>
              </w:rPr>
              <w:t xml:space="preserve">​ ​  ​ ​ </w:t>
            </w:r>
            <w:r>
              <w:rPr>
                <w:rFonts w:ascii="Arial" w:cs="Arial" w:eastAsia="Arial" w:hAnsi="Arial"/>
                <w:sz w:val="22"/>
                <w:szCs w:val="22"/>
                <w:b w:val="1"/>
                <w:bCs w:val="1"/>
                <w:color w:val="FFFFFF"/>
                <w:vertAlign w:val="superscript"/>
              </w:rPr>
              <w:t>Weight</w:t>
            </w:r>
            <w:r>
              <w:rPr>
                <w:rFonts w:ascii="Arial" w:cs="Arial" w:eastAsia="Arial" w:hAnsi="Arial"/>
                <w:sz w:val="12"/>
                <w:szCs w:val="12"/>
                <w:b w:val="1"/>
                <w:bCs w:val="1"/>
                <w:color w:val="FFFFFF"/>
              </w:rPr>
              <w:t xml:space="preserve"> ​ ​</w:t>
            </w:r>
          </w:p>
        </w:tc>
        <w:tc>
          <w:tcPr>
            <w:tcW w:w="2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gridSpan w:val="3"/>
            <w:shd w:val="clear" w:color="auto" w:fill="424E6A"/>
          </w:tcPr>
          <w:p>
            <w:pPr>
              <w:jc w:val="right"/>
              <w:ind w:right="220"/>
              <w:spacing w:after="0" w:line="199" w:lineRule="exact"/>
              <w:rPr>
                <w:sz w:val="20"/>
                <w:szCs w:val="20"/>
                <w:color w:val="auto"/>
              </w:rPr>
            </w:pPr>
            <w:r>
              <w:rPr>
                <w:rFonts w:ascii="Arial" w:cs="Arial" w:eastAsia="Arial" w:hAnsi="Arial"/>
                <w:sz w:val="12"/>
                <w:szCs w:val="12"/>
                <w:b w:val="1"/>
                <w:bCs w:val="1"/>
                <w:color w:val="FFFFFF"/>
              </w:rPr>
              <w:t xml:space="preserve">Score   </w:t>
            </w: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Weight </w:t>
            </w:r>
            <w:r>
              <w:rPr>
                <w:rFonts w:ascii="Arial" w:cs="Arial" w:eastAsia="Arial" w:hAnsi="Arial"/>
                <w:sz w:val="22"/>
                <w:szCs w:val="22"/>
                <w:b w:val="1"/>
                <w:bCs w:val="1"/>
                <w:color w:val="FFFFFF"/>
                <w:vertAlign w:val="subscript"/>
              </w:rPr>
              <w:t>​ ​</w:t>
            </w:r>
          </w:p>
        </w:tc>
        <w:tc>
          <w:tcPr>
            <w:tcW w:w="100" w:type="dxa"/>
            <w:vAlign w:val="bottom"/>
            <w:shd w:val="clear" w:color="auto" w:fill="424E6A"/>
          </w:tcPr>
          <w:p>
            <w:pPr>
              <w:spacing w:after="0"/>
              <w:rPr>
                <w:sz w:val="17"/>
                <w:szCs w:val="17"/>
                <w:color w:val="auto"/>
              </w:rPr>
            </w:pPr>
          </w:p>
        </w:tc>
        <w:tc>
          <w:tcPr>
            <w:tcW w:w="880" w:type="dxa"/>
            <w:vAlign w:val="bottom"/>
            <w:shd w:val="clear" w:color="auto" w:fill="424E6A"/>
          </w:tcPr>
          <w:p>
            <w:pPr>
              <w:jc w:val="center"/>
              <w:ind w:right="47"/>
              <w:spacing w:after="0"/>
              <w:rPr>
                <w:sz w:val="20"/>
                <w:szCs w:val="20"/>
                <w:color w:val="auto"/>
              </w:rPr>
            </w:pPr>
            <w:r>
              <w:rPr>
                <w:rFonts w:ascii="Arial" w:cs="Arial" w:eastAsia="Arial" w:hAnsi="Arial"/>
                <w:sz w:val="14"/>
                <w:szCs w:val="14"/>
                <w:b w:val="1"/>
                <w:bCs w:val="1"/>
                <w:color w:val="FFFFFF"/>
              </w:rPr>
              <w:t>Earned</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Amount</w:t>
            </w:r>
            <w:r>
              <w:rPr>
                <w:rFonts w:ascii="Arial" w:cs="Arial" w:eastAsia="Arial" w:hAnsi="Arial"/>
                <w:sz w:val="17"/>
                <w:szCs w:val="17"/>
                <w:b w:val="1"/>
                <w:bCs w:val="1"/>
                <w:color w:val="FFFFFF"/>
                <w:w w:val="98"/>
                <w:vertAlign w:val="superscript"/>
              </w:rPr>
              <w:t>(1)</w:t>
            </w:r>
          </w:p>
        </w:tc>
      </w:tr>
      <w:tr>
        <w:trPr>
          <w:trHeight w:val="257"/>
        </w:trPr>
        <w:tc>
          <w:tcPr>
            <w:tcW w:w="1400" w:type="dxa"/>
            <w:vAlign w:val="bottom"/>
            <w:tcBorders>
              <w:left w:val="single" w:sz="8" w:color="424E6A"/>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Willie Chiang</w:t>
            </w:r>
          </w:p>
        </w:tc>
        <w:tc>
          <w:tcPr>
            <w:tcW w:w="136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$2,250,000 </w:t>
            </w:r>
            <w:r>
              <w:rPr>
                <w:rFonts w:ascii="Arial" w:cs="Arial" w:eastAsia="Arial" w:hAnsi="Arial"/>
                <w:sz w:val="29"/>
                <w:szCs w:val="29"/>
                <w:color w:val="auto"/>
                <w:vertAlign w:val="subscript"/>
              </w:rPr>
              <w:t>​ ​</w:t>
            </w:r>
          </w:p>
        </w:tc>
        <w:tc>
          <w:tcPr>
            <w:tcW w:w="1240" w:type="dxa"/>
            <w:vAlign w:val="bottom"/>
            <w:tcBorders>
              <w:bottom w:val="single" w:sz="8" w:color="424E6A"/>
            </w:tcBorders>
            <w:gridSpan w:val="2"/>
            <w:shd w:val="clear" w:color="auto" w:fill="D9DCE1"/>
          </w:tcPr>
          <w:p>
            <w:pPr>
              <w:ind w:left="2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85%</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shd w:val="clear" w:color="auto" w:fill="D9DCE1"/>
          </w:tcPr>
          <w:p>
            <w:pPr>
              <w:jc w:val="right"/>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60%</w:t>
            </w:r>
            <w:r>
              <w:rPr>
                <w:rFonts w:ascii="Arial" w:cs="Arial" w:eastAsia="Arial" w:hAnsi="Arial"/>
                <w:sz w:val="16"/>
                <w:szCs w:val="16"/>
                <w:color w:val="auto"/>
              </w:rPr>
              <w:t>​​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shd w:val="clear" w:color="auto" w:fill="D9DCE1"/>
          </w:tcPr>
          <w:p>
            <w:pPr>
              <w:ind w:left="1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200%</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shd w:val="clear" w:color="auto" w:fill="D9DCE1"/>
          </w:tcPr>
          <w:p>
            <w:pPr>
              <w:ind w:left="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40%</w:t>
            </w: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00" w:type="dxa"/>
            <w:vAlign w:val="bottom"/>
            <w:tcBorders>
              <w:bottom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131% </w:t>
            </w:r>
            <w:r>
              <w:rPr>
                <w:rFonts w:ascii="Arial" w:cs="Arial" w:eastAsia="Arial" w:hAnsi="Arial"/>
                <w:sz w:val="29"/>
                <w:szCs w:val="29"/>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$2,950,000</w:t>
            </w:r>
          </w:p>
        </w:tc>
      </w:tr>
      <w:tr>
        <w:trPr>
          <w:trHeight w:val="250"/>
        </w:trPr>
        <w:tc>
          <w:tcPr>
            <w:tcW w:w="1400" w:type="dxa"/>
            <w:vAlign w:val="bottom"/>
            <w:tcBorders>
              <w:left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Al Swanson</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855,000 </w:t>
            </w:r>
            <w:r>
              <w:rPr>
                <w:rFonts w:ascii="Arial" w:cs="Arial" w:eastAsia="Arial" w:hAnsi="Arial"/>
                <w:sz w:val="28"/>
                <w:szCs w:val="28"/>
                <w:color w:val="auto"/>
                <w:vertAlign w:val="subscript"/>
              </w:rPr>
              <w:t>​ ​</w:t>
            </w:r>
          </w:p>
        </w:tc>
        <w:tc>
          <w:tcPr>
            <w:tcW w:w="1240" w:type="dxa"/>
            <w:vAlign w:val="bottom"/>
            <w:tcBorders>
              <w:bottom w:val="single" w:sz="8" w:color="424E6A"/>
            </w:tcBorders>
            <w:gridSpan w:val="2"/>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85%</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131%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$1,125,000</w:t>
            </w:r>
          </w:p>
        </w:tc>
      </w:tr>
      <w:tr>
        <w:trPr>
          <w:trHeight w:val="263"/>
        </w:trPr>
        <w:tc>
          <w:tcPr>
            <w:tcW w:w="1400" w:type="dxa"/>
            <w:vAlign w:val="bottom"/>
            <w:tcBorders>
              <w:left w:val="single" w:sz="8" w:color="424E6A"/>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Richard McGee</w:t>
            </w:r>
          </w:p>
        </w:tc>
        <w:tc>
          <w:tcPr>
            <w:tcW w:w="1360" w:type="dxa"/>
            <w:vAlign w:val="bottom"/>
            <w:tcBorders>
              <w:bottom w:val="single" w:sz="8" w:color="424E6A"/>
            </w:tcBorders>
            <w:gridSpan w:val="2"/>
            <w:shd w:val="clear" w:color="auto" w:fill="D9DCE1"/>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885,000 </w:t>
            </w:r>
            <w:r>
              <w:rPr>
                <w:rFonts w:ascii="Arial" w:cs="Arial" w:eastAsia="Arial" w:hAnsi="Arial"/>
                <w:sz w:val="30"/>
                <w:szCs w:val="30"/>
                <w:color w:val="auto"/>
                <w:vertAlign w:val="subscript"/>
              </w:rPr>
              <w:t>​ ​</w:t>
            </w:r>
          </w:p>
        </w:tc>
        <w:tc>
          <w:tcPr>
            <w:tcW w:w="640" w:type="dxa"/>
            <w:vAlign w:val="bottom"/>
            <w:tcBorders>
              <w:bottom w:val="single" w:sz="8" w:color="424E6A"/>
            </w:tcBorders>
            <w:shd w:val="clear" w:color="auto" w:fill="D9DCE1"/>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w:t>
            </w:r>
          </w:p>
        </w:tc>
        <w:tc>
          <w:tcPr>
            <w:tcW w:w="600" w:type="dxa"/>
            <w:vAlign w:val="bottom"/>
            <w:tcBorders>
              <w:bottom w:val="single" w:sz="8" w:color="424E6A"/>
            </w:tcBorders>
            <w:shd w:val="clear" w:color="auto" w:fill="D9DCE1"/>
          </w:tcPr>
          <w:p>
            <w:pPr>
              <w:ind w:left="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shd w:val="clear" w:color="auto" w:fill="D9DCE1"/>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60%</w:t>
            </w:r>
            <w:r>
              <w:rPr>
                <w:rFonts w:ascii="Arial" w:cs="Arial" w:eastAsia="Arial" w:hAnsi="Arial"/>
                <w:sz w:val="16"/>
                <w:szCs w:val="16"/>
                <w:color w:val="auto"/>
              </w:rPr>
              <w:t>​​ ​</w:t>
            </w: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shd w:val="clear" w:color="auto" w:fill="D9DCE1"/>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200%</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shd w:val="clear" w:color="auto" w:fill="D9DCE1"/>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40%</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00" w:type="dxa"/>
            <w:vAlign w:val="bottom"/>
            <w:tcBorders>
              <w:bottom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131% </w:t>
            </w:r>
            <w:r>
              <w:rPr>
                <w:rFonts w:ascii="Arial" w:cs="Arial" w:eastAsia="Arial" w:hAnsi="Arial"/>
                <w:sz w:val="30"/>
                <w:szCs w:val="30"/>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$1,160,000</w:t>
            </w:r>
          </w:p>
        </w:tc>
      </w:tr>
      <w:tr>
        <w:trPr>
          <w:trHeight w:val="264"/>
        </w:trPr>
        <w:tc>
          <w:tcPr>
            <w:tcW w:w="1400" w:type="dxa"/>
            <w:vAlign w:val="bottom"/>
            <w:tcBorders>
              <w:left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Chris Chandler</w:t>
            </w:r>
          </w:p>
        </w:tc>
        <w:tc>
          <w:tcPr>
            <w:tcW w:w="1360" w:type="dxa"/>
            <w:vAlign w:val="bottom"/>
            <w:tcBorders>
              <w:bottom w:val="single" w:sz="8" w:color="424E6A"/>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938,000 </w:t>
            </w:r>
            <w:r>
              <w:rPr>
                <w:rFonts w:ascii="Arial" w:cs="Arial" w:eastAsia="Arial" w:hAnsi="Arial"/>
                <w:sz w:val="30"/>
                <w:szCs w:val="30"/>
                <w:color w:val="auto"/>
                <w:vertAlign w:val="subscript"/>
              </w:rPr>
              <w:t>​ ​</w:t>
            </w:r>
          </w:p>
        </w:tc>
        <w:tc>
          <w:tcPr>
            <w:tcW w:w="640" w:type="dxa"/>
            <w:vAlign w:val="bottom"/>
            <w:tcBorders>
              <w:bottom w:val="single" w:sz="8" w:color="424E6A"/>
            </w:tcBorders>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w:t>
            </w:r>
          </w:p>
        </w:tc>
        <w:tc>
          <w:tcPr>
            <w:tcW w:w="600" w:type="dxa"/>
            <w:vAlign w:val="bottom"/>
            <w:tcBorders>
              <w:bottom w:val="single" w:sz="8" w:color="424E6A"/>
            </w:tcBorders>
          </w:tcPr>
          <w:p>
            <w:pPr>
              <w:ind w:left="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60%</w:t>
            </w:r>
            <w:r>
              <w:rPr>
                <w:rFonts w:ascii="Arial" w:cs="Arial" w:eastAsia="Arial" w:hAnsi="Arial"/>
                <w:sz w:val="16"/>
                <w:szCs w:val="16"/>
                <w:color w:val="auto"/>
              </w:rPr>
              <w:t>​​ ​</w:t>
            </w: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200%</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40%</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00" w:type="dxa"/>
            <w:vAlign w:val="bottom"/>
            <w:tcBorders>
              <w:bottom w:val="single" w:sz="8" w:color="424E6A"/>
            </w:tcBorders>
          </w:tcPr>
          <w:p>
            <w:pPr>
              <w:spacing w:after="0"/>
              <w:rPr>
                <w:sz w:val="22"/>
                <w:szCs w:val="22"/>
                <w:color w:val="auto"/>
              </w:rPr>
            </w:pPr>
          </w:p>
        </w:tc>
        <w:tc>
          <w:tcPr>
            <w:tcW w:w="880" w:type="dxa"/>
            <w:vAlign w:val="bottom"/>
            <w:tcBorders>
              <w:bottom w:val="single" w:sz="8" w:color="424E6A"/>
            </w:tcBorders>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131% </w:t>
            </w:r>
            <w:r>
              <w:rPr>
                <w:rFonts w:ascii="Arial" w:cs="Arial" w:eastAsia="Arial" w:hAnsi="Arial"/>
                <w:sz w:val="30"/>
                <w:szCs w:val="30"/>
                <w:color w:val="auto"/>
                <w:vertAlign w:val="subscript"/>
              </w:rPr>
              <w:t>​</w:t>
            </w:r>
          </w:p>
        </w:tc>
        <w:tc>
          <w:tcPr>
            <w:tcW w:w="1080" w:type="dxa"/>
            <w:vAlign w:val="bottom"/>
            <w:tcBorders>
              <w:bottom w:val="single" w:sz="8" w:color="424E6A"/>
              <w:right w:val="single" w:sz="8" w:color="424E6A"/>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$1,230,000</w:t>
            </w:r>
          </w:p>
        </w:tc>
      </w:tr>
      <w:tr>
        <w:trPr>
          <w:trHeight w:val="263"/>
        </w:trPr>
        <w:tc>
          <w:tcPr>
            <w:tcW w:w="1400" w:type="dxa"/>
            <w:vAlign w:val="bottom"/>
            <w:tcBorders>
              <w:left w:val="single" w:sz="8" w:color="424E6A"/>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Jeremy Goebel</w:t>
            </w:r>
          </w:p>
        </w:tc>
        <w:tc>
          <w:tcPr>
            <w:tcW w:w="1360" w:type="dxa"/>
            <w:vAlign w:val="bottom"/>
            <w:tcBorders>
              <w:bottom w:val="single" w:sz="8" w:color="424E6A"/>
            </w:tcBorders>
            <w:gridSpan w:val="2"/>
            <w:shd w:val="clear" w:color="auto" w:fill="D9DCE1"/>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938,000 </w:t>
            </w:r>
            <w:r>
              <w:rPr>
                <w:rFonts w:ascii="Arial" w:cs="Arial" w:eastAsia="Arial" w:hAnsi="Arial"/>
                <w:sz w:val="30"/>
                <w:szCs w:val="30"/>
                <w:color w:val="auto"/>
                <w:vertAlign w:val="subscript"/>
              </w:rPr>
              <w:t>​ ​</w:t>
            </w:r>
          </w:p>
        </w:tc>
        <w:tc>
          <w:tcPr>
            <w:tcW w:w="640" w:type="dxa"/>
            <w:vAlign w:val="bottom"/>
            <w:tcBorders>
              <w:bottom w:val="single" w:sz="8" w:color="424E6A"/>
            </w:tcBorders>
            <w:shd w:val="clear" w:color="auto" w:fill="D9DCE1"/>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w:t>
            </w:r>
          </w:p>
        </w:tc>
        <w:tc>
          <w:tcPr>
            <w:tcW w:w="600" w:type="dxa"/>
            <w:vAlign w:val="bottom"/>
            <w:tcBorders>
              <w:bottom w:val="single" w:sz="8" w:color="424E6A"/>
            </w:tcBorders>
            <w:shd w:val="clear" w:color="auto" w:fill="D9DCE1"/>
          </w:tcPr>
          <w:p>
            <w:pPr>
              <w:ind w:left="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shd w:val="clear" w:color="auto" w:fill="D9DCE1"/>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60%</w:t>
            </w:r>
            <w:r>
              <w:rPr>
                <w:rFonts w:ascii="Arial" w:cs="Arial" w:eastAsia="Arial" w:hAnsi="Arial"/>
                <w:sz w:val="16"/>
                <w:szCs w:val="16"/>
                <w:color w:val="auto"/>
              </w:rPr>
              <w:t>​​ ​</w:t>
            </w: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shd w:val="clear" w:color="auto" w:fill="D9DCE1"/>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200%</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shd w:val="clear" w:color="auto" w:fill="D9DCE1"/>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0" w:type="dxa"/>
            <w:vAlign w:val="bottom"/>
            <w:tcBorders>
              <w:bottom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131% </w:t>
            </w:r>
            <w:r>
              <w:rPr>
                <w:rFonts w:ascii="Arial" w:cs="Arial" w:eastAsia="Arial" w:hAnsi="Arial"/>
                <w:sz w:val="30"/>
                <w:szCs w:val="30"/>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$1,230,000</w:t>
            </w:r>
          </w:p>
        </w:tc>
      </w:tr>
    </w:tbl>
    <w:p>
      <w:pPr>
        <w:spacing w:after="0" w:line="126" w:lineRule="exact"/>
        <w:rPr>
          <w:sz w:val="20"/>
          <w:szCs w:val="20"/>
          <w:color w:val="auto"/>
        </w:rPr>
      </w:pPr>
    </w:p>
    <w:p>
      <w:pPr>
        <w:ind w:left="1620" w:hanging="360"/>
        <w:spacing w:after="0"/>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Final amounts paid were rounded to the nearest multiple of $5,000.</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Incentive Awards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Regular Annual Long-Term Incentive Awards</w:t>
      </w:r>
    </w:p>
    <w:p>
      <w:pPr>
        <w:spacing w:after="0" w:line="156" w:lineRule="exact"/>
        <w:rPr>
          <w:sz w:val="20"/>
          <w:szCs w:val="20"/>
          <w:color w:val="auto"/>
        </w:rPr>
      </w:pPr>
    </w:p>
    <w:p>
      <w:pPr>
        <w:ind w:left="1260" w:right="440" w:firstLine="360"/>
        <w:spacing w:after="0" w:line="267" w:lineRule="auto"/>
        <w:rPr>
          <w:sz w:val="20"/>
          <w:szCs w:val="20"/>
          <w:color w:val="auto"/>
        </w:rPr>
      </w:pPr>
      <w:r>
        <w:rPr>
          <w:rFonts w:ascii="Arial" w:cs="Arial" w:eastAsia="Arial" w:hAnsi="Arial"/>
          <w:sz w:val="18"/>
          <w:szCs w:val="18"/>
          <w:color w:val="auto"/>
        </w:rPr>
        <w:t>Based on Meridian’s compensation comparison study and as part of the market-based review by the Compensation Committee in January 2025, the regular annual LTIP target for Mr. Chiang was increased from 750% to 850%. No changes were made to the annual LTIP targets for the other NEOs. The 2025 annual LTIP targets for the Named Executive Officers, expressed as a percentage of base salary, and the value of the 2025 regular annual LTIP awards to the Named Executive Officers are set forth in the table below:</w:t>
      </w:r>
    </w:p>
    <w:p>
      <w:pPr>
        <w:spacing w:after="0" w:line="163"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20" w:type="dxa"/>
            <w:vAlign w:val="bottom"/>
            <w:tcBorders>
              <w:left w:val="single" w:sz="8" w:color="424E6A"/>
              <w:right w:val="single" w:sz="8" w:color="424E6A"/>
            </w:tcBorders>
            <w:shd w:val="clear" w:color="auto" w:fill="424E6A"/>
          </w:tcPr>
          <w:p>
            <w:pPr>
              <w:spacing w:after="0"/>
              <w:rPr>
                <w:sz w:val="17"/>
                <w:szCs w:val="17"/>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LTIP</w:t>
            </w:r>
          </w:p>
        </w:tc>
        <w:tc>
          <w:tcPr>
            <w:tcW w:w="120" w:type="dxa"/>
            <w:vAlign w:val="bottom"/>
            <w:tcBorders>
              <w:right w:val="single" w:sz="8" w:color="424E6A"/>
            </w:tcBorders>
            <w:shd w:val="clear" w:color="auto" w:fill="424E6A"/>
          </w:tcPr>
          <w:p>
            <w:pPr>
              <w:spacing w:after="0"/>
              <w:rPr>
                <w:sz w:val="17"/>
                <w:szCs w:val="17"/>
                <w:color w:val="auto"/>
              </w:rPr>
            </w:pPr>
          </w:p>
        </w:tc>
        <w:tc>
          <w:tcPr>
            <w:tcW w:w="1300" w:type="dxa"/>
            <w:vAlign w:val="bottom"/>
            <w:tcBorders>
              <w:right w:val="single" w:sz="8" w:color="424E6A"/>
            </w:tcBorders>
            <w:shd w:val="clear" w:color="auto" w:fill="424E6A"/>
          </w:tcPr>
          <w:p>
            <w:pPr>
              <w:spacing w:after="0"/>
              <w:rPr>
                <w:sz w:val="17"/>
                <w:szCs w:val="17"/>
                <w:color w:val="auto"/>
              </w:rPr>
            </w:pPr>
          </w:p>
        </w:tc>
        <w:tc>
          <w:tcPr>
            <w:tcW w:w="110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88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10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202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w:t>
            </w:r>
          </w:p>
        </w:tc>
        <w:tc>
          <w:tcPr>
            <w:tcW w:w="120" w:type="dxa"/>
            <w:vAlign w:val="bottom"/>
            <w:tcBorders>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8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202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Target Value</w:t>
            </w:r>
          </w:p>
        </w:tc>
        <w:tc>
          <w:tcPr>
            <w:tcW w:w="120" w:type="dxa"/>
            <w:vAlign w:val="bottom"/>
            <w:tcBorders>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2025 Annual</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2025 Annual</w:t>
            </w:r>
          </w:p>
        </w:tc>
        <w:tc>
          <w:tcPr>
            <w:tcW w:w="120" w:type="dxa"/>
            <w:vAlign w:val="bottom"/>
            <w:tcBorders>
              <w:right w:val="single" w:sz="8" w:color="424E6A"/>
            </w:tcBorders>
            <w:shd w:val="clear" w:color="auto" w:fill="424E6A"/>
          </w:tcPr>
          <w:p>
            <w:pPr>
              <w:spacing w:after="0"/>
              <w:rPr>
                <w:sz w:val="14"/>
                <w:szCs w:val="14"/>
                <w:color w:val="auto"/>
              </w:rPr>
            </w:pPr>
          </w:p>
        </w:tc>
        <w:tc>
          <w:tcPr>
            <w:tcW w:w="1140" w:type="dxa"/>
            <w:vAlign w:val="bottom"/>
            <w:gridSpan w:val="3"/>
            <w:shd w:val="clear" w:color="auto" w:fill="424E6A"/>
          </w:tcPr>
          <w:p>
            <w:pPr>
              <w:jc w:val="center"/>
              <w:ind w:right="90"/>
              <w:spacing w:after="0"/>
              <w:rPr>
                <w:sz w:val="20"/>
                <w:szCs w:val="20"/>
                <w:color w:val="auto"/>
              </w:rPr>
            </w:pPr>
            <w:r>
              <w:rPr>
                <w:rFonts w:ascii="Arial" w:cs="Arial" w:eastAsia="Arial" w:hAnsi="Arial"/>
                <w:sz w:val="14"/>
                <w:szCs w:val="14"/>
                <w:b w:val="1"/>
                <w:bCs w:val="1"/>
                <w:color w:val="FFFFFF"/>
              </w:rPr>
              <w:t>Time-Based</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Performance-</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202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(as a percentage</w:t>
            </w:r>
          </w:p>
        </w:tc>
        <w:tc>
          <w:tcPr>
            <w:tcW w:w="120" w:type="dxa"/>
            <w:vAlign w:val="bottom"/>
            <w:tcBorders>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ind w:left="220"/>
              <w:spacing w:after="0"/>
              <w:rPr>
                <w:sz w:val="20"/>
                <w:szCs w:val="20"/>
                <w:color w:val="auto"/>
              </w:rPr>
            </w:pPr>
            <w:r>
              <w:rPr>
                <w:rFonts w:ascii="Arial" w:cs="Arial" w:eastAsia="Arial" w:hAnsi="Arial"/>
                <w:sz w:val="14"/>
                <w:szCs w:val="14"/>
                <w:b w:val="1"/>
                <w:bCs w:val="1"/>
                <w:color w:val="FFFFFF"/>
              </w:rPr>
              <w:t>LTIP Award</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20" w:type="dxa"/>
            <w:vAlign w:val="bottom"/>
            <w:tcBorders>
              <w:right w:val="single" w:sz="8" w:color="424E6A"/>
            </w:tcBorders>
            <w:shd w:val="clear" w:color="auto" w:fill="424E6A"/>
          </w:tcPr>
          <w:p>
            <w:pPr>
              <w:spacing w:after="0"/>
              <w:rPr>
                <w:sz w:val="14"/>
                <w:szCs w:val="14"/>
                <w:color w:val="auto"/>
              </w:rPr>
            </w:pPr>
          </w:p>
        </w:tc>
        <w:tc>
          <w:tcPr>
            <w:tcW w:w="880" w:type="dxa"/>
            <w:vAlign w:val="bottom"/>
            <w:shd w:val="clear" w:color="auto" w:fill="424E6A"/>
          </w:tcPr>
          <w:p>
            <w:pPr>
              <w:jc w:val="center"/>
              <w:ind w:left="6"/>
              <w:spacing w:after="0"/>
              <w:rPr>
                <w:sz w:val="20"/>
                <w:szCs w:val="20"/>
                <w:color w:val="auto"/>
              </w:rPr>
            </w:pPr>
            <w:r>
              <w:rPr>
                <w:rFonts w:ascii="Arial" w:cs="Arial" w:eastAsia="Arial" w:hAnsi="Arial"/>
                <w:sz w:val="14"/>
                <w:szCs w:val="14"/>
                <w:b w:val="1"/>
                <w:bCs w:val="1"/>
                <w:color w:val="FFFFFF"/>
              </w:rPr>
              <w:t>Phantom</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Based Phantom</w:t>
            </w:r>
          </w:p>
        </w:tc>
        <w:tc>
          <w:tcPr>
            <w:tcW w:w="100" w:type="dxa"/>
            <w:vAlign w:val="bottom"/>
            <w:tcBorders>
              <w:right w:val="single" w:sz="8" w:color="424E6A"/>
            </w:tcBorders>
            <w:shd w:val="clear" w:color="auto" w:fill="424E6A"/>
          </w:tcPr>
          <w:p>
            <w:pPr>
              <w:spacing w:after="0"/>
              <w:rPr>
                <w:sz w:val="14"/>
                <w:szCs w:val="14"/>
                <w:color w:val="auto"/>
              </w:rPr>
            </w:pPr>
          </w:p>
        </w:tc>
      </w:tr>
      <w:tr>
        <w:trPr>
          <w:trHeight w:val="212"/>
        </w:trPr>
        <w:tc>
          <w:tcPr>
            <w:tcW w:w="202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of base salary)</w:t>
            </w:r>
          </w:p>
        </w:tc>
        <w:tc>
          <w:tcPr>
            <w:tcW w:w="120" w:type="dxa"/>
            <w:vAlign w:val="bottom"/>
            <w:tcBorders>
              <w:right w:val="single" w:sz="8" w:color="424E6A"/>
            </w:tcBorders>
            <w:shd w:val="clear" w:color="auto" w:fill="424E6A"/>
          </w:tcPr>
          <w:p>
            <w:pPr>
              <w:spacing w:after="0"/>
              <w:rPr>
                <w:sz w:val="18"/>
                <w:szCs w:val="18"/>
                <w:color w:val="auto"/>
              </w:rPr>
            </w:pPr>
          </w:p>
        </w:tc>
        <w:tc>
          <w:tcPr>
            <w:tcW w:w="130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Target Value ($)</w:t>
            </w:r>
          </w:p>
        </w:tc>
        <w:tc>
          <w:tcPr>
            <w:tcW w:w="110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w w:val="97"/>
              </w:rPr>
              <w:t>Granted</w:t>
            </w:r>
            <w:r>
              <w:rPr>
                <w:rFonts w:ascii="Arial" w:cs="Arial" w:eastAsia="Arial" w:hAnsi="Arial"/>
                <w:sz w:val="17"/>
                <w:szCs w:val="17"/>
                <w:b w:val="1"/>
                <w:bCs w:val="1"/>
                <w:color w:val="FFFFFF"/>
                <w:w w:val="97"/>
                <w:vertAlign w:val="superscript"/>
              </w:rPr>
              <w:t>(1)</w:t>
            </w:r>
          </w:p>
        </w:tc>
        <w:tc>
          <w:tcPr>
            <w:tcW w:w="120" w:type="dxa"/>
            <w:vAlign w:val="bottom"/>
            <w:tcBorders>
              <w:right w:val="single" w:sz="8" w:color="424E6A"/>
            </w:tcBorders>
            <w:shd w:val="clear" w:color="auto" w:fill="424E6A"/>
          </w:tcPr>
          <w:p>
            <w:pPr>
              <w:spacing w:after="0"/>
              <w:rPr>
                <w:sz w:val="18"/>
                <w:szCs w:val="18"/>
                <w:color w:val="auto"/>
              </w:rPr>
            </w:pPr>
          </w:p>
        </w:tc>
        <w:tc>
          <w:tcPr>
            <w:tcW w:w="1140" w:type="dxa"/>
            <w:vAlign w:val="bottom"/>
            <w:gridSpan w:val="3"/>
            <w:shd w:val="clear" w:color="auto" w:fill="424E6A"/>
          </w:tcPr>
          <w:p>
            <w:pPr>
              <w:ind w:left="100"/>
              <w:spacing w:after="0" w:line="199" w:lineRule="exact"/>
              <w:rPr>
                <w:sz w:val="20"/>
                <w:szCs w:val="20"/>
                <w:color w:val="auto"/>
              </w:rPr>
            </w:pPr>
            <w:r>
              <w:rPr>
                <w:rFonts w:ascii="Arial" w:cs="Arial" w:eastAsia="Arial" w:hAnsi="Arial"/>
                <w:sz w:val="12"/>
                <w:szCs w:val="12"/>
                <w:b w:val="1"/>
                <w:bCs w:val="1"/>
                <w:color w:val="FFFFFF"/>
              </w:rPr>
              <w:t xml:space="preserve">Units (50%) </w:t>
            </w:r>
            <w:r>
              <w:rPr>
                <w:rFonts w:ascii="Arial" w:cs="Arial" w:eastAsia="Arial" w:hAnsi="Arial"/>
                <w:sz w:val="22"/>
                <w:szCs w:val="22"/>
                <w:b w:val="1"/>
                <w:bCs w:val="1"/>
                <w:color w:val="FFFFFF"/>
                <w:vertAlign w:val="subscript"/>
              </w:rPr>
              <w:t>​ ​</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Units (50%)</w:t>
            </w:r>
          </w:p>
        </w:tc>
        <w:tc>
          <w:tcPr>
            <w:tcW w:w="100" w:type="dxa"/>
            <w:vAlign w:val="bottom"/>
            <w:tcBorders>
              <w:right w:val="single" w:sz="8" w:color="424E6A"/>
            </w:tcBorders>
            <w:shd w:val="clear" w:color="auto" w:fill="424E6A"/>
          </w:tcPr>
          <w:p>
            <w:pPr>
              <w:spacing w:after="0"/>
              <w:rPr>
                <w:sz w:val="18"/>
                <w:szCs w:val="18"/>
                <w:color w:val="auto"/>
              </w:rPr>
            </w:pPr>
          </w:p>
        </w:tc>
      </w:tr>
      <w:tr>
        <w:trPr>
          <w:trHeight w:val="257"/>
        </w:trPr>
        <w:tc>
          <w:tcPr>
            <w:tcW w:w="202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20" w:type="dxa"/>
            <w:vAlign w:val="bottom"/>
            <w:tcBorders>
              <w:bottom w:val="single" w:sz="8" w:color="424E6A"/>
            </w:tcBorders>
            <w:shd w:val="clear" w:color="auto" w:fill="D9DCE1"/>
          </w:tcPr>
          <w:p>
            <w:pPr>
              <w:ind w:left="5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850%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24E6A"/>
              <w:right w:val="single" w:sz="8" w:color="424E6A"/>
            </w:tcBorders>
            <w:shd w:val="clear" w:color="auto" w:fill="D9DCE1"/>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$7,650,000 </w:t>
            </w:r>
            <w:r>
              <w:rPr>
                <w:rFonts w:ascii="Arial" w:cs="Arial" w:eastAsia="Arial" w:hAnsi="Arial"/>
                <w:sz w:val="29"/>
                <w:szCs w:val="29"/>
                <w:color w:val="auto"/>
                <w:vertAlign w:val="subscript"/>
              </w:rPr>
              <w:t>​</w:t>
            </w:r>
          </w:p>
        </w:tc>
        <w:tc>
          <w:tcPr>
            <w:tcW w:w="1100" w:type="dxa"/>
            <w:vAlign w:val="bottom"/>
            <w:tcBorders>
              <w:bottom w:val="single" w:sz="8" w:color="424E6A"/>
            </w:tcBorders>
            <w:shd w:val="clear" w:color="auto" w:fill="D9DCE1"/>
          </w:tcPr>
          <w:p>
            <w:pPr>
              <w:jc w:val="center"/>
              <w:ind w:left="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417,350</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208,675 </w:t>
            </w:r>
            <w:r>
              <w:rPr>
                <w:rFonts w:ascii="Arial" w:cs="Arial" w:eastAsia="Arial" w:hAnsi="Arial"/>
                <w:sz w:val="29"/>
                <w:szCs w:val="29"/>
                <w:color w:val="auto"/>
                <w:vertAlign w:val="subscript"/>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208,675</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r>
        <w:trPr>
          <w:trHeight w:val="250"/>
        </w:trPr>
        <w:tc>
          <w:tcPr>
            <w:tcW w:w="202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1220" w:type="dxa"/>
            <w:vAlign w:val="bottom"/>
            <w:tcBorders>
              <w:bottom w:val="single" w:sz="8" w:color="424E6A"/>
            </w:tcBorders>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24E6A"/>
              <w:right w:val="single" w:sz="8" w:color="424E6A"/>
            </w:tcBorders>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$1,995,000 </w:t>
            </w:r>
            <w:r>
              <w:rPr>
                <w:rFonts w:ascii="Arial" w:cs="Arial" w:eastAsia="Arial" w:hAnsi="Arial"/>
                <w:sz w:val="28"/>
                <w:szCs w:val="28"/>
                <w:color w:val="auto"/>
                <w:vertAlign w:val="subscript"/>
              </w:rPr>
              <w:t>​</w:t>
            </w:r>
          </w:p>
        </w:tc>
        <w:tc>
          <w:tcPr>
            <w:tcW w:w="1100" w:type="dxa"/>
            <w:vAlign w:val="bottom"/>
            <w:tcBorders>
              <w:bottom w:val="single" w:sz="8" w:color="424E6A"/>
            </w:tcBorders>
          </w:tcPr>
          <w:p>
            <w:pPr>
              <w:jc w:val="center"/>
              <w:ind w:left="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108,850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 </w:t>
            </w:r>
            <w:r>
              <w:rPr>
                <w:rFonts w:ascii="Arial" w:cs="Arial" w:eastAsia="Arial" w:hAnsi="Arial"/>
                <w:sz w:val="28"/>
                <w:szCs w:val="28"/>
                <w:color w:val="auto"/>
                <w:vertAlign w:val="sub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r>
      <w:tr>
        <w:trPr>
          <w:trHeight w:val="250"/>
        </w:trPr>
        <w:tc>
          <w:tcPr>
            <w:tcW w:w="202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220" w:type="dxa"/>
            <w:vAlign w:val="bottom"/>
            <w:tcBorders>
              <w:bottom w:val="single" w:sz="8" w:color="424E6A"/>
            </w:tcBorders>
            <w:shd w:val="clear" w:color="auto" w:fill="D9DCE1"/>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24E6A"/>
              <w:right w:val="single" w:sz="8" w:color="424E6A"/>
            </w:tcBorders>
            <w:shd w:val="clear" w:color="auto" w:fill="D9DCE1"/>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$2,065,000 </w:t>
            </w:r>
            <w:r>
              <w:rPr>
                <w:rFonts w:ascii="Arial" w:cs="Arial" w:eastAsia="Arial" w:hAnsi="Arial"/>
                <w:sz w:val="28"/>
                <w:szCs w:val="28"/>
                <w:color w:val="auto"/>
                <w:vertAlign w:val="subscript"/>
              </w:rPr>
              <w:t>​</w:t>
            </w:r>
          </w:p>
        </w:tc>
        <w:tc>
          <w:tcPr>
            <w:tcW w:w="1100" w:type="dxa"/>
            <w:vAlign w:val="bottom"/>
            <w:tcBorders>
              <w:bottom w:val="single" w:sz="8" w:color="424E6A"/>
            </w:tcBorders>
            <w:shd w:val="clear" w:color="auto" w:fill="D9DCE1"/>
          </w:tcPr>
          <w:p>
            <w:pPr>
              <w:jc w:val="center"/>
              <w:ind w:left="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112,650</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jc w:val="center"/>
              <w:ind w:left="26"/>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56,325</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56,325</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r>
        <w:trPr>
          <w:trHeight w:val="250"/>
        </w:trPr>
        <w:tc>
          <w:tcPr>
            <w:tcW w:w="202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Chris Chandler</w:t>
            </w:r>
          </w:p>
        </w:tc>
        <w:tc>
          <w:tcPr>
            <w:tcW w:w="1220" w:type="dxa"/>
            <w:vAlign w:val="bottom"/>
            <w:tcBorders>
              <w:bottom w:val="single" w:sz="8" w:color="424E6A"/>
            </w:tcBorders>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24E6A"/>
              <w:right w:val="single" w:sz="8" w:color="424E6A"/>
            </w:tcBorders>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$2,656,000 </w:t>
            </w:r>
            <w:r>
              <w:rPr>
                <w:rFonts w:ascii="Arial" w:cs="Arial" w:eastAsia="Arial" w:hAnsi="Arial"/>
                <w:sz w:val="28"/>
                <w:szCs w:val="28"/>
                <w:color w:val="auto"/>
                <w:vertAlign w:val="subscript"/>
              </w:rPr>
              <w:t>​</w:t>
            </w:r>
          </w:p>
        </w:tc>
        <w:tc>
          <w:tcPr>
            <w:tcW w:w="1100" w:type="dxa"/>
            <w:vAlign w:val="bottom"/>
            <w:tcBorders>
              <w:bottom w:val="single" w:sz="8" w:color="424E6A"/>
            </w:tcBorders>
          </w:tcPr>
          <w:p>
            <w:pPr>
              <w:jc w:val="center"/>
              <w:ind w:left="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144,900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center"/>
              <w:ind w:left="26"/>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r>
      <w:tr>
        <w:trPr>
          <w:trHeight w:val="250"/>
        </w:trPr>
        <w:tc>
          <w:tcPr>
            <w:tcW w:w="202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1220" w:type="dxa"/>
            <w:vAlign w:val="bottom"/>
            <w:tcBorders>
              <w:bottom w:val="single" w:sz="8" w:color="424E6A"/>
            </w:tcBorders>
            <w:shd w:val="clear" w:color="auto" w:fill="D9DCE1"/>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24E6A"/>
              <w:right w:val="single" w:sz="8" w:color="424E6A"/>
            </w:tcBorders>
            <w:shd w:val="clear" w:color="auto" w:fill="D9DCE1"/>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$2,656,000 </w:t>
            </w:r>
            <w:r>
              <w:rPr>
                <w:rFonts w:ascii="Arial" w:cs="Arial" w:eastAsia="Arial" w:hAnsi="Arial"/>
                <w:sz w:val="28"/>
                <w:szCs w:val="28"/>
                <w:color w:val="auto"/>
                <w:vertAlign w:val="subscript"/>
              </w:rPr>
              <w:t>​</w:t>
            </w:r>
          </w:p>
        </w:tc>
        <w:tc>
          <w:tcPr>
            <w:tcW w:w="1100" w:type="dxa"/>
            <w:vAlign w:val="bottom"/>
            <w:tcBorders>
              <w:bottom w:val="single" w:sz="8" w:color="424E6A"/>
            </w:tcBorders>
            <w:shd w:val="clear" w:color="auto" w:fill="D9DCE1"/>
          </w:tcPr>
          <w:p>
            <w:pPr>
              <w:jc w:val="center"/>
              <w:ind w:left="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144,900</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jc w:val="center"/>
              <w:ind w:left="26"/>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ind w:left="1620" w:right="840" w:hanging="360"/>
        <w:spacing w:after="0" w:line="222"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2025 distribution ($18.33).</w:t>
      </w:r>
    </w:p>
    <w:p>
      <w:pPr>
        <w:spacing w:after="0" w:line="126" w:lineRule="exact"/>
        <w:rPr>
          <w:sz w:val="20"/>
          <w:szCs w:val="20"/>
          <w:color w:val="auto"/>
        </w:rPr>
      </w:pPr>
    </w:p>
    <w:p>
      <w:pPr>
        <w:ind w:left="1260" w:right="460" w:firstLine="360"/>
        <w:spacing w:after="0" w:line="276" w:lineRule="auto"/>
        <w:rPr>
          <w:sz w:val="20"/>
          <w:szCs w:val="20"/>
          <w:color w:val="auto"/>
        </w:rPr>
      </w:pPr>
      <w:r>
        <w:rPr>
          <w:rFonts w:ascii="Arial" w:cs="Arial" w:eastAsia="Arial" w:hAnsi="Arial"/>
          <w:sz w:val="18"/>
          <w:szCs w:val="18"/>
          <w:color w:val="auto"/>
        </w:rPr>
        <w:t>The 2025 time-based phantom units will vest (become payable 1-for-1 in PAA common units) on the August 2028 distribution date. The performance-based phantom units will potentially vest on the August 2028 distribution date at a scaled payout range of between 0% to 200% based on:</w:t>
      </w:r>
    </w:p>
    <w:p>
      <w:pPr>
        <w:spacing w:after="0" w:line="123" w:lineRule="exact"/>
        <w:rPr>
          <w:sz w:val="20"/>
          <w:szCs w:val="20"/>
          <w:color w:val="auto"/>
        </w:rPr>
      </w:pPr>
    </w:p>
    <w:p>
      <w:pPr>
        <w:ind w:left="1980" w:right="520" w:hanging="360"/>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Relative TSR with Negative TSR Modifier (50% weighting)</w:t>
      </w:r>
      <w:r>
        <w:rPr>
          <w:rFonts w:ascii="Arial" w:cs="Arial" w:eastAsia="Arial" w:hAnsi="Arial"/>
          <w:sz w:val="18"/>
          <w:szCs w:val="18"/>
          <w:color w:val="auto"/>
        </w:rPr>
        <w:t xml:space="preserve">: PAA’s TSR measured over the three-year period ending June 30, 2028 compared to the TSR of the TSR Comparator Peer Group identified on page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(if PAA’s relative TSR results in a payout of over 100%, but actual TSR is negative, the payout on this portion of the award will be reduced by 25 basis points, but not below 100%); and</w:t>
      </w:r>
    </w:p>
    <w:p>
      <w:pPr>
        <w:spacing w:after="0" w:line="125" w:lineRule="exact"/>
        <w:rPr>
          <w:rFonts w:ascii="Arial" w:cs="Arial" w:eastAsia="Arial" w:hAnsi="Arial"/>
          <w:sz w:val="18"/>
          <w:szCs w:val="18"/>
          <w:color w:val="auto"/>
        </w:rPr>
      </w:pPr>
    </w:p>
    <w:p>
      <w:pPr>
        <w:ind w:left="1980" w:right="500" w:hanging="360"/>
        <w:spacing w:after="0" w:line="262"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DCF per CUE with Leverage Modifier (50% weighting)</w:t>
      </w:r>
      <w:r>
        <w:rPr>
          <w:rFonts w:ascii="Arial" w:cs="Arial" w:eastAsia="Arial" w:hAnsi="Arial"/>
          <w:sz w:val="18"/>
          <w:szCs w:val="18"/>
          <w:color w:val="auto"/>
        </w:rPr>
        <w:t>: PAA achieving cumulative DCF per CUE of $8.40 over the three-year period ending June 30, 2028 (payout may be decreased by 25 basis points if PAA’s leverage ratio as of June 30, 2028 is higher than the leverage ratio that equals the upper end of our then applicable leverage guidance range).</w:t>
      </w:r>
    </w:p>
    <w:p>
      <w:pPr>
        <w:sectPr>
          <w:pgSz w:w="11900" w:h="16838" w:orient="portrait"/>
          <w:cols w:equalWidth="0" w:num="1">
            <w:col w:w="9900"/>
          </w:cols>
          <w:pgMar w:left="580" w:top="97" w:right="1419"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DERs associated with the time-based phantom units will accrue for the first year and such accrued amount will be paid in cash in a lump sum on the August 2026 distribution date; beginning in November 2026, DERs on such time-based phantom units will be paid quarterly until the associated phantom units vest. DERs associated with the performance-based phantom units will accrue during the three-year performance period and be paid in cash in a lump sum on the August 2028 distribution date with respect to the number of such phantom units, if any, that vest on such date. See the “Grants of Plan Based Awards” table and the “Outstanding Equity Awards at Fiscal Year-End” table below for additional information regarding the 2025 annual grants.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Long-Term Incentive Award Actions</w:t>
      </w:r>
    </w:p>
    <w:p>
      <w:pPr>
        <w:spacing w:after="0" w:line="15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i w:val="1"/>
          <w:iCs w:val="1"/>
          <w:u w:val="single" w:color="auto"/>
          <w:color w:val="auto"/>
        </w:rPr>
        <w:t>Extension of CEO 2018 Promotional Grant</w:t>
      </w:r>
      <w:r>
        <w:rPr>
          <w:rFonts w:ascii="Arial" w:cs="Arial" w:eastAsia="Arial" w:hAnsi="Arial"/>
          <w:sz w:val="18"/>
          <w:szCs w:val="18"/>
          <w:color w:val="auto"/>
        </w:rPr>
        <w:t>. To support the retention of Mr. Chiang as CEO for up to</w:t>
      </w:r>
      <w:r>
        <w:rPr>
          <w:rFonts w:ascii="Arial" w:cs="Arial" w:eastAsia="Arial" w:hAnsi="Arial"/>
          <w:sz w:val="18"/>
          <w:szCs w:val="18"/>
          <w:i w:val="1"/>
          <w:iCs w:val="1"/>
          <w:color w:val="auto"/>
        </w:rPr>
        <w:t xml:space="preserve"> </w:t>
      </w:r>
      <w:r>
        <w:rPr>
          <w:rFonts w:ascii="Arial" w:cs="Arial" w:eastAsia="Arial" w:hAnsi="Arial"/>
          <w:sz w:val="18"/>
          <w:szCs w:val="18"/>
          <w:color w:val="auto"/>
        </w:rPr>
        <w:t>five more years, continued execution of key strategic initiatives and the development of potential successors, the Board approved an extension of the existing long-term incentive award granted to</w:t>
      </w:r>
    </w:p>
    <w:p>
      <w:pPr>
        <w:spacing w:after="0" w:line="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Mr. Chiang in August 2018 in connection with his promotion to CEO (the “2018 Promotional Grant”). Upon the recommendation of the Compensation Committee, the Board extended the expiration date of the 2018 Promotional Grant by five years. Specifically, the amendment extends the expiration date from October 2025 to October 2030. The remaining terms of the original grant, including the number of units, vesting terms and other provisions, were not changed as a result of the amendment. See the “Outstanding Equity Awards at Fiscal Year-End” table below for additional information regarding Mr. Chiang’s 2018 Promotional Grant.</w:t>
      </w:r>
    </w:p>
    <w:p>
      <w:pPr>
        <w:spacing w:after="0" w:line="115"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i w:val="1"/>
          <w:iCs w:val="1"/>
          <w:u w:val="single" w:color="auto"/>
          <w:color w:val="auto"/>
        </w:rPr>
        <w:t>Special Retention Grants</w:t>
      </w:r>
      <w:r>
        <w:rPr>
          <w:rFonts w:ascii="Arial" w:cs="Arial" w:eastAsia="Arial" w:hAnsi="Arial"/>
          <w:sz w:val="18"/>
          <w:szCs w:val="18"/>
          <w:color w:val="auto"/>
        </w:rPr>
        <w:t>. To provide incremental retention incentive for Messrs. Goebel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proven leaders who are critical to the future leadership and success of Plains, the Board approved, upon the recommendation of the Compensation Committee, grants of special retention long-term incentive awards as follows: (i) for Mr. Goebel, a five-year award in the amount of 545,550 phantom units (the “Goebel Grant”), and (ii) for Mr. Chandler, a three-year award in the amount of 327,350 phantom units (the “Chandler Grant” and together with the Goebel Grant, the “2025 Special Retention Grants”). The 2025 Special Retention Grants are intended to provide each of Messrs. Goebel and Chandler the incentive to remain with PAA to drive key initiatives and support long-term succession planning. The terms of the 2025 Special Retention Grants are summarized below:</w:t>
      </w:r>
    </w:p>
    <w:p>
      <w:pPr>
        <w:spacing w:after="0" w:line="73" w:lineRule="exact"/>
        <w:rPr>
          <w:sz w:val="20"/>
          <w:szCs w:val="20"/>
          <w:color w:val="auto"/>
        </w:rPr>
      </w:pPr>
    </w:p>
    <w:p>
      <w:pPr>
        <w:ind w:left="1800" w:right="419" w:hanging="180"/>
        <w:spacing w:after="0" w:line="262"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Goebel Grant will vest (become payable in PAA common units) on the August 2030 distribution date assuming continued service through such date, and the Chandler Grant will vest (become payable in PAA common units) on the August 2028 distribution date assuming continued service through such date.</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DERs associated with the Goebel Grant will vest as follows:</w:t>
      </w:r>
    </w:p>
    <w:p>
      <w:pPr>
        <w:spacing w:after="0" w:line="158" w:lineRule="exact"/>
        <w:rPr>
          <w:sz w:val="20"/>
          <w:szCs w:val="20"/>
          <w:color w:val="auto"/>
        </w:rPr>
      </w:pPr>
    </w:p>
    <w:p>
      <w:pPr>
        <w:ind w:left="2340" w:right="1039" w:hanging="360"/>
        <w:spacing w:after="0" w:line="268"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20% will accrue for the first year and will be paid in lump sum on the August 2026 distribution date; beginning in November 2026, this portion of the DERs will be paid quarterly until the phantom units vest or terminate.</w:t>
      </w:r>
    </w:p>
    <w:p>
      <w:pPr>
        <w:spacing w:after="0" w:line="103" w:lineRule="exact"/>
        <w:rPr>
          <w:rFonts w:ascii="Arial" w:cs="Arial" w:eastAsia="Arial" w:hAnsi="Arial"/>
          <w:sz w:val="18"/>
          <w:szCs w:val="18"/>
          <w:color w:val="auto"/>
        </w:rPr>
      </w:pPr>
    </w:p>
    <w:p>
      <w:pPr>
        <w:ind w:left="2340" w:right="459" w:hanging="360"/>
        <w:spacing w:after="0" w:line="262"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DERs associated with the Chandler Grant will vest as follows:</w:t>
      </w:r>
    </w:p>
    <w:p>
      <w:pPr>
        <w:spacing w:after="0" w:line="157" w:lineRule="exact"/>
        <w:rPr>
          <w:rFonts w:ascii="Arial" w:cs="Arial" w:eastAsia="Arial" w:hAnsi="Arial"/>
          <w:sz w:val="18"/>
          <w:szCs w:val="18"/>
          <w:color w:val="auto"/>
        </w:rPr>
      </w:pPr>
    </w:p>
    <w:p>
      <w:pPr>
        <w:ind w:left="2340" w:right="799" w:hanging="360"/>
        <w:spacing w:after="0" w:line="268"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One-third will accrue for the first year and will be paid in lump sum on the August 2026 distribution date; beginning in November 2026, this portion of the DERs will be paid quarterly until the phantom units vest or terminate.</w:t>
      </w:r>
    </w:p>
    <w:p>
      <w:pPr>
        <w:spacing w:after="0" w:line="103" w:lineRule="exact"/>
        <w:rPr>
          <w:rFonts w:ascii="Arial" w:cs="Arial" w:eastAsia="Arial" w:hAnsi="Arial"/>
          <w:sz w:val="18"/>
          <w:szCs w:val="18"/>
          <w:color w:val="auto"/>
        </w:rPr>
      </w:pPr>
    </w:p>
    <w:p>
      <w:pPr>
        <w:ind w:left="2340" w:right="599" w:hanging="360"/>
        <w:spacing w:after="0" w:line="262"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p>
    <w:p>
      <w:pPr>
        <w:spacing w:after="0" w:line="14" w:lineRule="exact"/>
        <w:rPr>
          <w:sz w:val="20"/>
          <w:szCs w:val="20"/>
          <w:color w:val="auto"/>
        </w:rPr>
      </w:pPr>
    </w:p>
    <w:p>
      <w:pPr>
        <w:ind w:left="1260" w:right="419"/>
        <w:spacing w:after="0"/>
        <w:rPr>
          <w:sz w:val="20"/>
          <w:szCs w:val="20"/>
          <w:color w:val="auto"/>
        </w:rPr>
      </w:pPr>
      <w:r>
        <w:rPr>
          <w:rFonts w:ascii="Arial" w:cs="Arial" w:eastAsia="Arial" w:hAnsi="Arial"/>
          <w:sz w:val="17"/>
          <w:szCs w:val="17"/>
          <w:color w:val="auto"/>
        </w:rPr>
        <w:t>interests in PAA and PAGP including unvested long-term equity awards. As of March 23, 2026, the Named Executive Officers beneficially owned, in the aggregate, approximately 10.9 million units of equity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interests in PAA and/or PAGP (including unvested long-term equity awards) with an approximate market</w:t>
      </w:r>
    </w:p>
    <w:p>
      <w:pPr>
        <w:spacing w:after="0" w:line="7" w:lineRule="exact"/>
        <w:rPr>
          <w:sz w:val="20"/>
          <w:szCs w:val="20"/>
          <w:color w:val="auto"/>
        </w:rPr>
      </w:pPr>
    </w:p>
    <w:p>
      <w:pPr>
        <w:ind w:left="1260" w:right="839"/>
        <w:spacing w:after="0"/>
        <w:rPr>
          <w:sz w:val="20"/>
          <w:szCs w:val="20"/>
          <w:color w:val="auto"/>
        </w:rPr>
      </w:pPr>
      <w:r>
        <w:rPr>
          <w:rFonts w:ascii="Arial" w:cs="Arial" w:eastAsia="Arial" w:hAnsi="Arial"/>
          <w:sz w:val="17"/>
          <w:szCs w:val="17"/>
          <w:color w:val="auto"/>
        </w:rPr>
        <w:t>value of $238 million, and all executive officers and directors beneficially owned, in the aggregate, approximately 57.8 million units of equity interests in PAA and/or PAGP with an approximate market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value of $1.3 billion.</w:t>
      </w:r>
    </w:p>
    <w:p>
      <w:pPr>
        <w:spacing w:after="0" w:line="113"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i w:val="1"/>
          <w:iCs w:val="1"/>
          <w:color w:val="auto"/>
        </w:rPr>
        <w:t xml:space="preserve">Equity Ownership Guidelines. </w:t>
      </w:r>
      <w:r>
        <w:rPr>
          <w:rFonts w:ascii="Arial" w:cs="Arial" w:eastAsia="Arial" w:hAnsi="Arial"/>
          <w:sz w:val="17"/>
          <w:szCs w:val="17"/>
          <w:color w:val="auto"/>
        </w:rPr>
        <w:t>We maintain Equity Ownership Guidelines to further align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our executive officers and directors with the interests of our unitholders by requiring each to</w:t>
      </w:r>
    </w:p>
    <w:p>
      <w:pPr>
        <w:spacing w:after="0" w:line="1" w:lineRule="exact"/>
        <w:rPr>
          <w:sz w:val="20"/>
          <w:szCs w:val="20"/>
          <w:color w:val="auto"/>
        </w:rPr>
      </w:pPr>
    </w:p>
    <w:p>
      <w:pPr>
        <w:ind w:left="1260" w:right="519"/>
        <w:spacing w:after="0"/>
        <w:rPr>
          <w:sz w:val="20"/>
          <w:szCs w:val="20"/>
          <w:color w:val="auto"/>
        </w:rPr>
      </w:pPr>
      <w:r>
        <w:rPr>
          <w:rFonts w:ascii="Arial" w:cs="Arial" w:eastAsia="Arial" w:hAnsi="Arial"/>
          <w:sz w:val="17"/>
          <w:szCs w:val="17"/>
          <w:color w:val="auto"/>
        </w:rPr>
        <w:t>achieve and maintain a minimum equity ownership level. Under these guidelines, each executive officer and director is expected to continuously own PAA and/or PAGP securities with a value equal to a</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specified multiple of his or her base salary or annual cash retainer as follows:</w:t>
      </w:r>
    </w:p>
    <w:p>
      <w:pPr>
        <w:spacing w:after="0" w:line="120" w:lineRule="exact"/>
        <w:rPr>
          <w:sz w:val="20"/>
          <w:szCs w:val="20"/>
          <w:color w:val="auto"/>
        </w:rPr>
      </w:pPr>
    </w:p>
    <w:tbl>
      <w:tblPr>
        <w:tblLayout w:type="fixed"/>
        <w:tblInd w:w="1630" w:type="dxa"/>
        <w:tblCellMar>
          <w:top w:w="0" w:type="dxa"/>
          <w:left w:w="0" w:type="dxa"/>
          <w:bottom w:w="0" w:type="dxa"/>
          <w:right w:w="0" w:type="dxa"/>
        </w:tblCellMar>
      </w:tblPr>
      <w:tr>
        <w:trPr>
          <w:trHeight w:val="322"/>
        </w:trPr>
        <w:tc>
          <w:tcPr>
            <w:tcW w:w="222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Title</w:t>
            </w:r>
          </w:p>
        </w:tc>
        <w:tc>
          <w:tcPr>
            <w:tcW w:w="1660" w:type="dxa"/>
            <w:vAlign w:val="bottom"/>
            <w:gridSpan w:val="2"/>
            <w:shd w:val="clear" w:color="auto" w:fill="424E6A"/>
          </w:tcPr>
          <w:p>
            <w:pPr>
              <w:jc w:val="center"/>
              <w:ind w:left="1173"/>
              <w:spacing w:after="0"/>
              <w:rPr>
                <w:sz w:val="20"/>
                <w:szCs w:val="20"/>
                <w:color w:val="auto"/>
              </w:rPr>
            </w:pPr>
            <w:r>
              <w:rPr>
                <w:rFonts w:ascii="Arial" w:cs="Arial" w:eastAsia="Arial" w:hAnsi="Arial"/>
                <w:sz w:val="14"/>
                <w:szCs w:val="14"/>
                <w:b w:val="1"/>
                <w:bCs w:val="1"/>
                <w:color w:val="FFFFFF"/>
              </w:rPr>
              <w:t>​ ​</w:t>
            </w:r>
          </w:p>
        </w:tc>
        <w:tc>
          <w:tcPr>
            <w:tcW w:w="34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Multiple of Base Salary or Annual Cash Retainer</w:t>
            </w:r>
          </w:p>
        </w:tc>
        <w:tc>
          <w:tcPr>
            <w:tcW w:w="16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r>
      <w:tr>
        <w:trPr>
          <w:trHeight w:val="257"/>
        </w:trPr>
        <w:tc>
          <w:tcPr>
            <w:tcW w:w="222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500" w:type="dxa"/>
            <w:vAlign w:val="bottom"/>
            <w:tcBorders>
              <w:bottom w:val="single" w:sz="8" w:color="424E6A"/>
              <w:right w:val="single" w:sz="8" w:color="424E6A"/>
            </w:tcBorders>
            <w:shd w:val="clear" w:color="auto" w:fill="D9DCE1"/>
          </w:tcPr>
          <w:p>
            <w:pPr>
              <w:jc w:val="center"/>
              <w:ind w:left="13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​6x</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500" w:type="dxa"/>
            <w:vAlign w:val="bottom"/>
            <w:tcBorders>
              <w:bottom w:val="single" w:sz="8" w:color="424E6A"/>
              <w:right w:val="single" w:sz="8" w:color="424E6A"/>
            </w:tcBorders>
          </w:tcPr>
          <w:p>
            <w:pPr>
              <w:jc w:val="center"/>
              <w:ind w:left="13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​5x</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500" w:type="dxa"/>
            <w:vAlign w:val="bottom"/>
            <w:tcBorders>
              <w:bottom w:val="single" w:sz="8" w:color="424E6A"/>
              <w:right w:val="single" w:sz="8" w:color="424E6A"/>
            </w:tcBorders>
            <w:shd w:val="clear" w:color="auto" w:fill="D9DCE1"/>
          </w:tcPr>
          <w:p>
            <w:pPr>
              <w:jc w:val="center"/>
              <w:ind w:left="13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​3x</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500" w:type="dxa"/>
            <w:vAlign w:val="bottom"/>
            <w:tcBorders>
              <w:bottom w:val="single" w:sz="8" w:color="424E6A"/>
              <w:right w:val="single" w:sz="8" w:color="424E6A"/>
            </w:tcBorders>
          </w:tcPr>
          <w:p>
            <w:pPr>
              <w:jc w:val="center"/>
              <w:ind w:left="13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​1x</w:t>
            </w:r>
          </w:p>
        </w:tc>
        <w:tc>
          <w:tcPr>
            <w:tcW w:w="1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222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500" w:type="dxa"/>
            <w:vAlign w:val="bottom"/>
            <w:tcBorders>
              <w:bottom w:val="single" w:sz="8" w:color="424E6A"/>
              <w:right w:val="single" w:sz="8" w:color="424E6A"/>
            </w:tcBorders>
            <w:shd w:val="clear" w:color="auto" w:fill="D9DCE1"/>
          </w:tcPr>
          <w:p>
            <w:pPr>
              <w:jc w:val="center"/>
              <w:ind w:left="13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​5x</w:t>
            </w:r>
          </w:p>
        </w:tc>
        <w:tc>
          <w:tcPr>
            <w:tcW w:w="160" w:type="dxa"/>
            <w:vAlign w:val="bottom"/>
            <w:tcBorders>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Executive officers and directors are expected to meet these guidelines within five years after the</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later of becoming subject to the guidelines or the date of adoption of the guidelines. The compliance date</w:t>
      </w:r>
    </w:p>
    <w:p>
      <w:pPr>
        <w:spacing w:after="0" w:line="7" w:lineRule="exact"/>
        <w:rPr>
          <w:sz w:val="20"/>
          <w:szCs w:val="20"/>
          <w:color w:val="auto"/>
        </w:rPr>
      </w:pPr>
    </w:p>
    <w:p>
      <w:pPr>
        <w:ind w:left="1260" w:right="559"/>
        <w:spacing w:after="0"/>
        <w:rPr>
          <w:sz w:val="20"/>
          <w:szCs w:val="20"/>
          <w:color w:val="auto"/>
        </w:rPr>
      </w:pPr>
      <w:r>
        <w:rPr>
          <w:rFonts w:ascii="Arial" w:cs="Arial" w:eastAsia="Arial" w:hAnsi="Arial"/>
          <w:sz w:val="17"/>
          <w:szCs w:val="17"/>
          <w:color w:val="auto"/>
        </w:rPr>
        <w:t>for current executive officers and directors was November 2025, except for Mr. McCarthy whose compliance date is August 2026 and Ms. DeSanctis whose compliance date is August 2027. All current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executive officers and directors are either on track to meet or have already met the applicable guidelines</w:t>
      </w:r>
    </w:p>
    <w:p>
      <w:pPr>
        <w:spacing w:after="0" w:line="7" w:lineRule="exact"/>
        <w:rPr>
          <w:sz w:val="20"/>
          <w:szCs w:val="20"/>
          <w:color w:val="auto"/>
        </w:rPr>
      </w:pPr>
    </w:p>
    <w:p>
      <w:pPr>
        <w:ind w:left="1260" w:right="459"/>
        <w:spacing w:after="0"/>
        <w:rPr>
          <w:sz w:val="20"/>
          <w:szCs w:val="20"/>
          <w:color w:val="auto"/>
        </w:rPr>
      </w:pPr>
      <w:r>
        <w:rPr>
          <w:rFonts w:ascii="Arial" w:cs="Arial" w:eastAsia="Arial" w:hAnsi="Arial"/>
          <w:sz w:val="17"/>
          <w:szCs w:val="17"/>
          <w:color w:val="auto"/>
        </w:rPr>
        <w:t>on their respective compliance dates. As of December 31, 2025, each Named Executive Officer held PAA and/or PAGP securities having a value in excess of 14 times their respective base salary. Executive</w:t>
      </w:r>
    </w:p>
    <w:p>
      <w:pPr>
        <w:spacing w:after="0" w:line="1"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officers and directors are required to hold 100% of units/shares acquired upon vesting of phantom units or phantom shares until ownership guidelines are met (“hold until met” requirement).</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Anti-Hedging and Pledging Policies</w:t>
      </w:r>
      <w:r>
        <w:rPr>
          <w:rFonts w:ascii="Arial" w:cs="Arial" w:eastAsia="Arial" w:hAnsi="Arial"/>
          <w:sz w:val="18"/>
          <w:szCs w:val="18"/>
          <w:color w:val="auto"/>
        </w:rPr>
        <w:t>. We have policies and procedures in place that prohibit our</w:t>
      </w:r>
    </w:p>
    <w:p>
      <w:pPr>
        <w:spacing w:after="0" w:line="14" w:lineRule="exact"/>
        <w:rPr>
          <w:sz w:val="20"/>
          <w:szCs w:val="20"/>
          <w:color w:val="auto"/>
        </w:rPr>
      </w:pPr>
    </w:p>
    <w:p>
      <w:pPr>
        <w:ind w:left="1260" w:right="699"/>
        <w:spacing w:after="0"/>
        <w:rPr>
          <w:sz w:val="20"/>
          <w:szCs w:val="20"/>
          <w:color w:val="auto"/>
        </w:rPr>
      </w:pPr>
      <w:r>
        <w:rPr>
          <w:rFonts w:ascii="Arial" w:cs="Arial" w:eastAsia="Arial" w:hAnsi="Arial"/>
          <w:sz w:val="17"/>
          <w:szCs w:val="17"/>
          <w:color w:val="auto"/>
        </w:rPr>
        <w:t>directors and officers, including our Named Executive Officers, from using puts, calls, options or other derivative securities to hedge the economic risk of their equity ownership in us, and from engaging in</w:t>
      </w:r>
    </w:p>
    <w:p>
      <w:pPr>
        <w:ind w:left="1260"/>
        <w:spacing w:after="0" w:line="235" w:lineRule="auto"/>
        <w:rPr>
          <w:sz w:val="20"/>
          <w:szCs w:val="20"/>
          <w:color w:val="auto"/>
        </w:rPr>
      </w:pPr>
      <w:r>
        <w:rPr>
          <w:rFonts w:ascii="Arial" w:cs="Arial" w:eastAsia="Arial" w:hAnsi="Arial"/>
          <w:sz w:val="18"/>
          <w:szCs w:val="18"/>
          <w:color w:val="auto"/>
        </w:rPr>
        <w:t>other types of hedging transactions, including prepaid variable forwards, equity swaps, collars and</w:t>
      </w:r>
    </w:p>
    <w:p>
      <w:pPr>
        <w:ind w:left="1260" w:right="779"/>
        <w:spacing w:after="0" w:line="237" w:lineRule="auto"/>
        <w:rPr>
          <w:sz w:val="20"/>
          <w:szCs w:val="20"/>
          <w:color w:val="auto"/>
        </w:rPr>
      </w:pPr>
      <w:r>
        <w:rPr>
          <w:rFonts w:ascii="Arial" w:cs="Arial" w:eastAsia="Arial" w:hAnsi="Arial"/>
          <w:sz w:val="18"/>
          <w:szCs w:val="18"/>
          <w:color w:val="auto"/>
        </w:rPr>
        <w:t>exchange funds. Our policies also prohibit pledging company securities or holding such securities as marginable securities in a margin account.</w:t>
      </w:r>
    </w:p>
    <w:p>
      <w:pPr>
        <w:spacing w:after="0" w:line="11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i w:val="1"/>
          <w:iCs w:val="1"/>
          <w:color w:val="auto"/>
        </w:rPr>
        <w:t>Insider Trading Policies</w:t>
      </w:r>
      <w:r>
        <w:rPr>
          <w:rFonts w:ascii="Arial" w:cs="Arial" w:eastAsia="Arial" w:hAnsi="Arial"/>
          <w:sz w:val="17"/>
          <w:szCs w:val="17"/>
          <w:color w:val="auto"/>
        </w:rPr>
        <w:t>. We are committed to promoting high standards of ethical business conduct</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compliance with applicable laws, rules and regulations. As part of this commitment, we have</w:t>
      </w:r>
    </w:p>
    <w:p>
      <w:pPr>
        <w:spacing w:after="0" w:line="1" w:lineRule="exact"/>
        <w:rPr>
          <w:sz w:val="20"/>
          <w:szCs w:val="20"/>
          <w:color w:val="auto"/>
        </w:rPr>
      </w:pPr>
    </w:p>
    <w:p>
      <w:pPr>
        <w:ind w:left="1260" w:right="879"/>
        <w:spacing w:after="0"/>
        <w:rPr>
          <w:sz w:val="20"/>
          <w:szCs w:val="20"/>
          <w:color w:val="auto"/>
        </w:rPr>
      </w:pPr>
      <w:r>
        <w:rPr>
          <w:rFonts w:ascii="Arial" w:cs="Arial" w:eastAsia="Arial" w:hAnsi="Arial"/>
          <w:sz w:val="17"/>
          <w:szCs w:val="17"/>
          <w:color w:val="auto"/>
        </w:rPr>
        <w:t>adopted Insider Trading Policies governing the purchase, sale, gifting and other dispositions of our securities by our directors, officers and employees. We believe that our Insider Trading Policies are</w:t>
      </w:r>
    </w:p>
    <w:p>
      <w:pPr>
        <w:ind w:left="1260"/>
        <w:spacing w:after="0" w:line="235" w:lineRule="auto"/>
        <w:rPr>
          <w:sz w:val="20"/>
          <w:szCs w:val="20"/>
          <w:color w:val="auto"/>
        </w:rPr>
      </w:pPr>
      <w:r>
        <w:rPr>
          <w:rFonts w:ascii="Arial" w:cs="Arial" w:eastAsia="Arial" w:hAnsi="Arial"/>
          <w:sz w:val="18"/>
          <w:szCs w:val="18"/>
          <w:color w:val="auto"/>
        </w:rPr>
        <w:t>reasonably designed to promote compliance with insider trading laws, rules and regulations, and</w:t>
      </w:r>
    </w:p>
    <w:p>
      <w:pPr>
        <w:ind w:left="1260" w:right="439"/>
        <w:spacing w:after="0"/>
        <w:rPr>
          <w:sz w:val="20"/>
          <w:szCs w:val="20"/>
          <w:color w:val="auto"/>
        </w:rPr>
      </w:pPr>
      <w:r>
        <w:rPr>
          <w:rFonts w:ascii="Arial" w:cs="Arial" w:eastAsia="Arial" w:hAnsi="Arial"/>
          <w:sz w:val="17"/>
          <w:szCs w:val="17"/>
          <w:color w:val="auto"/>
        </w:rPr>
        <w:t>applicable stock exchange listing standards. Copies of our Insider Trading Policies were filed as Exhibits 19.1 and 19.2 to our 2024 Annual Report. In addition, with regard to the Company’s trading in its</w:t>
      </w:r>
    </w:p>
    <w:p>
      <w:pPr>
        <w:spacing w:after="0" w:line="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own securities, it is the Company’s policy and practice to comply with U.S. federal securities laws as well as applicable stock exchange rules and regulations.</w:t>
      </w:r>
    </w:p>
    <w:p>
      <w:pPr>
        <w:spacing w:after="0" w:line="10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Since November 2020, we have had in place a Clawback Policy to further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interests of our unitholders, incentivize appropriate behaviors and discourage excessive risk taking. The Clawback Policy was amended and restated in November 2023 to conform to Nasdaq listing standards adopted pursuant to the Dodd-Frank Wall Street Reform and Consumer Protection Act. As amended and restated, the Clawback Policy includes the following clawback triggers and related recoveries:</w:t>
      </w:r>
    </w:p>
    <w:p>
      <w:pPr>
        <w:spacing w:after="0" w:line="53" w:lineRule="exact"/>
        <w:rPr>
          <w:sz w:val="20"/>
          <w:szCs w:val="20"/>
          <w:color w:val="auto"/>
        </w:rPr>
      </w:pPr>
    </w:p>
    <w:p>
      <w:pPr>
        <w:ind w:left="1800" w:right="899" w:hanging="180"/>
        <w:spacing w:after="0" w:line="318"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Material financial restatements that result in over-payment of incentive-based compensation (Company must seek recovery of any excess compensation awarded or paid); and</w:t>
      </w: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39" w:hanging="180"/>
        <w:spacing w:after="0" w:line="262"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p>
    <w:p>
      <w:pPr>
        <w:spacing w:after="0" w:line="10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Change in Control and Other Accelerated Vesting Triggers. </w:t>
      </w:r>
      <w:r>
        <w:rPr>
          <w:rFonts w:ascii="Arial" w:cs="Arial" w:eastAsia="Arial" w:hAnsi="Arial"/>
          <w:sz w:val="18"/>
          <w:szCs w:val="18"/>
          <w:color w:val="auto"/>
        </w:rPr>
        <w:t>Our long-term incentive plan grants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accelerated vesting upon a change of control (as defined in such agreements), but such vesting becomes operative only if the change in control is accompanied by a “change in status”. We believe this “double trigger” arrangement is appropriate because it provides assurance to the executive but does not offer a windfall to the executive when there has been no real change in employment status in connection with a change of 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 Our long-term incentive plan grants for our NEOs also provide for accelerated vesting in the event their employment is terminated as a result of death, disability, termination without cause or retirement on terms and timing that are approved by the CEO (or by the Board in the case of the CEO). See “— Potential Payments Upon Termination or Change-in-Control.”</w:t>
      </w:r>
    </w:p>
    <w:p>
      <w:pPr>
        <w:spacing w:after="0" w:line="120"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44"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98" w:lineRule="exact"/>
        <w:rPr>
          <w:sz w:val="20"/>
          <w:szCs w:val="20"/>
          <w:color w:val="auto"/>
        </w:rPr>
      </w:pPr>
    </w:p>
    <w:p>
      <w:pPr>
        <w:ind w:left="1260" w:right="599" w:firstLine="360"/>
        <w:spacing w:after="0" w:line="282"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9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both the passage of time and the achievement of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10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compensation information for our Named Executive Officers.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480" w:type="dxa"/>
            <w:vAlign w:val="bottom"/>
            <w:tcBorders>
              <w:left w:val="single" w:sz="8" w:color="424E6A"/>
            </w:tcBorders>
            <w:shd w:val="clear" w:color="auto" w:fill="424E6A"/>
          </w:tcPr>
          <w:p>
            <w:pPr>
              <w:spacing w:after="0"/>
              <w:rPr>
                <w:sz w:val="17"/>
                <w:szCs w:val="17"/>
                <w:color w:val="auto"/>
              </w:rPr>
            </w:pPr>
          </w:p>
        </w:tc>
        <w:tc>
          <w:tcPr>
            <w:tcW w:w="80" w:type="dxa"/>
            <w:vAlign w:val="bottom"/>
            <w:tcBorders>
              <w:right w:val="single" w:sz="8" w:color="424E6A"/>
            </w:tcBorders>
            <w:shd w:val="clear" w:color="auto" w:fill="424E6A"/>
          </w:tcPr>
          <w:p>
            <w:pPr>
              <w:spacing w:after="0"/>
              <w:rPr>
                <w:sz w:val="17"/>
                <w:szCs w:val="17"/>
                <w:color w:val="auto"/>
              </w:rPr>
            </w:pPr>
          </w:p>
        </w:tc>
        <w:tc>
          <w:tcPr>
            <w:tcW w:w="540" w:type="dxa"/>
            <w:vAlign w:val="bottom"/>
            <w:tcBorders>
              <w:right w:val="single" w:sz="8" w:color="424E6A"/>
            </w:tcBorders>
            <w:shd w:val="clear" w:color="auto" w:fill="424E6A"/>
          </w:tcPr>
          <w:p>
            <w:pPr>
              <w:spacing w:after="0"/>
              <w:rPr>
                <w:sz w:val="17"/>
                <w:szCs w:val="17"/>
                <w:color w:val="auto"/>
              </w:rPr>
            </w:pPr>
          </w:p>
        </w:tc>
        <w:tc>
          <w:tcPr>
            <w:tcW w:w="780" w:type="dxa"/>
            <w:vAlign w:val="bottom"/>
            <w:tcBorders>
              <w:right w:val="single" w:sz="8" w:color="424E6A"/>
            </w:tcBorders>
            <w:shd w:val="clear" w:color="auto" w:fill="424E6A"/>
          </w:tcPr>
          <w:p>
            <w:pPr>
              <w:spacing w:after="0"/>
              <w:rPr>
                <w:sz w:val="17"/>
                <w:szCs w:val="17"/>
                <w:color w:val="auto"/>
              </w:rPr>
            </w:pPr>
          </w:p>
        </w:tc>
        <w:tc>
          <w:tcPr>
            <w:tcW w:w="920" w:type="dxa"/>
            <w:vAlign w:val="bottom"/>
            <w:tcBorders>
              <w:right w:val="single" w:sz="8" w:color="424E6A"/>
            </w:tcBorders>
            <w:shd w:val="clear" w:color="auto" w:fill="424E6A"/>
          </w:tcPr>
          <w:p>
            <w:pPr>
              <w:spacing w:after="0"/>
              <w:rPr>
                <w:sz w:val="17"/>
                <w:szCs w:val="17"/>
                <w:color w:val="auto"/>
              </w:rPr>
            </w:pPr>
          </w:p>
        </w:tc>
        <w:tc>
          <w:tcPr>
            <w:tcW w:w="1080" w:type="dxa"/>
            <w:vAlign w:val="bottom"/>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Non-Equity</w:t>
            </w:r>
          </w:p>
        </w:tc>
        <w:tc>
          <w:tcPr>
            <w:tcW w:w="140" w:type="dxa"/>
            <w:vAlign w:val="bottom"/>
            <w:tcBorders>
              <w:right w:val="single" w:sz="8" w:color="424E6A"/>
            </w:tcBorders>
            <w:shd w:val="clear" w:color="auto" w:fill="424E6A"/>
          </w:tcPr>
          <w:p>
            <w:pPr>
              <w:spacing w:after="0"/>
              <w:rPr>
                <w:sz w:val="17"/>
                <w:szCs w:val="17"/>
                <w:color w:val="auto"/>
              </w:rPr>
            </w:pPr>
          </w:p>
        </w:tc>
        <w:tc>
          <w:tcPr>
            <w:tcW w:w="108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84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424E6A"/>
            </w:tcBorders>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424E6A"/>
            </w:tcBorders>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9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w:t>
            </w:r>
          </w:p>
        </w:tc>
        <w:tc>
          <w:tcPr>
            <w:tcW w:w="1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ind w:left="260"/>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 and Current Principal</w:t>
            </w:r>
          </w:p>
        </w:tc>
        <w:tc>
          <w:tcPr>
            <w:tcW w:w="80" w:type="dxa"/>
            <w:vAlign w:val="bottom"/>
            <w:tcBorders>
              <w:righ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ind w:left="140"/>
              <w:spacing w:after="0"/>
              <w:rPr>
                <w:sz w:val="20"/>
                <w:szCs w:val="20"/>
                <w:color w:val="auto"/>
              </w:rPr>
            </w:pPr>
            <w:r>
              <w:rPr>
                <w:rFonts w:ascii="Arial" w:cs="Arial" w:eastAsia="Arial" w:hAnsi="Arial"/>
                <w:sz w:val="14"/>
                <w:szCs w:val="14"/>
                <w:b w:val="1"/>
                <w:bCs w:val="1"/>
                <w:color w:val="FFFFFF"/>
              </w:rPr>
              <w:t>Salary</w:t>
            </w:r>
          </w:p>
        </w:tc>
        <w:tc>
          <w:tcPr>
            <w:tcW w:w="920" w:type="dxa"/>
            <w:vAlign w:val="bottom"/>
            <w:tcBorders>
              <w:right w:val="single" w:sz="8" w:color="424E6A"/>
            </w:tcBorders>
            <w:shd w:val="clear" w:color="auto" w:fill="424E6A"/>
          </w:tcPr>
          <w:p>
            <w:pPr>
              <w:jc w:val="center"/>
              <w:ind w:right="9"/>
              <w:spacing w:after="0"/>
              <w:rPr>
                <w:sz w:val="20"/>
                <w:szCs w:val="20"/>
                <w:color w:val="auto"/>
              </w:rPr>
            </w:pPr>
            <w:r>
              <w:rPr>
                <w:rFonts w:ascii="Arial" w:cs="Arial" w:eastAsia="Arial" w:hAnsi="Arial"/>
                <w:sz w:val="14"/>
                <w:szCs w:val="14"/>
                <w:b w:val="1"/>
                <w:bCs w:val="1"/>
                <w:color w:val="FFFFFF"/>
              </w:rPr>
              <w:t>Awards</w:t>
            </w:r>
          </w:p>
        </w:tc>
        <w:tc>
          <w:tcPr>
            <w:tcW w:w="1080" w:type="dxa"/>
            <w:vAlign w:val="bottom"/>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Compensation</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jc w:val="center"/>
              <w:ind w:right="125"/>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212"/>
        </w:trPr>
        <w:tc>
          <w:tcPr>
            <w:tcW w:w="248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Position</w:t>
            </w:r>
          </w:p>
        </w:tc>
        <w:tc>
          <w:tcPr>
            <w:tcW w:w="620" w:type="dxa"/>
            <w:vAlign w:val="bottom"/>
            <w:tcBorders>
              <w:right w:val="single" w:sz="8" w:color="424E6A"/>
            </w:tcBorders>
            <w:gridSpan w:val="2"/>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Year</w:t>
            </w:r>
          </w:p>
        </w:tc>
        <w:tc>
          <w:tcPr>
            <w:tcW w:w="780" w:type="dxa"/>
            <w:vAlign w:val="bottom"/>
            <w:tcBorders>
              <w:right w:val="single" w:sz="8" w:color="424E6A"/>
            </w:tcBorders>
            <w:shd w:val="clear" w:color="auto" w:fill="424E6A"/>
          </w:tcPr>
          <w:p>
            <w:pPr>
              <w:ind w:left="24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9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080" w:type="dxa"/>
            <w:vAlign w:val="bottom"/>
            <w:shd w:val="clear" w:color="auto" w:fill="424E6A"/>
          </w:tcPr>
          <w:p>
            <w:pPr>
              <w:jc w:val="center"/>
              <w:ind w:right="249"/>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40" w:type="dxa"/>
            <w:vAlign w:val="bottom"/>
            <w:tcBorders>
              <w:right w:val="single" w:sz="8" w:color="424E6A"/>
            </w:tcBorders>
            <w:shd w:val="clear" w:color="auto" w:fill="424E6A"/>
          </w:tcPr>
          <w:p>
            <w:pPr>
              <w:spacing w:after="0"/>
              <w:rPr>
                <w:sz w:val="18"/>
                <w:szCs w:val="18"/>
                <w:color w:val="auto"/>
              </w:rPr>
            </w:pPr>
          </w:p>
        </w:tc>
        <w:tc>
          <w:tcPr>
            <w:tcW w:w="1080" w:type="dxa"/>
            <w:vAlign w:val="bottom"/>
            <w:shd w:val="clear" w:color="auto" w:fill="424E6A"/>
          </w:tcPr>
          <w:p>
            <w:pPr>
              <w:jc w:val="center"/>
              <w:ind w:right="269"/>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(4)</w:t>
            </w:r>
          </w:p>
        </w:tc>
        <w:tc>
          <w:tcPr>
            <w:tcW w:w="120" w:type="dxa"/>
            <w:vAlign w:val="bottom"/>
            <w:tcBorders>
              <w:right w:val="single" w:sz="8" w:color="424E6A"/>
            </w:tcBorders>
            <w:shd w:val="clear" w:color="auto" w:fill="424E6A"/>
          </w:tcPr>
          <w:p>
            <w:pPr>
              <w:spacing w:after="0"/>
              <w:rPr>
                <w:sz w:val="18"/>
                <w:szCs w:val="18"/>
                <w:color w:val="auto"/>
              </w:rPr>
            </w:pPr>
          </w:p>
        </w:tc>
        <w:tc>
          <w:tcPr>
            <w:tcW w:w="160" w:type="dxa"/>
            <w:vAlign w:val="bottom"/>
            <w:shd w:val="clear" w:color="auto" w:fill="424E6A"/>
          </w:tcPr>
          <w:p>
            <w:pPr>
              <w:spacing w:after="0"/>
              <w:rPr>
                <w:sz w:val="18"/>
                <w:szCs w:val="18"/>
                <w:color w:val="auto"/>
              </w:rPr>
            </w:pPr>
          </w:p>
        </w:tc>
        <w:tc>
          <w:tcPr>
            <w:tcW w:w="840" w:type="dxa"/>
            <w:vAlign w:val="bottom"/>
            <w:tcBorders>
              <w:right w:val="single" w:sz="8" w:color="424E6A"/>
            </w:tcBorders>
            <w:shd w:val="clear" w:color="auto" w:fill="424E6A"/>
          </w:tcPr>
          <w:p>
            <w:pPr>
              <w:jc w:val="right"/>
              <w:ind w:right="345"/>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48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Willie Chiang,</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424E6A"/>
              <w:right w:val="single" w:sz="8" w:color="424E6A"/>
            </w:tcBorders>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2025</w:t>
            </w:r>
          </w:p>
        </w:tc>
        <w:tc>
          <w:tcPr>
            <w:tcW w:w="78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887,500</w:t>
            </w:r>
          </w:p>
        </w:tc>
        <w:tc>
          <w:tcPr>
            <w:tcW w:w="92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8,435,827</w:t>
            </w:r>
          </w:p>
        </w:tc>
        <w:tc>
          <w:tcPr>
            <w:tcW w:w="1080" w:type="dxa"/>
            <w:vAlign w:val="bottom"/>
            <w:tcBorders>
              <w:bottom w:val="single" w:sz="8" w:color="424E6A"/>
            </w:tcBorders>
          </w:tcPr>
          <w:p>
            <w:pPr>
              <w:ind w:left="2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24E6A"/>
            </w:tcBorders>
          </w:tcPr>
          <w:p>
            <w:pPr>
              <w:ind w:left="3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21,840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right w:val="single" w:sz="8" w:color="424E6A"/>
            </w:tcBorders>
            <w:gridSpan w:val="2"/>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12,295,167</w:t>
            </w:r>
          </w:p>
        </w:tc>
        <w:tc>
          <w:tcPr>
            <w:tcW w:w="0" w:type="dxa"/>
            <w:vAlign w:val="bottom"/>
          </w:tcPr>
          <w:p>
            <w:pPr>
              <w:spacing w:after="0"/>
              <w:rPr>
                <w:sz w:val="1"/>
                <w:szCs w:val="1"/>
                <w:color w:val="auto"/>
              </w:rPr>
            </w:pPr>
          </w:p>
        </w:tc>
      </w:tr>
      <w:tr>
        <w:trPr>
          <w:trHeight w:val="237"/>
        </w:trPr>
        <w:tc>
          <w:tcPr>
            <w:tcW w:w="2480" w:type="dxa"/>
            <w:vAlign w:val="bottom"/>
            <w:tcBorders>
              <w:left w:val="single" w:sz="8" w:color="424E6A"/>
            </w:tcBorders>
          </w:tcPr>
          <w:p>
            <w:pPr>
              <w:ind w:left="220"/>
              <w:spacing w:after="0"/>
              <w:rPr>
                <w:sz w:val="20"/>
                <w:szCs w:val="20"/>
                <w:color w:val="auto"/>
              </w:rPr>
            </w:pPr>
            <w:r>
              <w:rPr>
                <w:rFonts w:ascii="Arial" w:cs="Arial" w:eastAsia="Arial" w:hAnsi="Arial"/>
                <w:sz w:val="16"/>
                <w:szCs w:val="16"/>
                <w:color w:val="auto"/>
              </w:rPr>
              <w:t>Chairman, Chief Executive</w:t>
            </w:r>
          </w:p>
        </w:tc>
        <w:tc>
          <w:tcPr>
            <w:tcW w:w="80" w:type="dxa"/>
            <w:vAlign w:val="bottom"/>
            <w:tcBorders>
              <w:right w:val="single" w:sz="8" w:color="424E6A"/>
            </w:tcBorders>
          </w:tcPr>
          <w:p>
            <w:pPr>
              <w:spacing w:after="0"/>
              <w:rPr>
                <w:sz w:val="20"/>
                <w:szCs w:val="20"/>
                <w:color w:val="auto"/>
              </w:rPr>
            </w:pPr>
          </w:p>
        </w:tc>
        <w:tc>
          <w:tcPr>
            <w:tcW w:w="540" w:type="dxa"/>
            <w:vAlign w:val="bottom"/>
            <w:tcBorders>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837,500</w:t>
            </w:r>
          </w:p>
        </w:tc>
        <w:tc>
          <w:tcPr>
            <w:tcW w:w="92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4,657,905</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2,995,000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8,511,945</w:t>
            </w:r>
          </w:p>
        </w:tc>
        <w:tc>
          <w:tcPr>
            <w:tcW w:w="0" w:type="dxa"/>
            <w:vAlign w:val="bottom"/>
          </w:tcPr>
          <w:p>
            <w:pPr>
              <w:spacing w:after="0"/>
              <w:rPr>
                <w:sz w:val="1"/>
                <w:szCs w:val="1"/>
                <w:color w:val="auto"/>
              </w:rPr>
            </w:pPr>
          </w:p>
        </w:tc>
      </w:tr>
      <w:tr>
        <w:trPr>
          <w:trHeight w:val="27"/>
        </w:trPr>
        <w:tc>
          <w:tcPr>
            <w:tcW w:w="24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6"/>
                <w:szCs w:val="16"/>
                <w:color w:val="auto"/>
              </w:rPr>
              <w:t>Officer and President</w:t>
            </w:r>
          </w:p>
        </w:tc>
        <w:tc>
          <w:tcPr>
            <w:tcW w:w="80" w:type="dxa"/>
            <w:vAlign w:val="bottom"/>
            <w:tcBorders>
              <w:right w:val="single" w:sz="8" w:color="424E6A"/>
            </w:tcBorders>
          </w:tcPr>
          <w:p>
            <w:pPr>
              <w:spacing w:after="0"/>
              <w:rPr>
                <w:sz w:val="2"/>
                <w:szCs w:val="2"/>
                <w:color w:val="auto"/>
              </w:rPr>
            </w:pPr>
          </w:p>
        </w:tc>
        <w:tc>
          <w:tcPr>
            <w:tcW w:w="54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160" w:type="dxa"/>
            <w:vAlign w:val="bottom"/>
            <w:tcBorders>
              <w:bottom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480" w:type="dxa"/>
            <w:vAlign w:val="bottom"/>
            <w:tcBorders>
              <w:left w:val="single" w:sz="8" w:color="424E6A"/>
            </w:tcBorders>
            <w:vMerge w:val="continue"/>
          </w:tcPr>
          <w:p>
            <w:pPr>
              <w:spacing w:after="0"/>
              <w:rPr>
                <w:sz w:val="14"/>
                <w:szCs w:val="14"/>
                <w:color w:val="auto"/>
              </w:rPr>
            </w:pPr>
          </w:p>
        </w:tc>
        <w:tc>
          <w:tcPr>
            <w:tcW w:w="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424E6A"/>
            </w:tcBorders>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800,000</w:t>
            </w:r>
          </w:p>
        </w:tc>
        <w:tc>
          <w:tcPr>
            <w:tcW w:w="92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3,658,279</w:t>
            </w:r>
          </w:p>
        </w:tc>
        <w:tc>
          <w:tcPr>
            <w:tcW w:w="1080" w:type="dxa"/>
            <w:vAlign w:val="bottom"/>
            <w:vMerge w:val="restart"/>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2,975,000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vMerge w:val="restart"/>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7,453,919</w:t>
            </w:r>
          </w:p>
        </w:tc>
        <w:tc>
          <w:tcPr>
            <w:tcW w:w="0" w:type="dxa"/>
            <w:vAlign w:val="bottom"/>
          </w:tcPr>
          <w:p>
            <w:pPr>
              <w:spacing w:after="0"/>
              <w:rPr>
                <w:sz w:val="1"/>
                <w:szCs w:val="1"/>
                <w:color w:val="auto"/>
              </w:rPr>
            </w:pPr>
          </w:p>
        </w:tc>
      </w:tr>
      <w:tr>
        <w:trPr>
          <w:trHeight w:val="69"/>
        </w:trPr>
        <w:tc>
          <w:tcPr>
            <w:tcW w:w="2480" w:type="dxa"/>
            <w:vAlign w:val="bottom"/>
            <w:tcBorders>
              <w:left w:val="single" w:sz="8" w:color="424E6A"/>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780" w:type="dxa"/>
            <w:vAlign w:val="bottom"/>
            <w:tcBorders>
              <w:bottom w:val="single" w:sz="8" w:color="424E6A"/>
              <w:right w:val="single" w:sz="8" w:color="424E6A"/>
            </w:tcBorders>
            <w:vMerge w:val="continue"/>
          </w:tcPr>
          <w:p>
            <w:pPr>
              <w:spacing w:after="0"/>
              <w:rPr>
                <w:sz w:val="5"/>
                <w:szCs w:val="5"/>
                <w:color w:val="auto"/>
              </w:rPr>
            </w:pPr>
          </w:p>
        </w:tc>
        <w:tc>
          <w:tcPr>
            <w:tcW w:w="92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00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480" w:type="dxa"/>
            <w:vAlign w:val="bottom"/>
            <w:tcBorders>
              <w:left w:val="single" w:sz="8" w:color="424E6A"/>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Al Swanson,</w:t>
            </w:r>
          </w:p>
        </w:tc>
        <w:tc>
          <w:tcPr>
            <w:tcW w:w="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424E6A"/>
              <w:bottom w:val="single" w:sz="8" w:color="424E6A"/>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565,000</w:t>
            </w:r>
          </w:p>
        </w:tc>
        <w:tc>
          <w:tcPr>
            <w:tcW w:w="92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1,444,984</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1,125,000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3,156,824</w:t>
            </w:r>
          </w:p>
        </w:tc>
        <w:tc>
          <w:tcPr>
            <w:tcW w:w="0" w:type="dxa"/>
            <w:vAlign w:val="bottom"/>
          </w:tcPr>
          <w:p>
            <w:pPr>
              <w:spacing w:after="0"/>
              <w:rPr>
                <w:sz w:val="1"/>
                <w:szCs w:val="1"/>
                <w:color w:val="auto"/>
              </w:rPr>
            </w:pPr>
          </w:p>
        </w:tc>
      </w:tr>
      <w:tr>
        <w:trPr>
          <w:trHeight w:val="237"/>
        </w:trPr>
        <w:tc>
          <w:tcPr>
            <w:tcW w:w="2480" w:type="dxa"/>
            <w:vAlign w:val="bottom"/>
            <w:tcBorders>
              <w:lef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80" w:type="dxa"/>
            <w:vAlign w:val="bottom"/>
            <w:tcBorders>
              <w:right w:val="single" w:sz="8" w:color="424E6A"/>
            </w:tcBorders>
          </w:tcPr>
          <w:p>
            <w:pPr>
              <w:spacing w:after="0"/>
              <w:rPr>
                <w:sz w:val="20"/>
                <w:szCs w:val="20"/>
                <w:color w:val="auto"/>
              </w:rPr>
            </w:pPr>
          </w:p>
        </w:tc>
        <w:tc>
          <w:tcPr>
            <w:tcW w:w="540" w:type="dxa"/>
            <w:vAlign w:val="bottom"/>
            <w:tcBorders>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3,127,700</w:t>
            </w:r>
          </w:p>
        </w:tc>
        <w:tc>
          <w:tcPr>
            <w:tcW w:w="0" w:type="dxa"/>
            <w:vAlign w:val="bottom"/>
          </w:tcPr>
          <w:p>
            <w:pPr>
              <w:spacing w:after="0"/>
              <w:rPr>
                <w:sz w:val="1"/>
                <w:szCs w:val="1"/>
                <w:color w:val="auto"/>
              </w:rPr>
            </w:pPr>
          </w:p>
        </w:tc>
      </w:tr>
      <w:tr>
        <w:trPr>
          <w:trHeight w:val="27"/>
        </w:trPr>
        <w:tc>
          <w:tcPr>
            <w:tcW w:w="24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6"/>
                <w:szCs w:val="16"/>
                <w:color w:val="auto"/>
              </w:rPr>
              <w:t>Chief Financial Officer</w:t>
            </w:r>
          </w:p>
        </w:tc>
        <w:tc>
          <w:tcPr>
            <w:tcW w:w="80" w:type="dxa"/>
            <w:vAlign w:val="bottom"/>
            <w:tcBorders>
              <w:right w:val="single" w:sz="8" w:color="424E6A"/>
            </w:tcBorders>
          </w:tcPr>
          <w:p>
            <w:pPr>
              <w:spacing w:after="0"/>
              <w:rPr>
                <w:sz w:val="2"/>
                <w:szCs w:val="2"/>
                <w:color w:val="auto"/>
              </w:rPr>
            </w:pPr>
          </w:p>
        </w:tc>
        <w:tc>
          <w:tcPr>
            <w:tcW w:w="54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160" w:type="dxa"/>
            <w:vAlign w:val="bottom"/>
            <w:tcBorders>
              <w:bottom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480" w:type="dxa"/>
            <w:vAlign w:val="bottom"/>
            <w:tcBorders>
              <w:left w:val="single" w:sz="8" w:color="424E6A"/>
            </w:tcBorders>
            <w:vMerge w:val="continue"/>
          </w:tcPr>
          <w:p>
            <w:pPr>
              <w:spacing w:after="0"/>
              <w:rPr>
                <w:sz w:val="14"/>
                <w:szCs w:val="14"/>
                <w:color w:val="auto"/>
              </w:rPr>
            </w:pPr>
          </w:p>
        </w:tc>
        <w:tc>
          <w:tcPr>
            <w:tcW w:w="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424E6A"/>
            </w:tcBorders>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1,153,018</w:t>
            </w:r>
          </w:p>
        </w:tc>
        <w:tc>
          <w:tcPr>
            <w:tcW w:w="1080" w:type="dxa"/>
            <w:vAlign w:val="bottom"/>
            <w:vMerge w:val="restart"/>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1,180,000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vMerge w:val="restart"/>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2,903,658</w:t>
            </w:r>
          </w:p>
        </w:tc>
        <w:tc>
          <w:tcPr>
            <w:tcW w:w="0" w:type="dxa"/>
            <w:vAlign w:val="bottom"/>
          </w:tcPr>
          <w:p>
            <w:pPr>
              <w:spacing w:after="0"/>
              <w:rPr>
                <w:sz w:val="1"/>
                <w:szCs w:val="1"/>
                <w:color w:val="auto"/>
              </w:rPr>
            </w:pPr>
          </w:p>
        </w:tc>
      </w:tr>
      <w:tr>
        <w:trPr>
          <w:trHeight w:val="69"/>
        </w:trPr>
        <w:tc>
          <w:tcPr>
            <w:tcW w:w="2480" w:type="dxa"/>
            <w:vAlign w:val="bottom"/>
            <w:tcBorders>
              <w:left w:val="single" w:sz="8" w:color="424E6A"/>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780" w:type="dxa"/>
            <w:vAlign w:val="bottom"/>
            <w:tcBorders>
              <w:bottom w:val="single" w:sz="8" w:color="424E6A"/>
              <w:right w:val="single" w:sz="8" w:color="424E6A"/>
            </w:tcBorders>
            <w:vMerge w:val="continue"/>
          </w:tcPr>
          <w:p>
            <w:pPr>
              <w:spacing w:after="0"/>
              <w:rPr>
                <w:sz w:val="5"/>
                <w:szCs w:val="5"/>
                <w:color w:val="auto"/>
              </w:rPr>
            </w:pPr>
          </w:p>
        </w:tc>
        <w:tc>
          <w:tcPr>
            <w:tcW w:w="92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00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480" w:type="dxa"/>
            <w:vAlign w:val="bottom"/>
            <w:tcBorders>
              <w:left w:val="single" w:sz="8" w:color="424E6A"/>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Richard McGee,</w:t>
            </w:r>
          </w:p>
        </w:tc>
        <w:tc>
          <w:tcPr>
            <w:tcW w:w="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424E6A"/>
              <w:bottom w:val="single" w:sz="8" w:color="424E6A"/>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580,000</w:t>
            </w:r>
          </w:p>
        </w:tc>
        <w:tc>
          <w:tcPr>
            <w:tcW w:w="92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1,495,429</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1,160,000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3,257,269</w:t>
            </w:r>
          </w:p>
        </w:tc>
        <w:tc>
          <w:tcPr>
            <w:tcW w:w="0" w:type="dxa"/>
            <w:vAlign w:val="bottom"/>
          </w:tcPr>
          <w:p>
            <w:pPr>
              <w:spacing w:after="0"/>
              <w:rPr>
                <w:sz w:val="1"/>
                <w:szCs w:val="1"/>
                <w:color w:val="auto"/>
              </w:rPr>
            </w:pPr>
          </w:p>
        </w:tc>
      </w:tr>
      <w:tr>
        <w:trPr>
          <w:trHeight w:val="236"/>
        </w:trPr>
        <w:tc>
          <w:tcPr>
            <w:tcW w:w="2480" w:type="dxa"/>
            <w:vAlign w:val="bottom"/>
            <w:tcBorders>
              <w:left w:val="single" w:sz="8" w:color="424E6A"/>
            </w:tcBorders>
          </w:tcPr>
          <w:p>
            <w:pPr>
              <w:ind w:left="220"/>
              <w:spacing w:after="0"/>
              <w:rPr>
                <w:sz w:val="20"/>
                <w:szCs w:val="20"/>
                <w:color w:val="auto"/>
              </w:rPr>
            </w:pPr>
            <w:r>
              <w:rPr>
                <w:rFonts w:ascii="Arial" w:cs="Arial" w:eastAsia="Arial" w:hAnsi="Arial"/>
                <w:sz w:val="16"/>
                <w:szCs w:val="16"/>
                <w:color w:val="auto"/>
              </w:rPr>
              <w:t>Executive Vice President,</w:t>
            </w:r>
          </w:p>
        </w:tc>
        <w:tc>
          <w:tcPr>
            <w:tcW w:w="80" w:type="dxa"/>
            <w:vAlign w:val="bottom"/>
            <w:tcBorders>
              <w:right w:val="single" w:sz="8" w:color="424E6A"/>
            </w:tcBorders>
          </w:tcPr>
          <w:p>
            <w:pPr>
              <w:spacing w:after="0"/>
              <w:rPr>
                <w:sz w:val="20"/>
                <w:szCs w:val="20"/>
                <w:color w:val="auto"/>
              </w:rPr>
            </w:pPr>
          </w:p>
        </w:tc>
        <w:tc>
          <w:tcPr>
            <w:tcW w:w="540" w:type="dxa"/>
            <w:vAlign w:val="bottom"/>
            <w:tcBorders>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1,100,000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3,077,700</w:t>
            </w:r>
          </w:p>
        </w:tc>
        <w:tc>
          <w:tcPr>
            <w:tcW w:w="0" w:type="dxa"/>
            <w:vAlign w:val="bottom"/>
          </w:tcPr>
          <w:p>
            <w:pPr>
              <w:spacing w:after="0"/>
              <w:rPr>
                <w:sz w:val="1"/>
                <w:szCs w:val="1"/>
                <w:color w:val="auto"/>
              </w:rPr>
            </w:pPr>
          </w:p>
        </w:tc>
      </w:tr>
      <w:tr>
        <w:trPr>
          <w:trHeight w:val="27"/>
        </w:trPr>
        <w:tc>
          <w:tcPr>
            <w:tcW w:w="24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6"/>
                <w:szCs w:val="16"/>
                <w:color w:val="auto"/>
                <w:w w:val="99"/>
              </w:rPr>
              <w:t>General Counsel and Secretary</w:t>
            </w:r>
          </w:p>
        </w:tc>
        <w:tc>
          <w:tcPr>
            <w:tcW w:w="80" w:type="dxa"/>
            <w:vAlign w:val="bottom"/>
            <w:tcBorders>
              <w:right w:val="single" w:sz="8" w:color="424E6A"/>
            </w:tcBorders>
          </w:tcPr>
          <w:p>
            <w:pPr>
              <w:spacing w:after="0"/>
              <w:rPr>
                <w:sz w:val="2"/>
                <w:szCs w:val="2"/>
                <w:color w:val="auto"/>
              </w:rPr>
            </w:pPr>
          </w:p>
        </w:tc>
        <w:tc>
          <w:tcPr>
            <w:tcW w:w="54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160" w:type="dxa"/>
            <w:vAlign w:val="bottom"/>
            <w:tcBorders>
              <w:bottom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80" w:type="dxa"/>
            <w:vAlign w:val="bottom"/>
            <w:tcBorders>
              <w:left w:val="single" w:sz="8" w:color="424E6A"/>
            </w:tcBorders>
            <w:vMerge w:val="continue"/>
          </w:tcPr>
          <w:p>
            <w:pPr>
              <w:spacing w:after="0"/>
              <w:rPr>
                <w:sz w:val="14"/>
                <w:szCs w:val="14"/>
                <w:color w:val="auto"/>
              </w:rPr>
            </w:pPr>
          </w:p>
        </w:tc>
        <w:tc>
          <w:tcPr>
            <w:tcW w:w="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2023</w:t>
            </w:r>
          </w:p>
        </w:tc>
        <w:tc>
          <w:tcPr>
            <w:tcW w:w="780" w:type="dxa"/>
            <w:vAlign w:val="bottom"/>
            <w:tcBorders>
              <w:right w:val="single" w:sz="8" w:color="424E6A"/>
            </w:tcBorders>
          </w:tcPr>
          <w:p>
            <w:pPr>
              <w:ind w:left="100"/>
              <w:spacing w:after="0" w:line="169" w:lineRule="exact"/>
              <w:rPr>
                <w:sz w:val="20"/>
                <w:szCs w:val="20"/>
                <w:color w:val="auto"/>
              </w:rPr>
            </w:pPr>
            <w:r>
              <w:rPr>
                <w:rFonts w:ascii="Arial" w:cs="Arial" w:eastAsia="Arial" w:hAnsi="Arial"/>
                <w:sz w:val="16"/>
                <w:szCs w:val="16"/>
                <w:color w:val="auto"/>
              </w:rPr>
              <w:t>550,000</w:t>
            </w:r>
          </w:p>
        </w:tc>
        <w:tc>
          <w:tcPr>
            <w:tcW w:w="920" w:type="dxa"/>
            <w:vAlign w:val="bottom"/>
            <w:tcBorders>
              <w:right w:val="single" w:sz="8" w:color="424E6A"/>
            </w:tcBorders>
          </w:tcPr>
          <w:p>
            <w:pPr>
              <w:ind w:left="100"/>
              <w:spacing w:after="0" w:line="169" w:lineRule="exact"/>
              <w:rPr>
                <w:sz w:val="20"/>
                <w:szCs w:val="20"/>
                <w:color w:val="auto"/>
              </w:rPr>
            </w:pPr>
            <w:r>
              <w:rPr>
                <w:rFonts w:ascii="Arial" w:cs="Arial" w:eastAsia="Arial" w:hAnsi="Arial"/>
                <w:sz w:val="16"/>
                <w:szCs w:val="16"/>
                <w:color w:val="auto"/>
              </w:rPr>
              <w:t>1,153,018</w:t>
            </w:r>
          </w:p>
        </w:tc>
        <w:tc>
          <w:tcPr>
            <w:tcW w:w="1080" w:type="dxa"/>
            <w:vAlign w:val="bottom"/>
          </w:tcPr>
          <w:p>
            <w:pPr>
              <w:jc w:val="right"/>
              <w:ind w:right="49"/>
              <w:spacing w:after="0" w:line="169" w:lineRule="exact"/>
              <w:rPr>
                <w:sz w:val="20"/>
                <w:szCs w:val="20"/>
                <w:color w:val="auto"/>
              </w:rPr>
            </w:pPr>
            <w:r>
              <w:rPr>
                <w:rFonts w:ascii="Arial" w:cs="Arial" w:eastAsia="Arial" w:hAnsi="Arial"/>
                <w:sz w:val="16"/>
                <w:szCs w:val="16"/>
                <w:color w:val="auto"/>
              </w:rPr>
              <w:t>1,180,000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9"/>
              <w:spacing w:after="0" w:line="169" w:lineRule="exact"/>
              <w:rPr>
                <w:sz w:val="20"/>
                <w:szCs w:val="20"/>
                <w:color w:val="auto"/>
              </w:rPr>
            </w:pPr>
            <w:r>
              <w:rPr>
                <w:rFonts w:ascii="Arial" w:cs="Arial" w:eastAsia="Arial" w:hAnsi="Arial"/>
                <w:sz w:val="16"/>
                <w:szCs w:val="16"/>
                <w:color w:val="auto"/>
              </w:rPr>
              <w:t>20,640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424E6A"/>
            </w:tcBorders>
          </w:tcPr>
          <w:p>
            <w:pPr>
              <w:jc w:val="right"/>
              <w:ind w:right="5"/>
              <w:spacing w:after="0" w:line="169" w:lineRule="exact"/>
              <w:rPr>
                <w:sz w:val="20"/>
                <w:szCs w:val="20"/>
                <w:color w:val="auto"/>
              </w:rPr>
            </w:pPr>
            <w:r>
              <w:rPr>
                <w:rFonts w:ascii="Arial" w:cs="Arial" w:eastAsia="Arial" w:hAnsi="Arial"/>
                <w:sz w:val="16"/>
                <w:szCs w:val="16"/>
                <w:color w:val="auto"/>
              </w:rPr>
              <w:t>2,903,658</w:t>
            </w:r>
          </w:p>
        </w:tc>
        <w:tc>
          <w:tcPr>
            <w:tcW w:w="0" w:type="dxa"/>
            <w:vAlign w:val="bottom"/>
          </w:tcPr>
          <w:p>
            <w:pPr>
              <w:spacing w:after="0"/>
              <w:rPr>
                <w:sz w:val="1"/>
                <w:szCs w:val="1"/>
                <w:color w:val="auto"/>
              </w:rPr>
            </w:pPr>
          </w:p>
        </w:tc>
      </w:tr>
      <w:tr>
        <w:trPr>
          <w:trHeight w:val="68"/>
        </w:trPr>
        <w:tc>
          <w:tcPr>
            <w:tcW w:w="2480" w:type="dxa"/>
            <w:vAlign w:val="bottom"/>
            <w:tcBorders>
              <w:left w:val="single" w:sz="8" w:color="424E6A"/>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54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right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20" w:type="dxa"/>
            <w:vAlign w:val="bottom"/>
            <w:tcBorders>
              <w:bottom w:val="single" w:sz="8" w:color="424E6A"/>
              <w:right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10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320"/>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840" w:type="dxa"/>
            <w:vAlign w:val="bottom"/>
            <w:tcBorders>
              <w:bottom w:val="single" w:sz="8" w:color="424E6A"/>
              <w:right w:val="single" w:sz="8" w:color="424E6A"/>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480" w:type="dxa"/>
            <w:vAlign w:val="bottom"/>
            <w:tcBorders>
              <w:left w:val="single" w:sz="8" w:color="424E6A"/>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Chris Chandler,</w:t>
            </w:r>
          </w:p>
        </w:tc>
        <w:tc>
          <w:tcPr>
            <w:tcW w:w="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424E6A"/>
              <w:bottom w:val="single" w:sz="8" w:color="424E6A"/>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618,750</w:t>
            </w:r>
          </w:p>
        </w:tc>
        <w:tc>
          <w:tcPr>
            <w:tcW w:w="92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7,187,300</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9,057,890</w:t>
            </w:r>
          </w:p>
        </w:tc>
        <w:tc>
          <w:tcPr>
            <w:tcW w:w="0" w:type="dxa"/>
            <w:vAlign w:val="bottom"/>
          </w:tcPr>
          <w:p>
            <w:pPr>
              <w:spacing w:after="0"/>
              <w:rPr>
                <w:sz w:val="1"/>
                <w:szCs w:val="1"/>
                <w:color w:val="auto"/>
              </w:rPr>
            </w:pPr>
          </w:p>
        </w:tc>
      </w:tr>
      <w:tr>
        <w:trPr>
          <w:trHeight w:val="237"/>
        </w:trPr>
        <w:tc>
          <w:tcPr>
            <w:tcW w:w="2480" w:type="dxa"/>
            <w:vAlign w:val="bottom"/>
            <w:tcBorders>
              <w:lef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80" w:type="dxa"/>
            <w:vAlign w:val="bottom"/>
            <w:tcBorders>
              <w:right w:val="single" w:sz="8" w:color="424E6A"/>
            </w:tcBorders>
          </w:tcPr>
          <w:p>
            <w:pPr>
              <w:spacing w:after="0"/>
              <w:rPr>
                <w:sz w:val="20"/>
                <w:szCs w:val="20"/>
                <w:color w:val="auto"/>
              </w:rPr>
            </w:pPr>
          </w:p>
        </w:tc>
        <w:tc>
          <w:tcPr>
            <w:tcW w:w="540" w:type="dxa"/>
            <w:vAlign w:val="bottom"/>
            <w:tcBorders>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3,809,702</w:t>
            </w:r>
          </w:p>
        </w:tc>
        <w:tc>
          <w:tcPr>
            <w:tcW w:w="0" w:type="dxa"/>
            <w:vAlign w:val="bottom"/>
          </w:tcPr>
          <w:p>
            <w:pPr>
              <w:spacing w:after="0"/>
              <w:rPr>
                <w:sz w:val="1"/>
                <w:szCs w:val="1"/>
                <w:color w:val="auto"/>
              </w:rPr>
            </w:pPr>
          </w:p>
        </w:tc>
      </w:tr>
      <w:tr>
        <w:trPr>
          <w:trHeight w:val="27"/>
        </w:trPr>
        <w:tc>
          <w:tcPr>
            <w:tcW w:w="24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6"/>
                <w:szCs w:val="16"/>
                <w:color w:val="auto"/>
              </w:rPr>
              <w:t>Chief Operating Officer</w:t>
            </w:r>
          </w:p>
        </w:tc>
        <w:tc>
          <w:tcPr>
            <w:tcW w:w="80" w:type="dxa"/>
            <w:vAlign w:val="bottom"/>
            <w:tcBorders>
              <w:right w:val="single" w:sz="8" w:color="424E6A"/>
            </w:tcBorders>
          </w:tcPr>
          <w:p>
            <w:pPr>
              <w:spacing w:after="0"/>
              <w:rPr>
                <w:sz w:val="2"/>
                <w:szCs w:val="2"/>
                <w:color w:val="auto"/>
              </w:rPr>
            </w:pPr>
          </w:p>
        </w:tc>
        <w:tc>
          <w:tcPr>
            <w:tcW w:w="54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160" w:type="dxa"/>
            <w:vAlign w:val="bottom"/>
            <w:tcBorders>
              <w:bottom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480" w:type="dxa"/>
            <w:vAlign w:val="bottom"/>
            <w:tcBorders>
              <w:left w:val="single" w:sz="8" w:color="424E6A"/>
            </w:tcBorders>
            <w:vMerge w:val="continue"/>
          </w:tcPr>
          <w:p>
            <w:pPr>
              <w:spacing w:after="0"/>
              <w:rPr>
                <w:sz w:val="14"/>
                <w:szCs w:val="14"/>
                <w:color w:val="auto"/>
              </w:rPr>
            </w:pPr>
          </w:p>
        </w:tc>
        <w:tc>
          <w:tcPr>
            <w:tcW w:w="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424E6A"/>
            </w:tcBorders>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80" w:type="dxa"/>
            <w:vAlign w:val="bottom"/>
            <w:vMerge w:val="restart"/>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vMerge w:val="restart"/>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3,446,639</w:t>
            </w:r>
          </w:p>
        </w:tc>
        <w:tc>
          <w:tcPr>
            <w:tcW w:w="0" w:type="dxa"/>
            <w:vAlign w:val="bottom"/>
          </w:tcPr>
          <w:p>
            <w:pPr>
              <w:spacing w:after="0"/>
              <w:rPr>
                <w:sz w:val="1"/>
                <w:szCs w:val="1"/>
                <w:color w:val="auto"/>
              </w:rPr>
            </w:pPr>
          </w:p>
        </w:tc>
      </w:tr>
      <w:tr>
        <w:trPr>
          <w:trHeight w:val="69"/>
        </w:trPr>
        <w:tc>
          <w:tcPr>
            <w:tcW w:w="2480" w:type="dxa"/>
            <w:vAlign w:val="bottom"/>
            <w:tcBorders>
              <w:left w:val="single" w:sz="8" w:color="424E6A"/>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780" w:type="dxa"/>
            <w:vAlign w:val="bottom"/>
            <w:tcBorders>
              <w:bottom w:val="single" w:sz="8" w:color="424E6A"/>
              <w:right w:val="single" w:sz="8" w:color="424E6A"/>
            </w:tcBorders>
            <w:vMerge w:val="continue"/>
          </w:tcPr>
          <w:p>
            <w:pPr>
              <w:spacing w:after="0"/>
              <w:rPr>
                <w:sz w:val="5"/>
                <w:szCs w:val="5"/>
                <w:color w:val="auto"/>
              </w:rPr>
            </w:pPr>
          </w:p>
        </w:tc>
        <w:tc>
          <w:tcPr>
            <w:tcW w:w="92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00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480" w:type="dxa"/>
            <w:vAlign w:val="bottom"/>
            <w:tcBorders>
              <w:left w:val="single" w:sz="8" w:color="424E6A"/>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Jeremy Goebel,</w:t>
            </w:r>
          </w:p>
        </w:tc>
        <w:tc>
          <w:tcPr>
            <w:tcW w:w="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424E6A"/>
              <w:bottom w:val="single" w:sz="8" w:color="424E6A"/>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618,750</w:t>
            </w:r>
          </w:p>
        </w:tc>
        <w:tc>
          <w:tcPr>
            <w:tcW w:w="92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9,746,168</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2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11,616,758</w:t>
            </w:r>
          </w:p>
        </w:tc>
        <w:tc>
          <w:tcPr>
            <w:tcW w:w="0" w:type="dxa"/>
            <w:vAlign w:val="bottom"/>
          </w:tcPr>
          <w:p>
            <w:pPr>
              <w:spacing w:after="0"/>
              <w:rPr>
                <w:sz w:val="1"/>
                <w:szCs w:val="1"/>
                <w:color w:val="auto"/>
              </w:rPr>
            </w:pPr>
          </w:p>
        </w:tc>
      </w:tr>
      <w:tr>
        <w:trPr>
          <w:trHeight w:val="236"/>
        </w:trPr>
        <w:tc>
          <w:tcPr>
            <w:tcW w:w="2480" w:type="dxa"/>
            <w:vAlign w:val="bottom"/>
            <w:tcBorders>
              <w:lef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80" w:type="dxa"/>
            <w:vAlign w:val="bottom"/>
            <w:tcBorders>
              <w:right w:val="single" w:sz="8" w:color="424E6A"/>
            </w:tcBorders>
          </w:tcPr>
          <w:p>
            <w:pPr>
              <w:spacing w:after="0"/>
              <w:rPr>
                <w:sz w:val="20"/>
                <w:szCs w:val="20"/>
                <w:color w:val="auto"/>
              </w:rPr>
            </w:pPr>
          </w:p>
        </w:tc>
        <w:tc>
          <w:tcPr>
            <w:tcW w:w="540" w:type="dxa"/>
            <w:vAlign w:val="bottom"/>
            <w:tcBorders>
              <w:right w:val="single" w:sz="8" w:color="424E6A"/>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2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3,809,702</w:t>
            </w:r>
          </w:p>
        </w:tc>
        <w:tc>
          <w:tcPr>
            <w:tcW w:w="0" w:type="dxa"/>
            <w:vAlign w:val="bottom"/>
          </w:tcPr>
          <w:p>
            <w:pPr>
              <w:spacing w:after="0"/>
              <w:rPr>
                <w:sz w:val="1"/>
                <w:szCs w:val="1"/>
                <w:color w:val="auto"/>
              </w:rPr>
            </w:pPr>
          </w:p>
        </w:tc>
      </w:tr>
      <w:tr>
        <w:trPr>
          <w:trHeight w:val="27"/>
        </w:trPr>
        <w:tc>
          <w:tcPr>
            <w:tcW w:w="2480" w:type="dxa"/>
            <w:vAlign w:val="bottom"/>
            <w:tcBorders>
              <w:left w:val="single" w:sz="8" w:color="424E6A"/>
            </w:tcBorders>
            <w:vMerge w:val="restart"/>
          </w:tcPr>
          <w:p>
            <w:pPr>
              <w:ind w:left="220"/>
              <w:spacing w:after="0"/>
              <w:rPr>
                <w:sz w:val="20"/>
                <w:szCs w:val="20"/>
                <w:color w:val="auto"/>
              </w:rPr>
            </w:pPr>
            <w:r>
              <w:rPr>
                <w:rFonts w:ascii="Arial" w:cs="Arial" w:eastAsia="Arial" w:hAnsi="Arial"/>
                <w:sz w:val="16"/>
                <w:szCs w:val="16"/>
                <w:color w:val="auto"/>
              </w:rPr>
              <w:t>Chief Commercial Officer</w:t>
            </w:r>
          </w:p>
        </w:tc>
        <w:tc>
          <w:tcPr>
            <w:tcW w:w="80" w:type="dxa"/>
            <w:vAlign w:val="bottom"/>
            <w:tcBorders>
              <w:right w:val="single" w:sz="8" w:color="424E6A"/>
            </w:tcBorders>
          </w:tcPr>
          <w:p>
            <w:pPr>
              <w:spacing w:after="0"/>
              <w:rPr>
                <w:sz w:val="2"/>
                <w:szCs w:val="2"/>
                <w:color w:val="auto"/>
              </w:rPr>
            </w:pPr>
          </w:p>
        </w:tc>
        <w:tc>
          <w:tcPr>
            <w:tcW w:w="54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160" w:type="dxa"/>
            <w:vAlign w:val="bottom"/>
            <w:tcBorders>
              <w:bottom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480" w:type="dxa"/>
            <w:vAlign w:val="bottom"/>
            <w:tcBorders>
              <w:left w:val="single" w:sz="8" w:color="424E6A"/>
            </w:tcBorders>
            <w:vMerge w:val="continue"/>
          </w:tcPr>
          <w:p>
            <w:pPr>
              <w:spacing w:after="0"/>
              <w:rPr>
                <w:sz w:val="14"/>
                <w:szCs w:val="14"/>
                <w:color w:val="auto"/>
              </w:rPr>
            </w:pPr>
          </w:p>
        </w:tc>
        <w:tc>
          <w:tcPr>
            <w:tcW w:w="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424E6A"/>
            </w:tcBorders>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right w:val="single" w:sz="8" w:color="424E6A"/>
            </w:tcBorders>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80" w:type="dxa"/>
            <w:vAlign w:val="bottom"/>
            <w:vMerge w:val="restart"/>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424E6A"/>
            </w:tcBorders>
            <w:gridSpan w:val="2"/>
            <w:vMerge w:val="restart"/>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3,446,639</w:t>
            </w:r>
          </w:p>
        </w:tc>
        <w:tc>
          <w:tcPr>
            <w:tcW w:w="0" w:type="dxa"/>
            <w:vAlign w:val="bottom"/>
          </w:tcPr>
          <w:p>
            <w:pPr>
              <w:spacing w:after="0"/>
              <w:rPr>
                <w:sz w:val="1"/>
                <w:szCs w:val="1"/>
                <w:color w:val="auto"/>
              </w:rPr>
            </w:pPr>
          </w:p>
        </w:tc>
      </w:tr>
      <w:tr>
        <w:trPr>
          <w:trHeight w:val="69"/>
        </w:trPr>
        <w:tc>
          <w:tcPr>
            <w:tcW w:w="2480" w:type="dxa"/>
            <w:vAlign w:val="bottom"/>
            <w:tcBorders>
              <w:left w:val="single" w:sz="8" w:color="424E6A"/>
              <w:bottom w:val="single" w:sz="8" w:color="424E6A"/>
            </w:tcBorders>
          </w:tcPr>
          <w:p>
            <w:pPr>
              <w:spacing w:after="0"/>
              <w:rPr>
                <w:sz w:val="5"/>
                <w:szCs w:val="5"/>
                <w:color w:val="auto"/>
              </w:rPr>
            </w:pP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780" w:type="dxa"/>
            <w:vAlign w:val="bottom"/>
            <w:tcBorders>
              <w:bottom w:val="single" w:sz="8" w:color="424E6A"/>
              <w:right w:val="single" w:sz="8" w:color="424E6A"/>
            </w:tcBorders>
            <w:vMerge w:val="continue"/>
          </w:tcPr>
          <w:p>
            <w:pPr>
              <w:spacing w:after="0"/>
              <w:rPr>
                <w:sz w:val="5"/>
                <w:szCs w:val="5"/>
                <w:color w:val="auto"/>
              </w:rPr>
            </w:pPr>
          </w:p>
        </w:tc>
        <w:tc>
          <w:tcPr>
            <w:tcW w:w="92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00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699" w:hanging="360"/>
        <w:spacing w:after="0" w:line="210"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As described above in CD&amp;A, annual base salaries for all NEOs were increased effective April 1, 2025. The amounts shown in the table for 2025 reflect blended rates.</w:t>
      </w:r>
    </w:p>
    <w:p>
      <w:pPr>
        <w:spacing w:after="0" w:line="46" w:lineRule="exact"/>
        <w:rPr>
          <w:rFonts w:ascii="Arial" w:cs="Arial" w:eastAsia="Arial" w:hAnsi="Arial"/>
          <w:sz w:val="27"/>
          <w:szCs w:val="27"/>
          <w:color w:val="auto"/>
          <w:vertAlign w:val="superscript"/>
        </w:rPr>
      </w:pPr>
    </w:p>
    <w:p>
      <w:pPr>
        <w:ind w:left="1620" w:right="519" w:hanging="360"/>
        <w:spacing w:after="0" w:line="251"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regular annual phantom unit grants awarded to Messrs. Chiang, Swanson, McGee, Chandler and Goebel in August 2023, 2024 and 2025, and (ii) phantom unit grants awarded to Chiang in August 2018, which were amended in August 2025. Dollar amounts in the table represent the aggregate grant date fair value of phantom units awarded based on the probable outcome of underlying performance conditions pursuant to FASB guidance regarding share-based payments. See Note 18 to our Consolidated Financial Statements included in our 2025 Annual Report for further discussion regarding the calculation of grant date fair values.</w:t>
      </w:r>
    </w:p>
    <w:p>
      <w:pPr>
        <w:spacing w:after="0" w:line="13" w:lineRule="exact"/>
        <w:rPr>
          <w:sz w:val="20"/>
          <w:szCs w:val="20"/>
          <w:color w:val="auto"/>
        </w:rPr>
      </w:pPr>
    </w:p>
    <w:p>
      <w:pPr>
        <w:ind w:left="1620" w:right="419"/>
        <w:spacing w:after="0" w:line="243" w:lineRule="auto"/>
        <w:rPr>
          <w:sz w:val="20"/>
          <w:szCs w:val="20"/>
          <w:color w:val="auto"/>
        </w:rPr>
      </w:pPr>
      <w:r>
        <w:rPr>
          <w:rFonts w:ascii="Arial" w:cs="Arial" w:eastAsia="Arial" w:hAnsi="Arial"/>
          <w:sz w:val="18"/>
          <w:szCs w:val="18"/>
          <w:color w:val="auto"/>
        </w:rPr>
        <w:t>For phantom unit grants originally awarded to Mr. Chiang in August 2018, one-third of the associated DERs was deemed probable of vesting on the grant date. The probability-based grant date fair value of the phantom unit grants awarded to Mr. Chiang in August 2018 was $1,203,336 and the maximum grant date fair value of these phantom unit grants, assuming that the highest level of performance conditions would be met, was $12,774,454. The August 2018 phantom unit grants held by Mr. Chiang were amended in August 2025 to extend the expiration date from October 2025 to October 2030. As a result of the amendment, an additional one-third of the DERs associated with the grants was deemed probable of vesting on the amendment date. The amounts presented for Mr. Chiang for 2025 include aggregate incremental fair value of $2,895,505 based on the probable outcome of underlying performance conditions resulting from the amendment of the August 2018 award. The incremental fair value represents the net increase in the probability-based fair value of the amended awards relative to the probability-based fair value on the original grant date. The maximum fair value of the amended grants on the amendment date, assuming that the highest level of performance conditions will be met, was lower than the maximum fair value on the original grant date.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regular annual phantom unit grants awarded in August 2023, 75% were deemed probable of vesting on the grant date. The maximum grant date fair value of phantom unit grants awarded in August 2023, assuming that the highest level of performance conditions will be met, was $4,877,705 for Mr. Chiang, $1,537,358 for each of Messrs. Swanson and McGee, and $1,981,333 for each of Messrs. Chandler and Goebel.</w:t>
      </w:r>
    </w:p>
    <w:p>
      <w:pPr>
        <w:spacing w:after="0" w:line="4"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regular annual phantom unit grants awarded in August 2024, 75% were deemed probable of vesting on the grant date. The maximum grant date fair value of phantom unit grants awarded in August 2024, assuming that the highest level of performance conditions will be met, was $6,210,540 for Mr. Chiang, $1,874,880 for each of Messrs. Swanson and McGee, and $2,484,216 for each of Messrs. Chandler and Goebel.</w:t>
      </w:r>
    </w:p>
    <w:p>
      <w:pPr>
        <w:spacing w:after="0" w:line="4" w:lineRule="exact"/>
        <w:rPr>
          <w:sz w:val="20"/>
          <w:szCs w:val="20"/>
          <w:color w:val="auto"/>
        </w:rPr>
      </w:pPr>
    </w:p>
    <w:p>
      <w:pPr>
        <w:jc w:val="both"/>
        <w:ind w:left="1620" w:right="599"/>
        <w:spacing w:after="0" w:line="256" w:lineRule="auto"/>
        <w:rPr>
          <w:sz w:val="20"/>
          <w:szCs w:val="20"/>
          <w:color w:val="auto"/>
        </w:rPr>
      </w:pPr>
      <w:r>
        <w:rPr>
          <w:rFonts w:ascii="Arial" w:cs="Arial" w:eastAsia="Arial" w:hAnsi="Arial"/>
          <w:sz w:val="18"/>
          <w:szCs w:val="18"/>
          <w:color w:val="auto"/>
        </w:rPr>
        <w:t>For regular annual phantom unit grants awarded in August 2025, 75% were deemed probable of vesting on the grant date. The maximum grant date fair value of the regular annual phantom unit grants awarded in August 2025, assuming that the highest level of performance conditions will be met, was $7,387,095 for Mr. Chiang, $1,926,645 for Mr. Swanson, $1,993,905 for Mr. McGee, and $2,564,730 for each of Messrs. Chandler and Goebel.</w:t>
      </w:r>
    </w:p>
    <w:p>
      <w:pPr>
        <w:spacing w:after="0" w:line="3" w:lineRule="exact"/>
        <w:rPr>
          <w:sz w:val="20"/>
          <w:szCs w:val="20"/>
          <w:color w:val="auto"/>
        </w:rPr>
      </w:pPr>
    </w:p>
    <w:p>
      <w:pPr>
        <w:ind w:left="1620" w:right="439"/>
        <w:spacing w:after="0" w:line="268" w:lineRule="auto"/>
        <w:rPr>
          <w:sz w:val="20"/>
          <w:szCs w:val="20"/>
          <w:color w:val="auto"/>
        </w:rPr>
      </w:pPr>
      <w:r>
        <w:rPr>
          <w:rFonts w:ascii="Arial" w:cs="Arial" w:eastAsia="Arial" w:hAnsi="Arial"/>
          <w:sz w:val="18"/>
          <w:szCs w:val="18"/>
          <w:color w:val="auto"/>
        </w:rPr>
        <w:t>For special retention phantom unit grants awarded to Messrs. Chandler and Goebel in August 2025, 100% were deemed probable of vesting on the grant date. Therefore, the grant date fair value of these grants was $5,263,752 for Mr. Chandler and $7,822,621 for Mr. Goebel.</w:t>
      </w:r>
    </w:p>
    <w:p>
      <w:pPr>
        <w:spacing w:after="0" w:line="36" w:lineRule="exact"/>
        <w:rPr>
          <w:sz w:val="20"/>
          <w:szCs w:val="20"/>
          <w:color w:val="auto"/>
        </w:rPr>
      </w:pPr>
    </w:p>
    <w:p>
      <w:pPr>
        <w:ind w:left="1620" w:right="659" w:hanging="360"/>
        <w:spacing w:after="0" w:line="210"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Amounts paid for 2025 were rounded to the nearest multiple of $5,000. See “2025 Compensation Elements — Annual Cash Incentive Awards” above for additional information.</w:t>
      </w:r>
    </w:p>
    <w:p>
      <w:pPr>
        <w:spacing w:after="0" w:line="46" w:lineRule="exact"/>
        <w:rPr>
          <w:rFonts w:ascii="Arial" w:cs="Arial" w:eastAsia="Arial" w:hAnsi="Arial"/>
          <w:sz w:val="27"/>
          <w:szCs w:val="27"/>
          <w:color w:val="auto"/>
          <w:vertAlign w:val="superscript"/>
        </w:rPr>
      </w:pPr>
    </w:p>
    <w:p>
      <w:pPr>
        <w:ind w:left="1620" w:right="479" w:hanging="360"/>
        <w:spacing w:after="0" w:line="228"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2025 includes $21,000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86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109220</wp:posOffset>
            </wp:positionV>
            <wp:extent cx="1534795" cy="668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34795" cy="6686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109220</wp:posOffset>
            </wp:positionV>
            <wp:extent cx="43180" cy="677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677545"/>
                    </a:xfrm>
                    <a:prstGeom prst="rect">
                      <a:avLst/>
                    </a:prstGeom>
                    <a:noFill/>
                  </pic:spPr>
                </pic:pic>
              </a:graphicData>
            </a:graphic>
          </wp:anchor>
        </w:drawing>
      </w:r>
    </w:p>
    <w:p>
      <w:pPr>
        <w:spacing w:after="0" w:line="132" w:lineRule="exact"/>
        <w:rPr>
          <w:sz w:val="20"/>
          <w:szCs w:val="20"/>
          <w:color w:val="auto"/>
        </w:rPr>
      </w:pPr>
    </w:p>
    <w:tbl>
      <w:tblPr>
        <w:tblLayout w:type="fixed"/>
        <w:tblInd w:w="510" w:type="dxa"/>
        <w:tblCellMar>
          <w:top w:w="0" w:type="dxa"/>
          <w:left w:w="0" w:type="dxa"/>
          <w:bottom w:w="0" w:type="dxa"/>
          <w:right w:w="0" w:type="dxa"/>
        </w:tblCellMar>
      </w:tblPr>
      <w:tr>
        <w:trPr>
          <w:trHeight w:val="207"/>
        </w:trPr>
        <w:tc>
          <w:tcPr>
            <w:tcW w:w="1080" w:type="dxa"/>
            <w:vAlign w:val="bottom"/>
            <w:tcBorders>
              <w:top w:val="single" w:sz="8" w:color="424E6A"/>
              <w:left w:val="single" w:sz="8" w:color="424E6A"/>
            </w:tcBorders>
            <w:shd w:val="clear" w:color="auto" w:fill="424E6A"/>
          </w:tcPr>
          <w:p>
            <w:pPr>
              <w:spacing w:after="0"/>
              <w:rPr>
                <w:sz w:val="17"/>
                <w:szCs w:val="17"/>
                <w:color w:val="auto"/>
              </w:rPr>
            </w:pPr>
          </w:p>
        </w:tc>
        <w:tc>
          <w:tcPr>
            <w:tcW w:w="80" w:type="dxa"/>
            <w:vAlign w:val="bottom"/>
            <w:tcBorders>
              <w:top w:val="single" w:sz="8" w:color="424E6A"/>
            </w:tcBorders>
            <w:shd w:val="clear" w:color="auto" w:fill="424E6A"/>
          </w:tcPr>
          <w:p>
            <w:pPr>
              <w:spacing w:after="0"/>
              <w:rPr>
                <w:sz w:val="17"/>
                <w:szCs w:val="17"/>
                <w:color w:val="auto"/>
              </w:rPr>
            </w:pPr>
          </w:p>
        </w:tc>
        <w:tc>
          <w:tcPr>
            <w:tcW w:w="140" w:type="dxa"/>
            <w:vAlign w:val="bottom"/>
            <w:tcBorders>
              <w:top w:val="single" w:sz="8" w:color="424E6A"/>
            </w:tcBorders>
            <w:shd w:val="clear" w:color="auto" w:fill="424E6A"/>
          </w:tcPr>
          <w:p>
            <w:pPr>
              <w:spacing w:after="0"/>
              <w:rPr>
                <w:sz w:val="17"/>
                <w:szCs w:val="17"/>
                <w:color w:val="auto"/>
              </w:rPr>
            </w:pPr>
          </w:p>
        </w:tc>
        <w:tc>
          <w:tcPr>
            <w:tcW w:w="540" w:type="dxa"/>
            <w:vAlign w:val="bottom"/>
            <w:tcBorders>
              <w:top w:val="single" w:sz="8" w:color="424E6A"/>
            </w:tcBorders>
            <w:shd w:val="clear" w:color="auto" w:fill="424E6A"/>
          </w:tcPr>
          <w:p>
            <w:pPr>
              <w:spacing w:after="0"/>
              <w:rPr>
                <w:sz w:val="17"/>
                <w:szCs w:val="17"/>
                <w:color w:val="auto"/>
              </w:rPr>
            </w:pPr>
          </w:p>
        </w:tc>
        <w:tc>
          <w:tcPr>
            <w:tcW w:w="200" w:type="dxa"/>
            <w:vAlign w:val="bottom"/>
            <w:tcBorders>
              <w:top w:val="single" w:sz="8" w:color="424E6A"/>
              <w:right w:val="single" w:sz="8" w:color="424E6A"/>
            </w:tcBorders>
            <w:shd w:val="clear" w:color="auto" w:fill="424E6A"/>
          </w:tcPr>
          <w:p>
            <w:pPr>
              <w:spacing w:after="0"/>
              <w:rPr>
                <w:sz w:val="17"/>
                <w:szCs w:val="17"/>
                <w:color w:val="auto"/>
              </w:rPr>
            </w:pPr>
          </w:p>
        </w:tc>
        <w:tc>
          <w:tcPr>
            <w:tcW w:w="80" w:type="dxa"/>
            <w:vAlign w:val="bottom"/>
            <w:tcBorders>
              <w:top w:val="single" w:sz="8" w:color="424E6A"/>
              <w:left w:val="single" w:sz="8" w:color="424E6A"/>
            </w:tcBorders>
            <w:shd w:val="clear" w:color="auto" w:fill="424E6A"/>
          </w:tcPr>
          <w:p>
            <w:pPr>
              <w:spacing w:after="0"/>
              <w:rPr>
                <w:sz w:val="17"/>
                <w:szCs w:val="17"/>
                <w:color w:val="auto"/>
              </w:rPr>
            </w:pPr>
          </w:p>
        </w:tc>
        <w:tc>
          <w:tcPr>
            <w:tcW w:w="700" w:type="dxa"/>
            <w:vAlign w:val="bottom"/>
            <w:tcBorders>
              <w:top w:val="single" w:sz="8" w:color="424E6A"/>
            </w:tcBorders>
            <w:shd w:val="clear" w:color="auto" w:fill="424E6A"/>
          </w:tcPr>
          <w:p>
            <w:pPr>
              <w:spacing w:after="0"/>
              <w:rPr>
                <w:sz w:val="17"/>
                <w:szCs w:val="17"/>
                <w:color w:val="auto"/>
              </w:rPr>
            </w:pPr>
          </w:p>
        </w:tc>
        <w:tc>
          <w:tcPr>
            <w:tcW w:w="40" w:type="dxa"/>
            <w:vAlign w:val="bottom"/>
            <w:tcBorders>
              <w:top w:val="single" w:sz="8" w:color="424E6A"/>
            </w:tcBorders>
            <w:shd w:val="clear" w:color="auto" w:fill="424E6A"/>
          </w:tcPr>
          <w:p>
            <w:pPr>
              <w:spacing w:after="0"/>
              <w:rPr>
                <w:sz w:val="17"/>
                <w:szCs w:val="17"/>
                <w:color w:val="auto"/>
              </w:rPr>
            </w:pPr>
          </w:p>
        </w:tc>
        <w:tc>
          <w:tcPr>
            <w:tcW w:w="100" w:type="dxa"/>
            <w:vAlign w:val="bottom"/>
            <w:tcBorders>
              <w:top w:val="single" w:sz="8" w:color="424E6A"/>
              <w:right w:val="single" w:sz="8" w:color="424E6A"/>
            </w:tcBorders>
            <w:shd w:val="clear" w:color="auto" w:fill="424E6A"/>
          </w:tcPr>
          <w:p>
            <w:pPr>
              <w:spacing w:after="0"/>
              <w:rPr>
                <w:sz w:val="17"/>
                <w:szCs w:val="17"/>
                <w:color w:val="auto"/>
              </w:rPr>
            </w:pPr>
          </w:p>
        </w:tc>
        <w:tc>
          <w:tcPr>
            <w:tcW w:w="140" w:type="dxa"/>
            <w:vAlign w:val="bottom"/>
            <w:tcBorders>
              <w:top w:val="single" w:sz="8" w:color="424E6A"/>
            </w:tcBorders>
            <w:shd w:val="clear" w:color="auto" w:fill="424E6A"/>
          </w:tcPr>
          <w:p>
            <w:pPr>
              <w:spacing w:after="0"/>
              <w:rPr>
                <w:sz w:val="17"/>
                <w:szCs w:val="17"/>
                <w:color w:val="auto"/>
              </w:rPr>
            </w:pPr>
          </w:p>
        </w:tc>
        <w:tc>
          <w:tcPr>
            <w:tcW w:w="400" w:type="dxa"/>
            <w:vAlign w:val="bottom"/>
            <w:tcBorders>
              <w:top w:val="single" w:sz="8" w:color="424E6A"/>
            </w:tcBorders>
            <w:shd w:val="clear" w:color="auto" w:fill="424E6A"/>
          </w:tcPr>
          <w:p>
            <w:pPr>
              <w:spacing w:after="0"/>
              <w:rPr>
                <w:sz w:val="17"/>
                <w:szCs w:val="17"/>
                <w:color w:val="auto"/>
              </w:rPr>
            </w:pPr>
          </w:p>
        </w:tc>
        <w:tc>
          <w:tcPr>
            <w:tcW w:w="300" w:type="dxa"/>
            <w:vAlign w:val="bottom"/>
            <w:tcBorders>
              <w:top w:val="single" w:sz="8" w:color="424E6A"/>
              <w:right w:val="single" w:sz="8" w:color="424E6A"/>
            </w:tcBorders>
            <w:shd w:val="clear" w:color="auto" w:fill="424E6A"/>
          </w:tcPr>
          <w:p>
            <w:pPr>
              <w:spacing w:after="0"/>
              <w:rPr>
                <w:sz w:val="17"/>
                <w:szCs w:val="17"/>
                <w:color w:val="auto"/>
              </w:rPr>
            </w:pPr>
          </w:p>
        </w:tc>
        <w:tc>
          <w:tcPr>
            <w:tcW w:w="60" w:type="dxa"/>
            <w:vAlign w:val="bottom"/>
            <w:tcBorders>
              <w:top w:val="single" w:sz="8" w:color="424E6A"/>
            </w:tcBorders>
            <w:shd w:val="clear" w:color="auto" w:fill="424E6A"/>
          </w:tcPr>
          <w:p>
            <w:pPr>
              <w:spacing w:after="0"/>
              <w:rPr>
                <w:sz w:val="17"/>
                <w:szCs w:val="17"/>
                <w:color w:val="auto"/>
              </w:rPr>
            </w:pPr>
          </w:p>
        </w:tc>
        <w:tc>
          <w:tcPr>
            <w:tcW w:w="500" w:type="dxa"/>
            <w:vAlign w:val="bottom"/>
            <w:tcBorders>
              <w:top w:val="single" w:sz="8" w:color="424E6A"/>
            </w:tcBorders>
            <w:shd w:val="clear" w:color="auto" w:fill="424E6A"/>
          </w:tcPr>
          <w:p>
            <w:pPr>
              <w:spacing w:after="0"/>
              <w:rPr>
                <w:sz w:val="17"/>
                <w:szCs w:val="17"/>
                <w:color w:val="auto"/>
              </w:rPr>
            </w:pPr>
          </w:p>
        </w:tc>
        <w:tc>
          <w:tcPr>
            <w:tcW w:w="300" w:type="dxa"/>
            <w:vAlign w:val="bottom"/>
            <w:tcBorders>
              <w:top w:val="single" w:sz="8" w:color="424E6A"/>
              <w:right w:val="single" w:sz="8" w:color="424E6A"/>
            </w:tcBorders>
            <w:shd w:val="clear" w:color="auto" w:fill="424E6A"/>
          </w:tcPr>
          <w:p>
            <w:pPr>
              <w:spacing w:after="0"/>
              <w:rPr>
                <w:sz w:val="17"/>
                <w:szCs w:val="17"/>
                <w:color w:val="auto"/>
              </w:rPr>
            </w:pPr>
          </w:p>
        </w:tc>
        <w:tc>
          <w:tcPr>
            <w:tcW w:w="60" w:type="dxa"/>
            <w:vAlign w:val="bottom"/>
            <w:tcBorders>
              <w:top w:val="single" w:sz="8" w:color="424E6A"/>
            </w:tcBorders>
            <w:shd w:val="clear" w:color="auto" w:fill="424E6A"/>
          </w:tcPr>
          <w:p>
            <w:pPr>
              <w:spacing w:after="0"/>
              <w:rPr>
                <w:sz w:val="17"/>
                <w:szCs w:val="17"/>
                <w:color w:val="auto"/>
              </w:rPr>
            </w:pPr>
          </w:p>
        </w:tc>
        <w:tc>
          <w:tcPr>
            <w:tcW w:w="720" w:type="dxa"/>
            <w:vAlign w:val="bottom"/>
            <w:tcBorders>
              <w:top w:val="single" w:sz="8" w:color="424E6A"/>
            </w:tcBorders>
            <w:shd w:val="clear" w:color="auto" w:fill="424E6A"/>
          </w:tcPr>
          <w:p>
            <w:pPr>
              <w:spacing w:after="0"/>
              <w:rPr>
                <w:sz w:val="17"/>
                <w:szCs w:val="17"/>
                <w:color w:val="auto"/>
              </w:rPr>
            </w:pPr>
          </w:p>
        </w:tc>
        <w:tc>
          <w:tcPr>
            <w:tcW w:w="120" w:type="dxa"/>
            <w:vAlign w:val="bottom"/>
            <w:tcBorders>
              <w:top w:val="single" w:sz="8" w:color="424E6A"/>
              <w:right w:val="single" w:sz="8" w:color="424E6A"/>
            </w:tcBorders>
            <w:shd w:val="clear" w:color="auto" w:fill="424E6A"/>
          </w:tcPr>
          <w:p>
            <w:pPr>
              <w:spacing w:after="0"/>
              <w:rPr>
                <w:sz w:val="17"/>
                <w:szCs w:val="17"/>
                <w:color w:val="auto"/>
              </w:rPr>
            </w:pPr>
          </w:p>
        </w:tc>
        <w:tc>
          <w:tcPr>
            <w:tcW w:w="460" w:type="dxa"/>
            <w:vAlign w:val="bottom"/>
            <w:tcBorders>
              <w:top w:val="single" w:sz="8" w:color="424E6A"/>
            </w:tcBorders>
            <w:shd w:val="clear" w:color="auto" w:fill="424E6A"/>
          </w:tcPr>
          <w:p>
            <w:pPr>
              <w:spacing w:after="0"/>
              <w:rPr>
                <w:sz w:val="17"/>
                <w:szCs w:val="17"/>
                <w:color w:val="auto"/>
              </w:rPr>
            </w:pPr>
          </w:p>
        </w:tc>
        <w:tc>
          <w:tcPr>
            <w:tcW w:w="320" w:type="dxa"/>
            <w:vAlign w:val="bottom"/>
            <w:tcBorders>
              <w:top w:val="single" w:sz="8" w:color="424E6A"/>
              <w:right w:val="single" w:sz="8" w:color="424E6A"/>
            </w:tcBorders>
            <w:shd w:val="clear" w:color="auto" w:fill="424E6A"/>
          </w:tcPr>
          <w:p>
            <w:pPr>
              <w:spacing w:after="0"/>
              <w:rPr>
                <w:sz w:val="17"/>
                <w:szCs w:val="17"/>
                <w:color w:val="auto"/>
              </w:rPr>
            </w:pPr>
          </w:p>
        </w:tc>
        <w:tc>
          <w:tcPr>
            <w:tcW w:w="140" w:type="dxa"/>
            <w:vAlign w:val="bottom"/>
            <w:tcBorders>
              <w:top w:val="single" w:sz="8" w:color="424E6A"/>
            </w:tcBorders>
            <w:shd w:val="clear" w:color="auto" w:fill="424E6A"/>
          </w:tcPr>
          <w:p>
            <w:pPr>
              <w:spacing w:after="0"/>
              <w:rPr>
                <w:sz w:val="17"/>
                <w:szCs w:val="17"/>
                <w:color w:val="auto"/>
              </w:rPr>
            </w:pPr>
          </w:p>
        </w:tc>
        <w:tc>
          <w:tcPr>
            <w:tcW w:w="200" w:type="dxa"/>
            <w:vAlign w:val="bottom"/>
            <w:tcBorders>
              <w:top w:val="single" w:sz="8" w:color="424E6A"/>
            </w:tcBorders>
            <w:shd w:val="clear" w:color="auto" w:fill="424E6A"/>
          </w:tcPr>
          <w:p>
            <w:pPr>
              <w:spacing w:after="0"/>
              <w:rPr>
                <w:sz w:val="17"/>
                <w:szCs w:val="17"/>
                <w:color w:val="auto"/>
              </w:rPr>
            </w:pPr>
          </w:p>
        </w:tc>
        <w:tc>
          <w:tcPr>
            <w:tcW w:w="420" w:type="dxa"/>
            <w:vAlign w:val="bottom"/>
            <w:tcBorders>
              <w:top w:val="single" w:sz="8" w:color="424E6A"/>
            </w:tcBorders>
            <w:shd w:val="clear" w:color="auto" w:fill="424E6A"/>
          </w:tcPr>
          <w:p>
            <w:pPr>
              <w:spacing w:after="0"/>
              <w:rPr>
                <w:sz w:val="17"/>
                <w:szCs w:val="17"/>
                <w:color w:val="auto"/>
              </w:rPr>
            </w:pPr>
          </w:p>
        </w:tc>
        <w:tc>
          <w:tcPr>
            <w:tcW w:w="220" w:type="dxa"/>
            <w:vAlign w:val="bottom"/>
            <w:tcBorders>
              <w:top w:val="single" w:sz="8" w:color="424E6A"/>
              <w:right w:val="single" w:sz="8" w:color="424E6A"/>
            </w:tcBorders>
            <w:shd w:val="clear" w:color="auto" w:fill="424E6A"/>
          </w:tcPr>
          <w:p>
            <w:pPr>
              <w:spacing w:after="0"/>
              <w:rPr>
                <w:sz w:val="17"/>
                <w:szCs w:val="17"/>
                <w:color w:val="auto"/>
              </w:rPr>
            </w:pPr>
          </w:p>
        </w:tc>
        <w:tc>
          <w:tcPr>
            <w:tcW w:w="100" w:type="dxa"/>
            <w:vAlign w:val="bottom"/>
            <w:tcBorders>
              <w:top w:val="single" w:sz="8" w:color="424E6A"/>
            </w:tcBorders>
            <w:shd w:val="clear" w:color="auto" w:fill="424E6A"/>
          </w:tcPr>
          <w:p>
            <w:pPr>
              <w:spacing w:after="0"/>
              <w:rPr>
                <w:sz w:val="17"/>
                <w:szCs w:val="17"/>
                <w:color w:val="auto"/>
              </w:rPr>
            </w:pPr>
          </w:p>
        </w:tc>
        <w:tc>
          <w:tcPr>
            <w:tcW w:w="1020" w:type="dxa"/>
            <w:vAlign w:val="bottom"/>
            <w:tcBorders>
              <w:top w:val="single" w:sz="8" w:color="424E6A"/>
            </w:tcBorders>
            <w:gridSpan w:val="2"/>
          </w:tcPr>
          <w:p>
            <w:pPr>
              <w:jc w:val="center"/>
              <w:spacing w:after="0"/>
              <w:rPr>
                <w:sz w:val="20"/>
                <w:szCs w:val="20"/>
                <w:color w:val="auto"/>
              </w:rPr>
            </w:pPr>
            <w:r>
              <w:rPr>
                <w:rFonts w:ascii="Arial" w:cs="Arial" w:eastAsia="Arial" w:hAnsi="Arial"/>
                <w:sz w:val="14"/>
                <w:szCs w:val="14"/>
                <w:b w:val="1"/>
                <w:bCs w:val="1"/>
                <w:color w:val="FFFFFF"/>
              </w:rPr>
              <w:t>All Other</w:t>
            </w:r>
          </w:p>
        </w:tc>
        <w:tc>
          <w:tcPr>
            <w:tcW w:w="100" w:type="dxa"/>
            <w:vAlign w:val="bottom"/>
            <w:tcBorders>
              <w:top w:val="single" w:sz="8" w:color="424E6A"/>
            </w:tcBorders>
          </w:tcPr>
          <w:p>
            <w:pPr>
              <w:spacing w:after="0"/>
              <w:rPr>
                <w:sz w:val="17"/>
                <w:szCs w:val="17"/>
                <w:color w:val="auto"/>
              </w:rPr>
            </w:pPr>
          </w:p>
        </w:tc>
        <w:tc>
          <w:tcPr>
            <w:tcW w:w="80" w:type="dxa"/>
            <w:vAlign w:val="bottom"/>
            <w:tcBorders>
              <w:top w:val="single" w:sz="8" w:color="424E6A"/>
            </w:tcBorders>
          </w:tcPr>
          <w:p>
            <w:pPr>
              <w:spacing w:after="0"/>
              <w:rPr>
                <w:sz w:val="17"/>
                <w:szCs w:val="17"/>
                <w:color w:val="auto"/>
              </w:rPr>
            </w:pPr>
          </w:p>
        </w:tc>
        <w:tc>
          <w:tcPr>
            <w:tcW w:w="320" w:type="dxa"/>
            <w:vAlign w:val="bottom"/>
            <w:tcBorders>
              <w:top w:val="single" w:sz="8" w:color="424E6A"/>
            </w:tcBorders>
          </w:tcPr>
          <w:p>
            <w:pPr>
              <w:spacing w:after="0"/>
              <w:rPr>
                <w:sz w:val="17"/>
                <w:szCs w:val="17"/>
                <w:color w:val="auto"/>
              </w:rPr>
            </w:pPr>
          </w:p>
        </w:tc>
        <w:tc>
          <w:tcPr>
            <w:tcW w:w="700" w:type="dxa"/>
            <w:vAlign w:val="bottom"/>
            <w:tcBorders>
              <w:top w:val="single" w:sz="8" w:color="424E6A"/>
            </w:tcBorders>
          </w:tcPr>
          <w:p>
            <w:pPr>
              <w:spacing w:after="0"/>
              <w:rPr>
                <w:sz w:val="17"/>
                <w:szCs w:val="17"/>
                <w:color w:val="auto"/>
              </w:rPr>
            </w:pPr>
          </w:p>
        </w:tc>
        <w:tc>
          <w:tcPr>
            <w:tcW w:w="80" w:type="dxa"/>
            <w:vAlign w:val="bottom"/>
            <w:tcBorders>
              <w:top w:val="single" w:sz="8" w:color="424E6A"/>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080" w:type="dxa"/>
            <w:vAlign w:val="bottom"/>
            <w:tcBorders>
              <w:lef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40" w:type="dxa"/>
            <w:vAlign w:val="bottom"/>
            <w:shd w:val="clear" w:color="auto" w:fill="424E6A"/>
          </w:tcPr>
          <w:p>
            <w:pPr>
              <w:spacing w:after="0"/>
              <w:rPr>
                <w:sz w:val="17"/>
                <w:szCs w:val="17"/>
                <w:color w:val="auto"/>
              </w:rPr>
            </w:pPr>
          </w:p>
        </w:tc>
        <w:tc>
          <w:tcPr>
            <w:tcW w:w="200" w:type="dxa"/>
            <w:vAlign w:val="bottom"/>
            <w:tcBorders>
              <w:right w:val="single" w:sz="8" w:color="424E6A"/>
            </w:tcBorders>
            <w:shd w:val="clear" w:color="auto" w:fill="424E6A"/>
          </w:tcPr>
          <w:p>
            <w:pPr>
              <w:spacing w:after="0"/>
              <w:rPr>
                <w:sz w:val="17"/>
                <w:szCs w:val="17"/>
                <w:color w:val="auto"/>
              </w:rPr>
            </w:pPr>
          </w:p>
        </w:tc>
        <w:tc>
          <w:tcPr>
            <w:tcW w:w="80" w:type="dxa"/>
            <w:vAlign w:val="bottom"/>
            <w:tcBorders>
              <w:left w:val="single" w:sz="8" w:color="424E6A"/>
            </w:tcBorders>
            <w:shd w:val="clear" w:color="auto" w:fill="424E6A"/>
          </w:tcPr>
          <w:p>
            <w:pPr>
              <w:spacing w:after="0"/>
              <w:rPr>
                <w:sz w:val="17"/>
                <w:szCs w:val="17"/>
                <w:color w:val="auto"/>
              </w:rPr>
            </w:pPr>
          </w:p>
        </w:tc>
        <w:tc>
          <w:tcPr>
            <w:tcW w:w="2600" w:type="dxa"/>
            <w:vAlign w:val="bottom"/>
            <w:gridSpan w:val="10"/>
            <w:shd w:val="clear" w:color="auto" w:fill="424E6A"/>
          </w:tcPr>
          <w:p>
            <w:pPr>
              <w:ind w:left="100"/>
              <w:spacing w:after="0"/>
              <w:rPr>
                <w:sz w:val="20"/>
                <w:szCs w:val="20"/>
                <w:color w:val="auto"/>
              </w:rPr>
            </w:pPr>
            <w:r>
              <w:rPr>
                <w:rFonts w:ascii="Arial" w:cs="Arial" w:eastAsia="Arial" w:hAnsi="Arial"/>
                <w:sz w:val="14"/>
                <w:szCs w:val="14"/>
                <w:b w:val="1"/>
                <w:bCs w:val="1"/>
                <w:color w:val="FFFFFF"/>
              </w:rPr>
              <w:t>Estimated Future Payouts Under</w:t>
            </w:r>
          </w:p>
        </w:tc>
        <w:tc>
          <w:tcPr>
            <w:tcW w:w="2380" w:type="dxa"/>
            <w:vAlign w:val="bottom"/>
            <w:gridSpan w:val="7"/>
            <w:shd w:val="clear" w:color="auto" w:fill="424E6A"/>
          </w:tcPr>
          <w:p>
            <w:pPr>
              <w:ind w:left="100"/>
              <w:spacing w:after="0"/>
              <w:rPr>
                <w:sz w:val="20"/>
                <w:szCs w:val="20"/>
                <w:color w:val="auto"/>
              </w:rPr>
            </w:pPr>
            <w:r>
              <w:rPr>
                <w:rFonts w:ascii="Arial" w:cs="Arial" w:eastAsia="Arial" w:hAnsi="Arial"/>
                <w:sz w:val="14"/>
                <w:szCs w:val="14"/>
                <w:b w:val="1"/>
                <w:bCs w:val="1"/>
                <w:color w:val="FFFFFF"/>
              </w:rPr>
              <w:t>Estimated Future Payouts Under</w:t>
            </w:r>
          </w:p>
        </w:tc>
        <w:tc>
          <w:tcPr>
            <w:tcW w:w="22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Stock Awards: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Grant Date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1080" w:type="dxa"/>
            <w:vAlign w:val="bottom"/>
            <w:tcBorders>
              <w:left w:val="single" w:sz="8" w:color="424E6A"/>
              <w:bottom w:val="single" w:sz="8" w:color="424E6A"/>
            </w:tcBorders>
            <w:shd w:val="clear" w:color="auto" w:fill="424E6A"/>
          </w:tcPr>
          <w:p>
            <w:pPr>
              <w:spacing w:after="0"/>
              <w:rPr>
                <w:sz w:val="18"/>
                <w:szCs w:val="18"/>
                <w:color w:val="auto"/>
              </w:rPr>
            </w:pPr>
          </w:p>
        </w:tc>
        <w:tc>
          <w:tcPr>
            <w:tcW w:w="80" w:type="dxa"/>
            <w:vAlign w:val="bottom"/>
            <w:tcBorders>
              <w:bottom w:val="single" w:sz="8" w:color="424E6A"/>
            </w:tcBorders>
            <w:shd w:val="clear" w:color="auto" w:fill="424E6A"/>
          </w:tcPr>
          <w:p>
            <w:pPr>
              <w:spacing w:after="0"/>
              <w:rPr>
                <w:sz w:val="18"/>
                <w:szCs w:val="18"/>
                <w:color w:val="auto"/>
              </w:rPr>
            </w:pPr>
          </w:p>
        </w:tc>
        <w:tc>
          <w:tcPr>
            <w:tcW w:w="140" w:type="dxa"/>
            <w:vAlign w:val="bottom"/>
            <w:tcBorders>
              <w:bottom w:val="single" w:sz="8" w:color="424E6A"/>
            </w:tcBorders>
            <w:shd w:val="clear" w:color="auto" w:fill="424E6A"/>
          </w:tcPr>
          <w:p>
            <w:pPr>
              <w:spacing w:after="0"/>
              <w:rPr>
                <w:sz w:val="18"/>
                <w:szCs w:val="18"/>
                <w:color w:val="auto"/>
              </w:rPr>
            </w:pPr>
          </w:p>
        </w:tc>
        <w:tc>
          <w:tcPr>
            <w:tcW w:w="540" w:type="dxa"/>
            <w:vAlign w:val="bottom"/>
            <w:tcBorders>
              <w:bottom w:val="single" w:sz="8" w:color="424E6A"/>
            </w:tcBorders>
            <w:shd w:val="clear" w:color="auto" w:fill="424E6A"/>
          </w:tcPr>
          <w:p>
            <w:pPr>
              <w:spacing w:after="0"/>
              <w:rPr>
                <w:sz w:val="18"/>
                <w:szCs w:val="18"/>
                <w:color w:val="auto"/>
              </w:rPr>
            </w:pPr>
          </w:p>
        </w:tc>
        <w:tc>
          <w:tcPr>
            <w:tcW w:w="200" w:type="dxa"/>
            <w:vAlign w:val="bottom"/>
            <w:tcBorders>
              <w:bottom w:val="single" w:sz="8" w:color="424E6A"/>
              <w:right w:val="single" w:sz="8" w:color="424E6A"/>
            </w:tcBorders>
            <w:shd w:val="clear" w:color="auto" w:fill="424E6A"/>
          </w:tcPr>
          <w:p>
            <w:pPr>
              <w:spacing w:after="0"/>
              <w:rPr>
                <w:sz w:val="18"/>
                <w:szCs w:val="18"/>
                <w:color w:val="auto"/>
              </w:rPr>
            </w:pPr>
          </w:p>
        </w:tc>
        <w:tc>
          <w:tcPr>
            <w:tcW w:w="2680" w:type="dxa"/>
            <w:vAlign w:val="bottom"/>
            <w:tcBorders>
              <w:left w:val="single" w:sz="8" w:color="424E6A"/>
              <w:bottom w:val="single" w:sz="8" w:color="424E6A"/>
            </w:tcBorders>
            <w:gridSpan w:val="11"/>
            <w:shd w:val="clear" w:color="auto" w:fill="424E6A"/>
          </w:tcPr>
          <w:p>
            <w:pPr>
              <w:ind w:left="40"/>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11"/>
                <w:szCs w:val="11"/>
                <w:b w:val="1"/>
                <w:bCs w:val="1"/>
                <w:color w:val="FFFFFF"/>
              </w:rPr>
              <w:t xml:space="preserve"> Non-Equity Incentive Plan Awards  </w:t>
            </w:r>
            <w:r>
              <w:rPr>
                <w:rFonts w:ascii="Arial" w:cs="Arial" w:eastAsia="Arial" w:hAnsi="Arial"/>
                <w:sz w:val="18"/>
                <w:szCs w:val="18"/>
                <w:b w:val="1"/>
                <w:bCs w:val="1"/>
                <w:color w:val="FFFFFF"/>
                <w:vertAlign w:val="subscript"/>
              </w:rPr>
              <w:t>​ ​</w:t>
            </w:r>
          </w:p>
        </w:tc>
        <w:tc>
          <w:tcPr>
            <w:tcW w:w="2380" w:type="dxa"/>
            <w:vAlign w:val="bottom"/>
            <w:tcBorders>
              <w:bottom w:val="single" w:sz="8" w:color="424E6A"/>
            </w:tcBorders>
            <w:gridSpan w:val="7"/>
            <w:shd w:val="clear" w:color="auto" w:fill="424E6A"/>
          </w:tcPr>
          <w:p>
            <w:pPr>
              <w:ind w:left="18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2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424E6A"/>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Fair Value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
        </w:trPr>
        <w:tc>
          <w:tcPr>
            <w:tcW w:w="1080" w:type="dxa"/>
            <w:vAlign w:val="bottom"/>
            <w:tcBorders>
              <w:top w:val="single" w:sz="8" w:color="424E6A"/>
              <w:left w:val="single" w:sz="8" w:color="424E6A"/>
            </w:tcBorders>
            <w:shd w:val="clear" w:color="auto" w:fill="424E6A"/>
          </w:tcPr>
          <w:p>
            <w:pPr>
              <w:spacing w:after="0"/>
              <w:rPr>
                <w:sz w:val="4"/>
                <w:szCs w:val="4"/>
                <w:color w:val="auto"/>
              </w:rPr>
            </w:pPr>
          </w:p>
        </w:tc>
        <w:tc>
          <w:tcPr>
            <w:tcW w:w="80" w:type="dxa"/>
            <w:vAlign w:val="bottom"/>
            <w:tcBorders>
              <w:top w:val="single" w:sz="8" w:color="424E6A"/>
            </w:tcBorders>
            <w:shd w:val="clear" w:color="auto" w:fill="424E6A"/>
          </w:tcPr>
          <w:p>
            <w:pPr>
              <w:spacing w:after="0"/>
              <w:rPr>
                <w:sz w:val="4"/>
                <w:szCs w:val="4"/>
                <w:color w:val="auto"/>
              </w:rPr>
            </w:pPr>
          </w:p>
        </w:tc>
        <w:tc>
          <w:tcPr>
            <w:tcW w:w="140" w:type="dxa"/>
            <w:vAlign w:val="bottom"/>
            <w:tcBorders>
              <w:top w:val="single" w:sz="8" w:color="424E6A"/>
            </w:tcBorders>
            <w:shd w:val="clear" w:color="auto" w:fill="424E6A"/>
          </w:tcPr>
          <w:p>
            <w:pPr>
              <w:spacing w:after="0"/>
              <w:rPr>
                <w:sz w:val="4"/>
                <w:szCs w:val="4"/>
                <w:color w:val="auto"/>
              </w:rPr>
            </w:pPr>
          </w:p>
        </w:tc>
        <w:tc>
          <w:tcPr>
            <w:tcW w:w="540" w:type="dxa"/>
            <w:vAlign w:val="bottom"/>
            <w:tcBorders>
              <w:top w:val="single" w:sz="8" w:color="424E6A"/>
            </w:tcBorders>
            <w:shd w:val="clear" w:color="auto" w:fill="424E6A"/>
          </w:tcPr>
          <w:p>
            <w:pPr>
              <w:spacing w:after="0"/>
              <w:rPr>
                <w:sz w:val="4"/>
                <w:szCs w:val="4"/>
                <w:color w:val="auto"/>
              </w:rPr>
            </w:pPr>
          </w:p>
        </w:tc>
        <w:tc>
          <w:tcPr>
            <w:tcW w:w="200" w:type="dxa"/>
            <w:vAlign w:val="bottom"/>
            <w:tcBorders>
              <w:top w:val="single" w:sz="8" w:color="424E6A"/>
              <w:right w:val="single" w:sz="8" w:color="424E6A"/>
            </w:tcBorders>
            <w:shd w:val="clear" w:color="auto" w:fill="424E6A"/>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Borders>
              <w:top w:val="single" w:sz="8" w:color="424E6A"/>
            </w:tcBorders>
            <w:shd w:val="clear" w:color="auto" w:fill="424E6A"/>
          </w:tcPr>
          <w:p>
            <w:pPr>
              <w:spacing w:after="0"/>
              <w:rPr>
                <w:sz w:val="4"/>
                <w:szCs w:val="4"/>
                <w:color w:val="auto"/>
              </w:rPr>
            </w:pPr>
          </w:p>
        </w:tc>
        <w:tc>
          <w:tcPr>
            <w:tcW w:w="1020" w:type="dxa"/>
            <w:vAlign w:val="bottom"/>
            <w:gridSpan w:val="2"/>
          </w:tcPr>
          <w:p>
            <w:pPr>
              <w:jc w:val="right"/>
              <w:ind w:right="128"/>
              <w:spacing w:after="0" w:line="52" w:lineRule="exact"/>
              <w:rPr>
                <w:sz w:val="20"/>
                <w:szCs w:val="20"/>
                <w:color w:val="auto"/>
              </w:rPr>
            </w:pPr>
            <w:r>
              <w:rPr>
                <w:rFonts w:ascii="Arial" w:cs="Arial" w:eastAsia="Arial" w:hAnsi="Arial"/>
                <w:sz w:val="6"/>
                <w:szCs w:val="6"/>
                <w:b w:val="1"/>
                <w:bCs w:val="1"/>
                <w:color w:val="FFFFFF"/>
              </w:rPr>
              <w:t>Shares of</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tcPr>
          <w:p>
            <w:pPr>
              <w:jc w:val="center"/>
              <w:spacing w:after="0" w:line="52" w:lineRule="exact"/>
              <w:rPr>
                <w:sz w:val="20"/>
                <w:szCs w:val="20"/>
                <w:color w:val="auto"/>
              </w:rPr>
            </w:pPr>
            <w:r>
              <w:rPr>
                <w:rFonts w:ascii="Arial" w:cs="Arial" w:eastAsia="Arial" w:hAnsi="Arial"/>
                <w:sz w:val="6"/>
                <w:szCs w:val="6"/>
                <w:b w:val="1"/>
                <w:bCs w:val="1"/>
                <w:color w:val="FFFFFF"/>
              </w:rPr>
              <w:t>Of Stock and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62"/>
        </w:trPr>
        <w:tc>
          <w:tcPr>
            <w:tcW w:w="108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FFFFFF"/>
              </w:rPr>
              <w:t>Target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FFFFFF"/>
              </w:rPr>
              <w:t>Maximum</w:t>
            </w:r>
          </w:p>
        </w:tc>
        <w:tc>
          <w:tcPr>
            <w:tcW w:w="72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120" w:type="dxa"/>
            <w:vAlign w:val="bottom"/>
          </w:tcPr>
          <w:p>
            <w:pPr>
              <w:spacing w:after="0"/>
              <w:rPr>
                <w:sz w:val="14"/>
                <w:szCs w:val="14"/>
                <w:color w:val="auto"/>
              </w:rPr>
            </w:pPr>
          </w:p>
        </w:tc>
        <w:tc>
          <w:tcPr>
            <w:tcW w:w="78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FFFFFF"/>
              </w:rPr>
              <w:t>Target</w:t>
            </w:r>
          </w:p>
        </w:tc>
        <w:tc>
          <w:tcPr>
            <w:tcW w:w="140" w:type="dxa"/>
            <w:vAlign w:val="bottom"/>
          </w:tcPr>
          <w:p>
            <w:pPr>
              <w:spacing w:after="0"/>
              <w:rPr>
                <w:sz w:val="14"/>
                <w:szCs w:val="14"/>
                <w:color w:val="auto"/>
              </w:rPr>
            </w:pPr>
          </w:p>
        </w:tc>
        <w:tc>
          <w:tcPr>
            <w:tcW w:w="8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FFFFFF"/>
              </w:rPr>
              <w:t>Maximum</w:t>
            </w:r>
          </w:p>
        </w:tc>
        <w:tc>
          <w:tcPr>
            <w:tcW w:w="100" w:type="dxa"/>
            <w:vAlign w:val="bottom"/>
            <w:shd w:val="clear" w:color="auto" w:fill="424E6A"/>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Option Awards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108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960" w:type="dxa"/>
            <w:vAlign w:val="bottom"/>
            <w:tcBorders>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FFFFFF"/>
              </w:rPr>
              <w:t>​ ​</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60" w:type="dxa"/>
            <w:vAlign w:val="bottom"/>
            <w:gridSpan w:val="2"/>
          </w:tcPr>
          <w:p>
            <w:pPr>
              <w:ind w:left="240"/>
              <w:spacing w:after="0"/>
              <w:rPr>
                <w:sz w:val="20"/>
                <w:szCs w:val="20"/>
                <w:color w:val="auto"/>
              </w:rPr>
            </w:pPr>
            <w:r>
              <w:rPr>
                <w:rFonts w:ascii="Arial" w:cs="Arial" w:eastAsia="Arial" w:hAnsi="Arial"/>
                <w:sz w:val="14"/>
                <w:szCs w:val="14"/>
                <w:b w:val="1"/>
                <w:bCs w:val="1"/>
                <w:color w:val="FFFFFF"/>
              </w:rPr>
              <w:t>​ ​</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2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58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spacing w:after="0"/>
              <w:rPr>
                <w:sz w:val="17"/>
                <w:szCs w:val="17"/>
                <w:color w:val="auto"/>
              </w:rPr>
            </w:pPr>
          </w:p>
        </w:tc>
        <w:tc>
          <w:tcPr>
            <w:tcW w:w="420" w:type="dxa"/>
            <w:vAlign w:val="bottom"/>
          </w:tcPr>
          <w:p>
            <w:pPr>
              <w:jc w:val="right"/>
              <w:ind w:right="108"/>
              <w:spacing w:after="0"/>
              <w:rPr>
                <w:sz w:val="20"/>
                <w:szCs w:val="20"/>
                <w:color w:val="auto"/>
              </w:rPr>
            </w:pPr>
            <w:r>
              <w:rPr>
                <w:rFonts w:ascii="Arial" w:cs="Arial" w:eastAsia="Arial" w:hAnsi="Arial"/>
                <w:sz w:val="14"/>
                <w:szCs w:val="14"/>
                <w:b w:val="1"/>
                <w:bCs w:val="1"/>
                <w:color w:val="FFFFFF"/>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17"/>
                <w:szCs w:val="17"/>
                <w:color w:val="auto"/>
              </w:rPr>
            </w:pPr>
          </w:p>
        </w:tc>
        <w:tc>
          <w:tcPr>
            <w:tcW w:w="660" w:type="dxa"/>
            <w:vAlign w:val="bottom"/>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32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FFFFFF"/>
              </w:rPr>
              <w:t>($)</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r>
      <w:tr>
        <w:trPr>
          <w:trHeight w:val="20"/>
        </w:trPr>
        <w:tc>
          <w:tcPr>
            <w:tcW w:w="1080" w:type="dxa"/>
            <w:vAlign w:val="bottom"/>
            <w:tcBorders>
              <w:lef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tcBorders>
              <w:left w:val="single" w:sz="8" w:color="424E6A"/>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400" w:type="dxa"/>
            <w:vAlign w:val="bottom"/>
            <w:shd w:val="clear" w:color="auto" w:fill="424E6A"/>
          </w:tcPr>
          <w:p>
            <w:pPr>
              <w:spacing w:after="0" w:line="20" w:lineRule="exact"/>
              <w:rPr>
                <w:sz w:val="1"/>
                <w:szCs w:val="1"/>
                <w:color w:val="auto"/>
              </w:rPr>
            </w:pPr>
          </w:p>
        </w:tc>
        <w:tc>
          <w:tcPr>
            <w:tcW w:w="300" w:type="dxa"/>
            <w:vAlign w:val="bottom"/>
            <w:tcBorders>
              <w:right w:val="single" w:sz="8" w:color="424E6A"/>
            </w:tcBorders>
            <w:shd w:val="clear" w:color="auto" w:fill="424E6A"/>
          </w:tcPr>
          <w:p>
            <w:pPr>
              <w:spacing w:after="0" w:line="20" w:lineRule="exact"/>
              <w:rPr>
                <w:sz w:val="1"/>
                <w:szCs w:val="1"/>
                <w:color w:val="auto"/>
              </w:rPr>
            </w:pPr>
          </w:p>
        </w:tc>
        <w:tc>
          <w:tcPr>
            <w:tcW w:w="60" w:type="dxa"/>
            <w:vAlign w:val="bottom"/>
            <w:shd w:val="clear" w:color="auto" w:fill="424E6A"/>
          </w:tcPr>
          <w:p>
            <w:pPr>
              <w:spacing w:after="0" w:line="20" w:lineRule="exact"/>
              <w:rPr>
                <w:sz w:val="1"/>
                <w:szCs w:val="1"/>
                <w:color w:val="auto"/>
              </w:rPr>
            </w:pPr>
          </w:p>
        </w:tc>
        <w:tc>
          <w:tcPr>
            <w:tcW w:w="500" w:type="dxa"/>
            <w:vAlign w:val="bottom"/>
            <w:shd w:val="clear" w:color="auto" w:fill="424E6A"/>
          </w:tcPr>
          <w:p>
            <w:pPr>
              <w:spacing w:after="0" w:line="20" w:lineRule="exact"/>
              <w:rPr>
                <w:sz w:val="1"/>
                <w:szCs w:val="1"/>
                <w:color w:val="auto"/>
              </w:rPr>
            </w:pPr>
          </w:p>
        </w:tc>
        <w:tc>
          <w:tcPr>
            <w:tcW w:w="300" w:type="dxa"/>
            <w:vAlign w:val="bottom"/>
            <w:tcBorders>
              <w:right w:val="single" w:sz="8" w:color="424E6A"/>
            </w:tcBorders>
            <w:shd w:val="clear" w:color="auto" w:fill="424E6A"/>
          </w:tcPr>
          <w:p>
            <w:pPr>
              <w:spacing w:after="0" w:line="20" w:lineRule="exact"/>
              <w:rPr>
                <w:sz w:val="1"/>
                <w:szCs w:val="1"/>
                <w:color w:val="auto"/>
              </w:rPr>
            </w:pPr>
          </w:p>
        </w:tc>
        <w:tc>
          <w:tcPr>
            <w:tcW w:w="60" w:type="dxa"/>
            <w:vAlign w:val="bottom"/>
            <w:shd w:val="clear" w:color="auto" w:fill="424E6A"/>
          </w:tcPr>
          <w:p>
            <w:pPr>
              <w:spacing w:after="0" w:line="20" w:lineRule="exact"/>
              <w:rPr>
                <w:sz w:val="1"/>
                <w:szCs w:val="1"/>
                <w:color w:val="auto"/>
              </w:rPr>
            </w:pPr>
          </w:p>
        </w:tc>
        <w:tc>
          <w:tcPr>
            <w:tcW w:w="72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460" w:type="dxa"/>
            <w:vAlign w:val="bottom"/>
            <w:shd w:val="clear" w:color="auto" w:fill="424E6A"/>
          </w:tcPr>
          <w:p>
            <w:pPr>
              <w:spacing w:after="0" w:line="20" w:lineRule="exact"/>
              <w:rPr>
                <w:sz w:val="1"/>
                <w:szCs w:val="1"/>
                <w:color w:val="auto"/>
              </w:rPr>
            </w:pPr>
          </w:p>
        </w:tc>
        <w:tc>
          <w:tcPr>
            <w:tcW w:w="320" w:type="dxa"/>
            <w:vAlign w:val="bottom"/>
            <w:tcBorders>
              <w:right w:val="single" w:sz="8" w:color="424E6A"/>
            </w:tcBorders>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420" w:type="dxa"/>
            <w:vAlign w:val="bottom"/>
            <w:shd w:val="clear" w:color="auto" w:fill="424E6A"/>
          </w:tcPr>
          <w:p>
            <w:pPr>
              <w:spacing w:after="0" w:line="20" w:lineRule="exact"/>
              <w:rPr>
                <w:sz w:val="1"/>
                <w:szCs w:val="1"/>
                <w:color w:val="auto"/>
              </w:rPr>
            </w:pPr>
          </w:p>
        </w:tc>
        <w:tc>
          <w:tcPr>
            <w:tcW w:w="220" w:type="dxa"/>
            <w:vAlign w:val="bottom"/>
            <w:tcBorders>
              <w:righ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360" w:type="dxa"/>
            <w:vAlign w:val="bottom"/>
            <w:shd w:val="clear" w:color="auto" w:fill="424E6A"/>
          </w:tcPr>
          <w:p>
            <w:pPr>
              <w:spacing w:after="0" w:line="20" w:lineRule="exact"/>
              <w:rPr>
                <w:sz w:val="1"/>
                <w:szCs w:val="1"/>
                <w:color w:val="auto"/>
              </w:rPr>
            </w:pPr>
          </w:p>
        </w:tc>
        <w:tc>
          <w:tcPr>
            <w:tcW w:w="66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2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​2,250,000</w:t>
            </w:r>
            <w:r>
              <w:rPr>
                <w:rFonts w:ascii="Arial" w:cs="Arial" w:eastAsia="Arial" w:hAnsi="Arial"/>
                <w:sz w:val="25"/>
                <w:szCs w:val="25"/>
                <w:color w:val="auto"/>
                <w:vertAlign w:val="subscript"/>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4,500,000 </w:t>
            </w:r>
            <w:r>
              <w:rPr>
                <w:rFonts w:ascii="Arial" w:cs="Arial" w:eastAsia="Arial" w:hAnsi="Arial"/>
                <w:sz w:val="25"/>
                <w:szCs w:val="25"/>
                <w:color w:val="auto"/>
                <w:vertAlign w:val="subscript"/>
              </w:rPr>
              <w:t>​​</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​208,675</w:t>
            </w:r>
            <w:r>
              <w:rPr>
                <w:rFonts w:ascii="Arial" w:cs="Arial" w:eastAsia="Arial" w:hAnsi="Arial"/>
                <w:sz w:val="25"/>
                <w:szCs w:val="25"/>
                <w:color w:val="auto"/>
                <w:vertAlign w:val="subscript"/>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​417,350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​208,675</w:t>
            </w:r>
            <w:r>
              <w:rPr>
                <w:rFonts w:ascii="Arial" w:cs="Arial" w:eastAsia="Arial" w:hAnsi="Arial"/>
                <w:sz w:val="16"/>
                <w:szCs w:val="16"/>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5,540,322</w:t>
            </w:r>
            <w:r>
              <w:rPr>
                <w:rFonts w:ascii="Arial" w:cs="Arial" w:eastAsia="Arial" w:hAnsi="Arial"/>
                <w:sz w:val="16"/>
                <w:szCs w:val="16"/>
                <w:color w:val="auto"/>
                <w:vertAlign w:val="superscript"/>
              </w:rPr>
              <w:t>(3)</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77"/>
        </w:trPr>
        <w:tc>
          <w:tcPr>
            <w:tcW w:w="10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77" w:lineRule="exact"/>
              <w:rPr>
                <w:sz w:val="20"/>
                <w:szCs w:val="20"/>
                <w:color w:val="auto"/>
              </w:rPr>
            </w:pPr>
            <w:r>
              <w:rPr>
                <w:rFonts w:ascii="Arial" w:cs="Arial" w:eastAsia="Arial" w:hAnsi="Arial"/>
                <w:sz w:val="28"/>
                <w:szCs w:val="28"/>
                <w:color w:val="auto"/>
                <w:w w:val="98"/>
                <w:vertAlign w:val="subscript"/>
              </w:rPr>
              <w:t>​</w:t>
            </w:r>
            <w:r>
              <w:rPr>
                <w:rFonts w:ascii="Arial" w:cs="Arial" w:eastAsia="Arial" w:hAnsi="Arial"/>
                <w:sz w:val="14"/>
                <w:szCs w:val="14"/>
                <w:color w:val="auto"/>
                <w:w w:val="98"/>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00" w:type="dxa"/>
            <w:vAlign w:val="bottom"/>
            <w:tcBorders>
              <w:bottom w:val="single" w:sz="8" w:color="424E6A"/>
            </w:tcBorders>
          </w:tcPr>
          <w:p>
            <w:pPr>
              <w:spacing w:after="0"/>
              <w:rPr>
                <w:sz w:val="24"/>
                <w:szCs w:val="24"/>
                <w:color w:val="auto"/>
              </w:rPr>
            </w:pPr>
          </w:p>
        </w:tc>
        <w:tc>
          <w:tcPr>
            <w:tcW w:w="300" w:type="dxa"/>
            <w:vAlign w:val="bottom"/>
            <w:tcBorders>
              <w:bottom w:val="single" w:sz="8" w:color="424E6A"/>
              <w:right w:val="single" w:sz="8" w:color="424E6A"/>
            </w:tcBorders>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20" w:type="dxa"/>
            <w:vAlign w:val="bottom"/>
            <w:tcBorders>
              <w:bottom w:val="single" w:sz="8" w:color="424E6A"/>
              <w:right w:val="single" w:sz="8" w:color="424E6A"/>
            </w:tcBorders>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2,895,505</w:t>
            </w:r>
            <w:r>
              <w:rPr>
                <w:rFonts w:ascii="Arial" w:cs="Arial" w:eastAsia="Arial" w:hAnsi="Arial"/>
                <w:sz w:val="17"/>
                <w:szCs w:val="17"/>
                <w:color w:val="auto"/>
                <w:vertAlign w:val="superscript"/>
              </w:rPr>
              <w:t>(4)</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424E6A"/>
            </w:tcBorders>
            <w:gridSpan w:val="2"/>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4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tcBorders>
              <w:bottom w:val="single" w:sz="8" w:color="424E6A"/>
            </w:tcBorders>
            <w:gridSpan w:val="2"/>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tcPr>
          <w:p>
            <w:pPr>
              <w:ind w:left="5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855,000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1,710,000 </w:t>
            </w:r>
            <w:r>
              <w:rPr>
                <w:rFonts w:ascii="Arial" w:cs="Arial" w:eastAsia="Arial" w:hAnsi="Arial"/>
                <w:sz w:val="25"/>
                <w:szCs w:val="25"/>
                <w:color w:val="auto"/>
                <w:vertAlign w:val="subscript"/>
              </w:rPr>
              <w:t>​​</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54,425</w:t>
            </w:r>
            <w:r>
              <w:rPr>
                <w:rFonts w:ascii="Arial" w:cs="Arial" w:eastAsia="Arial" w:hAnsi="Arial"/>
                <w:sz w:val="25"/>
                <w:szCs w:val="25"/>
                <w:color w:val="auto"/>
                <w:vertAlign w:val="subscript"/>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​108,850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54,425</w:t>
            </w:r>
            <w:r>
              <w:rPr>
                <w:rFonts w:ascii="Arial" w:cs="Arial" w:eastAsia="Arial" w:hAnsi="Arial"/>
                <w:sz w:val="16"/>
                <w:szCs w:val="16"/>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1,444,984</w:t>
            </w:r>
            <w:r>
              <w:rPr>
                <w:rFonts w:ascii="Arial" w:cs="Arial" w:eastAsia="Arial" w:hAnsi="Arial"/>
                <w:sz w:val="16"/>
                <w:szCs w:val="16"/>
                <w:color w:val="auto"/>
                <w:vertAlign w:val="superscript"/>
              </w:rPr>
              <w:t>(3)</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424E6A"/>
            </w:tcBorders>
            <w:gridSpan w:val="2"/>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4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tcBorders>
              <w:bottom w:val="single" w:sz="8" w:color="424E6A"/>
            </w:tcBorders>
            <w:gridSpan w:val="2"/>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tcPr>
          <w:p>
            <w:pPr>
              <w:ind w:left="5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Richard McGee</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885,000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1,770,000 </w:t>
            </w:r>
            <w:r>
              <w:rPr>
                <w:rFonts w:ascii="Arial" w:cs="Arial" w:eastAsia="Arial" w:hAnsi="Arial"/>
                <w:sz w:val="25"/>
                <w:szCs w:val="25"/>
                <w:color w:val="auto"/>
                <w:vertAlign w:val="subscript"/>
              </w:rPr>
              <w:t>​​</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56,325</w:t>
            </w:r>
            <w:r>
              <w:rPr>
                <w:rFonts w:ascii="Arial" w:cs="Arial" w:eastAsia="Arial" w:hAnsi="Arial"/>
                <w:sz w:val="25"/>
                <w:szCs w:val="25"/>
                <w:color w:val="auto"/>
                <w:vertAlign w:val="subscript"/>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​112,650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56,325</w:t>
            </w:r>
            <w:r>
              <w:rPr>
                <w:rFonts w:ascii="Arial" w:cs="Arial" w:eastAsia="Arial" w:hAnsi="Arial"/>
                <w:sz w:val="16"/>
                <w:szCs w:val="16"/>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1,495,429</w:t>
            </w:r>
            <w:r>
              <w:rPr>
                <w:rFonts w:ascii="Arial" w:cs="Arial" w:eastAsia="Arial" w:hAnsi="Arial"/>
                <w:sz w:val="16"/>
                <w:szCs w:val="16"/>
                <w:color w:val="auto"/>
                <w:vertAlign w:val="superscript"/>
              </w:rPr>
              <w:t>(3)</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424E6A"/>
            </w:tcBorders>
            <w:gridSpan w:val="2"/>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4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tcBorders>
              <w:bottom w:val="single" w:sz="8" w:color="424E6A"/>
            </w:tcBorders>
            <w:gridSpan w:val="2"/>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tcPr>
          <w:p>
            <w:pPr>
              <w:ind w:left="5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938,000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1,876,000 </w:t>
            </w:r>
            <w:r>
              <w:rPr>
                <w:rFonts w:ascii="Arial" w:cs="Arial" w:eastAsia="Arial" w:hAnsi="Arial"/>
                <w:sz w:val="25"/>
                <w:szCs w:val="25"/>
                <w:color w:val="auto"/>
                <w:vertAlign w:val="subscript"/>
              </w:rPr>
              <w:t>​​</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25"/>
                <w:szCs w:val="25"/>
                <w:color w:val="auto"/>
                <w:vertAlign w:val="subscript"/>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​144,900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16"/>
                <w:szCs w:val="16"/>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1,923,548</w:t>
            </w:r>
            <w:r>
              <w:rPr>
                <w:rFonts w:ascii="Arial" w:cs="Arial" w:eastAsia="Arial" w:hAnsi="Arial"/>
                <w:sz w:val="16"/>
                <w:szCs w:val="16"/>
                <w:color w:val="auto"/>
                <w:vertAlign w:val="superscript"/>
              </w:rPr>
              <w:t>(3)</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​327,350</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5,263,752</w:t>
            </w:r>
            <w:r>
              <w:rPr>
                <w:rFonts w:ascii="Arial" w:cs="Arial" w:eastAsia="Arial" w:hAnsi="Arial"/>
                <w:sz w:val="16"/>
                <w:szCs w:val="16"/>
                <w:color w:val="auto"/>
                <w:vertAlign w:val="superscript"/>
              </w:rPr>
              <w:t>(6)</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77"/>
        </w:trPr>
        <w:tc>
          <w:tcPr>
            <w:tcW w:w="108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424E6A"/>
            </w:tcBorders>
            <w:gridSpan w:val="2"/>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4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tcBorders>
              <w:bottom w:val="single" w:sz="8" w:color="424E6A"/>
            </w:tcBorders>
            <w:gridSpan w:val="2"/>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  ​</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tcPr>
          <w:p>
            <w:pPr>
              <w:ind w:left="5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938,000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1,876,000 </w:t>
            </w:r>
            <w:r>
              <w:rPr>
                <w:rFonts w:ascii="Arial" w:cs="Arial" w:eastAsia="Arial" w:hAnsi="Arial"/>
                <w:sz w:val="25"/>
                <w:szCs w:val="25"/>
                <w:color w:val="auto"/>
                <w:vertAlign w:val="subscript"/>
              </w:rPr>
              <w:t>​​</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25"/>
                <w:szCs w:val="25"/>
                <w:color w:val="auto"/>
                <w:vertAlign w:val="subscript"/>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​144,900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16"/>
                <w:szCs w:val="16"/>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1,923,548</w:t>
            </w:r>
            <w:r>
              <w:rPr>
                <w:rFonts w:ascii="Arial" w:cs="Arial" w:eastAsia="Arial" w:hAnsi="Arial"/>
                <w:sz w:val="16"/>
                <w:szCs w:val="16"/>
                <w:color w:val="auto"/>
                <w:vertAlign w:val="superscript"/>
              </w:rPr>
              <w:t>(3)</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r>
        <w:trPr>
          <w:trHeight w:val="223"/>
        </w:trPr>
        <w:tc>
          <w:tcPr>
            <w:tcW w:w="108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56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​545,550</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7,822,621</w:t>
            </w:r>
            <w:r>
              <w:rPr>
                <w:rFonts w:ascii="Arial" w:cs="Arial" w:eastAsia="Arial" w:hAnsi="Arial"/>
                <w:sz w:val="16"/>
                <w:szCs w:val="16"/>
                <w:color w:val="auto"/>
                <w:vertAlign w:val="superscript"/>
              </w:rPr>
              <w:t>(6)</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424E6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-3076575</wp:posOffset>
            </wp:positionV>
            <wp:extent cx="6172200" cy="3077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3077210"/>
                    </a:xfrm>
                    <a:prstGeom prst="rect">
                      <a:avLst/>
                    </a:prstGeom>
                    <a:noFill/>
                  </pic:spPr>
                </pic:pic>
              </a:graphicData>
            </a:graphic>
          </wp:anchor>
        </w:drawing>
      </w:r>
    </w:p>
    <w:p>
      <w:pPr>
        <w:spacing w:after="0" w:line="177" w:lineRule="exact"/>
        <w:rPr>
          <w:sz w:val="20"/>
          <w:szCs w:val="20"/>
          <w:color w:val="auto"/>
        </w:rPr>
      </w:pPr>
    </w:p>
    <w:p>
      <w:pPr>
        <w:ind w:left="1620" w:right="780" w:hanging="360"/>
        <w:spacing w:after="0" w:line="24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 xml:space="preserve">Represents regular annual performance-based phantom units granted in August 2025. These phantom units will potentially vest on the August 2028 distribution date at a scaled payout range of between 0% and 200% based on: (i) with respect to 50% of the performance-based award, PAA’s TSR over the three-year period ending June 30, 2028 relative to the TSR of the TSR Comparator Peer Group described on page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(payout may be reduced if absolute TSR is negative); and (ii) with respect to the other 50% of the performance-based award, PAA achieving cumulative DCF per CUE of $8.40 over the three-year period ending June 30, 2028 (payout may be decreased by 25 basis points if PAA’s leverage ratio as of June 30, 2028 is greater than the upper end of our leverage guidance range). DERs associated with these performance-based awards will accrue during the three-year performance period and be paid in cash in a lump sum on the August 2028 distribution date with respect to the number of such phantom units, if any, that vest on such date.</w:t>
      </w:r>
    </w:p>
    <w:p>
      <w:pPr>
        <w:spacing w:after="0" w:line="70" w:lineRule="exact"/>
        <w:rPr>
          <w:rFonts w:ascii="Arial" w:cs="Arial" w:eastAsia="Arial" w:hAnsi="Arial"/>
          <w:sz w:val="27"/>
          <w:szCs w:val="27"/>
          <w:color w:val="auto"/>
          <w:vertAlign w:val="superscript"/>
        </w:rPr>
      </w:pPr>
    </w:p>
    <w:p>
      <w:pPr>
        <w:ind w:left="1620" w:right="820" w:hanging="360"/>
        <w:spacing w:after="0" w:line="23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regular annual time-based phantom units granted in August 2025. These phantom units will vest on the August 2028 distribution date. DERs associated with these time-based awards will accrue for the first year and such accrued amount will be paid in cash in a lump sum on the August 2026 distribution date; beginning in November 2026, DERs on such time-based portion will be paid quarterly until the associated phantom units vest.</w:t>
      </w:r>
    </w:p>
    <w:p>
      <w:pPr>
        <w:spacing w:after="0" w:line="74" w:lineRule="exact"/>
        <w:rPr>
          <w:rFonts w:ascii="Arial" w:cs="Arial" w:eastAsia="Arial" w:hAnsi="Arial"/>
          <w:sz w:val="27"/>
          <w:szCs w:val="27"/>
          <w:color w:val="auto"/>
          <w:vertAlign w:val="superscript"/>
        </w:rPr>
      </w:pPr>
    </w:p>
    <w:p>
      <w:pPr>
        <w:ind w:left="1620" w:right="940" w:hanging="360"/>
        <w:spacing w:after="0" w:line="237"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values of regular annual phantom units granted in August 2025 based on the probable outcome of underlying performance conditions pursuant to FASB guidance regarding share-based payments. For phantom unit grants awarded in August 2025, 75% were deemed probable of vesting on the grant date. The maximum grant date fair value of phantom unit grants awarded in August 2025, assuming that the highest level of performance conditions will be met, was $7,387,095 for Mr. Chiang, $1,926,645 for Mr. Swanson, $1,993,905 for Mr. McGee, and $2,564,730 for each of Messrs. Chandler and Goebel.</w:t>
      </w:r>
    </w:p>
    <w:p>
      <w:pPr>
        <w:sectPr>
          <w:pgSz w:w="11900" w:h="16838" w:orient="portrait"/>
          <w:cols w:equalWidth="0" w:num="1">
            <w:col w:w="10240"/>
          </w:cols>
          <w:pgMar w:left="580" w:top="97" w:right="1079" w:bottom="1440" w:gutter="0" w:footer="0" w:header="0"/>
        </w:sectPr>
      </w:pP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hanging="360"/>
        <w:spacing w:after="0" w:line="237"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Represents the incremental value, calculated pursuant to FASB guidance regarding share-based payments, based on the probable outcome of underlying performance conditions resulting from the amendment in August 2025 of 500,000 performance-based phantom unit awards originally granted to Mr. Chiang in August 2018 in connection with his promotion to the CEO role. The amendment extended the expiration date of the phantom units from October 2025 to October 2030. The remaining terms of the original grant, including the number of units, vesting terms and other provisions, were unchanged.</w:t>
      </w:r>
    </w:p>
    <w:p>
      <w:pPr>
        <w:spacing w:after="0" w:line="73" w:lineRule="exact"/>
        <w:rPr>
          <w:rFonts w:ascii="Arial" w:cs="Arial" w:eastAsia="Arial" w:hAnsi="Arial"/>
          <w:sz w:val="27"/>
          <w:szCs w:val="27"/>
          <w:color w:val="auto"/>
          <w:vertAlign w:val="superscript"/>
        </w:rPr>
      </w:pPr>
    </w:p>
    <w:p>
      <w:pPr>
        <w:ind w:left="1620" w:right="499" w:hanging="360"/>
        <w:spacing w:after="0" w:line="253" w:lineRule="auto"/>
        <w:tabs>
          <w:tab w:leader="none" w:pos="1620" w:val="left"/>
        </w:tabs>
        <w:numPr>
          <w:ilvl w:val="0"/>
          <w:numId w:val="57"/>
        </w:numPr>
        <w:rPr>
          <w:rFonts w:ascii="Arial" w:cs="Arial" w:eastAsia="Arial" w:hAnsi="Arial"/>
          <w:sz w:val="26"/>
          <w:szCs w:val="26"/>
          <w:color w:val="auto"/>
          <w:vertAlign w:val="superscript"/>
        </w:rPr>
      </w:pPr>
      <w:r>
        <w:rPr>
          <w:rFonts w:ascii="Arial" w:cs="Arial" w:eastAsia="Arial" w:hAnsi="Arial"/>
          <w:sz w:val="17"/>
          <w:szCs w:val="17"/>
          <w:color w:val="auto"/>
        </w:rPr>
        <w:t>Represents time-based special retention grants phantom unit grants awarded to Messrs. Chandler and Goebel in August 2025. The Chandler Grant will vest on the August 2028 distribution date and the Goebel Grant will vest on the August 2030 distribution date, in each case assuming continued service through the respective vesting date. DERs associated with the Chandler Grant will vest as follows: (i) one-third will accrue for the first year and will be paid in lump sum on the August 2026 distribution date; beginning in November 2026, this portion of the DERs will be paid quarterly until the phantom units vest or terminate; and (ii) 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 DERs associated with the Goebel Grant will vest as follows:</w:t>
      </w:r>
    </w:p>
    <w:p>
      <w:pPr>
        <w:spacing w:after="0" w:line="8" w:lineRule="exact"/>
        <w:rPr>
          <w:rFonts w:ascii="Arial" w:cs="Arial" w:eastAsia="Arial" w:hAnsi="Arial"/>
          <w:sz w:val="26"/>
          <w:szCs w:val="26"/>
          <w:color w:val="auto"/>
          <w:vertAlign w:val="superscript"/>
        </w:rPr>
      </w:pPr>
    </w:p>
    <w:p>
      <w:pPr>
        <w:ind w:left="1620" w:right="599"/>
        <w:spacing w:after="0" w:line="253" w:lineRule="auto"/>
        <w:rPr>
          <w:rFonts w:ascii="Arial" w:cs="Arial" w:eastAsia="Arial" w:hAnsi="Arial"/>
          <w:sz w:val="26"/>
          <w:szCs w:val="26"/>
          <w:color w:val="auto"/>
          <w:vertAlign w:val="superscript"/>
        </w:rPr>
      </w:pPr>
      <w:r>
        <w:rPr>
          <w:rFonts w:ascii="Arial" w:cs="Arial" w:eastAsia="Arial" w:hAnsi="Arial"/>
          <w:sz w:val="18"/>
          <w:szCs w:val="18"/>
          <w:color w:val="auto"/>
        </w:rPr>
        <w:t>(i) 20% will accrue for the first year and will be paid in lump sum on the August 2026 distribution date; beginning in November 2026, this portion of the DERs will be paid quarterly until the phantom units vest or terminate; and (ii) 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63" w:lineRule="exact"/>
        <w:rPr>
          <w:rFonts w:ascii="Arial" w:cs="Arial" w:eastAsia="Arial" w:hAnsi="Arial"/>
          <w:sz w:val="26"/>
          <w:szCs w:val="26"/>
          <w:color w:val="auto"/>
          <w:vertAlign w:val="superscript"/>
        </w:rPr>
      </w:pPr>
    </w:p>
    <w:p>
      <w:pPr>
        <w:ind w:left="1620" w:right="419" w:hanging="360"/>
        <w:spacing w:after="0" w:line="232"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calculated pursuant to FASB guidance regarding share-based payments, of special retention phantom unit grants awarded to Messrs. Chandler and Goebel in August 2025. These phantom unit grants were deemed 100% probable of vesting on the grant date. Therefore, the grant date fair value of these grants was $5,263,752 for Mr. Chandler and $7,822,621 for Mr. Goebel.</w:t>
      </w:r>
    </w:p>
    <w:p>
      <w:pPr>
        <w:spacing w:after="0" w:line="2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9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for each of our</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as of December 31, 2025:</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50"/>
        </w:trPr>
        <w:tc>
          <w:tcPr>
            <w:tcW w:w="2160" w:type="dxa"/>
            <w:vAlign w:val="bottom"/>
            <w:tcBorders>
              <w:left w:val="single" w:sz="8" w:color="424E6A"/>
              <w:bottom w:val="single" w:sz="8" w:color="424E6A"/>
            </w:tcBorders>
            <w:shd w:val="clear" w:color="auto" w:fill="424E6A"/>
          </w:tcPr>
          <w:p>
            <w:pPr>
              <w:spacing w:after="0"/>
              <w:rPr>
                <w:sz w:val="21"/>
                <w:szCs w:val="21"/>
                <w:color w:val="auto"/>
              </w:rPr>
            </w:pPr>
          </w:p>
        </w:tc>
        <w:tc>
          <w:tcPr>
            <w:tcW w:w="960" w:type="dxa"/>
            <w:vAlign w:val="bottom"/>
            <w:tcBorders>
              <w:bottom w:val="single" w:sz="8" w:color="424E6A"/>
              <w:right w:val="single" w:sz="8" w:color="424E6A"/>
            </w:tcBorders>
            <w:shd w:val="clear" w:color="auto" w:fill="424E6A"/>
          </w:tcPr>
          <w:p>
            <w:pPr>
              <w:spacing w:after="0"/>
              <w:rPr>
                <w:sz w:val="21"/>
                <w:szCs w:val="21"/>
                <w:color w:val="auto"/>
              </w:rPr>
            </w:pPr>
          </w:p>
        </w:tc>
        <w:tc>
          <w:tcPr>
            <w:tcW w:w="140" w:type="dxa"/>
            <w:vAlign w:val="bottom"/>
            <w:tcBorders>
              <w:bottom w:val="single" w:sz="8" w:color="auto"/>
            </w:tcBorders>
            <w:shd w:val="clear" w:color="auto" w:fill="424E6A"/>
          </w:tcPr>
          <w:p>
            <w:pPr>
              <w:spacing w:after="0"/>
              <w:rPr>
                <w:sz w:val="21"/>
                <w:szCs w:val="21"/>
                <w:color w:val="auto"/>
              </w:rPr>
            </w:pPr>
          </w:p>
        </w:tc>
        <w:tc>
          <w:tcPr>
            <w:tcW w:w="260" w:type="dxa"/>
            <w:vAlign w:val="bottom"/>
            <w:tcBorders>
              <w:bottom w:val="single" w:sz="8" w:color="auto"/>
            </w:tcBorders>
            <w:shd w:val="clear" w:color="auto" w:fill="424E6A"/>
          </w:tcPr>
          <w:p>
            <w:pPr>
              <w:spacing w:after="0"/>
              <w:rPr>
                <w:sz w:val="21"/>
                <w:szCs w:val="21"/>
                <w:color w:val="auto"/>
              </w:rPr>
            </w:pPr>
          </w:p>
        </w:tc>
        <w:tc>
          <w:tcPr>
            <w:tcW w:w="74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220" w:type="dxa"/>
            <w:vAlign w:val="bottom"/>
            <w:tcBorders>
              <w:bottom w:val="single" w:sz="8" w:color="auto"/>
            </w:tcBorders>
            <w:shd w:val="clear" w:color="auto" w:fill="424E6A"/>
          </w:tcPr>
          <w:p>
            <w:pPr>
              <w:spacing w:after="0"/>
              <w:rPr>
                <w:sz w:val="21"/>
                <w:szCs w:val="21"/>
                <w:color w:val="auto"/>
              </w:rPr>
            </w:pPr>
          </w:p>
        </w:tc>
        <w:tc>
          <w:tcPr>
            <w:tcW w:w="2060" w:type="dxa"/>
            <w:vAlign w:val="bottom"/>
            <w:tcBorders>
              <w:bottom w:val="single" w:sz="8" w:color="auto"/>
            </w:tcBorders>
            <w:gridSpan w:val="5"/>
            <w:shd w:val="clear" w:color="auto" w:fill="424E6A"/>
          </w:tcPr>
          <w:p>
            <w:pPr>
              <w:jc w:val="right"/>
              <w:ind w:right="478"/>
              <w:spacing w:after="0"/>
              <w:rPr>
                <w:sz w:val="20"/>
                <w:szCs w:val="20"/>
                <w:color w:val="auto"/>
              </w:rPr>
            </w:pPr>
            <w:r>
              <w:rPr>
                <w:rFonts w:ascii="Arial" w:cs="Arial" w:eastAsia="Arial" w:hAnsi="Arial"/>
                <w:sz w:val="14"/>
                <w:szCs w:val="14"/>
                <w:b w:val="1"/>
                <w:bCs w:val="1"/>
                <w:color w:val="FFFFFF"/>
              </w:rPr>
              <w:t>Units Awards</w:t>
            </w: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16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tcBorders>
            <w:shd w:val="clear" w:color="auto" w:fill="424E6A"/>
          </w:tcPr>
          <w:p>
            <w:pPr>
              <w:spacing w:after="0"/>
              <w:rPr>
                <w:sz w:val="21"/>
                <w:szCs w:val="21"/>
                <w:color w:val="auto"/>
              </w:rPr>
            </w:pPr>
          </w:p>
        </w:tc>
        <w:tc>
          <w:tcPr>
            <w:tcW w:w="880" w:type="dxa"/>
            <w:vAlign w:val="bottom"/>
            <w:tcBorders>
              <w:bottom w:val="single" w:sz="8" w:color="auto"/>
            </w:tcBorders>
            <w:shd w:val="clear" w:color="auto" w:fill="424E6A"/>
          </w:tcPr>
          <w:p>
            <w:pPr>
              <w:spacing w:after="0"/>
              <w:rPr>
                <w:sz w:val="21"/>
                <w:szCs w:val="21"/>
                <w:color w:val="auto"/>
              </w:rPr>
            </w:pPr>
          </w:p>
        </w:tc>
        <w:tc>
          <w:tcPr>
            <w:tcW w:w="100" w:type="dxa"/>
            <w:vAlign w:val="bottom"/>
            <w:tcBorders>
              <w:bottom w:val="single" w:sz="8" w:color="auto"/>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160" w:type="dxa"/>
            <w:vAlign w:val="bottom"/>
            <w:tcBorders>
              <w:left w:val="single" w:sz="8" w:color="424E6A"/>
            </w:tcBorders>
            <w:shd w:val="clear" w:color="auto" w:fill="424E6A"/>
          </w:tcPr>
          <w:p>
            <w:pPr>
              <w:spacing w:after="0"/>
              <w:rPr>
                <w:sz w:val="15"/>
                <w:szCs w:val="15"/>
                <w:color w:val="auto"/>
              </w:rPr>
            </w:pPr>
          </w:p>
        </w:tc>
        <w:tc>
          <w:tcPr>
            <w:tcW w:w="960" w:type="dxa"/>
            <w:vAlign w:val="bottom"/>
            <w:tcBorders>
              <w:right w:val="single" w:sz="8" w:color="424E6A"/>
            </w:tcBorders>
            <w:shd w:val="clear" w:color="auto" w:fill="424E6A"/>
          </w:tcPr>
          <w:p>
            <w:pPr>
              <w:spacing w:after="0"/>
              <w:rPr>
                <w:sz w:val="15"/>
                <w:szCs w:val="15"/>
                <w:color w:val="auto"/>
              </w:rPr>
            </w:pPr>
          </w:p>
        </w:tc>
        <w:tc>
          <w:tcPr>
            <w:tcW w:w="140" w:type="dxa"/>
            <w:vAlign w:val="bottom"/>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40" w:type="dxa"/>
            <w:vAlign w:val="bottom"/>
            <w:shd w:val="clear" w:color="auto" w:fill="424E6A"/>
          </w:tcPr>
          <w:p>
            <w:pPr>
              <w:spacing w:after="0"/>
              <w:rPr>
                <w:sz w:val="15"/>
                <w:szCs w:val="15"/>
                <w:color w:val="auto"/>
              </w:rPr>
            </w:pPr>
          </w:p>
        </w:tc>
        <w:tc>
          <w:tcPr>
            <w:tcW w:w="180" w:type="dxa"/>
            <w:vAlign w:val="bottom"/>
            <w:tcBorders>
              <w:right w:val="single" w:sz="8" w:color="424E6A"/>
            </w:tcBorders>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180" w:type="dxa"/>
            <w:vAlign w:val="bottom"/>
            <w:tcBorders>
              <w:right w:val="single" w:sz="8" w:color="424E6A"/>
            </w:tcBorders>
            <w:shd w:val="clear" w:color="auto" w:fill="424E6A"/>
          </w:tcPr>
          <w:p>
            <w:pPr>
              <w:spacing w:after="0"/>
              <w:rPr>
                <w:sz w:val="15"/>
                <w:szCs w:val="15"/>
                <w:color w:val="auto"/>
              </w:rPr>
            </w:pPr>
          </w:p>
        </w:tc>
        <w:tc>
          <w:tcPr>
            <w:tcW w:w="140" w:type="dxa"/>
            <w:vAlign w:val="bottom"/>
            <w:shd w:val="clear" w:color="auto" w:fill="424E6A"/>
          </w:tcPr>
          <w:p>
            <w:pPr>
              <w:spacing w:after="0"/>
              <w:rPr>
                <w:sz w:val="15"/>
                <w:szCs w:val="15"/>
                <w:color w:val="auto"/>
              </w:rPr>
            </w:pPr>
          </w:p>
        </w:tc>
        <w:tc>
          <w:tcPr>
            <w:tcW w:w="200" w:type="dxa"/>
            <w:vAlign w:val="bottom"/>
            <w:shd w:val="clear" w:color="auto" w:fill="424E6A"/>
          </w:tcPr>
          <w:p>
            <w:pPr>
              <w:spacing w:after="0"/>
              <w:rPr>
                <w:sz w:val="15"/>
                <w:szCs w:val="15"/>
                <w:color w:val="auto"/>
              </w:rPr>
            </w:pPr>
          </w:p>
        </w:tc>
        <w:tc>
          <w:tcPr>
            <w:tcW w:w="780" w:type="dxa"/>
            <w:vAlign w:val="bottom"/>
            <w:shd w:val="clear" w:color="auto" w:fill="424E6A"/>
          </w:tcPr>
          <w:p>
            <w:pPr>
              <w:spacing w:after="0"/>
              <w:rPr>
                <w:sz w:val="15"/>
                <w:szCs w:val="15"/>
                <w:color w:val="auto"/>
              </w:rPr>
            </w:pPr>
          </w:p>
        </w:tc>
        <w:tc>
          <w:tcPr>
            <w:tcW w:w="180" w:type="dxa"/>
            <w:vAlign w:val="bottom"/>
            <w:tcBorders>
              <w:right w:val="single" w:sz="8" w:color="424E6A"/>
            </w:tcBorders>
            <w:shd w:val="clear" w:color="auto" w:fill="424E6A"/>
          </w:tcPr>
          <w:p>
            <w:pPr>
              <w:spacing w:after="0"/>
              <w:rPr>
                <w:sz w:val="15"/>
                <w:szCs w:val="15"/>
                <w:color w:val="auto"/>
              </w:rPr>
            </w:pPr>
          </w:p>
        </w:tc>
        <w:tc>
          <w:tcPr>
            <w:tcW w:w="160" w:type="dxa"/>
            <w:vAlign w:val="bottom"/>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w w:val="98"/>
              </w:rPr>
              <w:t>Equity</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8"/>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Market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w w:val="99"/>
              </w:rPr>
              <w:t>Value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Unearned</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Shares or</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w w:val="98"/>
              </w:rPr>
              <w:t>Shares,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Shares,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or</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Units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or</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8"/>
              <w:spacing w:after="0"/>
              <w:rPr>
                <w:sz w:val="20"/>
                <w:szCs w:val="20"/>
                <w:color w:val="auto"/>
              </w:rPr>
            </w:pPr>
            <w:r>
              <w:rPr>
                <w:rFonts w:ascii="Arial" w:cs="Arial" w:eastAsia="Arial" w:hAnsi="Arial"/>
                <w:sz w:val="14"/>
                <w:szCs w:val="14"/>
                <w:b w:val="1"/>
                <w:bCs w:val="1"/>
                <w:color w:val="FFFFFF"/>
              </w:rPr>
              <w:t>Units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80" w:type="dxa"/>
            <w:vAlign w:val="bottom"/>
            <w:tcBorders>
              <w:right w:val="single" w:sz="8" w:color="424E6A"/>
            </w:tcBorders>
            <w:shd w:val="clear" w:color="auto" w:fill="424E6A"/>
          </w:tcPr>
          <w:p>
            <w:pPr>
              <w:spacing w:after="0"/>
              <w:rPr>
                <w:sz w:val="14"/>
                <w:szCs w:val="14"/>
                <w:color w:val="auto"/>
              </w:rPr>
            </w:pPr>
          </w:p>
        </w:tc>
        <w:tc>
          <w:tcPr>
            <w:tcW w:w="980" w:type="dxa"/>
            <w:vAlign w:val="bottom"/>
            <w:gridSpan w:val="2"/>
            <w:shd w:val="clear" w:color="auto" w:fill="424E6A"/>
          </w:tcPr>
          <w:p>
            <w:pPr>
              <w:jc w:val="center"/>
              <w:ind w:left="53"/>
              <w:spacing w:after="0"/>
              <w:rPr>
                <w:sz w:val="20"/>
                <w:szCs w:val="20"/>
                <w:color w:val="auto"/>
              </w:rPr>
            </w:pPr>
            <w:r>
              <w:rPr>
                <w:rFonts w:ascii="Arial" w:cs="Arial" w:eastAsia="Arial" w:hAnsi="Arial"/>
                <w:sz w:val="14"/>
                <w:szCs w:val="14"/>
                <w:b w:val="1"/>
                <w:bCs w:val="1"/>
                <w:color w:val="FFFFFF"/>
              </w:rPr>
              <w:t>Stock That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Have Not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960" w:type="dxa"/>
            <w:vAlign w:val="bottom"/>
            <w:tcBorders>
              <w:right w:val="single" w:sz="8" w:color="424E6A"/>
            </w:tcBorders>
            <w:shd w:val="clear" w:color="auto" w:fill="424E6A"/>
          </w:tcPr>
          <w:p>
            <w:pPr>
              <w:ind w:left="880"/>
              <w:spacing w:after="0"/>
              <w:rPr>
                <w:sz w:val="20"/>
                <w:szCs w:val="20"/>
                <w:color w:val="auto"/>
              </w:rPr>
            </w:pPr>
            <w:r>
              <w:rPr>
                <w:rFonts w:ascii="Arial" w:cs="Arial" w:eastAsia="Arial" w:hAnsi="Arial"/>
                <w:sz w:val="14"/>
                <w:szCs w:val="14"/>
                <w:b w:val="1"/>
                <w:bCs w:val="1"/>
                <w:color w:val="FFFFFF"/>
              </w:rPr>
              <w:t>​</w:t>
            </w:r>
          </w:p>
        </w:tc>
        <w:tc>
          <w:tcPr>
            <w:tcW w:w="114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p>
        </w:tc>
        <w:tc>
          <w:tcPr>
            <w:tcW w:w="18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80" w:type="dxa"/>
            <w:vAlign w:val="bottom"/>
            <w:gridSpan w:val="2"/>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Vested ($)</w:t>
            </w:r>
            <w:r>
              <w:rPr>
                <w:rFonts w:ascii="Arial" w:cs="Arial" w:eastAsia="Arial" w:hAnsi="Arial"/>
                <w:sz w:val="14"/>
                <w:szCs w:val="14"/>
                <w:b w:val="1"/>
                <w:bCs w:val="1"/>
                <w:color w:val="FFFFFF"/>
                <w:vertAlign w:val="superscript"/>
              </w:rPr>
              <w:t>(1)</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220" w:type="dxa"/>
            <w:vAlign w:val="bottom"/>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r>
              <w:rPr>
                <w:rFonts w:ascii="Arial" w:cs="Arial" w:eastAsia="Arial" w:hAnsi="Arial"/>
                <w:sz w:val="14"/>
                <w:szCs w:val="14"/>
                <w:b w:val="1"/>
                <w:bCs w:val="1"/>
                <w:color w:val="FFFFFF"/>
                <w:vertAlign w:val="superscript"/>
              </w:rPr>
              <w:t>(1)</w:t>
            </w:r>
          </w:p>
        </w:tc>
        <w:tc>
          <w:tcPr>
            <w:tcW w:w="10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424E6A"/>
            </w:tcBorders>
          </w:tcPr>
          <w:p>
            <w:pPr>
              <w:ind w:left="60"/>
              <w:spacing w:after="0" w:line="189" w:lineRule="exact"/>
              <w:rPr>
                <w:sz w:val="20"/>
                <w:szCs w:val="20"/>
                <w:color w:val="auto"/>
              </w:rPr>
            </w:pPr>
            <w:r>
              <w:rPr>
                <w:rFonts w:ascii="Arial" w:cs="Arial" w:eastAsia="Arial" w:hAnsi="Arial"/>
                <w:sz w:val="18"/>
                <w:szCs w:val="18"/>
                <w:color w:val="auto"/>
              </w:rPr>
              <w:t>Willie Chiang</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500,000</w:t>
            </w:r>
            <w:r>
              <w:rPr>
                <w:rFonts w:ascii="Arial" w:cs="Arial" w:eastAsia="Arial" w:hAnsi="Arial"/>
                <w:sz w:val="21"/>
                <w:szCs w:val="21"/>
                <w:color w:val="auto"/>
                <w:vertAlign w:val="superscript"/>
              </w:rPr>
              <w:t>(2)</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9" w:lineRule="exact"/>
              <w:rPr>
                <w:sz w:val="20"/>
                <w:szCs w:val="20"/>
                <w:color w:val="auto"/>
              </w:rPr>
            </w:pPr>
            <w:r>
              <w:rPr>
                <w:rFonts w:ascii="Arial" w:cs="Arial" w:eastAsia="Arial" w:hAnsi="Arial"/>
                <w:sz w:val="18"/>
                <w:szCs w:val="18"/>
                <w:color w:val="auto"/>
              </w:rPr>
              <w:t>8,980,000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2,910,418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2,910,418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(6)</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3,212,595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3,212,595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208,675</w:t>
            </w:r>
            <w:r>
              <w:rPr>
                <w:rFonts w:ascii="Arial" w:cs="Arial" w:eastAsia="Arial" w:hAnsi="Arial"/>
                <w:sz w:val="21"/>
                <w:szCs w:val="21"/>
                <w:color w:val="auto"/>
                <w:vertAlign w:val="superscript"/>
              </w:rPr>
              <w:t>(8)</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3,747,803</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208,675</w:t>
            </w:r>
            <w:r>
              <w:rPr>
                <w:rFonts w:ascii="Arial" w:cs="Arial" w:eastAsia="Arial" w:hAnsi="Arial"/>
                <w:sz w:val="21"/>
                <w:szCs w:val="21"/>
                <w:color w:val="auto"/>
                <w:vertAlign w:val="superscript"/>
              </w:rPr>
              <w:t>(9)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3,747,803</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424E6A"/>
              <w:bottom w:val="single" w:sz="8" w:color="D9DCE1"/>
            </w:tcBorders>
            <w:shd w:val="clear" w:color="auto" w:fill="D9DCE1"/>
          </w:tcPr>
          <w:p>
            <w:pPr>
              <w:spacing w:after="0"/>
              <w:rPr>
                <w:sz w:val="24"/>
                <w:szCs w:val="24"/>
                <w:color w:val="auto"/>
              </w:rPr>
            </w:pP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216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960" w:type="dxa"/>
            <w:vAlign w:val="bottom"/>
            <w:tcBorders>
              <w:top w:val="single" w:sz="8" w:color="424E6A"/>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(4)</w:t>
            </w:r>
          </w:p>
        </w:tc>
        <w:tc>
          <w:tcPr>
            <w:tcW w:w="1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917,307</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(5)</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8"/>
              <w:spacing w:after="0"/>
              <w:rPr>
                <w:sz w:val="20"/>
                <w:szCs w:val="20"/>
                <w:color w:val="auto"/>
              </w:rPr>
            </w:pPr>
            <w:r>
              <w:rPr>
                <w:rFonts w:ascii="Arial" w:cs="Arial" w:eastAsia="Arial" w:hAnsi="Arial"/>
                <w:sz w:val="18"/>
                <w:szCs w:val="18"/>
                <w:color w:val="auto"/>
              </w:rPr>
              <w:t>917,307</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424E6A"/>
              <w:bottom w:val="single" w:sz="8" w:color="424E6A"/>
            </w:tcBorders>
          </w:tcPr>
          <w:p>
            <w:pPr>
              <w:spacing w:after="0"/>
              <w:rPr>
                <w:sz w:val="21"/>
                <w:szCs w:val="21"/>
                <w:color w:val="auto"/>
              </w:rPr>
            </w:pP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969,840</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969,840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424E6A"/>
              <w:bottom w:val="single" w:sz="8" w:color="424E6A"/>
            </w:tcBorders>
          </w:tcPr>
          <w:p>
            <w:pPr>
              <w:spacing w:after="0"/>
              <w:rPr>
                <w:sz w:val="21"/>
                <w:szCs w:val="21"/>
                <w:color w:val="auto"/>
              </w:rPr>
            </w:pP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r>
              <w:rPr>
                <w:rFonts w:ascii="Arial" w:cs="Arial" w:eastAsia="Arial" w:hAnsi="Arial"/>
                <w:sz w:val="19"/>
                <w:szCs w:val="19"/>
                <w:color w:val="auto"/>
                <w:vertAlign w:val="superscript"/>
              </w:rPr>
              <w:t>(8)</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977,473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r>
              <w:rPr>
                <w:rFonts w:ascii="Arial" w:cs="Arial" w:eastAsia="Arial" w:hAnsi="Arial"/>
                <w:sz w:val="19"/>
                <w:szCs w:val="19"/>
                <w:color w:val="auto"/>
                <w:vertAlign w:val="superscript"/>
              </w:rPr>
              <w:t>(9)</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977,473</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160" w:type="dxa"/>
            <w:vAlign w:val="bottom"/>
            <w:tcBorders>
              <w:left w:val="single" w:sz="8" w:color="424E6A"/>
              <w:bottom w:val="single" w:sz="8" w:color="D9DCE1"/>
            </w:tcBorders>
            <w:shd w:val="clear" w:color="auto" w:fill="D9DCE1"/>
          </w:tcPr>
          <w:p>
            <w:pPr>
              <w:spacing w:after="0"/>
              <w:rPr>
                <w:sz w:val="24"/>
                <w:szCs w:val="24"/>
                <w:color w:val="auto"/>
              </w:rPr>
            </w:pP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216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960" w:type="dxa"/>
            <w:vAlign w:val="bottom"/>
            <w:tcBorders>
              <w:top w:val="single" w:sz="8" w:color="424E6A"/>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(4)</w:t>
            </w:r>
          </w:p>
        </w:tc>
        <w:tc>
          <w:tcPr>
            <w:tcW w:w="1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917,307</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(5)</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8"/>
              <w:spacing w:after="0"/>
              <w:rPr>
                <w:sz w:val="20"/>
                <w:szCs w:val="20"/>
                <w:color w:val="auto"/>
              </w:rPr>
            </w:pPr>
            <w:r>
              <w:rPr>
                <w:rFonts w:ascii="Arial" w:cs="Arial" w:eastAsia="Arial" w:hAnsi="Arial"/>
                <w:sz w:val="18"/>
                <w:szCs w:val="18"/>
                <w:color w:val="auto"/>
              </w:rPr>
              <w:t>917,307</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Borders>
              <w:left w:val="single" w:sz="8" w:color="424E6A"/>
              <w:bottom w:val="single" w:sz="8" w:color="424E6A"/>
            </w:tcBorders>
          </w:tcPr>
          <w:p>
            <w:pPr>
              <w:spacing w:after="0"/>
              <w:rPr>
                <w:sz w:val="21"/>
                <w:szCs w:val="21"/>
                <w:color w:val="auto"/>
              </w:rPr>
            </w:pP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969,840</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969,840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56,325</w:t>
            </w:r>
            <w:r>
              <w:rPr>
                <w:rFonts w:ascii="Arial" w:cs="Arial" w:eastAsia="Arial" w:hAnsi="Arial"/>
                <w:sz w:val="21"/>
                <w:szCs w:val="21"/>
                <w:color w:val="auto"/>
                <w:vertAlign w:val="superscript"/>
              </w:rPr>
              <w:t>(8)</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1,011,597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56,325</w:t>
            </w:r>
            <w:r>
              <w:rPr>
                <w:rFonts w:ascii="Arial" w:cs="Arial" w:eastAsia="Arial" w:hAnsi="Arial"/>
                <w:sz w:val="21"/>
                <w:szCs w:val="21"/>
                <w:color w:val="auto"/>
                <w:vertAlign w:val="superscript"/>
              </w:rPr>
              <w:t>(9)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1,011,597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424E6A"/>
              <w:bottom w:val="single" w:sz="8" w:color="D9DCE1"/>
            </w:tcBorders>
            <w:shd w:val="clear" w:color="auto" w:fill="D9DCE1"/>
          </w:tcPr>
          <w:p>
            <w:pPr>
              <w:spacing w:after="0"/>
              <w:rPr>
                <w:sz w:val="24"/>
                <w:szCs w:val="24"/>
                <w:color w:val="auto"/>
              </w:rPr>
            </w:pP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16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4,490,000</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424E6A"/>
            </w:tcBorders>
            <w:gridSpan w:val="2"/>
          </w:tcPr>
          <w:p>
            <w:pPr>
              <w:jc w:val="right"/>
              <w:ind w:right="38"/>
              <w:spacing w:after="0" w:line="182" w:lineRule="exact"/>
              <w:rPr>
                <w:sz w:val="20"/>
                <w:szCs w:val="20"/>
                <w:color w:val="auto"/>
              </w:rPr>
            </w:pPr>
            <w:r>
              <w:rPr>
                <w:rFonts w:ascii="Arial" w:cs="Arial" w:eastAsia="Arial" w:hAnsi="Arial"/>
                <w:sz w:val="18"/>
                <w:szCs w:val="18"/>
                <w:color w:val="auto"/>
              </w:rPr>
              <w:t>4,490,000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1,182,217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1,182,217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(6)</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1,285,038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1,285,038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(8)</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1,301,202</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1,301,202</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424E6A"/>
            </w:tcBorders>
            <w:gridSpan w:val="3"/>
          </w:tcPr>
          <w:p>
            <w:pPr>
              <w:jc w:val="right"/>
              <w:ind w:right="38"/>
              <w:spacing w:after="0" w:line="183" w:lineRule="exact"/>
              <w:rPr>
                <w:sz w:val="20"/>
                <w:szCs w:val="20"/>
                <w:color w:val="auto"/>
              </w:rPr>
            </w:pPr>
            <w:r>
              <w:rPr>
                <w:rFonts w:ascii="Arial" w:cs="Arial" w:eastAsia="Arial" w:hAnsi="Arial"/>
                <w:sz w:val="17"/>
                <w:szCs w:val="17"/>
                <w:color w:val="auto"/>
              </w:rPr>
              <w:t>327,350</w:t>
            </w:r>
            <w:r>
              <w:rPr>
                <w:rFonts w:ascii="Arial" w:cs="Arial" w:eastAsia="Arial" w:hAnsi="Arial"/>
                <w:sz w:val="21"/>
                <w:szCs w:val="21"/>
                <w:color w:val="auto"/>
                <w:vertAlign w:val="superscript"/>
              </w:rPr>
              <w:t>(10)</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5,879,206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8"/>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 ​</w:t>
            </w: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424E6A"/>
              <w:bottom w:val="single" w:sz="8" w:color="D9DCE1"/>
            </w:tcBorders>
            <w:shd w:val="clear" w:color="auto" w:fill="D9DCE1"/>
          </w:tcPr>
          <w:p>
            <w:pPr>
              <w:spacing w:after="0"/>
              <w:rPr>
                <w:sz w:val="24"/>
                <w:szCs w:val="24"/>
                <w:color w:val="auto"/>
              </w:rPr>
            </w:pP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16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4,490,000</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424E6A"/>
            </w:tcBorders>
            <w:gridSpan w:val="2"/>
          </w:tcPr>
          <w:p>
            <w:pPr>
              <w:jc w:val="right"/>
              <w:ind w:right="38"/>
              <w:spacing w:after="0" w:line="182" w:lineRule="exact"/>
              <w:rPr>
                <w:sz w:val="20"/>
                <w:szCs w:val="20"/>
                <w:color w:val="auto"/>
              </w:rPr>
            </w:pPr>
            <w:r>
              <w:rPr>
                <w:rFonts w:ascii="Arial" w:cs="Arial" w:eastAsia="Arial" w:hAnsi="Arial"/>
                <w:sz w:val="18"/>
                <w:szCs w:val="18"/>
                <w:color w:val="auto"/>
              </w:rPr>
              <w:t>4,490,000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1,182,217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1,182,217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(6)</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1,285,038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1,285,038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(8)</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1,301,202</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1,301,202</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424E6A"/>
            </w:tcBorders>
          </w:tcPr>
          <w:p>
            <w:pPr>
              <w:spacing w:after="0"/>
              <w:rPr>
                <w:sz w:val="15"/>
                <w:szCs w:val="15"/>
                <w:color w:val="auto"/>
              </w:rPr>
            </w:pP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424E6A"/>
            </w:tcBorders>
            <w:gridSpan w:val="3"/>
          </w:tcPr>
          <w:p>
            <w:pPr>
              <w:jc w:val="right"/>
              <w:ind w:right="58"/>
              <w:spacing w:after="0" w:line="183" w:lineRule="exact"/>
              <w:rPr>
                <w:sz w:val="20"/>
                <w:szCs w:val="20"/>
                <w:color w:val="auto"/>
              </w:rPr>
            </w:pPr>
            <w:r>
              <w:rPr>
                <w:rFonts w:ascii="Arial" w:cs="Arial" w:eastAsia="Arial" w:hAnsi="Arial"/>
                <w:sz w:val="17"/>
                <w:szCs w:val="17"/>
                <w:color w:val="auto"/>
              </w:rPr>
              <w:t>545,550</w:t>
            </w:r>
            <w:r>
              <w:rPr>
                <w:rFonts w:ascii="Arial" w:cs="Arial" w:eastAsia="Arial" w:hAnsi="Arial"/>
                <w:sz w:val="21"/>
                <w:szCs w:val="21"/>
                <w:color w:val="auto"/>
                <w:vertAlign w:val="superscript"/>
              </w:rPr>
              <w:t>(11)</w:t>
            </w: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9,798,078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8"/>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160" w:type="dxa"/>
            <w:vAlign w:val="bottom"/>
            <w:tcBorders>
              <w:left w:val="single" w:sz="8" w:color="424E6A"/>
              <w:bottom w:val="single" w:sz="8" w:color="424E6A"/>
            </w:tcBorders>
          </w:tcPr>
          <w:p>
            <w:pPr>
              <w:spacing w:after="0"/>
              <w:rPr>
                <w:sz w:val="5"/>
                <w:szCs w:val="5"/>
                <w:color w:val="auto"/>
              </w:rPr>
            </w:pPr>
          </w:p>
        </w:tc>
        <w:tc>
          <w:tcPr>
            <w:tcW w:w="96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 ​</w:t>
            </w:r>
          </w:p>
        </w:tc>
        <w:tc>
          <w:tcPr>
            <w:tcW w:w="2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right="759" w:hanging="360"/>
        <w:spacing w:after="0" w:line="228"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($17.96) of PAA’s common units on December 31, 2025 (the last trading day of the fiscal year) by the target number of units. No discount is applied for remaining performance threshold or service period requirements.</w:t>
      </w:r>
    </w:p>
    <w:p>
      <w:pPr>
        <w:spacing w:after="0" w:line="60" w:lineRule="exact"/>
        <w:rPr>
          <w:rFonts w:ascii="Arial" w:cs="Arial" w:eastAsia="Arial" w:hAnsi="Arial"/>
          <w:sz w:val="27"/>
          <w:szCs w:val="27"/>
          <w:color w:val="auto"/>
          <w:vertAlign w:val="superscript"/>
        </w:rPr>
      </w:pPr>
    </w:p>
    <w:p>
      <w:pPr>
        <w:ind w:left="1620" w:right="419" w:hanging="360"/>
        <w:spacing w:after="0" w:line="235"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in connection with his promotion to CEO. The original terms of this grant provided that any phantom units or related DERs that had not vested by October 1, 2025 would have expired at that time. In August 2025, this grant was amended to extend the expiration date from October 2025 to October 2030. The remaining terms of the original grant, including the number of units, vesting terms and other provisions, were not changed as a result of the amendment. The phantom units will potentially vest (i) 25% on the</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9" w:lineRule="auto"/>
        <w:rPr>
          <w:sz w:val="20"/>
          <w:szCs w:val="20"/>
          <w:color w:val="auto"/>
        </w:rPr>
      </w:pPr>
      <w:r>
        <w:rPr>
          <w:rFonts w:ascii="Arial" w:cs="Arial" w:eastAsia="Arial" w:hAnsi="Arial"/>
          <w:sz w:val="17"/>
          <w:szCs w:val="17"/>
          <w:color w:val="auto"/>
        </w:rPr>
        <w:t>first distribution date on which PAA generates DCF per common unit of at least $3.00 on a trailing four quarter basis, and (ii) 75% on the first distribution date on which PAA generates DCF per common unit of at least $3.50 on a trailing four quarter basis. The phantom units have associated DERs that have vested or will vest as follows: (i) one-third vested on the May 2019 distribution date as a result of PAA generating DCF per common unit of at least $2.50 on a trailing four quarter basis,</w:t>
      </w:r>
    </w:p>
    <w:p>
      <w:pPr>
        <w:spacing w:after="0" w:line="3" w:lineRule="exact"/>
        <w:rPr>
          <w:sz w:val="20"/>
          <w:szCs w:val="20"/>
          <w:color w:val="auto"/>
        </w:rPr>
      </w:pPr>
    </w:p>
    <w:p>
      <w:pPr>
        <w:ind w:left="1620" w:right="479"/>
        <w:spacing w:after="0" w:line="241" w:lineRule="auto"/>
        <w:rPr>
          <w:sz w:val="20"/>
          <w:szCs w:val="20"/>
          <w:color w:val="auto"/>
        </w:rPr>
      </w:pPr>
      <w:r>
        <w:rPr>
          <w:rFonts w:ascii="Arial" w:cs="Arial" w:eastAsia="Arial" w:hAnsi="Arial"/>
          <w:sz w:val="18"/>
          <w:szCs w:val="18"/>
          <w:color w:val="auto"/>
        </w:rPr>
        <w:t>(ii) one-third vested on the February 2026 distribution date as a result of PAA generating DCF per common unit of at least $2.60 on a trailing four quarter basis, and (iii) one-third will vest on the first distribution date on which PAA generates DCF per common unit of at least $2.80 on a trailing four quarter basis. The phantom units and associated DERs will also vest upon termination of employment under certain specified circumstances, including as a result of death, disability, termination without cause, change of control or retirement on terms and timing that are approved by the Board. Any phantom units and associated DERs that have not vested by October 1, 2030 will expire at that time.</w:t>
      </w:r>
    </w:p>
    <w:p>
      <w:pPr>
        <w:spacing w:after="0" w:line="47" w:lineRule="exact"/>
        <w:rPr>
          <w:sz w:val="20"/>
          <w:szCs w:val="20"/>
          <w:color w:val="auto"/>
        </w:rPr>
      </w:pPr>
    </w:p>
    <w:p>
      <w:pPr>
        <w:ind w:left="1620" w:right="419" w:hanging="360"/>
        <w:spacing w:after="0" w:line="245"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CUE of at least $2.80 on a trailing four quarter basis, and (iii) 25% on the later of the August 2026 distribution date and the first distribution date following PAA’s achievement of DCF per CUE of at least $3.15 on a trailing four quarter basis. Vesting of a portion of the associated DERs was also tied to PAA’s achievement of specified DCF per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33"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42"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will be paid in cash in a lump sum on the August 2026 distribution date with respect to the number of phantom units, if any, that vest on such date. Any phantom units and associated DERs that have not vested by the August 2026 distribution date will expire at that time.</w:t>
      </w:r>
    </w:p>
    <w:p>
      <w:pPr>
        <w:spacing w:after="0" w:line="50"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2024 that will vest on the August 2027 distribution date. The associated DERs will accrue for the first year and such accrued amount will be paid in cash in a lump sum on the August 2025 distribution date; beginning in November 2025,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2024 that will potentially vest on the August 2027 distribution date at a scaled payout range of between 0% and 200% based on: (i) with respect to 50% of the performance-based award, PAA’s TSR over the three-year period ending June 30, 2027 compared to the TSR of the TSR Comparator Peer Group</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spacing w:after="0" w:line="255" w:lineRule="auto"/>
        <w:rPr>
          <w:sz w:val="20"/>
          <w:szCs w:val="20"/>
          <w:color w:val="auto"/>
        </w:rPr>
      </w:pPr>
      <w:r>
        <w:rPr>
          <w:rFonts w:ascii="Arial" w:cs="Arial" w:eastAsia="Arial" w:hAnsi="Arial"/>
          <w:sz w:val="18"/>
          <w:szCs w:val="18"/>
          <w:color w:val="auto"/>
        </w:rPr>
        <w:t>(payout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guidance range). DERs will accrue during the three-year performance period and will be paid in cash in a lump sum on the August 2027 distribution date with respect to the number of phantom units, if any, that vest on such date. Any phantom units and associated DERs that have not vested by the August 2027 distribution date will expire at that time.</w:t>
      </w:r>
    </w:p>
    <w:p>
      <w:pPr>
        <w:spacing w:after="0" w:line="50" w:lineRule="exact"/>
        <w:rPr>
          <w:sz w:val="20"/>
          <w:szCs w:val="20"/>
          <w:color w:val="auto"/>
        </w:rPr>
      </w:pPr>
    </w:p>
    <w:p>
      <w:pPr>
        <w:ind w:left="1620" w:right="419" w:hanging="360"/>
        <w:spacing w:after="0" w:line="228"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2025 that will vest on the August 2028 distribution date. The associated DERs will accrue for the first year and such accrued amount will be paid in cash in a lump sum on the August 2026 distribution date; beginning in November 2026,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4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2025 that will potentially vest on the August 2028 distribution date at a scaled payout range of between 0% and 200% based on: (i) with respect to 50% of the performance-based award, PAA’s TSR over the three-year period ending June 30, 2028 compared to the TSR of the TSR Comparator Peer Group (payout may be reduced if absolute TSR is negative); and (ii) with respect to the other 50% of the performance-based award, PAA achieving cumulative DCF per CUE of $8.40 over the three-year period ending June 30, 2028 (payout may be decreased by 25 basis points if PAA’s leverage ratio as of June 30, 2028 is greater than the upper end of our guidance range). DERs will accrue during the three-year performance period and will be paid in cash in a lump sum on the August 2028 distribution date with respect to the number of phantom units, if any, that vest on such date. Any phantom units and associated DERs that have not vested by the August 2028 distribution date will expire at that time.</w:t>
      </w:r>
    </w:p>
    <w:p>
      <w:pPr>
        <w:spacing w:after="0" w:line="5" w:lineRule="exact"/>
        <w:rPr>
          <w:rFonts w:ascii="Arial" w:cs="Arial" w:eastAsia="Arial" w:hAnsi="Arial"/>
          <w:sz w:val="27"/>
          <w:szCs w:val="27"/>
          <w:color w:val="auto"/>
          <w:vertAlign w:val="superscript"/>
        </w:rPr>
      </w:pPr>
    </w:p>
    <w:p>
      <w:pPr>
        <w:ind w:left="1620" w:hanging="360"/>
        <w:spacing w:after="0" w:line="215"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one-time special retention phantom unit awards granted to Mr. Chandler in</w:t>
      </w:r>
    </w:p>
    <w:p>
      <w:pPr>
        <w:ind w:left="1620" w:right="419"/>
        <w:spacing w:after="0" w:line="265" w:lineRule="auto"/>
        <w:rPr>
          <w:rFonts w:ascii="Arial" w:cs="Arial" w:eastAsia="Arial" w:hAnsi="Arial"/>
          <w:sz w:val="27"/>
          <w:szCs w:val="27"/>
          <w:color w:val="auto"/>
          <w:vertAlign w:val="superscript"/>
        </w:rPr>
      </w:pPr>
      <w:r>
        <w:rPr>
          <w:rFonts w:ascii="Arial" w:cs="Arial" w:eastAsia="Arial" w:hAnsi="Arial"/>
          <w:sz w:val="17"/>
          <w:szCs w:val="17"/>
          <w:color w:val="auto"/>
        </w:rPr>
        <w:t>August 2025. These phantom unit awards will vest on the August 2028 distribution date assuming continued service through such date. DERs associated with these phantom units will vest as follows:</w:t>
      </w:r>
    </w:p>
    <w:p>
      <w:pPr>
        <w:ind w:left="1620" w:right="49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(i) one-third will accrue for the first year and will be paid in a lump sum on the August 2026 distribution date; beginning in November 2026, this portion of the DERs will be paid quarterly until the phantom units vest or terminate; and (ii) 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 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51" w:lineRule="exact"/>
        <w:rPr>
          <w:rFonts w:ascii="Arial" w:cs="Arial" w:eastAsia="Arial" w:hAnsi="Arial"/>
          <w:sz w:val="27"/>
          <w:szCs w:val="27"/>
          <w:color w:val="auto"/>
          <w:vertAlign w:val="superscript"/>
        </w:rPr>
      </w:pPr>
    </w:p>
    <w:p>
      <w:pPr>
        <w:ind w:left="1620" w:right="479" w:hanging="360"/>
        <w:spacing w:after="0" w:line="24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one-time special retention phantom unit awards granted to Mr. Goebel in August 2025. These phantom unit awards will vest on the August 2030 distribution date assuming continued service through such date. DERs associated with these phantom units will vest as follows: (i) 20% will accrue for the first year and will be paid in a lump sum on the August 2026 distribution date; beginning in November 2026, this portion of the DERs will be paid quarterly until the phantom units vest or terminate; and (ii) beginning with the August 2026 distribution date, an additional 20% of the DERs will vest each year on the August distribution date (such that 100% of the DERs will have vested by the August 2029 distribution date) and will be paid quarterly until the phantom units vest or terminate. 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5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2025 with respect to our Named Executive Officers.</w:t>
      </w:r>
    </w:p>
    <w:p>
      <w:pPr>
        <w:spacing w:after="0" w:line="155" w:lineRule="exact"/>
        <w:rPr>
          <w:sz w:val="20"/>
          <w:szCs w:val="20"/>
          <w:color w:val="auto"/>
        </w:rPr>
      </w:pPr>
    </w:p>
    <w:tbl>
      <w:tblPr>
        <w:tblLayout w:type="fixed"/>
        <w:tblInd w:w="1270" w:type="dxa"/>
        <w:tblCellMar>
          <w:top w:w="0" w:type="dxa"/>
          <w:left w:w="0" w:type="dxa"/>
          <w:bottom w:w="0" w:type="dxa"/>
          <w:right w:w="0" w:type="dxa"/>
        </w:tblCellMar>
      </w:tblPr>
      <w:tr>
        <w:trPr>
          <w:trHeight w:val="250"/>
        </w:trPr>
        <w:tc>
          <w:tcPr>
            <w:tcW w:w="3420" w:type="dxa"/>
            <w:vAlign w:val="bottom"/>
            <w:tcBorders>
              <w:left w:val="single" w:sz="8" w:color="424E6A"/>
              <w:bottom w:val="single" w:sz="8" w:color="424E6A"/>
            </w:tcBorders>
            <w:shd w:val="clear" w:color="auto" w:fill="424E6A"/>
          </w:tcPr>
          <w:p>
            <w:pPr>
              <w:spacing w:after="0"/>
              <w:rPr>
                <w:sz w:val="21"/>
                <w:szCs w:val="21"/>
                <w:color w:val="auto"/>
              </w:rPr>
            </w:pPr>
          </w:p>
        </w:tc>
        <w:tc>
          <w:tcPr>
            <w:tcW w:w="2180" w:type="dxa"/>
            <w:vAlign w:val="bottom"/>
            <w:tcBorders>
              <w:bottom w:val="single" w:sz="8" w:color="424E6A"/>
              <w:right w:val="single" w:sz="8" w:color="424E6A"/>
            </w:tcBorders>
            <w:shd w:val="clear" w:color="auto" w:fill="424E6A"/>
          </w:tcPr>
          <w:p>
            <w:pPr>
              <w:spacing w:after="0"/>
              <w:rPr>
                <w:sz w:val="21"/>
                <w:szCs w:val="21"/>
                <w:color w:val="auto"/>
              </w:rPr>
            </w:pPr>
          </w:p>
        </w:tc>
        <w:tc>
          <w:tcPr>
            <w:tcW w:w="80" w:type="dxa"/>
            <w:vAlign w:val="bottom"/>
            <w:tcBorders>
              <w:bottom w:val="single" w:sz="8" w:color="auto"/>
            </w:tcBorders>
            <w:shd w:val="clear" w:color="auto" w:fill="424E6A"/>
          </w:tcPr>
          <w:p>
            <w:pPr>
              <w:spacing w:after="0"/>
              <w:rPr>
                <w:sz w:val="21"/>
                <w:szCs w:val="21"/>
                <w:color w:val="auto"/>
              </w:rPr>
            </w:pPr>
          </w:p>
        </w:tc>
        <w:tc>
          <w:tcPr>
            <w:tcW w:w="2380" w:type="dxa"/>
            <w:vAlign w:val="bottom"/>
            <w:tcBorders>
              <w:bottom w:val="single" w:sz="8" w:color="auto"/>
            </w:tcBorders>
            <w:gridSpan w:val="4"/>
            <w:shd w:val="clear" w:color="auto" w:fill="424E6A"/>
          </w:tcPr>
          <w:p>
            <w:pPr>
              <w:ind w:left="780"/>
              <w:spacing w:after="0"/>
              <w:rPr>
                <w:sz w:val="20"/>
                <w:szCs w:val="20"/>
                <w:color w:val="auto"/>
              </w:rPr>
            </w:pPr>
            <w:r>
              <w:rPr>
                <w:rFonts w:ascii="Arial" w:cs="Arial" w:eastAsia="Arial" w:hAnsi="Arial"/>
                <w:sz w:val="14"/>
                <w:szCs w:val="14"/>
                <w:b w:val="1"/>
                <w:bCs w:val="1"/>
                <w:color w:val="FFFFFF"/>
              </w:rPr>
              <w:t>Unit Awards</w:t>
            </w:r>
          </w:p>
        </w:tc>
        <w:tc>
          <w:tcPr>
            <w:tcW w:w="160" w:type="dxa"/>
            <w:vAlign w:val="bottom"/>
            <w:tcBorders>
              <w:bottom w:val="single" w:sz="8" w:color="auto"/>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420" w:type="dxa"/>
            <w:vAlign w:val="bottom"/>
            <w:tcBorders>
              <w:left w:val="single" w:sz="8" w:color="424E6A"/>
            </w:tcBorders>
            <w:shd w:val="clear" w:color="auto" w:fill="424E6A"/>
          </w:tcPr>
          <w:p>
            <w:pPr>
              <w:spacing w:after="0"/>
              <w:rPr>
                <w:sz w:val="15"/>
                <w:szCs w:val="15"/>
                <w:color w:val="auto"/>
              </w:rPr>
            </w:pPr>
          </w:p>
        </w:tc>
        <w:tc>
          <w:tcPr>
            <w:tcW w:w="218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4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Realized</w:t>
            </w:r>
          </w:p>
        </w:tc>
        <w:tc>
          <w:tcPr>
            <w:tcW w:w="16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tcBorders>
              <w:left w:val="single" w:sz="8" w:color="424E6A"/>
            </w:tcBorders>
            <w:shd w:val="clear" w:color="auto" w:fill="424E6A"/>
          </w:tcPr>
          <w:p>
            <w:pPr>
              <w:spacing w:after="0"/>
              <w:rPr>
                <w:sz w:val="14"/>
                <w:szCs w:val="14"/>
                <w:color w:val="auto"/>
              </w:rPr>
            </w:pPr>
          </w:p>
        </w:tc>
        <w:tc>
          <w:tcPr>
            <w:tcW w:w="218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Acquired on</w:t>
            </w: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on</w:t>
            </w:r>
          </w:p>
        </w:tc>
        <w:tc>
          <w:tcPr>
            <w:tcW w:w="1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2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w:t>
            </w:r>
          </w:p>
        </w:tc>
        <w:tc>
          <w:tcPr>
            <w:tcW w:w="16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tcBorders>
              <w:left w:val="single" w:sz="8" w:color="424E6A"/>
            </w:tcBorders>
          </w:tcPr>
          <w:p>
            <w:pPr>
              <w:ind w:left="60"/>
              <w:spacing w:after="0" w:line="189" w:lineRule="exact"/>
              <w:rPr>
                <w:sz w:val="20"/>
                <w:szCs w:val="20"/>
                <w:color w:val="auto"/>
              </w:rPr>
            </w:pPr>
            <w:r>
              <w:rPr>
                <w:rFonts w:ascii="Arial" w:cs="Arial" w:eastAsia="Arial" w:hAnsi="Arial"/>
                <w:sz w:val="18"/>
                <w:szCs w:val="18"/>
                <w:color w:val="auto"/>
              </w:rPr>
              <w:t>Willie Chiang</w:t>
            </w:r>
          </w:p>
        </w:tc>
        <w:tc>
          <w:tcPr>
            <w:tcW w:w="2180" w:type="dxa"/>
            <w:vAlign w:val="bottom"/>
            <w:tcBorders>
              <w:right w:val="single" w:sz="8" w:color="424E6A"/>
            </w:tcBorders>
            <w:vMerge w:val="restart"/>
          </w:tcPr>
          <w:p>
            <w:pPr>
              <w:ind w:left="21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260"/>
              <w:spacing w:after="0" w:line="189" w:lineRule="exact"/>
              <w:rPr>
                <w:sz w:val="20"/>
                <w:szCs w:val="20"/>
                <w:color w:val="auto"/>
              </w:rPr>
            </w:pPr>
            <w:r>
              <w:rPr>
                <w:rFonts w:ascii="Arial" w:cs="Arial" w:eastAsia="Arial" w:hAnsi="Arial"/>
                <w:sz w:val="17"/>
                <w:szCs w:val="17"/>
                <w:color w:val="auto"/>
              </w:rPr>
              <w:t>561,055</w:t>
            </w:r>
            <w:r>
              <w:rPr>
                <w:rFonts w:ascii="Arial" w:cs="Arial" w:eastAsia="Arial" w:hAnsi="Arial"/>
                <w:sz w:val="21"/>
                <w:szCs w:val="21"/>
                <w:color w:val="auto"/>
                <w:vertAlign w:val="superscript"/>
              </w:rPr>
              <w:t>(2)</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424E6A"/>
            </w:tcBorders>
            <w:gridSpan w:val="2"/>
          </w:tcPr>
          <w:p>
            <w:pPr>
              <w:ind w:left="120"/>
              <w:spacing w:after="0" w:line="189" w:lineRule="exact"/>
              <w:rPr>
                <w:sz w:val="20"/>
                <w:szCs w:val="20"/>
                <w:color w:val="auto"/>
              </w:rPr>
            </w:pPr>
            <w:r>
              <w:rPr>
                <w:rFonts w:ascii="Arial" w:cs="Arial" w:eastAsia="Arial" w:hAnsi="Arial"/>
                <w:sz w:val="17"/>
                <w:szCs w:val="17"/>
                <w:color w:val="auto"/>
              </w:rPr>
              <w:t>9,975,558</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68"/>
        </w:trPr>
        <w:tc>
          <w:tcPr>
            <w:tcW w:w="3420" w:type="dxa"/>
            <w:vAlign w:val="bottom"/>
            <w:tcBorders>
              <w:left w:val="single" w:sz="8" w:color="424E6A"/>
              <w:bottom w:val="single" w:sz="8" w:color="424E6A"/>
            </w:tcBorders>
          </w:tcPr>
          <w:p>
            <w:pPr>
              <w:spacing w:after="0"/>
              <w:rPr>
                <w:sz w:val="5"/>
                <w:szCs w:val="5"/>
                <w:color w:val="auto"/>
              </w:rPr>
            </w:pPr>
          </w:p>
        </w:tc>
        <w:tc>
          <w:tcPr>
            <w:tcW w:w="218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14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02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09"/>
        </w:trPr>
        <w:tc>
          <w:tcPr>
            <w:tcW w:w="3420" w:type="dxa"/>
            <w:vAlign w:val="bottom"/>
            <w:tcBorders>
              <w:left w:val="single" w:sz="8" w:color="424E6A"/>
              <w:bottom w:val="single" w:sz="8" w:color="D9DCE1"/>
            </w:tcBorders>
            <w:shd w:val="clear" w:color="auto" w:fill="D9DCE1"/>
          </w:tcPr>
          <w:p>
            <w:pPr>
              <w:spacing w:after="0"/>
              <w:rPr>
                <w:sz w:val="24"/>
                <w:szCs w:val="24"/>
                <w:color w:val="auto"/>
              </w:rPr>
            </w:pP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D9DCE1"/>
            </w:tcBorders>
            <w:shd w:val="clear" w:color="auto" w:fill="D9DCE1"/>
          </w:tcPr>
          <w:p>
            <w:pPr>
              <w:ind w:left="2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2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2180" w:type="dxa"/>
            <w:vAlign w:val="bottom"/>
            <w:tcBorders>
              <w:top w:val="single" w:sz="8" w:color="424E6A"/>
              <w:right w:val="single" w:sz="8" w:color="424E6A"/>
            </w:tcBorders>
            <w:vMerge w:val="restart"/>
          </w:tcPr>
          <w:p>
            <w:pPr>
              <w:ind w:left="2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tcPr>
          <w:p>
            <w:pPr>
              <w:ind w:left="260"/>
              <w:spacing w:after="0" w:line="183" w:lineRule="exact"/>
              <w:rPr>
                <w:sz w:val="20"/>
                <w:szCs w:val="20"/>
                <w:color w:val="auto"/>
              </w:rPr>
            </w:pPr>
            <w:r>
              <w:rPr>
                <w:rFonts w:ascii="Arial" w:cs="Arial" w:eastAsia="Arial" w:hAnsi="Arial"/>
                <w:sz w:val="17"/>
                <w:szCs w:val="17"/>
                <w:color w:val="auto"/>
              </w:rPr>
              <w:t>176,731</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24E6A"/>
              <w:right w:val="single" w:sz="8" w:color="424E6A"/>
            </w:tcBorders>
            <w:gridSpan w:val="2"/>
          </w:tcPr>
          <w:p>
            <w:pPr>
              <w:ind w:left="120"/>
              <w:spacing w:after="0" w:line="183" w:lineRule="exact"/>
              <w:rPr>
                <w:sz w:val="20"/>
                <w:szCs w:val="20"/>
                <w:color w:val="auto"/>
              </w:rPr>
            </w:pPr>
            <w:r>
              <w:rPr>
                <w:rFonts w:ascii="Arial" w:cs="Arial" w:eastAsia="Arial" w:hAnsi="Arial"/>
                <w:sz w:val="17"/>
                <w:szCs w:val="17"/>
                <w:color w:val="auto"/>
              </w:rPr>
              <w:t>3,142,277</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68"/>
        </w:trPr>
        <w:tc>
          <w:tcPr>
            <w:tcW w:w="3420" w:type="dxa"/>
            <w:vAlign w:val="bottom"/>
            <w:tcBorders>
              <w:left w:val="single" w:sz="8" w:color="424E6A"/>
              <w:bottom w:val="single" w:sz="8" w:color="424E6A"/>
            </w:tcBorders>
          </w:tcPr>
          <w:p>
            <w:pPr>
              <w:spacing w:after="0"/>
              <w:rPr>
                <w:sz w:val="5"/>
                <w:szCs w:val="5"/>
                <w:color w:val="auto"/>
              </w:rPr>
            </w:pPr>
          </w:p>
        </w:tc>
        <w:tc>
          <w:tcPr>
            <w:tcW w:w="218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14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02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09"/>
        </w:trPr>
        <w:tc>
          <w:tcPr>
            <w:tcW w:w="3420" w:type="dxa"/>
            <w:vAlign w:val="bottom"/>
            <w:tcBorders>
              <w:left w:val="single" w:sz="8" w:color="424E6A"/>
              <w:bottom w:val="single" w:sz="8" w:color="D9DCE1"/>
            </w:tcBorders>
            <w:shd w:val="clear" w:color="auto" w:fill="D9DCE1"/>
          </w:tcPr>
          <w:p>
            <w:pPr>
              <w:spacing w:after="0"/>
              <w:rPr>
                <w:sz w:val="24"/>
                <w:szCs w:val="24"/>
                <w:color w:val="auto"/>
              </w:rPr>
            </w:pP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D9DCE1"/>
            </w:tcBorders>
            <w:shd w:val="clear" w:color="auto" w:fill="D9DCE1"/>
          </w:tcPr>
          <w:p>
            <w:pPr>
              <w:ind w:left="2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2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2180" w:type="dxa"/>
            <w:vAlign w:val="bottom"/>
            <w:tcBorders>
              <w:top w:val="single" w:sz="8" w:color="424E6A"/>
              <w:right w:val="single" w:sz="8" w:color="424E6A"/>
            </w:tcBorders>
            <w:vMerge w:val="restart"/>
          </w:tcPr>
          <w:p>
            <w:pPr>
              <w:ind w:left="2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tcPr>
          <w:p>
            <w:pPr>
              <w:ind w:left="260"/>
              <w:spacing w:after="0" w:line="183" w:lineRule="exact"/>
              <w:rPr>
                <w:sz w:val="20"/>
                <w:szCs w:val="20"/>
                <w:color w:val="auto"/>
              </w:rPr>
            </w:pPr>
            <w:r>
              <w:rPr>
                <w:rFonts w:ascii="Arial" w:cs="Arial" w:eastAsia="Arial" w:hAnsi="Arial"/>
                <w:sz w:val="17"/>
                <w:szCs w:val="17"/>
                <w:color w:val="auto"/>
              </w:rPr>
              <w:t>176,731</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24E6A"/>
              <w:right w:val="single" w:sz="8" w:color="424E6A"/>
            </w:tcBorders>
            <w:gridSpan w:val="2"/>
          </w:tcPr>
          <w:p>
            <w:pPr>
              <w:ind w:left="120"/>
              <w:spacing w:after="0" w:line="183" w:lineRule="exact"/>
              <w:rPr>
                <w:sz w:val="20"/>
                <w:szCs w:val="20"/>
                <w:color w:val="auto"/>
              </w:rPr>
            </w:pPr>
            <w:r>
              <w:rPr>
                <w:rFonts w:ascii="Arial" w:cs="Arial" w:eastAsia="Arial" w:hAnsi="Arial"/>
                <w:sz w:val="17"/>
                <w:szCs w:val="17"/>
                <w:color w:val="auto"/>
              </w:rPr>
              <w:t>3,142,277</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67"/>
        </w:trPr>
        <w:tc>
          <w:tcPr>
            <w:tcW w:w="3420" w:type="dxa"/>
            <w:vAlign w:val="bottom"/>
            <w:tcBorders>
              <w:left w:val="single" w:sz="8" w:color="424E6A"/>
              <w:bottom w:val="single" w:sz="8" w:color="424E6A"/>
            </w:tcBorders>
          </w:tcPr>
          <w:p>
            <w:pPr>
              <w:spacing w:after="0"/>
              <w:rPr>
                <w:sz w:val="5"/>
                <w:szCs w:val="5"/>
                <w:color w:val="auto"/>
              </w:rPr>
            </w:pPr>
          </w:p>
        </w:tc>
        <w:tc>
          <w:tcPr>
            <w:tcW w:w="218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14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02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09"/>
        </w:trPr>
        <w:tc>
          <w:tcPr>
            <w:tcW w:w="3420" w:type="dxa"/>
            <w:vAlign w:val="bottom"/>
            <w:tcBorders>
              <w:left w:val="single" w:sz="8" w:color="424E6A"/>
              <w:bottom w:val="single" w:sz="8" w:color="D9DCE1"/>
            </w:tcBorders>
            <w:shd w:val="clear" w:color="auto" w:fill="D9DCE1"/>
          </w:tcPr>
          <w:p>
            <w:pPr>
              <w:spacing w:after="0"/>
              <w:rPr>
                <w:sz w:val="24"/>
                <w:szCs w:val="24"/>
                <w:color w:val="auto"/>
              </w:rPr>
            </w:pP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D9DCE1"/>
            </w:tcBorders>
            <w:shd w:val="clear" w:color="auto" w:fill="D9DCE1"/>
          </w:tcPr>
          <w:p>
            <w:pPr>
              <w:ind w:left="2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2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2180" w:type="dxa"/>
            <w:vAlign w:val="bottom"/>
            <w:tcBorders>
              <w:top w:val="single" w:sz="8" w:color="424E6A"/>
              <w:right w:val="single" w:sz="8" w:color="424E6A"/>
            </w:tcBorders>
            <w:vMerge w:val="restart"/>
          </w:tcPr>
          <w:p>
            <w:pPr>
              <w:ind w:left="2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tcPr>
          <w:p>
            <w:pPr>
              <w:ind w:left="260"/>
              <w:spacing w:after="0" w:line="183" w:lineRule="exact"/>
              <w:rPr>
                <w:sz w:val="20"/>
                <w:szCs w:val="20"/>
                <w:color w:val="auto"/>
              </w:rPr>
            </w:pPr>
            <w:r>
              <w:rPr>
                <w:rFonts w:ascii="Arial" w:cs="Arial" w:eastAsia="Arial" w:hAnsi="Arial"/>
                <w:sz w:val="17"/>
                <w:szCs w:val="17"/>
                <w:color w:val="auto"/>
              </w:rPr>
              <w:t>227,864</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24E6A"/>
              <w:right w:val="single" w:sz="8" w:color="424E6A"/>
            </w:tcBorders>
            <w:gridSpan w:val="2"/>
          </w:tcPr>
          <w:p>
            <w:pPr>
              <w:ind w:left="120"/>
              <w:spacing w:after="0" w:line="183" w:lineRule="exact"/>
              <w:rPr>
                <w:sz w:val="20"/>
                <w:szCs w:val="20"/>
                <w:color w:val="auto"/>
              </w:rPr>
            </w:pPr>
            <w:r>
              <w:rPr>
                <w:rFonts w:ascii="Arial" w:cs="Arial" w:eastAsia="Arial" w:hAnsi="Arial"/>
                <w:sz w:val="17"/>
                <w:szCs w:val="17"/>
                <w:color w:val="auto"/>
              </w:rPr>
              <w:t>4,051,422</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68"/>
        </w:trPr>
        <w:tc>
          <w:tcPr>
            <w:tcW w:w="3420" w:type="dxa"/>
            <w:vAlign w:val="bottom"/>
            <w:tcBorders>
              <w:left w:val="single" w:sz="8" w:color="424E6A"/>
              <w:bottom w:val="single" w:sz="8" w:color="424E6A"/>
            </w:tcBorders>
          </w:tcPr>
          <w:p>
            <w:pPr>
              <w:spacing w:after="0"/>
              <w:rPr>
                <w:sz w:val="5"/>
                <w:szCs w:val="5"/>
                <w:color w:val="auto"/>
              </w:rPr>
            </w:pPr>
          </w:p>
        </w:tc>
        <w:tc>
          <w:tcPr>
            <w:tcW w:w="218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14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02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09"/>
        </w:trPr>
        <w:tc>
          <w:tcPr>
            <w:tcW w:w="3420" w:type="dxa"/>
            <w:vAlign w:val="bottom"/>
            <w:tcBorders>
              <w:left w:val="single" w:sz="8" w:color="424E6A"/>
              <w:bottom w:val="single" w:sz="8" w:color="D9DCE1"/>
            </w:tcBorders>
            <w:shd w:val="clear" w:color="auto" w:fill="D9DCE1"/>
          </w:tcPr>
          <w:p>
            <w:pPr>
              <w:spacing w:after="0"/>
              <w:rPr>
                <w:sz w:val="24"/>
                <w:szCs w:val="24"/>
                <w:color w:val="auto"/>
              </w:rPr>
            </w:pP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D9DCE1"/>
            </w:tcBorders>
            <w:shd w:val="clear" w:color="auto" w:fill="D9DCE1"/>
          </w:tcPr>
          <w:p>
            <w:pPr>
              <w:ind w:left="2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2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2180" w:type="dxa"/>
            <w:vAlign w:val="bottom"/>
            <w:tcBorders>
              <w:top w:val="single" w:sz="8" w:color="424E6A"/>
              <w:right w:val="single" w:sz="8" w:color="424E6A"/>
            </w:tcBorders>
            <w:vMerge w:val="restart"/>
          </w:tcPr>
          <w:p>
            <w:pPr>
              <w:ind w:left="2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tcPr>
          <w:p>
            <w:pPr>
              <w:ind w:left="260"/>
              <w:spacing w:after="0" w:line="183" w:lineRule="exact"/>
              <w:rPr>
                <w:sz w:val="20"/>
                <w:szCs w:val="20"/>
                <w:color w:val="auto"/>
              </w:rPr>
            </w:pPr>
            <w:r>
              <w:rPr>
                <w:rFonts w:ascii="Arial" w:cs="Arial" w:eastAsia="Arial" w:hAnsi="Arial"/>
                <w:sz w:val="17"/>
                <w:szCs w:val="17"/>
                <w:color w:val="auto"/>
              </w:rPr>
              <w:t>227,864</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24E6A"/>
              <w:right w:val="single" w:sz="8" w:color="424E6A"/>
            </w:tcBorders>
            <w:gridSpan w:val="2"/>
          </w:tcPr>
          <w:p>
            <w:pPr>
              <w:ind w:left="120"/>
              <w:spacing w:after="0" w:line="183" w:lineRule="exact"/>
              <w:rPr>
                <w:sz w:val="20"/>
                <w:szCs w:val="20"/>
                <w:color w:val="auto"/>
              </w:rPr>
            </w:pPr>
            <w:r>
              <w:rPr>
                <w:rFonts w:ascii="Arial" w:cs="Arial" w:eastAsia="Arial" w:hAnsi="Arial"/>
                <w:sz w:val="17"/>
                <w:szCs w:val="17"/>
                <w:color w:val="auto"/>
              </w:rPr>
              <w:t>4,051,422</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67"/>
        </w:trPr>
        <w:tc>
          <w:tcPr>
            <w:tcW w:w="3420" w:type="dxa"/>
            <w:vAlign w:val="bottom"/>
            <w:tcBorders>
              <w:left w:val="single" w:sz="8" w:color="424E6A"/>
              <w:bottom w:val="single" w:sz="8" w:color="424E6A"/>
            </w:tcBorders>
          </w:tcPr>
          <w:p>
            <w:pPr>
              <w:spacing w:after="0"/>
              <w:rPr>
                <w:sz w:val="5"/>
                <w:szCs w:val="5"/>
                <w:color w:val="auto"/>
              </w:rPr>
            </w:pPr>
          </w:p>
        </w:tc>
        <w:tc>
          <w:tcPr>
            <w:tcW w:w="218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14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02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20" w:right="719" w:hanging="360"/>
        <w:spacing w:after="0" w:line="210"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2025. The actual number of units delivered was net of income tax withholding.</w:t>
      </w:r>
    </w:p>
    <w:p>
      <w:pPr>
        <w:spacing w:after="0" w:line="46" w:lineRule="exact"/>
        <w:rPr>
          <w:rFonts w:ascii="Arial" w:cs="Arial" w:eastAsia="Arial" w:hAnsi="Arial"/>
          <w:sz w:val="27"/>
          <w:szCs w:val="27"/>
          <w:color w:val="auto"/>
          <w:vertAlign w:val="superscript"/>
        </w:rPr>
      </w:pPr>
    </w:p>
    <w:p>
      <w:pPr>
        <w:ind w:left="1620" w:right="419" w:hanging="360"/>
        <w:spacing w:after="0" w:line="257"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originally granted in August 2022 that vested in August 2025. Pursuant to the terms of the 2022 grants, (i) 50% of the phantom units were time based with vesting to occur in August 2025, and (ii) 50% of the phantom units were performance based with potential vesting to occur in August 2025 at a scaled payout range of between 0% and 200% based on: (A) with respect to 50% of the performance-based portion, PAA’s TSR over the three year period ending June 30, 2025 compared to the TSR of the applicable TSR peer group and (B) with respect to the other 50% of the performance-based portion, PAA achieving a cumulative adjusted DCF per CUE target of $7.05 over the three-year period ending June 30, 2025. With respect to the performance-based portion of the 2022 grants, the final payout percentage for the TSR portion was 167% (based on a TSR ranking of 3 out of 13) and the final payout percentage for the DCF/​CUE portion was 143% (based on achieving cumulative DCF/CUE of $7.43). Taking all vesting criteria (50% time, 25% TSR and 25% DCF/CUE) into account, the 2022 grants paid out at 127.5% of target.</w:t>
      </w:r>
    </w:p>
    <w:p>
      <w:pPr>
        <w:spacing w:after="0" w:line="50" w:lineRule="exact"/>
        <w:rPr>
          <w:rFonts w:ascii="Arial" w:cs="Arial" w:eastAsia="Arial" w:hAnsi="Arial"/>
          <w:sz w:val="26"/>
          <w:szCs w:val="26"/>
          <w:color w:val="auto"/>
          <w:vertAlign w:val="superscript"/>
        </w:rPr>
      </w:pPr>
    </w:p>
    <w:p>
      <w:pPr>
        <w:ind w:left="1620" w:right="659" w:hanging="360"/>
        <w:spacing w:after="0" w:line="228"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($17.78) of PAA’s common units on August 13, 2025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4" w:lineRule="exact"/>
        <w:rPr>
          <w:sz w:val="20"/>
          <w:szCs w:val="20"/>
          <w:color w:val="auto"/>
        </w:rPr>
      </w:pPr>
    </w:p>
    <w:p>
      <w:pPr>
        <w:jc w:val="both"/>
        <w:ind w:left="1260" w:right="819" w:firstLine="360"/>
        <w:spacing w:after="0" w:line="268"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58" w:lineRule="exact"/>
        <w:rPr>
          <w:sz w:val="20"/>
          <w:szCs w:val="20"/>
          <w:color w:val="auto"/>
        </w:rPr>
      </w:pPr>
    </w:p>
    <w:p>
      <w:pPr>
        <w:ind w:left="1260" w:right="539" w:firstLine="360"/>
        <w:spacing w:after="0" w:line="28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58"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2025.</w:t>
      </w:r>
    </w:p>
    <w:p>
      <w:pPr>
        <w:spacing w:after="0" w:line="123"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220" w:type="dxa"/>
            <w:vAlign w:val="bottom"/>
            <w:tcBorders>
              <w:left w:val="single" w:sz="8" w:color="424E6A"/>
            </w:tcBorders>
            <w:shd w:val="clear" w:color="auto" w:fill="424E6A"/>
          </w:tcPr>
          <w:p>
            <w:pPr>
              <w:spacing w:after="0"/>
              <w:rPr>
                <w:sz w:val="17"/>
                <w:szCs w:val="17"/>
                <w:color w:val="auto"/>
              </w:rPr>
            </w:pPr>
          </w:p>
        </w:tc>
        <w:tc>
          <w:tcPr>
            <w:tcW w:w="54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920" w:type="dxa"/>
            <w:vAlign w:val="bottom"/>
            <w:shd w:val="clear" w:color="auto" w:fill="424E6A"/>
          </w:tcPr>
          <w:p>
            <w:pPr>
              <w:jc w:val="center"/>
              <w:ind w:right="145"/>
              <w:spacing w:after="0"/>
              <w:rPr>
                <w:sz w:val="20"/>
                <w:szCs w:val="20"/>
                <w:color w:val="auto"/>
              </w:rPr>
            </w:pPr>
            <w:r>
              <w:rPr>
                <w:rFonts w:ascii="Arial" w:cs="Arial" w:eastAsia="Arial" w:hAnsi="Arial"/>
                <w:sz w:val="14"/>
                <w:szCs w:val="14"/>
                <w:b w:val="1"/>
                <w:bCs w:val="1"/>
                <w:color w:val="FFFFFF"/>
              </w:rPr>
              <w:t>By</w:t>
            </w: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90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rPr>
              <w:t>By</w:t>
            </w:r>
          </w:p>
        </w:tc>
        <w:tc>
          <w:tcPr>
            <w:tcW w:w="12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240" w:type="dxa"/>
            <w:vAlign w:val="bottom"/>
            <w:shd w:val="clear" w:color="auto" w:fill="424E6A"/>
          </w:tcPr>
          <w:p>
            <w:pPr>
              <w:spacing w:after="0"/>
              <w:rPr>
                <w:sz w:val="17"/>
                <w:szCs w:val="17"/>
                <w:color w:val="auto"/>
              </w:rPr>
            </w:pPr>
          </w:p>
        </w:tc>
        <w:tc>
          <w:tcPr>
            <w:tcW w:w="9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280" w:type="dxa"/>
            <w:vAlign w:val="bottom"/>
            <w:gridSpan w:val="2"/>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In Connection</w:t>
            </w:r>
          </w:p>
        </w:tc>
        <w:tc>
          <w:tcPr>
            <w:tcW w:w="16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ind w:right="145"/>
              <w:spacing w:after="0"/>
              <w:rPr>
                <w:sz w:val="20"/>
                <w:szCs w:val="20"/>
                <w:color w:val="auto"/>
              </w:rPr>
            </w:pPr>
            <w:r>
              <w:rPr>
                <w:rFonts w:ascii="Arial" w:cs="Arial" w:eastAsia="Arial" w:hAnsi="Arial"/>
                <w:sz w:val="14"/>
                <w:szCs w:val="14"/>
                <w:b w:val="1"/>
                <w:bCs w:val="1"/>
                <w:color w:val="FFFFFF"/>
              </w:rPr>
              <w:t>Reason of</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rPr>
              <w:t>Company</w:t>
            </w:r>
          </w:p>
        </w:tc>
        <w:tc>
          <w:tcPr>
            <w:tcW w:w="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ind w:right="2"/>
              <w:spacing w:after="0"/>
              <w:rPr>
                <w:sz w:val="20"/>
                <w:szCs w:val="20"/>
                <w:color w:val="auto"/>
              </w:rPr>
            </w:pPr>
            <w:r>
              <w:rPr>
                <w:rFonts w:ascii="Arial" w:cs="Arial" w:eastAsia="Arial" w:hAnsi="Arial"/>
                <w:sz w:val="14"/>
                <w:szCs w:val="14"/>
                <w:b w:val="1"/>
                <w:bCs w:val="1"/>
                <w:color w:val="FFFFFF"/>
              </w:rPr>
              <w:t>In Connection</w:t>
            </w:r>
          </w:p>
        </w:tc>
        <w:tc>
          <w:tcPr>
            <w:tcW w:w="140" w:type="dxa"/>
            <w:vAlign w:val="bottom"/>
            <w:tcBorders>
              <w:right w:val="single" w:sz="8" w:color="424E6A"/>
            </w:tcBorders>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185"/>
              <w:spacing w:after="0"/>
              <w:rPr>
                <w:sz w:val="20"/>
                <w:szCs w:val="20"/>
                <w:color w:val="auto"/>
              </w:rPr>
            </w:pPr>
            <w:r>
              <w:rPr>
                <w:rFonts w:ascii="Arial" w:cs="Arial" w:eastAsia="Arial" w:hAnsi="Arial"/>
                <w:sz w:val="14"/>
                <w:szCs w:val="14"/>
                <w:b w:val="1"/>
                <w:bCs w:val="1"/>
                <w:color w:val="FFFFFF"/>
              </w:rPr>
              <w:t>with a</w:t>
            </w:r>
          </w:p>
        </w:tc>
        <w:tc>
          <w:tcPr>
            <w:tcW w:w="1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ind w:right="145"/>
              <w:spacing w:after="0"/>
              <w:rPr>
                <w:sz w:val="20"/>
                <w:szCs w:val="20"/>
                <w:color w:val="auto"/>
              </w:rPr>
            </w:pPr>
            <w:r>
              <w:rPr>
                <w:rFonts w:ascii="Arial" w:cs="Arial" w:eastAsia="Arial" w:hAnsi="Arial"/>
                <w:sz w:val="14"/>
                <w:szCs w:val="14"/>
                <w:b w:val="1"/>
                <w:bCs w:val="1"/>
                <w:color w:val="FFFFFF"/>
              </w:rPr>
              <w:t>Death or</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rPr>
              <w:t>without</w:t>
            </w:r>
          </w:p>
        </w:tc>
        <w:tc>
          <w:tcPr>
            <w:tcW w:w="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242"/>
              <w:spacing w:after="0"/>
              <w:rPr>
                <w:sz w:val="20"/>
                <w:szCs w:val="20"/>
                <w:color w:val="auto"/>
              </w:rPr>
            </w:pPr>
            <w:r>
              <w:rPr>
                <w:rFonts w:ascii="Arial" w:cs="Arial" w:eastAsia="Arial" w:hAnsi="Arial"/>
                <w:sz w:val="14"/>
                <w:szCs w:val="14"/>
                <w:b w:val="1"/>
                <w:bCs w:val="1"/>
                <w:color w:val="FFFFFF"/>
              </w:rPr>
              <w:t>with a</w:t>
            </w:r>
          </w:p>
        </w:tc>
        <w:tc>
          <w:tcPr>
            <w:tcW w:w="140" w:type="dxa"/>
            <w:vAlign w:val="bottom"/>
            <w:tcBorders>
              <w:right w:val="single" w:sz="8" w:color="424E6A"/>
            </w:tcBorders>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rPr>
              <w:t>Change In</w:t>
            </w:r>
          </w:p>
        </w:tc>
        <w:tc>
          <w:tcPr>
            <w:tcW w:w="1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424E6A"/>
            </w:tcBorders>
            <w:shd w:val="clear" w:color="auto" w:fill="424E6A"/>
          </w:tcPr>
          <w:p>
            <w:pPr>
              <w:spacing w:after="0"/>
              <w:rPr>
                <w:sz w:val="14"/>
                <w:szCs w:val="14"/>
                <w:color w:val="auto"/>
              </w:rPr>
            </w:pPr>
          </w:p>
        </w:tc>
        <w:tc>
          <w:tcPr>
            <w:tcW w:w="5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ind w:right="125"/>
              <w:spacing w:after="0"/>
              <w:rPr>
                <w:sz w:val="20"/>
                <w:szCs w:val="20"/>
                <w:color w:val="auto"/>
              </w:rPr>
            </w:pPr>
            <w:r>
              <w:rPr>
                <w:rFonts w:ascii="Arial" w:cs="Arial" w:eastAsia="Arial" w:hAnsi="Arial"/>
                <w:sz w:val="14"/>
                <w:szCs w:val="14"/>
                <w:b w:val="1"/>
                <w:bCs w:val="1"/>
                <w:color w:val="FFFFFF"/>
              </w:rPr>
              <w:t>Disability</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w w:val="99"/>
              </w:rPr>
              <w:t>Cause</w:t>
            </w:r>
          </w:p>
        </w:tc>
        <w:tc>
          <w:tcPr>
            <w:tcW w:w="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ind w:right="2"/>
              <w:spacing w:after="0"/>
              <w:rPr>
                <w:sz w:val="20"/>
                <w:szCs w:val="20"/>
                <w:color w:val="auto"/>
              </w:rPr>
            </w:pPr>
            <w:r>
              <w:rPr>
                <w:rFonts w:ascii="Arial" w:cs="Arial" w:eastAsia="Arial" w:hAnsi="Arial"/>
                <w:sz w:val="14"/>
                <w:szCs w:val="14"/>
                <w:b w:val="1"/>
                <w:bCs w:val="1"/>
                <w:color w:val="FFFFFF"/>
              </w:rPr>
              <w:t>Retirement</w:t>
            </w:r>
          </w:p>
        </w:tc>
        <w:tc>
          <w:tcPr>
            <w:tcW w:w="140" w:type="dxa"/>
            <w:vAlign w:val="bottom"/>
            <w:tcBorders>
              <w:right w:val="single" w:sz="8" w:color="424E6A"/>
            </w:tcBorders>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165"/>
              <w:spacing w:after="0"/>
              <w:rPr>
                <w:sz w:val="20"/>
                <w:szCs w:val="20"/>
                <w:color w:val="auto"/>
              </w:rPr>
            </w:pPr>
            <w:r>
              <w:rPr>
                <w:rFonts w:ascii="Arial" w:cs="Arial" w:eastAsia="Arial" w:hAnsi="Arial"/>
                <w:sz w:val="14"/>
                <w:szCs w:val="14"/>
                <w:b w:val="1"/>
                <w:bCs w:val="1"/>
                <w:color w:val="FFFFFF"/>
              </w:rPr>
              <w:t>Control</w:t>
            </w:r>
          </w:p>
        </w:tc>
        <w:tc>
          <w:tcPr>
            <w:tcW w:w="1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20" w:type="dxa"/>
            <w:vAlign w:val="bottom"/>
            <w:tcBorders>
              <w:left w:val="single" w:sz="8" w:color="424E6A"/>
            </w:tcBorders>
            <w:shd w:val="clear" w:color="auto" w:fill="424E6A"/>
          </w:tcPr>
          <w:p>
            <w:pPr>
              <w:spacing w:after="0"/>
              <w:rPr>
                <w:sz w:val="18"/>
                <w:szCs w:val="18"/>
                <w:color w:val="auto"/>
              </w:rPr>
            </w:pPr>
          </w:p>
        </w:tc>
        <w:tc>
          <w:tcPr>
            <w:tcW w:w="7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0" w:type="dxa"/>
            <w:vAlign w:val="bottom"/>
            <w:shd w:val="clear" w:color="auto" w:fill="424E6A"/>
          </w:tcPr>
          <w:p>
            <w:pPr>
              <w:spacing w:after="0"/>
              <w:rPr>
                <w:sz w:val="18"/>
                <w:szCs w:val="18"/>
                <w:color w:val="auto"/>
              </w:rPr>
            </w:pPr>
          </w:p>
        </w:tc>
        <w:tc>
          <w:tcPr>
            <w:tcW w:w="920" w:type="dxa"/>
            <w:vAlign w:val="bottom"/>
            <w:shd w:val="clear" w:color="auto" w:fill="424E6A"/>
          </w:tcPr>
          <w:p>
            <w:pPr>
              <w:jc w:val="center"/>
              <w:ind w:right="85"/>
              <w:spacing w:after="0"/>
              <w:rPr>
                <w:sz w:val="20"/>
                <w:szCs w:val="20"/>
                <w:color w:val="auto"/>
              </w:rPr>
            </w:pPr>
            <w:r>
              <w:rPr>
                <w:rFonts w:ascii="Arial" w:cs="Arial" w:eastAsia="Arial" w:hAnsi="Arial"/>
                <w:sz w:val="14"/>
                <w:szCs w:val="14"/>
                <w:b w:val="1"/>
                <w:bCs w:val="1"/>
                <w:color w:val="FFFFFF"/>
                <w:w w:val="93"/>
              </w:rPr>
              <w:t>($)</w:t>
            </w:r>
          </w:p>
        </w:tc>
        <w:tc>
          <w:tcPr>
            <w:tcW w:w="2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shd w:val="clear" w:color="auto" w:fill="424E6A"/>
          </w:tcPr>
          <w:p>
            <w:pPr>
              <w:spacing w:after="0"/>
              <w:rPr>
                <w:sz w:val="18"/>
                <w:szCs w:val="18"/>
                <w:color w:val="auto"/>
              </w:rPr>
            </w:pPr>
          </w:p>
        </w:tc>
        <w:tc>
          <w:tcPr>
            <w:tcW w:w="900" w:type="dxa"/>
            <w:vAlign w:val="bottom"/>
            <w:shd w:val="clear" w:color="auto" w:fill="424E6A"/>
          </w:tcPr>
          <w:p>
            <w:pPr>
              <w:jc w:val="center"/>
              <w:ind w:right="125"/>
              <w:spacing w:after="0"/>
              <w:rPr>
                <w:sz w:val="20"/>
                <w:szCs w:val="20"/>
                <w:color w:val="auto"/>
              </w:rPr>
            </w:pPr>
            <w:r>
              <w:rPr>
                <w:rFonts w:ascii="Arial" w:cs="Arial" w:eastAsia="Arial" w:hAnsi="Arial"/>
                <w:sz w:val="14"/>
                <w:szCs w:val="14"/>
                <w:b w:val="1"/>
                <w:bCs w:val="1"/>
                <w:color w:val="FFFFFF"/>
              </w:rPr>
              <w:t>($)</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40" w:type="dxa"/>
            <w:vAlign w:val="bottom"/>
            <w:shd w:val="clear" w:color="auto" w:fill="424E6A"/>
          </w:tcPr>
          <w:p>
            <w:pPr>
              <w:spacing w:after="0"/>
              <w:rPr>
                <w:sz w:val="18"/>
                <w:szCs w:val="18"/>
                <w:color w:val="auto"/>
              </w:rPr>
            </w:pPr>
          </w:p>
        </w:tc>
        <w:tc>
          <w:tcPr>
            <w:tcW w:w="900" w:type="dxa"/>
            <w:vAlign w:val="bottom"/>
            <w:shd w:val="clear" w:color="auto" w:fill="424E6A"/>
          </w:tcPr>
          <w:p>
            <w:pPr>
              <w:jc w:val="center"/>
              <w:ind w:right="202"/>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right w:val="single" w:sz="8" w:color="424E6A"/>
            </w:tcBorders>
            <w:shd w:val="clear" w:color="auto" w:fill="424E6A"/>
          </w:tcPr>
          <w:p>
            <w:pPr>
              <w:spacing w:after="0"/>
              <w:rPr>
                <w:sz w:val="18"/>
                <w:szCs w:val="18"/>
                <w:color w:val="auto"/>
              </w:rPr>
            </w:pPr>
          </w:p>
        </w:tc>
        <w:tc>
          <w:tcPr>
            <w:tcW w:w="340" w:type="dxa"/>
            <w:vAlign w:val="bottom"/>
            <w:shd w:val="clear" w:color="auto" w:fill="424E6A"/>
          </w:tcPr>
          <w:p>
            <w:pPr>
              <w:spacing w:after="0"/>
              <w:rPr>
                <w:sz w:val="18"/>
                <w:szCs w:val="18"/>
                <w:color w:val="auto"/>
              </w:rPr>
            </w:pPr>
          </w:p>
        </w:tc>
        <w:tc>
          <w:tcPr>
            <w:tcW w:w="940" w:type="dxa"/>
            <w:vAlign w:val="bottom"/>
            <w:shd w:val="clear" w:color="auto" w:fill="424E6A"/>
          </w:tcPr>
          <w:p>
            <w:pPr>
              <w:jc w:val="center"/>
              <w:ind w:right="125"/>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Willie Chiang</w:t>
            </w:r>
            <w:r>
              <w:rPr>
                <w:rFonts w:ascii="Arial" w:cs="Arial" w:eastAsia="Arial" w:hAnsi="Arial"/>
                <w:sz w:val="19"/>
                <w:szCs w:val="19"/>
                <w:b w:val="1"/>
                <w:bCs w:val="1"/>
                <w:color w:val="auto"/>
                <w:vertAlign w:val="superscript"/>
              </w:rPr>
              <w:t>(4)</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24E6A"/>
            </w:tcBorders>
            <w:shd w:val="clear" w:color="auto" w:fill="D9DCE1"/>
          </w:tcPr>
          <w:p>
            <w:pPr>
              <w:spacing w:after="0"/>
              <w:rPr>
                <w:sz w:val="21"/>
                <w:szCs w:val="21"/>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1"/>
                <w:szCs w:val="21"/>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1"/>
                <w:szCs w:val="21"/>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424E6A"/>
            </w:tcBorders>
            <w:shd w:val="clear" w:color="auto" w:fill="D9DCE1"/>
          </w:tcPr>
          <w:p>
            <w:pPr>
              <w:spacing w:after="0"/>
              <w:rPr>
                <w:sz w:val="21"/>
                <w:szCs w:val="21"/>
                <w:color w:val="auto"/>
              </w:rPr>
            </w:pP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2220" w:type="dxa"/>
            <w:vAlign w:val="bottom"/>
            <w:tcBorders>
              <w:left w:val="single" w:sz="8" w:color="424E6A"/>
            </w:tcBorders>
          </w:tcPr>
          <w:p>
            <w:pPr>
              <w:ind w:left="220"/>
              <w:spacing w:after="0" w:line="169" w:lineRule="exact"/>
              <w:rPr>
                <w:sz w:val="20"/>
                <w:szCs w:val="20"/>
                <w:color w:val="auto"/>
              </w:rPr>
            </w:pPr>
            <w:r>
              <w:rPr>
                <w:rFonts w:ascii="Arial" w:cs="Arial" w:eastAsia="Arial" w:hAnsi="Arial"/>
                <w:sz w:val="16"/>
                <w:szCs w:val="16"/>
                <w:color w:val="auto"/>
              </w:rPr>
              <w:t>Equity Compensation</w:t>
            </w:r>
          </w:p>
        </w:tc>
        <w:tc>
          <w:tcPr>
            <w:tcW w:w="540" w:type="dxa"/>
            <w:vAlign w:val="bottom"/>
            <w:tcBorders>
              <w:right w:val="single" w:sz="8" w:color="424E6A"/>
            </w:tcBorders>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21,226,026</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16,554,140</w:t>
            </w:r>
            <w:r>
              <w:rPr>
                <w:rFonts w:ascii="Arial" w:cs="Arial" w:eastAsia="Arial" w:hAnsi="Arial"/>
                <w:sz w:val="19"/>
                <w:szCs w:val="19"/>
                <w:color w:val="auto"/>
                <w:vertAlign w:val="superscript"/>
              </w:rPr>
              <w:t>(2)</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$21,226,026</w:t>
            </w:r>
            <w:r>
              <w:rPr>
                <w:rFonts w:ascii="Arial" w:cs="Arial" w:eastAsia="Arial" w:hAnsi="Arial"/>
                <w:sz w:val="19"/>
                <w:szCs w:val="19"/>
                <w:color w:val="auto"/>
                <w:vertAlign w:val="superscript"/>
              </w:rPr>
              <w:t>(3)</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28,721,632</w:t>
            </w:r>
            <w:r>
              <w:rPr>
                <w:rFonts w:ascii="Arial" w:cs="Arial" w:eastAsia="Arial" w:hAnsi="Arial"/>
                <w:sz w:val="19"/>
                <w:szCs w:val="19"/>
                <w:color w:val="auto"/>
                <w:vertAlign w:val="superscript"/>
              </w:rPr>
              <w:t>(3)</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2220" w:type="dxa"/>
            <w:vAlign w:val="bottom"/>
            <w:tcBorders>
              <w:left w:val="single" w:sz="8" w:color="424E6A"/>
              <w:bottom w:val="single" w:sz="8" w:color="424E6A"/>
            </w:tcBorders>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9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22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21,226,026</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16,554,140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$21,226,026</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24E6A"/>
            </w:tcBorders>
            <w:gridSpan w:val="2"/>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28,721,632</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Al Swanson</w:t>
            </w:r>
            <w:r>
              <w:rPr>
                <w:rFonts w:ascii="Arial" w:cs="Arial" w:eastAsia="Arial" w:hAnsi="Arial"/>
                <w:sz w:val="19"/>
                <w:szCs w:val="19"/>
                <w:b w:val="1"/>
                <w:bCs w:val="1"/>
                <w:color w:val="auto"/>
                <w:vertAlign w:val="superscript"/>
              </w:rPr>
              <w:t>(4)</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2220" w:type="dxa"/>
            <w:vAlign w:val="bottom"/>
            <w:tcBorders>
              <w:left w:val="single" w:sz="8" w:color="424E6A"/>
            </w:tcBorders>
          </w:tcPr>
          <w:p>
            <w:pPr>
              <w:ind w:left="220"/>
              <w:spacing w:after="0" w:line="169" w:lineRule="exact"/>
              <w:rPr>
                <w:sz w:val="20"/>
                <w:szCs w:val="20"/>
                <w:color w:val="auto"/>
              </w:rPr>
            </w:pPr>
            <w:r>
              <w:rPr>
                <w:rFonts w:ascii="Arial" w:cs="Arial" w:eastAsia="Arial" w:hAnsi="Arial"/>
                <w:sz w:val="16"/>
                <w:szCs w:val="16"/>
                <w:color w:val="auto"/>
              </w:rPr>
              <w:t>Equity Compensation</w:t>
            </w:r>
          </w:p>
        </w:tc>
        <w:tc>
          <w:tcPr>
            <w:tcW w:w="540" w:type="dxa"/>
            <w:vAlign w:val="bottom"/>
            <w:tcBorders>
              <w:right w:val="single" w:sz="8" w:color="424E6A"/>
            </w:tcBorders>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3,774,294</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w w:val="99"/>
              </w:rPr>
              <w:t>2,347,913</w:t>
            </w:r>
            <w:r>
              <w:rPr>
                <w:rFonts w:ascii="Arial" w:cs="Arial" w:eastAsia="Arial" w:hAnsi="Arial"/>
                <w:sz w:val="19"/>
                <w:szCs w:val="19"/>
                <w:color w:val="auto"/>
                <w:w w:val="99"/>
                <w:vertAlign w:val="superscript"/>
              </w:rPr>
              <w:t>(2)</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w w:val="99"/>
              </w:rPr>
              <w:t>3,774,294</w:t>
            </w:r>
            <w:r>
              <w:rPr>
                <w:rFonts w:ascii="Arial" w:cs="Arial" w:eastAsia="Arial" w:hAnsi="Arial"/>
                <w:sz w:val="19"/>
                <w:szCs w:val="19"/>
                <w:color w:val="auto"/>
                <w:w w:val="99"/>
                <w:vertAlign w:val="superscript"/>
              </w:rPr>
              <w:t>(3)</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5,729,240</w:t>
            </w:r>
            <w:r>
              <w:rPr>
                <w:rFonts w:ascii="Arial" w:cs="Arial" w:eastAsia="Arial" w:hAnsi="Arial"/>
                <w:sz w:val="19"/>
                <w:szCs w:val="19"/>
                <w:color w:val="auto"/>
                <w:vertAlign w:val="superscript"/>
              </w:rPr>
              <w:t>(3)</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2220" w:type="dxa"/>
            <w:vAlign w:val="bottom"/>
            <w:tcBorders>
              <w:left w:val="single" w:sz="8" w:color="424E6A"/>
              <w:bottom w:val="single" w:sz="8" w:color="424E6A"/>
            </w:tcBorders>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9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90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340" w:type="dxa"/>
            <w:vAlign w:val="bottom"/>
            <w:tcBorders>
              <w:bottom w:val="single" w:sz="8" w:color="424E6A"/>
            </w:tcBorders>
            <w:vMerge w:val="continue"/>
          </w:tcPr>
          <w:p>
            <w:pPr>
              <w:spacing w:after="0"/>
              <w:rPr>
                <w:sz w:val="5"/>
                <w:szCs w:val="5"/>
                <w:color w:val="auto"/>
              </w:rPr>
            </w:pPr>
          </w:p>
        </w:tc>
        <w:tc>
          <w:tcPr>
            <w:tcW w:w="9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22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3,774,294</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2,347,913</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24E6A"/>
            </w:tcBorders>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900" w:type="dxa"/>
            <w:vAlign w:val="bottom"/>
            <w:tcBorders>
              <w:bottom w:val="single" w:sz="8" w:color="424E6A"/>
            </w:tcBorders>
          </w:tcPr>
          <w:p>
            <w:pPr>
              <w:jc w:val="right"/>
              <w:ind w:right="62"/>
              <w:spacing w:after="0"/>
              <w:rPr>
                <w:sz w:val="20"/>
                <w:szCs w:val="20"/>
                <w:color w:val="auto"/>
              </w:rPr>
            </w:pPr>
            <w:r>
              <w:rPr>
                <w:rFonts w:ascii="Arial" w:cs="Arial" w:eastAsia="Arial" w:hAnsi="Arial"/>
                <w:sz w:val="16"/>
                <w:szCs w:val="16"/>
                <w:color w:val="auto"/>
              </w:rPr>
              <w:t>3,774,294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24E6A"/>
            </w:tcBorders>
            <w:gridSpan w:val="2"/>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5,729,240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Richard McGee</w:t>
            </w:r>
            <w:r>
              <w:rPr>
                <w:rFonts w:ascii="Arial" w:cs="Arial" w:eastAsia="Arial" w:hAnsi="Arial"/>
                <w:sz w:val="19"/>
                <w:szCs w:val="19"/>
                <w:b w:val="1"/>
                <w:bCs w:val="1"/>
                <w:color w:val="auto"/>
                <w:vertAlign w:val="superscript"/>
              </w:rPr>
              <w:t>(4)</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2220" w:type="dxa"/>
            <w:vAlign w:val="bottom"/>
            <w:tcBorders>
              <w:left w:val="single" w:sz="8" w:color="424E6A"/>
            </w:tcBorders>
          </w:tcPr>
          <w:p>
            <w:pPr>
              <w:ind w:left="220"/>
              <w:spacing w:after="0" w:line="169" w:lineRule="exact"/>
              <w:rPr>
                <w:sz w:val="20"/>
                <w:szCs w:val="20"/>
                <w:color w:val="auto"/>
              </w:rPr>
            </w:pPr>
            <w:r>
              <w:rPr>
                <w:rFonts w:ascii="Arial" w:cs="Arial" w:eastAsia="Arial" w:hAnsi="Arial"/>
                <w:sz w:val="16"/>
                <w:szCs w:val="16"/>
                <w:color w:val="auto"/>
              </w:rPr>
              <w:t>Equity Compensation</w:t>
            </w:r>
          </w:p>
        </w:tc>
        <w:tc>
          <w:tcPr>
            <w:tcW w:w="540" w:type="dxa"/>
            <w:vAlign w:val="bottom"/>
            <w:tcBorders>
              <w:right w:val="single" w:sz="8" w:color="424E6A"/>
            </w:tcBorders>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3,774,294</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w w:val="99"/>
              </w:rPr>
              <w:t>2,347,913</w:t>
            </w:r>
            <w:r>
              <w:rPr>
                <w:rFonts w:ascii="Arial" w:cs="Arial" w:eastAsia="Arial" w:hAnsi="Arial"/>
                <w:sz w:val="19"/>
                <w:szCs w:val="19"/>
                <w:color w:val="auto"/>
                <w:w w:val="99"/>
                <w:vertAlign w:val="superscript"/>
              </w:rPr>
              <w:t>(2)</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w w:val="99"/>
              </w:rPr>
              <w:t>3,774,294</w:t>
            </w:r>
            <w:r>
              <w:rPr>
                <w:rFonts w:ascii="Arial" w:cs="Arial" w:eastAsia="Arial" w:hAnsi="Arial"/>
                <w:sz w:val="19"/>
                <w:szCs w:val="19"/>
                <w:color w:val="auto"/>
                <w:w w:val="99"/>
                <w:vertAlign w:val="superscript"/>
              </w:rPr>
              <w:t>(3)</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5,797,488</w:t>
            </w:r>
            <w:r>
              <w:rPr>
                <w:rFonts w:ascii="Arial" w:cs="Arial" w:eastAsia="Arial" w:hAnsi="Arial"/>
                <w:sz w:val="19"/>
                <w:szCs w:val="19"/>
                <w:color w:val="auto"/>
                <w:vertAlign w:val="superscript"/>
              </w:rPr>
              <w:t>(3)</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220" w:type="dxa"/>
            <w:vAlign w:val="bottom"/>
            <w:tcBorders>
              <w:left w:val="single" w:sz="8" w:color="424E6A"/>
              <w:bottom w:val="single" w:sz="8" w:color="424E6A"/>
            </w:tcBorders>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9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90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340" w:type="dxa"/>
            <w:vAlign w:val="bottom"/>
            <w:tcBorders>
              <w:bottom w:val="single" w:sz="8" w:color="424E6A"/>
            </w:tcBorders>
            <w:vMerge w:val="continue"/>
          </w:tcPr>
          <w:p>
            <w:pPr>
              <w:spacing w:after="0"/>
              <w:rPr>
                <w:sz w:val="5"/>
                <w:szCs w:val="5"/>
                <w:color w:val="auto"/>
              </w:rPr>
            </w:pPr>
          </w:p>
        </w:tc>
        <w:tc>
          <w:tcPr>
            <w:tcW w:w="9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3,774,294</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2,347,913</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24E6A"/>
            </w:tcBorders>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900" w:type="dxa"/>
            <w:vAlign w:val="bottom"/>
            <w:tcBorders>
              <w:bottom w:val="single" w:sz="8" w:color="424E6A"/>
            </w:tcBorders>
          </w:tcPr>
          <w:p>
            <w:pPr>
              <w:jc w:val="right"/>
              <w:ind w:right="62"/>
              <w:spacing w:after="0"/>
              <w:rPr>
                <w:sz w:val="20"/>
                <w:szCs w:val="20"/>
                <w:color w:val="auto"/>
              </w:rPr>
            </w:pPr>
            <w:r>
              <w:rPr>
                <w:rFonts w:ascii="Arial" w:cs="Arial" w:eastAsia="Arial" w:hAnsi="Arial"/>
                <w:sz w:val="16"/>
                <w:szCs w:val="16"/>
                <w:color w:val="auto"/>
              </w:rPr>
              <w:t>3,774,294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24E6A"/>
            </w:tcBorders>
            <w:gridSpan w:val="2"/>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5,797,488</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Chris Chandler</w:t>
            </w:r>
            <w:r>
              <w:rPr>
                <w:rFonts w:ascii="Arial" w:cs="Arial" w:eastAsia="Arial" w:hAnsi="Arial"/>
                <w:sz w:val="19"/>
                <w:szCs w:val="19"/>
                <w:b w:val="1"/>
                <w:bCs w:val="1"/>
                <w:color w:val="auto"/>
                <w:vertAlign w:val="superscript"/>
              </w:rPr>
              <w:t>(4)</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2220" w:type="dxa"/>
            <w:vAlign w:val="bottom"/>
            <w:tcBorders>
              <w:left w:val="single" w:sz="8" w:color="424E6A"/>
            </w:tcBorders>
          </w:tcPr>
          <w:p>
            <w:pPr>
              <w:ind w:left="220"/>
              <w:spacing w:after="0" w:line="169" w:lineRule="exact"/>
              <w:rPr>
                <w:sz w:val="20"/>
                <w:szCs w:val="20"/>
                <w:color w:val="auto"/>
              </w:rPr>
            </w:pPr>
            <w:r>
              <w:rPr>
                <w:rFonts w:ascii="Arial" w:cs="Arial" w:eastAsia="Arial" w:hAnsi="Arial"/>
                <w:sz w:val="16"/>
                <w:szCs w:val="16"/>
                <w:color w:val="auto"/>
              </w:rPr>
              <w:t>Equity Compensation</w:t>
            </w:r>
          </w:p>
        </w:tc>
        <w:tc>
          <w:tcPr>
            <w:tcW w:w="540" w:type="dxa"/>
            <w:vAlign w:val="bottom"/>
            <w:tcBorders>
              <w:right w:val="single" w:sz="8" w:color="424E6A"/>
            </w:tcBorders>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13,914,510</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12,038,291</w:t>
            </w:r>
            <w:r>
              <w:rPr>
                <w:rFonts w:ascii="Arial" w:cs="Arial" w:eastAsia="Arial" w:hAnsi="Arial"/>
                <w:sz w:val="19"/>
                <w:szCs w:val="19"/>
                <w:color w:val="auto"/>
                <w:vertAlign w:val="superscript"/>
              </w:rPr>
              <w:t>(2)</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$13,914,510</w:t>
            </w:r>
            <w:r>
              <w:rPr>
                <w:rFonts w:ascii="Arial" w:cs="Arial" w:eastAsia="Arial" w:hAnsi="Arial"/>
                <w:sz w:val="19"/>
                <w:szCs w:val="19"/>
                <w:color w:val="auto"/>
                <w:vertAlign w:val="superscript"/>
              </w:rPr>
              <w:t>(3)</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22,396,120</w:t>
            </w:r>
            <w:r>
              <w:rPr>
                <w:rFonts w:ascii="Arial" w:cs="Arial" w:eastAsia="Arial" w:hAnsi="Arial"/>
                <w:sz w:val="19"/>
                <w:szCs w:val="19"/>
                <w:color w:val="auto"/>
                <w:vertAlign w:val="superscript"/>
              </w:rPr>
              <w:t>(3)</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220" w:type="dxa"/>
            <w:vAlign w:val="bottom"/>
            <w:tcBorders>
              <w:left w:val="single" w:sz="8" w:color="424E6A"/>
              <w:bottom w:val="single" w:sz="8" w:color="424E6A"/>
            </w:tcBorders>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9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13,914,510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12,038,291</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$13,914,510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24E6A"/>
            </w:tcBorders>
            <w:gridSpan w:val="2"/>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22,396,120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2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Jeremy Goebel</w:t>
            </w:r>
            <w:r>
              <w:rPr>
                <w:rFonts w:ascii="Arial" w:cs="Arial" w:eastAsia="Arial" w:hAnsi="Arial"/>
                <w:sz w:val="19"/>
                <w:szCs w:val="19"/>
                <w:b w:val="1"/>
                <w:bCs w:val="1"/>
                <w:color w:val="auto"/>
                <w:vertAlign w:val="superscript"/>
              </w:rPr>
              <w:t>(4)</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424E6A"/>
            </w:tcBorders>
            <w:shd w:val="clear" w:color="auto" w:fill="D9DCE1"/>
          </w:tcPr>
          <w:p>
            <w:pPr>
              <w:spacing w:after="0"/>
              <w:rPr>
                <w:sz w:val="20"/>
                <w:szCs w:val="20"/>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2220" w:type="dxa"/>
            <w:vAlign w:val="bottom"/>
            <w:tcBorders>
              <w:left w:val="single" w:sz="8" w:color="424E6A"/>
            </w:tcBorders>
          </w:tcPr>
          <w:p>
            <w:pPr>
              <w:ind w:left="220"/>
              <w:spacing w:after="0" w:line="169" w:lineRule="exact"/>
              <w:rPr>
                <w:sz w:val="20"/>
                <w:szCs w:val="20"/>
                <w:color w:val="auto"/>
              </w:rPr>
            </w:pPr>
            <w:r>
              <w:rPr>
                <w:rFonts w:ascii="Arial" w:cs="Arial" w:eastAsia="Arial" w:hAnsi="Arial"/>
                <w:sz w:val="16"/>
                <w:szCs w:val="16"/>
                <w:color w:val="auto"/>
              </w:rPr>
              <w:t>Equity Compensation</w:t>
            </w:r>
          </w:p>
        </w:tc>
        <w:tc>
          <w:tcPr>
            <w:tcW w:w="540" w:type="dxa"/>
            <w:vAlign w:val="bottom"/>
            <w:tcBorders>
              <w:right w:val="single" w:sz="8" w:color="424E6A"/>
            </w:tcBorders>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13,914,510</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12,038,291</w:t>
            </w:r>
            <w:r>
              <w:rPr>
                <w:rFonts w:ascii="Arial" w:cs="Arial" w:eastAsia="Arial" w:hAnsi="Arial"/>
                <w:sz w:val="19"/>
                <w:szCs w:val="19"/>
                <w:color w:val="auto"/>
                <w:vertAlign w:val="superscript"/>
              </w:rPr>
              <w:t>(2)</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$13,914,510</w:t>
            </w:r>
            <w:r>
              <w:rPr>
                <w:rFonts w:ascii="Arial" w:cs="Arial" w:eastAsia="Arial" w:hAnsi="Arial"/>
                <w:sz w:val="19"/>
                <w:szCs w:val="19"/>
                <w:color w:val="auto"/>
                <w:vertAlign w:val="superscript"/>
              </w:rPr>
              <w:t>(3)</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26,314,992</w:t>
            </w:r>
            <w:r>
              <w:rPr>
                <w:rFonts w:ascii="Arial" w:cs="Arial" w:eastAsia="Arial" w:hAnsi="Arial"/>
                <w:sz w:val="19"/>
                <w:szCs w:val="19"/>
                <w:color w:val="auto"/>
                <w:vertAlign w:val="superscript"/>
              </w:rPr>
              <w:t>(3)</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220" w:type="dxa"/>
            <w:vAlign w:val="bottom"/>
            <w:tcBorders>
              <w:left w:val="single" w:sz="8" w:color="424E6A"/>
              <w:bottom w:val="single" w:sz="8" w:color="424E6A"/>
            </w:tcBorders>
          </w:tcPr>
          <w:p>
            <w:pPr>
              <w:spacing w:after="0"/>
              <w:rPr>
                <w:sz w:val="5"/>
                <w:szCs w:val="5"/>
                <w:color w:val="auto"/>
              </w:rPr>
            </w:pPr>
          </w:p>
        </w:tc>
        <w:tc>
          <w:tcPr>
            <w:tcW w:w="54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9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2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13,914,510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12,038,291</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$13,914,510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24E6A"/>
            </w:tcBorders>
            <w:gridSpan w:val="2"/>
          </w:tcPr>
          <w:p>
            <w:pPr>
              <w:ind w:left="3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26,314,992</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20" w:right="439" w:hanging="360"/>
        <w:spacing w:after="0" w:line="245"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7" w:lineRule="exact"/>
        <w:rPr>
          <w:rFonts w:ascii="Arial" w:cs="Arial" w:eastAsia="Arial" w:hAnsi="Arial"/>
          <w:sz w:val="26"/>
          <w:szCs w:val="26"/>
          <w:color w:val="auto"/>
          <w:vertAlign w:val="superscript"/>
        </w:rPr>
      </w:pPr>
    </w:p>
    <w:p>
      <w:pPr>
        <w:ind w:left="1620" w:right="459"/>
        <w:spacing w:after="0" w:line="244"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August 2023, August 2024 and August 2025 regular annual phantom unit grants awarded to Messrs. Chiang, Swanson, McGee, Chandler and Goebel and the letters evidencing the August 2025 special retention grants awarded to Messrs.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7" w:lineRule="exact"/>
        <w:rPr>
          <w:rFonts w:ascii="Arial" w:cs="Arial" w:eastAsia="Arial" w:hAnsi="Arial"/>
          <w:sz w:val="26"/>
          <w:szCs w:val="26"/>
          <w:color w:val="auto"/>
          <w:vertAlign w:val="superscript"/>
        </w:rPr>
      </w:pPr>
    </w:p>
    <w:p>
      <w:pPr>
        <w:ind w:left="1620" w:right="439"/>
        <w:spacing w:after="0" w:line="245"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p>
    <w:p>
      <w:pPr>
        <w:spacing w:after="0" w:line="14" w:lineRule="exact"/>
        <w:rPr>
          <w:rFonts w:ascii="Arial" w:cs="Arial" w:eastAsia="Arial" w:hAnsi="Arial"/>
          <w:sz w:val="26"/>
          <w:szCs w:val="26"/>
          <w:color w:val="auto"/>
          <w:vertAlign w:val="superscript"/>
        </w:rPr>
      </w:pPr>
    </w:p>
    <w:p>
      <w:pPr>
        <w:ind w:left="1620" w:right="959"/>
        <w:spacing w:after="0" w:line="253" w:lineRule="auto"/>
        <w:rPr>
          <w:rFonts w:ascii="Arial" w:cs="Arial" w:eastAsia="Arial" w:hAnsi="Arial"/>
          <w:sz w:val="26"/>
          <w:szCs w:val="26"/>
          <w:color w:val="auto"/>
          <w:vertAlign w:val="superscript"/>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6" w:lineRule="exact"/>
        <w:rPr>
          <w:rFonts w:ascii="Arial" w:cs="Arial" w:eastAsia="Arial" w:hAnsi="Arial"/>
          <w:sz w:val="26"/>
          <w:szCs w:val="26"/>
          <w:color w:val="auto"/>
          <w:vertAlign w:val="superscript"/>
        </w:rPr>
      </w:pPr>
    </w:p>
    <w:p>
      <w:pPr>
        <w:ind w:left="1620" w:right="439"/>
        <w:spacing w:after="0" w:line="266" w:lineRule="auto"/>
        <w:rPr>
          <w:rFonts w:ascii="Arial" w:cs="Arial" w:eastAsia="Arial" w:hAnsi="Arial"/>
          <w:sz w:val="26"/>
          <w:szCs w:val="26"/>
          <w:color w:val="auto"/>
          <w:vertAlign w:val="superscript"/>
        </w:rPr>
      </w:pPr>
      <w:r>
        <w:rPr>
          <w:rFonts w:ascii="Arial" w:cs="Arial" w:eastAsia="Arial" w:hAnsi="Arial"/>
          <w:sz w:val="17"/>
          <w:szCs w:val="17"/>
          <w:color w:val="auto"/>
        </w:rPr>
        <w:t>Assuming death or disability occurred on December 31, 2025, (i) all of the phantom units and associated DERs held by Messrs. Chiang, Swanson, McGee, Chandler and Goebel pursuant to their August 2023 and August 2024 grant letters; all of the phantom units and associated DERs held by Mr. Chiang pursuant to his August 2018 grant letter; and all of the phantom units and associated DERs held by Messrs. Chandler and Goebel pursuant to their November 2019 grant letters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59"/>
        <w:spacing w:after="0" w:line="263" w:lineRule="auto"/>
        <w:rPr>
          <w:sz w:val="20"/>
          <w:szCs w:val="20"/>
          <w:color w:val="auto"/>
        </w:rPr>
      </w:pPr>
      <w:r>
        <w:rPr>
          <w:rFonts w:ascii="Arial" w:cs="Arial" w:eastAsia="Arial" w:hAnsi="Arial"/>
          <w:sz w:val="17"/>
          <w:szCs w:val="17"/>
          <w:color w:val="auto"/>
        </w:rPr>
        <w:t>would have become nonforfeitable as of such date and would have vested on the February 2026 distribution date, and (ii) all of the phantom units and associated DERs held by Messrs. Chiang, Swanson, McGee, Chandler and Goebel pursuant to their regular annual August 2025 grant letters and all of the phantom units and associated DERs held by Messrs. Chandler and Goebel pursuant to their August 2025 special retention grant letters would have been forfeited. The dollar value given is based on the market value of PAA’s common units on December 31, 2025 ($17.96 per unit).</w:t>
      </w:r>
    </w:p>
    <w:p>
      <w:pPr>
        <w:spacing w:after="0" w:line="24" w:lineRule="exact"/>
        <w:rPr>
          <w:sz w:val="20"/>
          <w:szCs w:val="20"/>
          <w:color w:val="auto"/>
        </w:rPr>
      </w:pPr>
    </w:p>
    <w:p>
      <w:pPr>
        <w:ind w:left="1620" w:right="579" w:hanging="360"/>
        <w:spacing w:after="0" w:line="232"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20" w:lineRule="exact"/>
        <w:rPr>
          <w:rFonts w:ascii="Arial" w:cs="Arial" w:eastAsia="Arial" w:hAnsi="Arial"/>
          <w:sz w:val="27"/>
          <w:szCs w:val="27"/>
          <w:color w:val="auto"/>
          <w:vertAlign w:val="superscript"/>
        </w:rPr>
      </w:pPr>
    </w:p>
    <w:p>
      <w:pPr>
        <w:ind w:left="1620" w:right="53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5" w:lineRule="exact"/>
        <w:rPr>
          <w:rFonts w:ascii="Arial" w:cs="Arial" w:eastAsia="Arial" w:hAnsi="Arial"/>
          <w:sz w:val="27"/>
          <w:szCs w:val="27"/>
          <w:color w:val="auto"/>
          <w:vertAlign w:val="superscript"/>
        </w:rPr>
      </w:pPr>
    </w:p>
    <w:p>
      <w:pPr>
        <w:ind w:left="1620" w:right="55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regular annual phantom units granted to Messrs. Chiang, Swanson, McGee, Chandler and Goebel in August 2023, August 2024 and August 2025 and the special retention phantom units granted to Messrs. Chandler and Goebel and August 2025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applicable vesting period that has elapsed since the grant date and assuming a payout at target for any performance-based phantom units) will be deemed nonforfeitable and will vest on the next following distribution date.</w:t>
      </w:r>
    </w:p>
    <w:p>
      <w:pPr>
        <w:spacing w:after="0" w:line="1" w:lineRule="exact"/>
        <w:rPr>
          <w:rFonts w:ascii="Arial" w:cs="Arial" w:eastAsia="Arial" w:hAnsi="Arial"/>
          <w:sz w:val="27"/>
          <w:szCs w:val="27"/>
          <w:color w:val="auto"/>
          <w:vertAlign w:val="superscript"/>
        </w:rPr>
      </w:pPr>
    </w:p>
    <w:p>
      <w:pPr>
        <w:ind w:left="1620" w:right="699"/>
        <w:spacing w:after="0" w:line="246"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13"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2025,</w:t>
      </w:r>
    </w:p>
    <w:p>
      <w:pPr>
        <w:spacing w:after="0" w:line="13" w:lineRule="exact"/>
        <w:rPr>
          <w:rFonts w:ascii="Arial" w:cs="Arial" w:eastAsia="Arial" w:hAnsi="Arial"/>
          <w:sz w:val="27"/>
          <w:szCs w:val="27"/>
          <w:color w:val="auto"/>
          <w:vertAlign w:val="superscript"/>
        </w:rPr>
      </w:pPr>
    </w:p>
    <w:p>
      <w:pPr>
        <w:ind w:left="1620" w:right="419"/>
        <w:spacing w:after="0"/>
        <w:rPr>
          <w:rFonts w:ascii="Arial" w:cs="Arial" w:eastAsia="Arial" w:hAnsi="Arial"/>
          <w:sz w:val="27"/>
          <w:szCs w:val="27"/>
          <w:color w:val="auto"/>
          <w:vertAlign w:val="superscript"/>
        </w:rPr>
      </w:pPr>
      <w:r>
        <w:rPr>
          <w:rFonts w:ascii="Arial" w:cs="Arial" w:eastAsia="Arial" w:hAnsi="Arial"/>
          <w:sz w:val="18"/>
          <w:szCs w:val="18"/>
          <w:color w:val="auto"/>
        </w:rPr>
        <w:t>(i) approximately 79% of the phantom units covered by the August 2023 phantom unit grants held by Messrs. Chiang, Swanson, McGee, Chandler and Goebel; approximately 46% of the phantom units covered by the August 2024 phantom unit grants held by Messrs. Chiang, Swanson, McGee, Chandler and Goebel; 100%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2026 distribution date, and (ii) all remaining phantom units held by our Named Executive Officers would have been forfeited. The dollar value given is based on the market value of PAA’s common units on December 31, 2025 ($17.96 per unit).</w:t>
      </w:r>
    </w:p>
    <w:p>
      <w:pPr>
        <w:spacing w:after="0" w:line="49" w:lineRule="exact"/>
        <w:rPr>
          <w:rFonts w:ascii="Arial" w:cs="Arial" w:eastAsia="Arial" w:hAnsi="Arial"/>
          <w:sz w:val="27"/>
          <w:szCs w:val="27"/>
          <w:color w:val="auto"/>
          <w:vertAlign w:val="superscript"/>
        </w:rPr>
      </w:pPr>
    </w:p>
    <w:p>
      <w:pPr>
        <w:ind w:left="1620" w:right="419" w:hanging="360"/>
        <w:spacing w:after="0" w:line="237"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prior to 2025 (the “Pre-2025 NEO LTIP Grants”) provide that in the event of a change in status (see relevant definition below), including retirement on terms and timing that are approved by the CEO (or the Board in the case of the CEO),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w:t>
      </w:r>
    </w:p>
    <w:p>
      <w:pPr>
        <w:spacing w:after="0" w:line="19" w:lineRule="exact"/>
        <w:rPr>
          <w:rFonts w:ascii="Arial" w:cs="Arial" w:eastAsia="Arial" w:hAnsi="Arial"/>
          <w:sz w:val="27"/>
          <w:szCs w:val="27"/>
          <w:color w:val="auto"/>
          <w:vertAlign w:val="superscript"/>
        </w:rPr>
      </w:pPr>
    </w:p>
    <w:p>
      <w:pPr>
        <w:ind w:left="1620" w:right="619"/>
        <w:spacing w:after="0" w:line="301" w:lineRule="auto"/>
        <w:rPr>
          <w:rFonts w:ascii="Arial" w:cs="Arial" w:eastAsia="Arial" w:hAnsi="Arial"/>
          <w:sz w:val="27"/>
          <w:szCs w:val="27"/>
          <w:color w:val="auto"/>
          <w:vertAlign w:val="superscript"/>
        </w:rPr>
      </w:pPr>
      <w:r>
        <w:rPr>
          <w:rFonts w:ascii="Arial" w:cs="Arial" w:eastAsia="Arial" w:hAnsi="Arial"/>
          <w:sz w:val="17"/>
          <w:szCs w:val="17"/>
          <w:color w:val="auto"/>
        </w:rPr>
        <w:t>The letters evidencing phantom unit grants awarded to the Named Executive Officers in 2025 (the “2025 NEO LTIP Grants”) provide that in the event of a change in status (see relevant definition</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44" w:lineRule="auto"/>
        <w:rPr>
          <w:sz w:val="20"/>
          <w:szCs w:val="20"/>
          <w:color w:val="auto"/>
        </w:rPr>
      </w:pPr>
      <w:r>
        <w:rPr>
          <w:rFonts w:ascii="Arial" w:cs="Arial" w:eastAsia="Arial" w:hAnsi="Arial"/>
          <w:sz w:val="18"/>
          <w:szCs w:val="18"/>
          <w:color w:val="auto"/>
        </w:rPr>
        <w:t>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The 2025 NEO LTIP Grants also provide that in the event of retirement (as defined below) prior to the first anniversary of the date of grant, all of the then outstanding phantom units will be forfeited as of the date of termination. If such retirement occurs after the first anniversary of the date of grant,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w:t>
      </w:r>
    </w:p>
    <w:p>
      <w:pPr>
        <w:spacing w:after="0" w:line="2" w:lineRule="exact"/>
        <w:rPr>
          <w:sz w:val="20"/>
          <w:szCs w:val="20"/>
          <w:color w:val="auto"/>
        </w:rPr>
      </w:pPr>
    </w:p>
    <w:p>
      <w:pPr>
        <w:ind w:left="1620" w:right="419"/>
        <w:spacing w:after="0" w:line="244" w:lineRule="auto"/>
        <w:rPr>
          <w:sz w:val="20"/>
          <w:szCs w:val="20"/>
          <w:color w:val="auto"/>
        </w:rPr>
      </w:pPr>
      <w:r>
        <w:rPr>
          <w:rFonts w:ascii="Arial" w:cs="Arial" w:eastAsia="Arial" w:hAnsi="Arial"/>
          <w:sz w:val="18"/>
          <w:szCs w:val="18"/>
          <w:color w:val="auto"/>
        </w:rPr>
        <w:t>Assuming that a change in status or retirement occurred on December 31, 2025, all outstanding phantom units awarded under the Pre-2025 NEO LTIP Grants and the associated DERs would have become nonforfeitable as of such date and would have vested on the February 2026 distribution date. With respect to the 2025 NEO LTIP Grants, if a change in status (as defined therein) occurred on December 31, 2025, all outstanding phantom units awarded under such grants and the associated DERs would have become nonforfeitable as of such date and would have vested on the February 2026 distribution date, but if a retirement (as defined therein) occurred on December 31, 2025, all outstanding phantom units awarded under such grants and the associated DERs would have been forfeited. The dollar value given is based on the market value of PAA’s common units on December 31, 2025 ($17.96 per unit).</w:t>
      </w:r>
    </w:p>
    <w:p>
      <w:pPr>
        <w:spacing w:after="0" w:line="2" w:lineRule="exact"/>
        <w:rPr>
          <w:sz w:val="20"/>
          <w:szCs w:val="20"/>
          <w:color w:val="auto"/>
        </w:rPr>
      </w:pPr>
    </w:p>
    <w:p>
      <w:pPr>
        <w:ind w:left="1620" w:right="459"/>
        <w:spacing w:after="0" w:line="244" w:lineRule="auto"/>
        <w:rPr>
          <w:sz w:val="20"/>
          <w:szCs w:val="20"/>
          <w:color w:val="auto"/>
        </w:rPr>
      </w:pPr>
      <w:r>
        <w:rPr>
          <w:rFonts w:ascii="Arial" w:cs="Arial" w:eastAsia="Arial" w:hAnsi="Arial"/>
          <w:sz w:val="18"/>
          <w:szCs w:val="18"/>
          <w:color w:val="auto"/>
        </w:rPr>
        <w:t>For the Pre-2025 NEO LTIP Grants, 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7" w:lineRule="exact"/>
        <w:rPr>
          <w:sz w:val="20"/>
          <w:szCs w:val="20"/>
          <w:color w:val="auto"/>
        </w:rPr>
      </w:pPr>
    </w:p>
    <w:p>
      <w:pPr>
        <w:ind w:left="1620" w:right="499"/>
        <w:spacing w:after="0" w:line="256" w:lineRule="auto"/>
        <w:rPr>
          <w:sz w:val="20"/>
          <w:szCs w:val="20"/>
          <w:color w:val="auto"/>
        </w:rPr>
      </w:pPr>
      <w:r>
        <w:rPr>
          <w:rFonts w:ascii="Arial" w:cs="Arial" w:eastAsia="Arial" w:hAnsi="Arial"/>
          <w:sz w:val="18"/>
          <w:szCs w:val="18"/>
          <w:color w:val="auto"/>
        </w:rPr>
        <w:t>For the 2025 NEO LTIP Grants, the phrase “change in status” has the same meaning as set forth in the Pre-2025 NEO LTIP Grants, except that clause (C) of such definition related to retirement is excluded from “change in status” and set forth as a separate defined term such that the phrase “Retirement” means termination from full-time employment on terms and timing as approved by the CEO (or by the Board in the case of the CEO).</w:t>
      </w:r>
    </w:p>
    <w:p>
      <w:pPr>
        <w:spacing w:after="0" w:line="3" w:lineRule="exact"/>
        <w:rPr>
          <w:sz w:val="20"/>
          <w:szCs w:val="20"/>
          <w:color w:val="auto"/>
        </w:rPr>
      </w:pPr>
    </w:p>
    <w:p>
      <w:pPr>
        <w:ind w:left="1620" w:right="419"/>
        <w:spacing w:after="0" w:line="252" w:lineRule="auto"/>
        <w:rPr>
          <w:sz w:val="20"/>
          <w:szCs w:val="20"/>
          <w:color w:val="auto"/>
        </w:rPr>
      </w:pPr>
      <w:r>
        <w:rPr>
          <w:rFonts w:ascii="Arial" w:cs="Arial" w:eastAsia="Arial" w:hAnsi="Arial"/>
          <w:sz w:val="18"/>
          <w:szCs w:val="18"/>
          <w:color w:val="auto"/>
        </w:rPr>
        <w:t>The phrase “change of control” is defined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pacing w:after="0" w:line="19" w:lineRule="exact"/>
        <w:rPr>
          <w:sz w:val="20"/>
          <w:szCs w:val="20"/>
          <w:color w:val="auto"/>
        </w:rPr>
      </w:pPr>
    </w:p>
    <w:p>
      <w:pPr>
        <w:ind w:left="1620" w:right="539"/>
        <w:spacing w:after="0" w:line="318" w:lineRule="auto"/>
        <w:rPr>
          <w:sz w:val="20"/>
          <w:szCs w:val="20"/>
          <w:color w:val="auto"/>
        </w:rPr>
      </w:pPr>
      <w:r>
        <w:rPr>
          <w:rFonts w:ascii="Arial" w:cs="Arial" w:eastAsia="Arial" w:hAnsi="Arial"/>
          <w:sz w:val="17"/>
          <w:szCs w:val="17"/>
          <w:color w:val="auto"/>
        </w:rPr>
        <w:t>“Cause” is defined as (i) failure to perform the duties and responsibilities of a position at an acceptable level as reasonably determined in good faith by the CEO of GP LLC (or by the Board in</w:t>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39"/>
        <w:spacing w:after="0" w:line="259" w:lineRule="auto"/>
        <w:rPr>
          <w:sz w:val="20"/>
          <w:szCs w:val="20"/>
          <w:color w:val="auto"/>
        </w:rPr>
      </w:pPr>
      <w:r>
        <w:rPr>
          <w:rFonts w:ascii="Arial" w:cs="Arial" w:eastAsia="Arial" w:hAnsi="Arial"/>
          <w:sz w:val="18"/>
          <w:szCs w:val="18"/>
          <w:color w:val="auto"/>
        </w:rPr>
        <w:t>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44" w:lineRule="exact"/>
        <w:rPr>
          <w:sz w:val="20"/>
          <w:szCs w:val="20"/>
          <w:color w:val="auto"/>
        </w:rPr>
      </w:pPr>
    </w:p>
    <w:p>
      <w:pPr>
        <w:ind w:left="1620" w:right="919" w:hanging="360"/>
        <w:spacing w:after="0" w:line="222"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If Messrs. Chiang, Swanson, McGee, Chandler or Goebel were terminated for cause, GP LLC would be obligated to pay base salary through the date of termination, with no other payment obligation triggered by the termination under any employment arrangement.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58"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8"/>
          <w:szCs w:val="18"/>
          <w:color w:val="auto"/>
        </w:rPr>
        <w:t>Mr. Chiang has agreed to maintain the confidentiality of certain information and not to solicit customers, assets and employees for two years following termination of his employment. Messrs. McGee and Chandler have each agreed to maintain the confidentiality of certain information and not to solicit customers for a period of two years after termination of their employment.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4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2025:</w:t>
      </w:r>
    </w:p>
    <w:p>
      <w:pPr>
        <w:spacing w:after="0" w:line="68" w:lineRule="exact"/>
        <w:rPr>
          <w:sz w:val="20"/>
          <w:szCs w:val="20"/>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2025 was $12,295,167.</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2025 was $135,058.</w:t>
      </w:r>
    </w:p>
    <w:p>
      <w:pPr>
        <w:spacing w:after="0" w:line="117" w:lineRule="exact"/>
        <w:rPr>
          <w:rFonts w:ascii="Arial" w:cs="Arial" w:eastAsia="Arial" w:hAnsi="Arial"/>
          <w:sz w:val="18"/>
          <w:szCs w:val="18"/>
          <w:color w:val="auto"/>
        </w:rPr>
      </w:pPr>
    </w:p>
    <w:p>
      <w:pPr>
        <w:ind w:left="1800" w:right="579" w:hanging="180"/>
        <w:spacing w:after="0" w:line="28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2025 was approximately 91 to 1.</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2025 using the following methodology:</w:t>
      </w:r>
    </w:p>
    <w:p>
      <w:pPr>
        <w:spacing w:after="0" w:line="117" w:lineRule="exact"/>
        <w:rPr>
          <w:sz w:val="20"/>
          <w:szCs w:val="20"/>
          <w:color w:val="auto"/>
        </w:rPr>
      </w:pPr>
    </w:p>
    <w:p>
      <w:pPr>
        <w:ind w:left="1800" w:right="1159" w:hanging="180"/>
        <w:spacing w:after="0" w:line="28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2025. We included all U.S. and Canadian employees.</w:t>
      </w:r>
    </w:p>
    <w:p>
      <w:pPr>
        <w:spacing w:after="0" w:line="44"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2025. Basic wage data for each Canadian employee was extracted from Form T4 information provided to the Canada Revenue Agency for calendar year 2025 and converted to U.S. dollars. This information was then sorted and the median employee was identified.</w:t>
      </w:r>
    </w:p>
    <w:p>
      <w:pPr>
        <w:spacing w:after="0" w:line="112"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8"/>
          <w:szCs w:val="18"/>
          <w:color w:val="auto"/>
        </w:rPr>
        <w:t>The median employee’s annual total compensation for 2025 was determined using the same methodology we used for determining the annual total compensation for the Named Executive Officers as set forth in the 2025 Summary Compensation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4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CAP does not necessarily represent compensation actually paid or earned during the applicable years. This is due to the fact that CAP includes the value of outstanding equity awards that could potentially vest in future years in addition to base salary, bonus, the value of equity awards that vested during the year and 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56" w:lineRule="exact"/>
        <w:rPr>
          <w:sz w:val="20"/>
          <w:szCs w:val="20"/>
          <w:color w:val="auto"/>
        </w:rPr>
      </w:pPr>
    </w:p>
    <w:p>
      <w:pPr>
        <w:ind w:left="1260" w:right="759" w:firstLine="360"/>
        <w:spacing w:after="0" w:line="318" w:lineRule="auto"/>
        <w:rPr>
          <w:sz w:val="20"/>
          <w:szCs w:val="20"/>
          <w:color w:val="auto"/>
        </w:rPr>
      </w:pPr>
      <w:r>
        <w:rPr>
          <w:rFonts w:ascii="Arial" w:cs="Arial" w:eastAsia="Arial" w:hAnsi="Arial"/>
          <w:sz w:val="17"/>
          <w:szCs w:val="17"/>
          <w:color w:val="auto"/>
        </w:rPr>
        <w:t>The following table discloses information on CAP to our PEO and, on average, to our Non-PEO NEOs during the specified years alongside TSR, net income, and the Company-selected measure of</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080"/>
        <w:spacing w:after="0" w:line="268" w:lineRule="auto"/>
        <w:rPr>
          <w:sz w:val="20"/>
          <w:szCs w:val="20"/>
          <w:color w:val="auto"/>
        </w:rPr>
      </w:pPr>
      <w:r>
        <w:rPr>
          <w:rFonts w:ascii="Arial" w:cs="Arial" w:eastAsia="Arial" w:hAnsi="Arial"/>
          <w:sz w:val="18"/>
          <w:szCs w:val="18"/>
          <w:color w:val="auto"/>
        </w:rPr>
        <w:t>Adjusted EBITDA Attributable to PAA. Adjusted EBITDA Attributable to PAA was identified by the Company as the most important financial performance measure used to link CAP to Company performance.</w:t>
      </w:r>
    </w:p>
    <w:p>
      <w:pPr>
        <w:spacing w:after="0" w:line="189" w:lineRule="exact"/>
        <w:rPr>
          <w:sz w:val="20"/>
          <w:szCs w:val="20"/>
          <w:color w:val="auto"/>
        </w:rPr>
      </w:pPr>
    </w:p>
    <w:tbl>
      <w:tblPr>
        <w:tblLayout w:type="fixed"/>
        <w:tblInd w:w="830" w:type="dxa"/>
        <w:tblCellMar>
          <w:top w:w="0" w:type="dxa"/>
          <w:left w:w="0" w:type="dxa"/>
          <w:bottom w:w="0" w:type="dxa"/>
          <w:right w:w="0" w:type="dxa"/>
        </w:tblCellMar>
      </w:tblPr>
      <w:tr>
        <w:trPr>
          <w:trHeight w:val="185"/>
        </w:trPr>
        <w:tc>
          <w:tcPr>
            <w:tcW w:w="820" w:type="dxa"/>
            <w:vAlign w:val="bottom"/>
            <w:tcBorders>
              <w:left w:val="single" w:sz="8" w:color="424E6A"/>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940" w:type="dxa"/>
            <w:vAlign w:val="bottom"/>
            <w:tcBorders>
              <w:right w:val="single" w:sz="8" w:color="424E6A"/>
            </w:tcBorders>
            <w:shd w:val="clear" w:color="auto" w:fill="424E6A"/>
          </w:tcPr>
          <w:p>
            <w:pPr>
              <w:spacing w:after="0"/>
              <w:rPr>
                <w:sz w:val="16"/>
                <w:szCs w:val="16"/>
                <w:color w:val="auto"/>
              </w:rPr>
            </w:pPr>
          </w:p>
        </w:tc>
        <w:tc>
          <w:tcPr>
            <w:tcW w:w="980" w:type="dxa"/>
            <w:vAlign w:val="bottom"/>
            <w:shd w:val="clear" w:color="auto" w:fill="424E6A"/>
          </w:tcPr>
          <w:p>
            <w:pPr>
              <w:spacing w:after="0"/>
              <w:rPr>
                <w:sz w:val="16"/>
                <w:szCs w:val="16"/>
                <w:color w:val="auto"/>
              </w:rPr>
            </w:pPr>
          </w:p>
        </w:tc>
        <w:tc>
          <w:tcPr>
            <w:tcW w:w="160" w:type="dxa"/>
            <w:vAlign w:val="bottom"/>
            <w:tcBorders>
              <w:right w:val="single" w:sz="8" w:color="424E6A"/>
            </w:tcBorders>
            <w:shd w:val="clear" w:color="auto" w:fill="424E6A"/>
          </w:tcPr>
          <w:p>
            <w:pPr>
              <w:spacing w:after="0"/>
              <w:rPr>
                <w:sz w:val="16"/>
                <w:szCs w:val="16"/>
                <w:color w:val="auto"/>
              </w:rPr>
            </w:pPr>
          </w:p>
        </w:tc>
        <w:tc>
          <w:tcPr>
            <w:tcW w:w="1000" w:type="dxa"/>
            <w:vAlign w:val="bottom"/>
            <w:vMerge w:val="restart"/>
            <w:shd w:val="clear" w:color="auto" w:fill="424E6A"/>
          </w:tcPr>
          <w:p>
            <w:pPr>
              <w:jc w:val="center"/>
              <w:ind w:left="16"/>
              <w:spacing w:after="0"/>
              <w:rPr>
                <w:sz w:val="20"/>
                <w:szCs w:val="20"/>
                <w:color w:val="auto"/>
              </w:rPr>
            </w:pPr>
            <w:r>
              <w:rPr>
                <w:rFonts w:ascii="Arial" w:cs="Arial" w:eastAsia="Arial" w:hAnsi="Arial"/>
                <w:sz w:val="13"/>
                <w:szCs w:val="13"/>
                <w:b w:val="1"/>
                <w:bCs w:val="1"/>
                <w:color w:val="FFFFFF"/>
                <w:w w:val="93"/>
              </w:rPr>
              <w:t>Average</w:t>
            </w:r>
          </w:p>
        </w:tc>
        <w:tc>
          <w:tcPr>
            <w:tcW w:w="140" w:type="dxa"/>
            <w:vAlign w:val="bottom"/>
            <w:tcBorders>
              <w:right w:val="single" w:sz="8" w:color="424E6A"/>
            </w:tcBorders>
            <w:shd w:val="clear" w:color="auto" w:fill="424E6A"/>
          </w:tcPr>
          <w:p>
            <w:pPr>
              <w:spacing w:after="0"/>
              <w:rPr>
                <w:sz w:val="16"/>
                <w:szCs w:val="16"/>
                <w:color w:val="auto"/>
              </w:rPr>
            </w:pPr>
          </w:p>
        </w:tc>
        <w:tc>
          <w:tcPr>
            <w:tcW w:w="120" w:type="dxa"/>
            <w:vAlign w:val="bottom"/>
            <w:shd w:val="clear" w:color="auto" w:fill="424E6A"/>
          </w:tcPr>
          <w:p>
            <w:pPr>
              <w:spacing w:after="0"/>
              <w:rPr>
                <w:sz w:val="16"/>
                <w:szCs w:val="16"/>
                <w:color w:val="auto"/>
              </w:rPr>
            </w:pPr>
          </w:p>
        </w:tc>
        <w:tc>
          <w:tcPr>
            <w:tcW w:w="900" w:type="dxa"/>
            <w:vAlign w:val="bottom"/>
            <w:shd w:val="clear" w:color="auto" w:fill="424E6A"/>
          </w:tcPr>
          <w:p>
            <w:pPr>
              <w:spacing w:after="0"/>
              <w:rPr>
                <w:sz w:val="16"/>
                <w:szCs w:val="16"/>
                <w:color w:val="auto"/>
              </w:rPr>
            </w:pPr>
          </w:p>
        </w:tc>
        <w:tc>
          <w:tcPr>
            <w:tcW w:w="160" w:type="dxa"/>
            <w:vAlign w:val="bottom"/>
            <w:tcBorders>
              <w:right w:val="single" w:sz="8" w:color="424E6A"/>
            </w:tcBorders>
            <w:shd w:val="clear" w:color="auto" w:fill="424E6A"/>
          </w:tcPr>
          <w:p>
            <w:pPr>
              <w:spacing w:after="0"/>
              <w:rPr>
                <w:sz w:val="16"/>
                <w:szCs w:val="16"/>
                <w:color w:val="auto"/>
              </w:rPr>
            </w:pPr>
          </w:p>
        </w:tc>
        <w:tc>
          <w:tcPr>
            <w:tcW w:w="120" w:type="dxa"/>
            <w:vAlign w:val="bottom"/>
            <w:shd w:val="clear" w:color="auto" w:fill="424E6A"/>
          </w:tcPr>
          <w:p>
            <w:pPr>
              <w:spacing w:after="0"/>
              <w:rPr>
                <w:sz w:val="16"/>
                <w:szCs w:val="16"/>
                <w:color w:val="auto"/>
              </w:rPr>
            </w:pPr>
          </w:p>
        </w:tc>
        <w:tc>
          <w:tcPr>
            <w:tcW w:w="1380" w:type="dxa"/>
            <w:vAlign w:val="bottom"/>
            <w:gridSpan w:val="3"/>
            <w:shd w:val="clear" w:color="auto" w:fill="424E6A"/>
          </w:tcPr>
          <w:p>
            <w:pPr>
              <w:jc w:val="center"/>
              <w:spacing w:after="0"/>
              <w:rPr>
                <w:sz w:val="20"/>
                <w:szCs w:val="20"/>
                <w:color w:val="auto"/>
              </w:rPr>
            </w:pPr>
            <w:r>
              <w:rPr>
                <w:rFonts w:ascii="Arial" w:cs="Arial" w:eastAsia="Arial" w:hAnsi="Arial"/>
                <w:sz w:val="13"/>
                <w:szCs w:val="13"/>
                <w:b w:val="1"/>
                <w:bCs w:val="1"/>
                <w:color w:val="FFFFFF"/>
                <w:w w:val="95"/>
              </w:rPr>
              <w:t>Value of Initial Fixed</w:t>
            </w:r>
          </w:p>
        </w:tc>
        <w:tc>
          <w:tcPr>
            <w:tcW w:w="160" w:type="dxa"/>
            <w:vAlign w:val="bottom"/>
            <w:tcBorders>
              <w:right w:val="single" w:sz="8" w:color="424E6A"/>
            </w:tcBorders>
            <w:shd w:val="clear" w:color="auto" w:fill="424E6A"/>
          </w:tcPr>
          <w:p>
            <w:pPr>
              <w:spacing w:after="0"/>
              <w:rPr>
                <w:sz w:val="16"/>
                <w:szCs w:val="16"/>
                <w:color w:val="auto"/>
              </w:rPr>
            </w:pPr>
          </w:p>
        </w:tc>
        <w:tc>
          <w:tcPr>
            <w:tcW w:w="120" w:type="dxa"/>
            <w:vAlign w:val="bottom"/>
            <w:shd w:val="clear" w:color="auto" w:fill="424E6A"/>
          </w:tcPr>
          <w:p>
            <w:pPr>
              <w:spacing w:after="0"/>
              <w:rPr>
                <w:sz w:val="16"/>
                <w:szCs w:val="16"/>
                <w:color w:val="auto"/>
              </w:rPr>
            </w:pPr>
          </w:p>
        </w:tc>
        <w:tc>
          <w:tcPr>
            <w:tcW w:w="800" w:type="dxa"/>
            <w:vAlign w:val="bottom"/>
            <w:shd w:val="clear" w:color="auto" w:fill="424E6A"/>
          </w:tcPr>
          <w:p>
            <w:pPr>
              <w:spacing w:after="0"/>
              <w:rPr>
                <w:sz w:val="16"/>
                <w:szCs w:val="16"/>
                <w:color w:val="auto"/>
              </w:rPr>
            </w:pPr>
          </w:p>
        </w:tc>
        <w:tc>
          <w:tcPr>
            <w:tcW w:w="100" w:type="dxa"/>
            <w:vAlign w:val="bottom"/>
            <w:tcBorders>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24E6A"/>
              <w:right w:val="single" w:sz="8" w:color="424E6A"/>
            </w:tcBorders>
            <w:shd w:val="clear" w:color="auto" w:fill="424E6A"/>
          </w:tcPr>
          <w:p>
            <w:pPr>
              <w:spacing w:after="0"/>
              <w:rPr>
                <w:sz w:val="7"/>
                <w:szCs w:val="7"/>
                <w:color w:val="auto"/>
              </w:rPr>
            </w:pPr>
          </w:p>
        </w:tc>
        <w:tc>
          <w:tcPr>
            <w:tcW w:w="220" w:type="dxa"/>
            <w:vAlign w:val="bottom"/>
            <w:shd w:val="clear" w:color="auto" w:fill="424E6A"/>
          </w:tcPr>
          <w:p>
            <w:pPr>
              <w:spacing w:after="0"/>
              <w:rPr>
                <w:sz w:val="7"/>
                <w:szCs w:val="7"/>
                <w:color w:val="auto"/>
              </w:rPr>
            </w:pPr>
          </w:p>
        </w:tc>
        <w:tc>
          <w:tcPr>
            <w:tcW w:w="940" w:type="dxa"/>
            <w:vAlign w:val="bottom"/>
            <w:tcBorders>
              <w:right w:val="single" w:sz="8" w:color="424E6A"/>
            </w:tcBorders>
            <w:shd w:val="clear" w:color="auto" w:fill="424E6A"/>
          </w:tcPr>
          <w:p>
            <w:pPr>
              <w:spacing w:after="0"/>
              <w:rPr>
                <w:sz w:val="7"/>
                <w:szCs w:val="7"/>
                <w:color w:val="auto"/>
              </w:rPr>
            </w:pPr>
          </w:p>
        </w:tc>
        <w:tc>
          <w:tcPr>
            <w:tcW w:w="980" w:type="dxa"/>
            <w:vAlign w:val="bottom"/>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1000" w:type="dxa"/>
            <w:vAlign w:val="bottom"/>
            <w:vMerge w:val="continue"/>
            <w:shd w:val="clear" w:color="auto" w:fill="424E6A"/>
          </w:tcPr>
          <w:p>
            <w:pPr>
              <w:spacing w:after="0"/>
              <w:rPr>
                <w:sz w:val="7"/>
                <w:szCs w:val="7"/>
                <w:color w:val="auto"/>
              </w:rPr>
            </w:pPr>
          </w:p>
        </w:tc>
        <w:tc>
          <w:tcPr>
            <w:tcW w:w="140" w:type="dxa"/>
            <w:vAlign w:val="bottom"/>
            <w:tcBorders>
              <w:right w:val="single" w:sz="8" w:color="424E6A"/>
            </w:tcBorders>
            <w:shd w:val="clear" w:color="auto" w:fill="424E6A"/>
          </w:tcPr>
          <w:p>
            <w:pPr>
              <w:spacing w:after="0"/>
              <w:rPr>
                <w:sz w:val="7"/>
                <w:szCs w:val="7"/>
                <w:color w:val="auto"/>
              </w:rPr>
            </w:pPr>
          </w:p>
        </w:tc>
        <w:tc>
          <w:tcPr>
            <w:tcW w:w="120" w:type="dxa"/>
            <w:vAlign w:val="bottom"/>
            <w:shd w:val="clear" w:color="auto" w:fill="424E6A"/>
          </w:tcPr>
          <w:p>
            <w:pPr>
              <w:spacing w:after="0"/>
              <w:rPr>
                <w:sz w:val="7"/>
                <w:szCs w:val="7"/>
                <w:color w:val="auto"/>
              </w:rPr>
            </w:pPr>
          </w:p>
        </w:tc>
        <w:tc>
          <w:tcPr>
            <w:tcW w:w="900" w:type="dxa"/>
            <w:vAlign w:val="bottom"/>
            <w:vMerge w:val="restart"/>
            <w:shd w:val="clear" w:color="auto" w:fill="424E6A"/>
          </w:tcPr>
          <w:p>
            <w:pPr>
              <w:jc w:val="center"/>
              <w:spacing w:after="0"/>
              <w:rPr>
                <w:sz w:val="20"/>
                <w:szCs w:val="20"/>
                <w:color w:val="auto"/>
              </w:rPr>
            </w:pPr>
            <w:r>
              <w:rPr>
                <w:rFonts w:ascii="Arial" w:cs="Arial" w:eastAsia="Arial" w:hAnsi="Arial"/>
                <w:sz w:val="13"/>
                <w:szCs w:val="13"/>
                <w:b w:val="1"/>
                <w:bCs w:val="1"/>
                <w:color w:val="FFFFFF"/>
                <w:w w:val="93"/>
              </w:rPr>
              <w:t>Average</w:t>
            </w:r>
          </w:p>
        </w:tc>
        <w:tc>
          <w:tcPr>
            <w:tcW w:w="160" w:type="dxa"/>
            <w:vAlign w:val="bottom"/>
            <w:tcBorders>
              <w:right w:val="single" w:sz="8" w:color="424E6A"/>
            </w:tcBorders>
            <w:shd w:val="clear" w:color="auto" w:fill="424E6A"/>
          </w:tcPr>
          <w:p>
            <w:pPr>
              <w:spacing w:after="0"/>
              <w:rPr>
                <w:sz w:val="7"/>
                <w:szCs w:val="7"/>
                <w:color w:val="auto"/>
              </w:rPr>
            </w:pPr>
          </w:p>
        </w:tc>
        <w:tc>
          <w:tcPr>
            <w:tcW w:w="120" w:type="dxa"/>
            <w:vAlign w:val="bottom"/>
            <w:shd w:val="clear" w:color="auto" w:fill="424E6A"/>
          </w:tcPr>
          <w:p>
            <w:pPr>
              <w:spacing w:after="0"/>
              <w:rPr>
                <w:sz w:val="7"/>
                <w:szCs w:val="7"/>
                <w:color w:val="auto"/>
              </w:rPr>
            </w:pPr>
          </w:p>
        </w:tc>
        <w:tc>
          <w:tcPr>
            <w:tcW w:w="1380" w:type="dxa"/>
            <w:vAlign w:val="bottom"/>
            <w:gridSpan w:val="3"/>
            <w:vMerge w:val="restart"/>
            <w:shd w:val="clear" w:color="auto" w:fill="424E6A"/>
          </w:tcPr>
          <w:p>
            <w:pPr>
              <w:jc w:val="center"/>
              <w:spacing w:after="0" w:line="135" w:lineRule="exact"/>
              <w:rPr>
                <w:sz w:val="20"/>
                <w:szCs w:val="20"/>
                <w:color w:val="auto"/>
              </w:rPr>
            </w:pPr>
            <w:r>
              <w:rPr>
                <w:rFonts w:ascii="Arial" w:cs="Arial" w:eastAsia="Arial" w:hAnsi="Arial"/>
                <w:sz w:val="13"/>
                <w:szCs w:val="13"/>
                <w:b w:val="1"/>
                <w:bCs w:val="1"/>
                <w:color w:val="FFFFFF"/>
                <w:w w:val="94"/>
              </w:rPr>
              <w:t>$100 Investment</w:t>
            </w:r>
          </w:p>
        </w:tc>
        <w:tc>
          <w:tcPr>
            <w:tcW w:w="160" w:type="dxa"/>
            <w:vAlign w:val="bottom"/>
            <w:tcBorders>
              <w:right w:val="single" w:sz="8" w:color="424E6A"/>
            </w:tcBorders>
            <w:shd w:val="clear" w:color="auto" w:fill="424E6A"/>
          </w:tcPr>
          <w:p>
            <w:pPr>
              <w:spacing w:after="0"/>
              <w:rPr>
                <w:sz w:val="7"/>
                <w:szCs w:val="7"/>
                <w:color w:val="auto"/>
              </w:rPr>
            </w:pPr>
          </w:p>
        </w:tc>
        <w:tc>
          <w:tcPr>
            <w:tcW w:w="120" w:type="dxa"/>
            <w:vAlign w:val="bottom"/>
            <w:shd w:val="clear" w:color="auto" w:fill="424E6A"/>
          </w:tcPr>
          <w:p>
            <w:pPr>
              <w:spacing w:after="0"/>
              <w:rPr>
                <w:sz w:val="7"/>
                <w:szCs w:val="7"/>
                <w:color w:val="auto"/>
              </w:rPr>
            </w:pPr>
          </w:p>
        </w:tc>
        <w:tc>
          <w:tcPr>
            <w:tcW w:w="800" w:type="dxa"/>
            <w:vAlign w:val="bottom"/>
            <w:shd w:val="clear" w:color="auto" w:fill="424E6A"/>
          </w:tcPr>
          <w:p>
            <w:pPr>
              <w:spacing w:after="0"/>
              <w:rPr>
                <w:sz w:val="7"/>
                <w:szCs w:val="7"/>
                <w:color w:val="auto"/>
              </w:rPr>
            </w:pPr>
          </w:p>
        </w:tc>
        <w:tc>
          <w:tcPr>
            <w:tcW w:w="100" w:type="dxa"/>
            <w:vAlign w:val="bottom"/>
            <w:tcBorders>
              <w:right w:val="single" w:sz="8" w:color="424E6A"/>
            </w:tcBorders>
            <w:shd w:val="clear" w:color="auto" w:fill="424E6A"/>
          </w:tcPr>
          <w:p>
            <w:pPr>
              <w:spacing w:after="0"/>
              <w:rPr>
                <w:sz w:val="7"/>
                <w:szCs w:val="7"/>
                <w:color w:val="auto"/>
              </w:rPr>
            </w:pPr>
          </w:p>
        </w:tc>
        <w:tc>
          <w:tcPr>
            <w:tcW w:w="960" w:type="dxa"/>
            <w:vAlign w:val="bottom"/>
            <w:tcBorders>
              <w:right w:val="single" w:sz="8" w:color="424E6A"/>
            </w:tcBorders>
            <w:shd w:val="clear" w:color="auto" w:fill="424E6A"/>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424E6A"/>
              <w:right w:val="single" w:sz="8" w:color="424E6A"/>
            </w:tcBorders>
            <w:shd w:val="clear" w:color="auto" w:fill="424E6A"/>
          </w:tcPr>
          <w:p>
            <w:pPr>
              <w:spacing w:after="0"/>
              <w:rPr>
                <w:sz w:val="4"/>
                <w:szCs w:val="4"/>
                <w:color w:val="auto"/>
              </w:rPr>
            </w:pPr>
          </w:p>
        </w:tc>
        <w:tc>
          <w:tcPr>
            <w:tcW w:w="220" w:type="dxa"/>
            <w:vAlign w:val="bottom"/>
            <w:shd w:val="clear" w:color="auto" w:fill="424E6A"/>
          </w:tcPr>
          <w:p>
            <w:pPr>
              <w:spacing w:after="0"/>
              <w:rPr>
                <w:sz w:val="4"/>
                <w:szCs w:val="4"/>
                <w:color w:val="auto"/>
              </w:rPr>
            </w:pPr>
          </w:p>
        </w:tc>
        <w:tc>
          <w:tcPr>
            <w:tcW w:w="940" w:type="dxa"/>
            <w:vAlign w:val="bottom"/>
            <w:tcBorders>
              <w:right w:val="single" w:sz="8" w:color="424E6A"/>
            </w:tcBorders>
            <w:shd w:val="clear" w:color="auto" w:fill="424E6A"/>
          </w:tcPr>
          <w:p>
            <w:pPr>
              <w:spacing w:after="0"/>
              <w:rPr>
                <w:sz w:val="4"/>
                <w:szCs w:val="4"/>
                <w:color w:val="auto"/>
              </w:rPr>
            </w:pPr>
          </w:p>
        </w:tc>
        <w:tc>
          <w:tcPr>
            <w:tcW w:w="980" w:type="dxa"/>
            <w:vAlign w:val="bottom"/>
            <w:shd w:val="clear" w:color="auto" w:fill="424E6A"/>
          </w:tcPr>
          <w:p>
            <w:pPr>
              <w:spacing w:after="0"/>
              <w:rPr>
                <w:sz w:val="4"/>
                <w:szCs w:val="4"/>
                <w:color w:val="auto"/>
              </w:rPr>
            </w:pPr>
          </w:p>
        </w:tc>
        <w:tc>
          <w:tcPr>
            <w:tcW w:w="160" w:type="dxa"/>
            <w:vAlign w:val="bottom"/>
            <w:tcBorders>
              <w:right w:val="single" w:sz="8" w:color="424E6A"/>
            </w:tcBorders>
            <w:shd w:val="clear" w:color="auto" w:fill="424E6A"/>
          </w:tcPr>
          <w:p>
            <w:pPr>
              <w:spacing w:after="0"/>
              <w:rPr>
                <w:sz w:val="4"/>
                <w:szCs w:val="4"/>
                <w:color w:val="auto"/>
              </w:rPr>
            </w:pPr>
          </w:p>
        </w:tc>
        <w:tc>
          <w:tcPr>
            <w:tcW w:w="1000" w:type="dxa"/>
            <w:vAlign w:val="bottom"/>
            <w:vMerge w:val="restart"/>
            <w:shd w:val="clear" w:color="auto" w:fill="424E6A"/>
          </w:tcPr>
          <w:p>
            <w:pPr>
              <w:jc w:val="center"/>
              <w:ind w:left="16"/>
              <w:spacing w:after="0" w:line="135" w:lineRule="exact"/>
              <w:rPr>
                <w:sz w:val="20"/>
                <w:szCs w:val="20"/>
                <w:color w:val="auto"/>
              </w:rPr>
            </w:pPr>
            <w:r>
              <w:rPr>
                <w:rFonts w:ascii="Arial" w:cs="Arial" w:eastAsia="Arial" w:hAnsi="Arial"/>
                <w:sz w:val="13"/>
                <w:szCs w:val="13"/>
                <w:b w:val="1"/>
                <w:bCs w:val="1"/>
                <w:color w:val="FFFFFF"/>
                <w:w w:val="94"/>
              </w:rPr>
              <w:t>Summary</w:t>
            </w:r>
          </w:p>
        </w:tc>
        <w:tc>
          <w:tcPr>
            <w:tcW w:w="140" w:type="dxa"/>
            <w:vAlign w:val="bottom"/>
            <w:tcBorders>
              <w:right w:val="single" w:sz="8" w:color="424E6A"/>
            </w:tcBorders>
            <w:shd w:val="clear" w:color="auto" w:fill="424E6A"/>
          </w:tcPr>
          <w:p>
            <w:pPr>
              <w:spacing w:after="0"/>
              <w:rPr>
                <w:sz w:val="4"/>
                <w:szCs w:val="4"/>
                <w:color w:val="auto"/>
              </w:rPr>
            </w:pPr>
          </w:p>
        </w:tc>
        <w:tc>
          <w:tcPr>
            <w:tcW w:w="120" w:type="dxa"/>
            <w:vAlign w:val="bottom"/>
            <w:shd w:val="clear" w:color="auto" w:fill="424E6A"/>
          </w:tcPr>
          <w:p>
            <w:pPr>
              <w:spacing w:after="0"/>
              <w:rPr>
                <w:sz w:val="4"/>
                <w:szCs w:val="4"/>
                <w:color w:val="auto"/>
              </w:rPr>
            </w:pPr>
          </w:p>
        </w:tc>
        <w:tc>
          <w:tcPr>
            <w:tcW w:w="900" w:type="dxa"/>
            <w:vAlign w:val="bottom"/>
            <w:vMerge w:val="continue"/>
            <w:shd w:val="clear" w:color="auto" w:fill="424E6A"/>
          </w:tcPr>
          <w:p>
            <w:pPr>
              <w:spacing w:after="0"/>
              <w:rPr>
                <w:sz w:val="4"/>
                <w:szCs w:val="4"/>
                <w:color w:val="auto"/>
              </w:rPr>
            </w:pPr>
          </w:p>
        </w:tc>
        <w:tc>
          <w:tcPr>
            <w:tcW w:w="160" w:type="dxa"/>
            <w:vAlign w:val="bottom"/>
            <w:tcBorders>
              <w:right w:val="single" w:sz="8" w:color="424E6A"/>
            </w:tcBorders>
            <w:shd w:val="clear" w:color="auto" w:fill="424E6A"/>
          </w:tcPr>
          <w:p>
            <w:pPr>
              <w:spacing w:after="0"/>
              <w:rPr>
                <w:sz w:val="4"/>
                <w:szCs w:val="4"/>
                <w:color w:val="auto"/>
              </w:rPr>
            </w:pPr>
          </w:p>
        </w:tc>
        <w:tc>
          <w:tcPr>
            <w:tcW w:w="120" w:type="dxa"/>
            <w:vAlign w:val="bottom"/>
            <w:shd w:val="clear" w:color="auto" w:fill="424E6A"/>
          </w:tcPr>
          <w:p>
            <w:pPr>
              <w:spacing w:after="0"/>
              <w:rPr>
                <w:sz w:val="4"/>
                <w:szCs w:val="4"/>
                <w:color w:val="auto"/>
              </w:rPr>
            </w:pPr>
          </w:p>
        </w:tc>
        <w:tc>
          <w:tcPr>
            <w:tcW w:w="1380" w:type="dxa"/>
            <w:vAlign w:val="bottom"/>
            <w:gridSpan w:val="3"/>
            <w:vMerge w:val="continue"/>
            <w:shd w:val="clear" w:color="auto" w:fill="424E6A"/>
          </w:tcPr>
          <w:p>
            <w:pPr>
              <w:spacing w:after="0"/>
              <w:rPr>
                <w:sz w:val="4"/>
                <w:szCs w:val="4"/>
                <w:color w:val="auto"/>
              </w:rPr>
            </w:pPr>
          </w:p>
        </w:tc>
        <w:tc>
          <w:tcPr>
            <w:tcW w:w="160" w:type="dxa"/>
            <w:vAlign w:val="bottom"/>
            <w:tcBorders>
              <w:right w:val="single" w:sz="8" w:color="424E6A"/>
            </w:tcBorders>
            <w:shd w:val="clear" w:color="auto" w:fill="424E6A"/>
          </w:tcPr>
          <w:p>
            <w:pPr>
              <w:spacing w:after="0"/>
              <w:rPr>
                <w:sz w:val="4"/>
                <w:szCs w:val="4"/>
                <w:color w:val="auto"/>
              </w:rPr>
            </w:pPr>
          </w:p>
        </w:tc>
        <w:tc>
          <w:tcPr>
            <w:tcW w:w="120" w:type="dxa"/>
            <w:vAlign w:val="bottom"/>
            <w:shd w:val="clear" w:color="auto" w:fill="424E6A"/>
          </w:tcPr>
          <w:p>
            <w:pPr>
              <w:spacing w:after="0"/>
              <w:rPr>
                <w:sz w:val="4"/>
                <w:szCs w:val="4"/>
                <w:color w:val="auto"/>
              </w:rPr>
            </w:pPr>
          </w:p>
        </w:tc>
        <w:tc>
          <w:tcPr>
            <w:tcW w:w="800" w:type="dxa"/>
            <w:vAlign w:val="bottom"/>
            <w:shd w:val="clear" w:color="auto" w:fill="424E6A"/>
          </w:tcPr>
          <w:p>
            <w:pPr>
              <w:spacing w:after="0"/>
              <w:rPr>
                <w:sz w:val="4"/>
                <w:szCs w:val="4"/>
                <w:color w:val="auto"/>
              </w:rPr>
            </w:pPr>
          </w:p>
        </w:tc>
        <w:tc>
          <w:tcPr>
            <w:tcW w:w="100" w:type="dxa"/>
            <w:vAlign w:val="bottom"/>
            <w:tcBorders>
              <w:right w:val="single" w:sz="8" w:color="424E6A"/>
            </w:tcBorders>
            <w:shd w:val="clear" w:color="auto" w:fill="424E6A"/>
          </w:tcPr>
          <w:p>
            <w:pPr>
              <w:spacing w:after="0"/>
              <w:rPr>
                <w:sz w:val="4"/>
                <w:szCs w:val="4"/>
                <w:color w:val="auto"/>
              </w:rPr>
            </w:pPr>
          </w:p>
        </w:tc>
        <w:tc>
          <w:tcPr>
            <w:tcW w:w="960" w:type="dxa"/>
            <w:vAlign w:val="bottom"/>
            <w:tcBorders>
              <w:right w:val="single" w:sz="8" w:color="424E6A"/>
            </w:tcBorders>
            <w:shd w:val="clear" w:color="auto" w:fill="424E6A"/>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24E6A"/>
              <w:right w:val="single" w:sz="8" w:color="424E6A"/>
            </w:tcBorders>
            <w:shd w:val="clear" w:color="auto" w:fill="424E6A"/>
          </w:tcPr>
          <w:p>
            <w:pPr>
              <w:spacing w:after="0"/>
              <w:rPr>
                <w:sz w:val="7"/>
                <w:szCs w:val="7"/>
                <w:color w:val="auto"/>
              </w:rPr>
            </w:pPr>
          </w:p>
        </w:tc>
        <w:tc>
          <w:tcPr>
            <w:tcW w:w="220" w:type="dxa"/>
            <w:vAlign w:val="bottom"/>
            <w:shd w:val="clear" w:color="auto" w:fill="424E6A"/>
          </w:tcPr>
          <w:p>
            <w:pPr>
              <w:spacing w:after="0"/>
              <w:rPr>
                <w:sz w:val="7"/>
                <w:szCs w:val="7"/>
                <w:color w:val="auto"/>
              </w:rPr>
            </w:pPr>
          </w:p>
        </w:tc>
        <w:tc>
          <w:tcPr>
            <w:tcW w:w="940" w:type="dxa"/>
            <w:vAlign w:val="bottom"/>
            <w:tcBorders>
              <w:right w:val="single" w:sz="8" w:color="424E6A"/>
            </w:tcBorders>
            <w:shd w:val="clear" w:color="auto" w:fill="424E6A"/>
          </w:tcPr>
          <w:p>
            <w:pPr>
              <w:spacing w:after="0"/>
              <w:rPr>
                <w:sz w:val="7"/>
                <w:szCs w:val="7"/>
                <w:color w:val="auto"/>
              </w:rPr>
            </w:pPr>
          </w:p>
        </w:tc>
        <w:tc>
          <w:tcPr>
            <w:tcW w:w="980" w:type="dxa"/>
            <w:vAlign w:val="bottom"/>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1000" w:type="dxa"/>
            <w:vAlign w:val="bottom"/>
            <w:vMerge w:val="continue"/>
            <w:shd w:val="clear" w:color="auto" w:fill="424E6A"/>
          </w:tcPr>
          <w:p>
            <w:pPr>
              <w:spacing w:after="0"/>
              <w:rPr>
                <w:sz w:val="7"/>
                <w:szCs w:val="7"/>
                <w:color w:val="auto"/>
              </w:rPr>
            </w:pPr>
          </w:p>
        </w:tc>
        <w:tc>
          <w:tcPr>
            <w:tcW w:w="140" w:type="dxa"/>
            <w:vAlign w:val="bottom"/>
            <w:tcBorders>
              <w:right w:val="single" w:sz="8" w:color="424E6A"/>
            </w:tcBorders>
            <w:shd w:val="clear" w:color="auto" w:fill="424E6A"/>
          </w:tcPr>
          <w:p>
            <w:pPr>
              <w:spacing w:after="0"/>
              <w:rPr>
                <w:sz w:val="7"/>
                <w:szCs w:val="7"/>
                <w:color w:val="auto"/>
              </w:rPr>
            </w:pPr>
          </w:p>
        </w:tc>
        <w:tc>
          <w:tcPr>
            <w:tcW w:w="120" w:type="dxa"/>
            <w:vAlign w:val="bottom"/>
            <w:shd w:val="clear" w:color="auto" w:fill="424E6A"/>
          </w:tcPr>
          <w:p>
            <w:pPr>
              <w:spacing w:after="0"/>
              <w:rPr>
                <w:sz w:val="7"/>
                <w:szCs w:val="7"/>
                <w:color w:val="auto"/>
              </w:rPr>
            </w:pPr>
          </w:p>
        </w:tc>
        <w:tc>
          <w:tcPr>
            <w:tcW w:w="900" w:type="dxa"/>
            <w:vAlign w:val="bottom"/>
            <w:vMerge w:val="continue"/>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120" w:type="dxa"/>
            <w:vAlign w:val="bottom"/>
            <w:vMerge w:val="restart"/>
            <w:shd w:val="clear" w:color="auto" w:fill="424E6A"/>
          </w:tcPr>
          <w:p>
            <w:pPr>
              <w:ind w:left="60"/>
              <w:spacing w:after="0"/>
              <w:rPr>
                <w:sz w:val="20"/>
                <w:szCs w:val="20"/>
                <w:color w:val="auto"/>
              </w:rPr>
            </w:pPr>
            <w:r>
              <w:rPr>
                <w:rFonts w:ascii="Arial" w:cs="Arial" w:eastAsia="Arial" w:hAnsi="Arial"/>
                <w:sz w:val="13"/>
                <w:szCs w:val="13"/>
                <w:b w:val="1"/>
                <w:bCs w:val="1"/>
                <w:color w:val="FFFFFF"/>
              </w:rPr>
              <w:t>​</w:t>
            </w:r>
          </w:p>
        </w:tc>
        <w:tc>
          <w:tcPr>
            <w:tcW w:w="1380" w:type="dxa"/>
            <w:vAlign w:val="bottom"/>
            <w:gridSpan w:val="3"/>
            <w:vMerge w:val="restart"/>
            <w:shd w:val="clear" w:color="auto" w:fill="424E6A"/>
          </w:tcPr>
          <w:p>
            <w:pPr>
              <w:jc w:val="center"/>
              <w:spacing w:after="0"/>
              <w:rPr>
                <w:sz w:val="20"/>
                <w:szCs w:val="20"/>
                <w:color w:val="auto"/>
              </w:rPr>
            </w:pPr>
            <w:r>
              <w:rPr>
                <w:rFonts w:ascii="Arial" w:cs="Arial" w:eastAsia="Arial" w:hAnsi="Arial"/>
                <w:sz w:val="13"/>
                <w:szCs w:val="13"/>
                <w:b w:val="1"/>
                <w:bCs w:val="1"/>
                <w:color w:val="FFFFFF"/>
                <w:w w:val="98"/>
              </w:rPr>
              <w:t>Based On:</w:t>
            </w:r>
          </w:p>
        </w:tc>
        <w:tc>
          <w:tcPr>
            <w:tcW w:w="160" w:type="dxa"/>
            <w:vAlign w:val="bottom"/>
            <w:tcBorders>
              <w:right w:val="single" w:sz="8" w:color="424E6A"/>
            </w:tcBorders>
            <w:vMerge w:val="restart"/>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424E6A"/>
          </w:tcPr>
          <w:p>
            <w:pPr>
              <w:spacing w:after="0"/>
              <w:rPr>
                <w:sz w:val="7"/>
                <w:szCs w:val="7"/>
                <w:color w:val="auto"/>
              </w:rPr>
            </w:pPr>
          </w:p>
        </w:tc>
        <w:tc>
          <w:tcPr>
            <w:tcW w:w="800" w:type="dxa"/>
            <w:vAlign w:val="bottom"/>
            <w:shd w:val="clear" w:color="auto" w:fill="424E6A"/>
          </w:tcPr>
          <w:p>
            <w:pPr>
              <w:spacing w:after="0"/>
              <w:rPr>
                <w:sz w:val="7"/>
                <w:szCs w:val="7"/>
                <w:color w:val="auto"/>
              </w:rPr>
            </w:pPr>
          </w:p>
        </w:tc>
        <w:tc>
          <w:tcPr>
            <w:tcW w:w="100" w:type="dxa"/>
            <w:vAlign w:val="bottom"/>
            <w:tcBorders>
              <w:right w:val="single" w:sz="8" w:color="424E6A"/>
            </w:tcBorders>
            <w:shd w:val="clear" w:color="auto" w:fill="424E6A"/>
          </w:tcPr>
          <w:p>
            <w:pPr>
              <w:spacing w:after="0"/>
              <w:rPr>
                <w:sz w:val="7"/>
                <w:szCs w:val="7"/>
                <w:color w:val="auto"/>
              </w:rPr>
            </w:pPr>
          </w:p>
        </w:tc>
        <w:tc>
          <w:tcPr>
            <w:tcW w:w="960" w:type="dxa"/>
            <w:vAlign w:val="bottom"/>
            <w:tcBorders>
              <w:right w:val="single" w:sz="8" w:color="424E6A"/>
            </w:tcBorders>
            <w:shd w:val="clear" w:color="auto" w:fill="424E6A"/>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20" w:type="dxa"/>
            <w:vAlign w:val="bottom"/>
            <w:tcBorders>
              <w:left w:val="single" w:sz="8" w:color="424E6A"/>
              <w:bottom w:val="single" w:sz="8" w:color="424E6A"/>
              <w:right w:val="single" w:sz="8" w:color="424E6A"/>
            </w:tcBorders>
            <w:shd w:val="clear" w:color="auto" w:fill="424E6A"/>
          </w:tcPr>
          <w:p>
            <w:pPr>
              <w:spacing w:after="0"/>
              <w:rPr>
                <w:sz w:val="9"/>
                <w:szCs w:val="9"/>
                <w:color w:val="auto"/>
              </w:rPr>
            </w:pPr>
          </w:p>
        </w:tc>
        <w:tc>
          <w:tcPr>
            <w:tcW w:w="220" w:type="dxa"/>
            <w:vAlign w:val="bottom"/>
            <w:tcBorders>
              <w:bottom w:val="single" w:sz="8" w:color="424E6A"/>
            </w:tcBorders>
            <w:shd w:val="clear" w:color="auto" w:fill="424E6A"/>
          </w:tcPr>
          <w:p>
            <w:pPr>
              <w:spacing w:after="0"/>
              <w:rPr>
                <w:sz w:val="9"/>
                <w:szCs w:val="9"/>
                <w:color w:val="auto"/>
              </w:rPr>
            </w:pPr>
          </w:p>
        </w:tc>
        <w:tc>
          <w:tcPr>
            <w:tcW w:w="940" w:type="dxa"/>
            <w:vAlign w:val="bottom"/>
            <w:tcBorders>
              <w:bottom w:val="single" w:sz="8" w:color="424E6A"/>
              <w:right w:val="single" w:sz="8" w:color="424E6A"/>
            </w:tcBorders>
            <w:shd w:val="clear" w:color="auto" w:fill="424E6A"/>
          </w:tcPr>
          <w:p>
            <w:pPr>
              <w:jc w:val="center"/>
              <w:ind w:right="216"/>
              <w:spacing w:after="0" w:line="106" w:lineRule="exact"/>
              <w:rPr>
                <w:sz w:val="20"/>
                <w:szCs w:val="20"/>
                <w:color w:val="auto"/>
              </w:rPr>
            </w:pPr>
            <w:r>
              <w:rPr>
                <w:rFonts w:ascii="Arial" w:cs="Arial" w:eastAsia="Arial" w:hAnsi="Arial"/>
                <w:sz w:val="12"/>
                <w:szCs w:val="12"/>
                <w:b w:val="1"/>
                <w:bCs w:val="1"/>
                <w:color w:val="FFFFFF"/>
              </w:rPr>
              <w:t>Summary</w:t>
            </w:r>
          </w:p>
        </w:tc>
        <w:tc>
          <w:tcPr>
            <w:tcW w:w="980" w:type="dxa"/>
            <w:vAlign w:val="bottom"/>
            <w:tcBorders>
              <w:bottom w:val="single" w:sz="8" w:color="424E6A"/>
            </w:tcBorders>
            <w:shd w:val="clear" w:color="auto" w:fill="424E6A"/>
          </w:tcPr>
          <w:p>
            <w:pPr>
              <w:spacing w:after="0"/>
              <w:rPr>
                <w:sz w:val="9"/>
                <w:szCs w:val="9"/>
                <w:color w:val="auto"/>
              </w:rPr>
            </w:pPr>
          </w:p>
        </w:tc>
        <w:tc>
          <w:tcPr>
            <w:tcW w:w="160" w:type="dxa"/>
            <w:vAlign w:val="bottom"/>
            <w:tcBorders>
              <w:bottom w:val="single" w:sz="8" w:color="424E6A"/>
              <w:right w:val="single" w:sz="8" w:color="424E6A"/>
            </w:tcBorders>
            <w:shd w:val="clear" w:color="auto" w:fill="424E6A"/>
          </w:tcPr>
          <w:p>
            <w:pPr>
              <w:spacing w:after="0"/>
              <w:rPr>
                <w:sz w:val="9"/>
                <w:szCs w:val="9"/>
                <w:color w:val="auto"/>
              </w:rPr>
            </w:pPr>
          </w:p>
        </w:tc>
        <w:tc>
          <w:tcPr>
            <w:tcW w:w="1000" w:type="dxa"/>
            <w:vAlign w:val="bottom"/>
            <w:tcBorders>
              <w:bottom w:val="single" w:sz="8" w:color="424E6A"/>
            </w:tcBorders>
            <w:shd w:val="clear" w:color="auto" w:fill="424E6A"/>
          </w:tcPr>
          <w:p>
            <w:pPr>
              <w:jc w:val="center"/>
              <w:ind w:left="16"/>
              <w:spacing w:after="0" w:line="106" w:lineRule="exact"/>
              <w:rPr>
                <w:sz w:val="20"/>
                <w:szCs w:val="20"/>
                <w:color w:val="auto"/>
              </w:rPr>
            </w:pPr>
            <w:r>
              <w:rPr>
                <w:rFonts w:ascii="Arial" w:cs="Arial" w:eastAsia="Arial" w:hAnsi="Arial"/>
                <w:sz w:val="12"/>
                <w:szCs w:val="12"/>
                <w:b w:val="1"/>
                <w:bCs w:val="1"/>
                <w:color w:val="FFFFFF"/>
              </w:rPr>
              <w:t>Compensation</w:t>
            </w:r>
          </w:p>
        </w:tc>
        <w:tc>
          <w:tcPr>
            <w:tcW w:w="140" w:type="dxa"/>
            <w:vAlign w:val="bottom"/>
            <w:tcBorders>
              <w:bottom w:val="single" w:sz="8" w:color="424E6A"/>
              <w:right w:val="single" w:sz="8" w:color="424E6A"/>
            </w:tcBorders>
            <w:shd w:val="clear" w:color="auto" w:fill="424E6A"/>
          </w:tcPr>
          <w:p>
            <w:pPr>
              <w:spacing w:after="0"/>
              <w:rPr>
                <w:sz w:val="9"/>
                <w:szCs w:val="9"/>
                <w:color w:val="auto"/>
              </w:rPr>
            </w:pPr>
          </w:p>
        </w:tc>
        <w:tc>
          <w:tcPr>
            <w:tcW w:w="120" w:type="dxa"/>
            <w:vAlign w:val="bottom"/>
            <w:tcBorders>
              <w:bottom w:val="single" w:sz="8" w:color="424E6A"/>
            </w:tcBorders>
            <w:shd w:val="clear" w:color="auto" w:fill="424E6A"/>
          </w:tcPr>
          <w:p>
            <w:pPr>
              <w:spacing w:after="0"/>
              <w:rPr>
                <w:sz w:val="9"/>
                <w:szCs w:val="9"/>
                <w:color w:val="auto"/>
              </w:rPr>
            </w:pPr>
          </w:p>
        </w:tc>
        <w:tc>
          <w:tcPr>
            <w:tcW w:w="900" w:type="dxa"/>
            <w:vAlign w:val="bottom"/>
            <w:tcBorders>
              <w:bottom w:val="single" w:sz="8" w:color="424E6A"/>
            </w:tcBorders>
            <w:shd w:val="clear" w:color="auto" w:fill="424E6A"/>
          </w:tcPr>
          <w:p>
            <w:pPr>
              <w:jc w:val="center"/>
              <w:spacing w:after="0" w:line="106" w:lineRule="exact"/>
              <w:rPr>
                <w:sz w:val="20"/>
                <w:szCs w:val="20"/>
                <w:color w:val="auto"/>
              </w:rPr>
            </w:pPr>
            <w:r>
              <w:rPr>
                <w:rFonts w:ascii="Arial" w:cs="Arial" w:eastAsia="Arial" w:hAnsi="Arial"/>
                <w:sz w:val="12"/>
                <w:szCs w:val="12"/>
                <w:b w:val="1"/>
                <w:bCs w:val="1"/>
                <w:color w:val="FFFFFF"/>
              </w:rPr>
              <w:t>Compensation</w:t>
            </w:r>
          </w:p>
        </w:tc>
        <w:tc>
          <w:tcPr>
            <w:tcW w:w="160" w:type="dxa"/>
            <w:vAlign w:val="bottom"/>
            <w:tcBorders>
              <w:bottom w:val="single" w:sz="8" w:color="424E6A"/>
              <w:right w:val="single" w:sz="8" w:color="424E6A"/>
            </w:tcBorders>
            <w:shd w:val="clear" w:color="auto" w:fill="424E6A"/>
          </w:tcPr>
          <w:p>
            <w:pPr>
              <w:spacing w:after="0"/>
              <w:rPr>
                <w:sz w:val="9"/>
                <w:szCs w:val="9"/>
                <w:color w:val="auto"/>
              </w:rPr>
            </w:pPr>
          </w:p>
        </w:tc>
        <w:tc>
          <w:tcPr>
            <w:tcW w:w="120" w:type="dxa"/>
            <w:vAlign w:val="bottom"/>
            <w:tcBorders>
              <w:bottom w:val="single" w:sz="8" w:color="auto"/>
            </w:tcBorders>
            <w:vMerge w:val="continue"/>
            <w:shd w:val="clear" w:color="auto" w:fill="424E6A"/>
          </w:tcPr>
          <w:p>
            <w:pPr>
              <w:spacing w:after="0"/>
              <w:rPr>
                <w:sz w:val="9"/>
                <w:szCs w:val="9"/>
                <w:color w:val="auto"/>
              </w:rPr>
            </w:pPr>
          </w:p>
        </w:tc>
        <w:tc>
          <w:tcPr>
            <w:tcW w:w="1380" w:type="dxa"/>
            <w:vAlign w:val="bottom"/>
            <w:tcBorders>
              <w:bottom w:val="single" w:sz="8" w:color="auto"/>
            </w:tcBorders>
            <w:gridSpan w:val="3"/>
            <w:vMerge w:val="continue"/>
            <w:shd w:val="clear" w:color="auto" w:fill="424E6A"/>
          </w:tcPr>
          <w:p>
            <w:pPr>
              <w:spacing w:after="0"/>
              <w:rPr>
                <w:sz w:val="9"/>
                <w:szCs w:val="9"/>
                <w:color w:val="auto"/>
              </w:rPr>
            </w:pPr>
          </w:p>
        </w:tc>
        <w:tc>
          <w:tcPr>
            <w:tcW w:w="160" w:type="dxa"/>
            <w:vAlign w:val="bottom"/>
            <w:tcBorders>
              <w:bottom w:val="single" w:sz="8" w:color="auto"/>
              <w:right w:val="single" w:sz="8" w:color="424E6A"/>
            </w:tcBorders>
            <w:vMerge w:val="continue"/>
            <w:shd w:val="clear" w:color="auto" w:fill="424E6A"/>
          </w:tcPr>
          <w:p>
            <w:pPr>
              <w:spacing w:after="0"/>
              <w:rPr>
                <w:sz w:val="9"/>
                <w:szCs w:val="9"/>
                <w:color w:val="auto"/>
              </w:rPr>
            </w:pPr>
          </w:p>
        </w:tc>
        <w:tc>
          <w:tcPr>
            <w:tcW w:w="120" w:type="dxa"/>
            <w:vAlign w:val="bottom"/>
            <w:tcBorders>
              <w:bottom w:val="single" w:sz="8" w:color="424E6A"/>
            </w:tcBorders>
            <w:shd w:val="clear" w:color="auto" w:fill="424E6A"/>
          </w:tcPr>
          <w:p>
            <w:pPr>
              <w:spacing w:after="0"/>
              <w:rPr>
                <w:sz w:val="9"/>
                <w:szCs w:val="9"/>
                <w:color w:val="auto"/>
              </w:rPr>
            </w:pPr>
          </w:p>
        </w:tc>
        <w:tc>
          <w:tcPr>
            <w:tcW w:w="800" w:type="dxa"/>
            <w:vAlign w:val="bottom"/>
            <w:tcBorders>
              <w:bottom w:val="single" w:sz="8" w:color="424E6A"/>
            </w:tcBorders>
            <w:shd w:val="clear" w:color="auto" w:fill="424E6A"/>
          </w:tcPr>
          <w:p>
            <w:pPr>
              <w:spacing w:after="0"/>
              <w:rPr>
                <w:sz w:val="9"/>
                <w:szCs w:val="9"/>
                <w:color w:val="auto"/>
              </w:rPr>
            </w:pPr>
          </w:p>
        </w:tc>
        <w:tc>
          <w:tcPr>
            <w:tcW w:w="100" w:type="dxa"/>
            <w:vAlign w:val="bottom"/>
            <w:tcBorders>
              <w:bottom w:val="single" w:sz="8" w:color="424E6A"/>
              <w:right w:val="single" w:sz="8" w:color="424E6A"/>
            </w:tcBorders>
            <w:shd w:val="clear" w:color="auto" w:fill="424E6A"/>
          </w:tcPr>
          <w:p>
            <w:pPr>
              <w:spacing w:after="0"/>
              <w:rPr>
                <w:sz w:val="9"/>
                <w:szCs w:val="9"/>
                <w:color w:val="auto"/>
              </w:rPr>
            </w:pPr>
          </w:p>
        </w:tc>
        <w:tc>
          <w:tcPr>
            <w:tcW w:w="960" w:type="dxa"/>
            <w:vAlign w:val="bottom"/>
            <w:tcBorders>
              <w:bottom w:val="single" w:sz="8" w:color="424E6A"/>
              <w:right w:val="single" w:sz="8" w:color="424E6A"/>
            </w:tcBorders>
            <w:shd w:val="clear" w:color="auto" w:fill="424E6A"/>
          </w:tcPr>
          <w:p>
            <w:pPr>
              <w:jc w:val="center"/>
              <w:spacing w:after="0" w:line="106" w:lineRule="exact"/>
              <w:rPr>
                <w:sz w:val="20"/>
                <w:szCs w:val="20"/>
                <w:color w:val="auto"/>
              </w:rPr>
            </w:pPr>
            <w:r>
              <w:rPr>
                <w:rFonts w:ascii="Arial" w:cs="Arial" w:eastAsia="Arial" w:hAnsi="Arial"/>
                <w:sz w:val="12"/>
                <w:szCs w:val="12"/>
                <w:b w:val="1"/>
                <w:bCs w:val="1"/>
                <w:color w:val="FFFFFF"/>
              </w:rPr>
              <w:t>Adjusted</w:t>
            </w:r>
          </w:p>
        </w:tc>
        <w:tc>
          <w:tcPr>
            <w:tcW w:w="0" w:type="dxa"/>
            <w:vAlign w:val="bottom"/>
          </w:tcPr>
          <w:p>
            <w:pPr>
              <w:spacing w:after="0"/>
              <w:rPr>
                <w:sz w:val="1"/>
                <w:szCs w:val="1"/>
                <w:color w:val="auto"/>
              </w:rPr>
            </w:pPr>
          </w:p>
        </w:tc>
      </w:tr>
      <w:tr>
        <w:trPr>
          <w:trHeight w:val="151"/>
        </w:trPr>
        <w:tc>
          <w:tcPr>
            <w:tcW w:w="820" w:type="dxa"/>
            <w:vAlign w:val="bottom"/>
            <w:tcBorders>
              <w:left w:val="single" w:sz="8" w:color="424E6A"/>
              <w:right w:val="single" w:sz="8" w:color="424E6A"/>
            </w:tcBorders>
            <w:shd w:val="clear" w:color="auto" w:fill="424E6A"/>
          </w:tcPr>
          <w:p>
            <w:pPr>
              <w:spacing w:after="0"/>
              <w:rPr>
                <w:sz w:val="13"/>
                <w:szCs w:val="13"/>
                <w:color w:val="auto"/>
              </w:rPr>
            </w:pPr>
          </w:p>
        </w:tc>
        <w:tc>
          <w:tcPr>
            <w:tcW w:w="116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14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000" w:type="dxa"/>
            <w:vAlign w:val="bottom"/>
            <w:shd w:val="clear" w:color="auto" w:fill="424E6A"/>
          </w:tcPr>
          <w:p>
            <w:pPr>
              <w:jc w:val="center"/>
              <w:ind w:left="16"/>
              <w:spacing w:after="0"/>
              <w:rPr>
                <w:sz w:val="20"/>
                <w:szCs w:val="20"/>
                <w:color w:val="auto"/>
              </w:rPr>
            </w:pPr>
            <w:r>
              <w:rPr>
                <w:rFonts w:ascii="Arial" w:cs="Arial" w:eastAsia="Arial" w:hAnsi="Arial"/>
                <w:sz w:val="13"/>
                <w:szCs w:val="13"/>
                <w:b w:val="1"/>
                <w:bCs w:val="1"/>
                <w:color w:val="FFFFFF"/>
                <w:w w:val="93"/>
              </w:rPr>
              <w:t>Table Total for</w:t>
            </w:r>
          </w:p>
        </w:tc>
        <w:tc>
          <w:tcPr>
            <w:tcW w:w="140" w:type="dxa"/>
            <w:vAlign w:val="bottom"/>
            <w:tcBorders>
              <w:right w:val="single" w:sz="8" w:color="424E6A"/>
            </w:tcBorders>
            <w:shd w:val="clear" w:color="auto" w:fill="424E6A"/>
          </w:tcPr>
          <w:p>
            <w:pPr>
              <w:spacing w:after="0"/>
              <w:rPr>
                <w:sz w:val="13"/>
                <w:szCs w:val="13"/>
                <w:color w:val="auto"/>
              </w:rPr>
            </w:pPr>
          </w:p>
        </w:tc>
        <w:tc>
          <w:tcPr>
            <w:tcW w:w="120" w:type="dxa"/>
            <w:vAlign w:val="bottom"/>
            <w:shd w:val="clear" w:color="auto" w:fill="424E6A"/>
          </w:tcPr>
          <w:p>
            <w:pPr>
              <w:spacing w:after="0"/>
              <w:rPr>
                <w:sz w:val="13"/>
                <w:szCs w:val="13"/>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4"/>
              </w:rPr>
              <w:t>Actually</w:t>
            </w:r>
          </w:p>
        </w:tc>
        <w:tc>
          <w:tcPr>
            <w:tcW w:w="160" w:type="dxa"/>
            <w:vAlign w:val="bottom"/>
            <w:tcBorders>
              <w:right w:val="single" w:sz="8" w:color="424E6A"/>
            </w:tcBorders>
            <w:shd w:val="clear" w:color="auto" w:fill="424E6A"/>
          </w:tcPr>
          <w:p>
            <w:pPr>
              <w:spacing w:after="0"/>
              <w:rPr>
                <w:sz w:val="13"/>
                <w:szCs w:val="13"/>
                <w:color w:val="auto"/>
              </w:rPr>
            </w:pPr>
          </w:p>
        </w:tc>
        <w:tc>
          <w:tcPr>
            <w:tcW w:w="120" w:type="dxa"/>
            <w:vAlign w:val="bottom"/>
            <w:shd w:val="clear" w:color="auto" w:fill="424E6A"/>
          </w:tcPr>
          <w:p>
            <w:pPr>
              <w:spacing w:after="0"/>
              <w:rPr>
                <w:sz w:val="13"/>
                <w:szCs w:val="13"/>
                <w:color w:val="auto"/>
              </w:rPr>
            </w:pPr>
          </w:p>
        </w:tc>
        <w:tc>
          <w:tcPr>
            <w:tcW w:w="600" w:type="dxa"/>
            <w:vAlign w:val="bottom"/>
            <w:shd w:val="clear" w:color="auto" w:fill="424E6A"/>
          </w:tcPr>
          <w:p>
            <w:pPr>
              <w:spacing w:after="0"/>
              <w:rPr>
                <w:sz w:val="13"/>
                <w:szCs w:val="13"/>
                <w:color w:val="auto"/>
              </w:rPr>
            </w:pPr>
          </w:p>
        </w:tc>
        <w:tc>
          <w:tcPr>
            <w:tcW w:w="140" w:type="dxa"/>
            <w:vAlign w:val="bottom"/>
            <w:tcBorders>
              <w:right w:val="single" w:sz="8" w:color="424E6A"/>
            </w:tcBorders>
            <w:shd w:val="clear" w:color="auto" w:fill="424E6A"/>
          </w:tcPr>
          <w:p>
            <w:pPr>
              <w:spacing w:after="0"/>
              <w:rPr>
                <w:sz w:val="13"/>
                <w:szCs w:val="13"/>
                <w:color w:val="auto"/>
              </w:rPr>
            </w:pPr>
          </w:p>
        </w:tc>
        <w:tc>
          <w:tcPr>
            <w:tcW w:w="640" w:type="dxa"/>
            <w:vAlign w:val="bottom"/>
            <w:shd w:val="clear" w:color="auto" w:fill="424E6A"/>
          </w:tcPr>
          <w:p>
            <w:pPr>
              <w:jc w:val="right"/>
              <w:ind w:right="75"/>
              <w:spacing w:after="0"/>
              <w:rPr>
                <w:sz w:val="20"/>
                <w:szCs w:val="20"/>
                <w:color w:val="auto"/>
              </w:rPr>
            </w:pPr>
            <w:r>
              <w:rPr>
                <w:rFonts w:ascii="Arial" w:cs="Arial" w:eastAsia="Arial" w:hAnsi="Arial"/>
                <w:sz w:val="13"/>
                <w:szCs w:val="13"/>
                <w:b w:val="1"/>
                <w:bCs w:val="1"/>
                <w:color w:val="FFFFFF"/>
              </w:rPr>
              <w:t>Peer</w:t>
            </w:r>
          </w:p>
        </w:tc>
        <w:tc>
          <w:tcPr>
            <w:tcW w:w="160" w:type="dxa"/>
            <w:vAlign w:val="bottom"/>
            <w:tcBorders>
              <w:right w:val="single" w:sz="8" w:color="424E6A"/>
            </w:tcBorders>
            <w:shd w:val="clear" w:color="auto" w:fill="424E6A"/>
          </w:tcPr>
          <w:p>
            <w:pPr>
              <w:spacing w:after="0"/>
              <w:rPr>
                <w:sz w:val="13"/>
                <w:szCs w:val="13"/>
                <w:color w:val="auto"/>
              </w:rPr>
            </w:pPr>
          </w:p>
        </w:tc>
        <w:tc>
          <w:tcPr>
            <w:tcW w:w="120" w:type="dxa"/>
            <w:vAlign w:val="bottom"/>
            <w:shd w:val="clear" w:color="auto" w:fill="424E6A"/>
          </w:tcPr>
          <w:p>
            <w:pPr>
              <w:spacing w:after="0"/>
              <w:rPr>
                <w:sz w:val="13"/>
                <w:szCs w:val="13"/>
                <w:color w:val="auto"/>
              </w:rPr>
            </w:pPr>
          </w:p>
        </w:tc>
        <w:tc>
          <w:tcPr>
            <w:tcW w:w="800" w:type="dxa"/>
            <w:vAlign w:val="bottom"/>
            <w:shd w:val="clear" w:color="auto" w:fill="424E6A"/>
          </w:tcPr>
          <w:p>
            <w:pPr>
              <w:spacing w:after="0"/>
              <w:rPr>
                <w:sz w:val="13"/>
                <w:szCs w:val="13"/>
                <w:color w:val="auto"/>
              </w:rPr>
            </w:pPr>
          </w:p>
        </w:tc>
        <w:tc>
          <w:tcPr>
            <w:tcW w:w="100" w:type="dxa"/>
            <w:vAlign w:val="bottom"/>
            <w:tcBorders>
              <w:right w:val="single" w:sz="8" w:color="424E6A"/>
            </w:tcBorders>
            <w:shd w:val="clear" w:color="auto" w:fill="424E6A"/>
          </w:tcPr>
          <w:p>
            <w:pPr>
              <w:spacing w:after="0"/>
              <w:rPr>
                <w:sz w:val="13"/>
                <w:szCs w:val="13"/>
                <w:color w:val="auto"/>
              </w:rPr>
            </w:pPr>
          </w:p>
        </w:tc>
        <w:tc>
          <w:tcPr>
            <w:tcW w:w="9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3"/>
                <w:szCs w:val="13"/>
                <w:b w:val="1"/>
                <w:bCs w:val="1"/>
                <w:color w:val="FFFFFF"/>
                <w:w w:val="94"/>
              </w:rPr>
              <w:t>EBITDA</w:t>
            </w:r>
          </w:p>
        </w:tc>
        <w:tc>
          <w:tcPr>
            <w:tcW w:w="0" w:type="dxa"/>
            <w:vAlign w:val="bottom"/>
          </w:tcPr>
          <w:p>
            <w:pPr>
              <w:spacing w:after="0"/>
              <w:rPr>
                <w:sz w:val="1"/>
                <w:szCs w:val="1"/>
                <w:color w:val="auto"/>
              </w:rPr>
            </w:pPr>
          </w:p>
        </w:tc>
      </w:tr>
      <w:tr>
        <w:trPr>
          <w:trHeight w:val="139"/>
        </w:trPr>
        <w:tc>
          <w:tcPr>
            <w:tcW w:w="820" w:type="dxa"/>
            <w:vAlign w:val="bottom"/>
            <w:tcBorders>
              <w:left w:val="single" w:sz="8" w:color="424E6A"/>
              <w:right w:val="single" w:sz="8" w:color="424E6A"/>
            </w:tcBorders>
            <w:shd w:val="clear" w:color="auto" w:fill="424E6A"/>
          </w:tcPr>
          <w:p>
            <w:pPr>
              <w:spacing w:after="0"/>
              <w:rPr>
                <w:sz w:val="12"/>
                <w:szCs w:val="12"/>
                <w:color w:val="auto"/>
              </w:rPr>
            </w:pPr>
          </w:p>
        </w:tc>
        <w:tc>
          <w:tcPr>
            <w:tcW w:w="220" w:type="dxa"/>
            <w:vAlign w:val="bottom"/>
            <w:shd w:val="clear" w:color="auto" w:fill="424E6A"/>
          </w:tcPr>
          <w:p>
            <w:pPr>
              <w:spacing w:after="0"/>
              <w:rPr>
                <w:sz w:val="12"/>
                <w:szCs w:val="12"/>
                <w:color w:val="auto"/>
              </w:rPr>
            </w:pPr>
          </w:p>
        </w:tc>
        <w:tc>
          <w:tcPr>
            <w:tcW w:w="940" w:type="dxa"/>
            <w:vAlign w:val="bottom"/>
            <w:tcBorders>
              <w:right w:val="single" w:sz="8" w:color="424E6A"/>
            </w:tcBorders>
            <w:shd w:val="clear" w:color="auto" w:fill="424E6A"/>
          </w:tcPr>
          <w:p>
            <w:pPr>
              <w:jc w:val="center"/>
              <w:ind w:right="236"/>
              <w:spacing w:after="0" w:line="139" w:lineRule="exact"/>
              <w:rPr>
                <w:sz w:val="20"/>
                <w:szCs w:val="20"/>
                <w:color w:val="auto"/>
              </w:rPr>
            </w:pPr>
            <w:r>
              <w:rPr>
                <w:rFonts w:ascii="Arial" w:cs="Arial" w:eastAsia="Arial" w:hAnsi="Arial"/>
                <w:sz w:val="13"/>
                <w:szCs w:val="13"/>
                <w:b w:val="1"/>
                <w:bCs w:val="1"/>
                <w:color w:val="FFFFFF"/>
                <w:w w:val="93"/>
              </w:rPr>
              <w:t>Table Total</w:t>
            </w:r>
          </w:p>
        </w:tc>
        <w:tc>
          <w:tcPr>
            <w:tcW w:w="980" w:type="dxa"/>
            <w:vAlign w:val="bottom"/>
            <w:shd w:val="clear" w:color="auto" w:fill="424E6A"/>
          </w:tcPr>
          <w:p>
            <w:pPr>
              <w:jc w:val="center"/>
              <w:ind w:left="34"/>
              <w:spacing w:after="0" w:line="139" w:lineRule="exact"/>
              <w:rPr>
                <w:sz w:val="20"/>
                <w:szCs w:val="20"/>
                <w:color w:val="auto"/>
              </w:rPr>
            </w:pPr>
            <w:r>
              <w:rPr>
                <w:rFonts w:ascii="Arial" w:cs="Arial" w:eastAsia="Arial" w:hAnsi="Arial"/>
                <w:sz w:val="13"/>
                <w:szCs w:val="13"/>
                <w:b w:val="1"/>
                <w:bCs w:val="1"/>
                <w:color w:val="FFFFFF"/>
                <w:w w:val="94"/>
              </w:rPr>
              <w:t>Actually</w:t>
            </w:r>
          </w:p>
        </w:tc>
        <w:tc>
          <w:tcPr>
            <w:tcW w:w="160" w:type="dxa"/>
            <w:vAlign w:val="bottom"/>
            <w:tcBorders>
              <w:right w:val="single" w:sz="8" w:color="424E6A"/>
            </w:tcBorders>
            <w:shd w:val="clear" w:color="auto" w:fill="424E6A"/>
          </w:tcPr>
          <w:p>
            <w:pPr>
              <w:spacing w:after="0"/>
              <w:rPr>
                <w:sz w:val="12"/>
                <w:szCs w:val="12"/>
                <w:color w:val="auto"/>
              </w:rPr>
            </w:pPr>
          </w:p>
        </w:tc>
        <w:tc>
          <w:tcPr>
            <w:tcW w:w="1000" w:type="dxa"/>
            <w:vAlign w:val="bottom"/>
            <w:shd w:val="clear" w:color="auto" w:fill="424E6A"/>
          </w:tcPr>
          <w:p>
            <w:pPr>
              <w:jc w:val="center"/>
              <w:ind w:left="16"/>
              <w:spacing w:after="0" w:line="139" w:lineRule="exact"/>
              <w:rPr>
                <w:sz w:val="20"/>
                <w:szCs w:val="20"/>
                <w:color w:val="auto"/>
              </w:rPr>
            </w:pPr>
            <w:r>
              <w:rPr>
                <w:rFonts w:ascii="Arial" w:cs="Arial" w:eastAsia="Arial" w:hAnsi="Arial"/>
                <w:sz w:val="13"/>
                <w:szCs w:val="13"/>
                <w:b w:val="1"/>
                <w:bCs w:val="1"/>
                <w:color w:val="FFFFFF"/>
                <w:w w:val="98"/>
              </w:rPr>
              <w:t>Non-PEO</w:t>
            </w:r>
          </w:p>
        </w:tc>
        <w:tc>
          <w:tcPr>
            <w:tcW w:w="14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6"/>
              </w:rPr>
              <w:t>Paid to Non-</w:t>
            </w:r>
          </w:p>
        </w:tc>
        <w:tc>
          <w:tcPr>
            <w:tcW w:w="16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6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4"/>
              </w:rPr>
              <w:t>Company</w:t>
            </w:r>
          </w:p>
        </w:tc>
        <w:tc>
          <w:tcPr>
            <w:tcW w:w="140" w:type="dxa"/>
            <w:vAlign w:val="bottom"/>
            <w:tcBorders>
              <w:right w:val="single" w:sz="8" w:color="424E6A"/>
            </w:tcBorders>
            <w:shd w:val="clear" w:color="auto" w:fill="424E6A"/>
          </w:tcPr>
          <w:p>
            <w:pPr>
              <w:spacing w:after="0"/>
              <w:rPr>
                <w:sz w:val="12"/>
                <w:szCs w:val="12"/>
                <w:color w:val="auto"/>
              </w:rPr>
            </w:pPr>
          </w:p>
        </w:tc>
        <w:tc>
          <w:tcPr>
            <w:tcW w:w="640" w:type="dxa"/>
            <w:vAlign w:val="bottom"/>
            <w:shd w:val="clear" w:color="auto" w:fill="424E6A"/>
          </w:tcPr>
          <w:p>
            <w:pPr>
              <w:jc w:val="right"/>
              <w:ind w:right="15"/>
              <w:spacing w:after="0" w:line="139" w:lineRule="exact"/>
              <w:rPr>
                <w:sz w:val="20"/>
                <w:szCs w:val="20"/>
                <w:color w:val="auto"/>
              </w:rPr>
            </w:pPr>
            <w:r>
              <w:rPr>
                <w:rFonts w:ascii="Arial" w:cs="Arial" w:eastAsia="Arial" w:hAnsi="Arial"/>
                <w:sz w:val="13"/>
                <w:szCs w:val="13"/>
                <w:b w:val="1"/>
                <w:bCs w:val="1"/>
                <w:color w:val="FFFFFF"/>
              </w:rPr>
              <w:t>Group</w:t>
            </w:r>
          </w:p>
        </w:tc>
        <w:tc>
          <w:tcPr>
            <w:tcW w:w="16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8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rPr>
              <w:t>Net Income/​</w:t>
            </w:r>
          </w:p>
        </w:tc>
        <w:tc>
          <w:tcPr>
            <w:tcW w:w="100" w:type="dxa"/>
            <w:vAlign w:val="bottom"/>
            <w:tcBorders>
              <w:right w:val="single" w:sz="8" w:color="424E6A"/>
            </w:tcBorders>
            <w:shd w:val="clear" w:color="auto" w:fill="424E6A"/>
          </w:tcPr>
          <w:p>
            <w:pPr>
              <w:spacing w:after="0"/>
              <w:rPr>
                <w:sz w:val="12"/>
                <w:szCs w:val="12"/>
                <w:color w:val="auto"/>
              </w:rPr>
            </w:pPr>
          </w:p>
        </w:tc>
        <w:tc>
          <w:tcPr>
            <w:tcW w:w="960" w:type="dxa"/>
            <w:vAlign w:val="bottom"/>
            <w:tcBorders>
              <w:right w:val="single" w:sz="8" w:color="424E6A"/>
            </w:tcBorders>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5"/>
              </w:rPr>
              <w:t>Attributable</w:t>
            </w:r>
          </w:p>
        </w:tc>
        <w:tc>
          <w:tcPr>
            <w:tcW w:w="0" w:type="dxa"/>
            <w:vAlign w:val="bottom"/>
          </w:tcPr>
          <w:p>
            <w:pPr>
              <w:spacing w:after="0"/>
              <w:rPr>
                <w:sz w:val="1"/>
                <w:szCs w:val="1"/>
                <w:color w:val="auto"/>
              </w:rPr>
            </w:pPr>
          </w:p>
        </w:tc>
      </w:tr>
      <w:tr>
        <w:trPr>
          <w:trHeight w:val="216"/>
        </w:trPr>
        <w:tc>
          <w:tcPr>
            <w:tcW w:w="82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3"/>
                <w:szCs w:val="13"/>
                <w:b w:val="1"/>
                <w:bCs w:val="1"/>
                <w:color w:val="FFFFFF"/>
              </w:rPr>
              <w:t>Year</w:t>
            </w:r>
          </w:p>
        </w:tc>
        <w:tc>
          <w:tcPr>
            <w:tcW w:w="220" w:type="dxa"/>
            <w:vAlign w:val="bottom"/>
            <w:shd w:val="clear" w:color="auto" w:fill="424E6A"/>
          </w:tcPr>
          <w:p>
            <w:pPr>
              <w:spacing w:after="0"/>
              <w:rPr>
                <w:sz w:val="18"/>
                <w:szCs w:val="18"/>
                <w:color w:val="auto"/>
              </w:rPr>
            </w:pPr>
          </w:p>
        </w:tc>
        <w:tc>
          <w:tcPr>
            <w:tcW w:w="940" w:type="dxa"/>
            <w:vAlign w:val="bottom"/>
            <w:tcBorders>
              <w:right w:val="single" w:sz="8" w:color="424E6A"/>
            </w:tcBorders>
            <w:shd w:val="clear" w:color="auto" w:fill="424E6A"/>
          </w:tcPr>
          <w:p>
            <w:pPr>
              <w:jc w:val="center"/>
              <w:ind w:right="196"/>
              <w:spacing w:after="0"/>
              <w:rPr>
                <w:sz w:val="20"/>
                <w:szCs w:val="20"/>
                <w:color w:val="auto"/>
              </w:rPr>
            </w:pPr>
            <w:r>
              <w:rPr>
                <w:rFonts w:ascii="Arial" w:cs="Arial" w:eastAsia="Arial" w:hAnsi="Arial"/>
                <w:sz w:val="13"/>
                <w:szCs w:val="13"/>
                <w:b w:val="1"/>
                <w:bCs w:val="1"/>
                <w:color w:val="FFFFFF"/>
                <w:w w:val="91"/>
              </w:rPr>
              <w:t>for PEO</w:t>
            </w:r>
            <w:r>
              <w:rPr>
                <w:rFonts w:ascii="Arial" w:cs="Arial" w:eastAsia="Arial" w:hAnsi="Arial"/>
                <w:sz w:val="16"/>
                <w:szCs w:val="16"/>
                <w:b w:val="1"/>
                <w:bCs w:val="1"/>
                <w:color w:val="FFFFFF"/>
                <w:w w:val="91"/>
                <w:vertAlign w:val="superscript"/>
              </w:rPr>
              <w:t>(1)</w:t>
            </w:r>
          </w:p>
        </w:tc>
        <w:tc>
          <w:tcPr>
            <w:tcW w:w="114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3"/>
                <w:szCs w:val="13"/>
                <w:b w:val="1"/>
                <w:bCs w:val="1"/>
                <w:color w:val="FFFFFF"/>
                <w:w w:val="93"/>
              </w:rPr>
              <w:t>Paid to PEO</w:t>
            </w:r>
            <w:r>
              <w:rPr>
                <w:rFonts w:ascii="Arial" w:cs="Arial" w:eastAsia="Arial" w:hAnsi="Arial"/>
                <w:sz w:val="16"/>
                <w:szCs w:val="16"/>
                <w:b w:val="1"/>
                <w:bCs w:val="1"/>
                <w:color w:val="FFFFFF"/>
                <w:w w:val="93"/>
                <w:vertAlign w:val="superscript"/>
              </w:rPr>
              <w:t>(2)</w:t>
            </w:r>
          </w:p>
        </w:tc>
        <w:tc>
          <w:tcPr>
            <w:tcW w:w="1000" w:type="dxa"/>
            <w:vAlign w:val="bottom"/>
            <w:shd w:val="clear" w:color="auto" w:fill="424E6A"/>
          </w:tcPr>
          <w:p>
            <w:pPr>
              <w:jc w:val="center"/>
              <w:ind w:left="56"/>
              <w:spacing w:after="0"/>
              <w:rPr>
                <w:sz w:val="20"/>
                <w:szCs w:val="20"/>
                <w:color w:val="auto"/>
              </w:rPr>
            </w:pPr>
            <w:r>
              <w:rPr>
                <w:rFonts w:ascii="Arial" w:cs="Arial" w:eastAsia="Arial" w:hAnsi="Arial"/>
                <w:sz w:val="13"/>
                <w:szCs w:val="13"/>
                <w:b w:val="1"/>
                <w:bCs w:val="1"/>
                <w:color w:val="FFFFFF"/>
                <w:w w:val="90"/>
              </w:rPr>
              <w:t>NEOs</w:t>
            </w:r>
            <w:r>
              <w:rPr>
                <w:rFonts w:ascii="Arial" w:cs="Arial" w:eastAsia="Arial" w:hAnsi="Arial"/>
                <w:sz w:val="16"/>
                <w:szCs w:val="16"/>
                <w:b w:val="1"/>
                <w:bCs w:val="1"/>
                <w:color w:val="FFFFFF"/>
                <w:w w:val="90"/>
                <w:vertAlign w:val="superscript"/>
              </w:rPr>
              <w:t>(1)</w:t>
            </w:r>
          </w:p>
        </w:tc>
        <w:tc>
          <w:tcPr>
            <w:tcW w:w="140" w:type="dxa"/>
            <w:vAlign w:val="bottom"/>
            <w:tcBorders>
              <w:right w:val="single" w:sz="8" w:color="424E6A"/>
            </w:tcBorders>
            <w:shd w:val="clear" w:color="auto" w:fill="424E6A"/>
          </w:tcPr>
          <w:p>
            <w:pPr>
              <w:spacing w:after="0"/>
              <w:rPr>
                <w:sz w:val="18"/>
                <w:szCs w:val="18"/>
                <w:color w:val="auto"/>
              </w:rPr>
            </w:pPr>
          </w:p>
        </w:tc>
        <w:tc>
          <w:tcPr>
            <w:tcW w:w="120" w:type="dxa"/>
            <w:vAlign w:val="bottom"/>
            <w:shd w:val="clear" w:color="auto" w:fill="424E6A"/>
          </w:tcPr>
          <w:p>
            <w:pPr>
              <w:ind w:left="60"/>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3"/>
              </w:rPr>
              <w:t>PEO NEOs</w:t>
            </w:r>
            <w:r>
              <w:rPr>
                <w:rFonts w:ascii="Arial" w:cs="Arial" w:eastAsia="Arial" w:hAnsi="Arial"/>
                <w:sz w:val="16"/>
                <w:szCs w:val="16"/>
                <w:b w:val="1"/>
                <w:bCs w:val="1"/>
                <w:color w:val="FFFFFF"/>
                <w:w w:val="93"/>
                <w:vertAlign w:val="superscript"/>
              </w:rPr>
              <w:t>(2)</w:t>
            </w:r>
          </w:p>
        </w:tc>
        <w:tc>
          <w:tcPr>
            <w:tcW w:w="1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424E6A"/>
          </w:tcPr>
          <w:p>
            <w:pPr>
              <w:ind w:left="6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424E6A"/>
          </w:tcPr>
          <w:p>
            <w:pPr>
              <w:jc w:val="center"/>
              <w:spacing w:after="0" w:line="202" w:lineRule="exact"/>
              <w:rPr>
                <w:sz w:val="20"/>
                <w:szCs w:val="20"/>
                <w:color w:val="auto"/>
              </w:rPr>
            </w:pPr>
            <w:r>
              <w:rPr>
                <w:rFonts w:ascii="Arial" w:cs="Arial" w:eastAsia="Arial" w:hAnsi="Arial"/>
                <w:sz w:val="23"/>
                <w:szCs w:val="23"/>
                <w:b w:val="1"/>
                <w:bCs w:val="1"/>
                <w:color w:val="FFFFFF"/>
                <w:w w:val="88"/>
                <w:vertAlign w:val="subscript"/>
              </w:rPr>
              <w:t>TSR</w:t>
            </w:r>
            <w:r>
              <w:rPr>
                <w:rFonts w:ascii="Arial" w:cs="Arial" w:eastAsia="Arial" w:hAnsi="Arial"/>
                <w:sz w:val="8"/>
                <w:szCs w:val="8"/>
                <w:b w:val="1"/>
                <w:bCs w:val="1"/>
                <w:color w:val="FFFFFF"/>
                <w:w w:val="88"/>
              </w:rPr>
              <w:t>(3)</w:t>
            </w:r>
          </w:p>
        </w:tc>
        <w:tc>
          <w:tcPr>
            <w:tcW w:w="14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424E6A"/>
          </w:tcPr>
          <w:p>
            <w:pPr>
              <w:jc w:val="right"/>
              <w:ind w:right="15"/>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 xml:space="preserve">  TSR</w:t>
            </w:r>
            <w:r>
              <w:rPr>
                <w:rFonts w:ascii="Arial" w:cs="Arial" w:eastAsia="Arial" w:hAnsi="Arial"/>
                <w:sz w:val="15"/>
                <w:szCs w:val="15"/>
                <w:b w:val="1"/>
                <w:bCs w:val="1"/>
                <w:color w:val="FFFFFF"/>
                <w:vertAlign w:val="superscript"/>
              </w:rPr>
              <w:t>(3)</w:t>
            </w:r>
          </w:p>
        </w:tc>
        <w:tc>
          <w:tcPr>
            <w:tcW w:w="1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424E6A"/>
          </w:tcPr>
          <w:p>
            <w:pPr>
              <w:ind w:left="60"/>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(Loss)</w:t>
            </w:r>
          </w:p>
        </w:tc>
        <w:tc>
          <w:tcPr>
            <w:tcW w:w="10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424E6A"/>
            </w:tcBorders>
            <w:shd w:val="clear" w:color="auto" w:fill="424E6A"/>
          </w:tcPr>
          <w:p>
            <w:pPr>
              <w:ind w:left="60"/>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 xml:space="preserve">   to PAA</w:t>
            </w:r>
          </w:p>
        </w:tc>
        <w:tc>
          <w:tcPr>
            <w:tcW w:w="0" w:type="dxa"/>
            <w:vAlign w:val="bottom"/>
          </w:tcPr>
          <w:p>
            <w:pPr>
              <w:spacing w:after="0"/>
              <w:rPr>
                <w:sz w:val="1"/>
                <w:szCs w:val="1"/>
                <w:color w:val="auto"/>
              </w:rPr>
            </w:pPr>
          </w:p>
        </w:tc>
      </w:tr>
      <w:tr>
        <w:trPr>
          <w:trHeight w:val="229"/>
        </w:trPr>
        <w:tc>
          <w:tcPr>
            <w:tcW w:w="82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2025</w:t>
            </w:r>
          </w:p>
        </w:tc>
        <w:tc>
          <w:tcPr>
            <w:tcW w:w="1160" w:type="dxa"/>
            <w:vAlign w:val="bottom"/>
            <w:tcBorders>
              <w:bottom w:val="single" w:sz="8" w:color="424E6A"/>
              <w:right w:val="single" w:sz="8" w:color="424E6A"/>
            </w:tcBorders>
            <w:gridSpan w:val="2"/>
            <w:shd w:val="clear" w:color="auto" w:fill="D9DCE1"/>
          </w:tcPr>
          <w:p>
            <w:pPr>
              <w:jc w:val="right"/>
              <w:ind w:right="36"/>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$ 12,295,167 </w:t>
            </w:r>
            <w:r>
              <w:rPr>
                <w:rFonts w:ascii="Arial" w:cs="Arial" w:eastAsia="Arial" w:hAnsi="Arial"/>
                <w:sz w:val="26"/>
                <w:szCs w:val="26"/>
                <w:color w:val="auto"/>
                <w:vertAlign w:val="subscript"/>
              </w:rPr>
              <w:t>​</w:t>
            </w:r>
          </w:p>
        </w:tc>
        <w:tc>
          <w:tcPr>
            <w:tcW w:w="1140" w:type="dxa"/>
            <w:vAlign w:val="bottom"/>
            <w:tcBorders>
              <w:bottom w:val="single" w:sz="8" w:color="424E6A"/>
              <w:right w:val="single" w:sz="8" w:color="424E6A"/>
            </w:tcBorders>
            <w:gridSpan w:val="2"/>
            <w:shd w:val="clear" w:color="auto" w:fill="D9DCE1"/>
          </w:tcPr>
          <w:p>
            <w:pPr>
              <w:jc w:val="right"/>
              <w:ind w:right="2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$ 18,629,144 </w:t>
            </w:r>
            <w:r>
              <w:rPr>
                <w:rFonts w:ascii="Arial" w:cs="Arial" w:eastAsia="Arial" w:hAnsi="Arial"/>
                <w:sz w:val="26"/>
                <w:szCs w:val="26"/>
                <w:color w:val="auto"/>
                <w:vertAlign w:val="subscript"/>
              </w:rPr>
              <w:t>​</w:t>
            </w:r>
          </w:p>
        </w:tc>
        <w:tc>
          <w:tcPr>
            <w:tcW w:w="1000" w:type="dxa"/>
            <w:vAlign w:val="bottom"/>
            <w:tcBorders>
              <w:bottom w:val="single" w:sz="8" w:color="424E6A"/>
            </w:tcBorders>
            <w:shd w:val="clear" w:color="auto" w:fill="D9DCE1"/>
          </w:tcPr>
          <w:p>
            <w:pPr>
              <w:jc w:val="center"/>
              <w:ind w:left="36"/>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$ 6,772,185</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$ 8,674,529</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shd w:val="clear" w:color="auto" w:fill="D9DCE1"/>
          </w:tcPr>
          <w:p>
            <w:pPr>
              <w:ind w:left="60"/>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color w:val="auto"/>
              </w:rPr>
              <w:t xml:space="preserve">$ 320.92 </w:t>
            </w:r>
            <w:r>
              <w:rPr>
                <w:rFonts w:ascii="Arial" w:cs="Arial" w:eastAsia="Arial" w:hAnsi="Arial"/>
                <w:sz w:val="26"/>
                <w:szCs w:val="26"/>
                <w:color w:val="auto"/>
                <w:vertAlign w:val="subscript"/>
              </w:rPr>
              <w:t>​ ​</w:t>
            </w:r>
          </w:p>
        </w:tc>
        <w:tc>
          <w:tcPr>
            <w:tcW w:w="800" w:type="dxa"/>
            <w:vAlign w:val="bottom"/>
            <w:tcBorders>
              <w:bottom w:val="single" w:sz="8" w:color="424E6A"/>
              <w:right w:val="single" w:sz="8" w:color="424E6A"/>
            </w:tcBorders>
            <w:gridSpan w:val="2"/>
            <w:shd w:val="clear" w:color="auto" w:fill="D9DCE1"/>
          </w:tcPr>
          <w:p>
            <w:pPr>
              <w:jc w:val="right"/>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color w:val="auto"/>
              </w:rPr>
              <w:t xml:space="preserve">$291.01 </w:t>
            </w:r>
            <w:r>
              <w:rPr>
                <w:rFonts w:ascii="Arial" w:cs="Arial" w:eastAsia="Arial" w:hAnsi="Arial"/>
                <w:sz w:val="26"/>
                <w:szCs w:val="26"/>
                <w:color w:val="auto"/>
                <w:vertAlign w:val="subscript"/>
              </w:rPr>
              <w:t>​</w:t>
            </w:r>
          </w:p>
        </w:tc>
        <w:tc>
          <w:tcPr>
            <w:tcW w:w="1020" w:type="dxa"/>
            <w:vAlign w:val="bottom"/>
            <w:tcBorders>
              <w:bottom w:val="single" w:sz="8" w:color="424E6A"/>
              <w:right w:val="single" w:sz="8" w:color="424E6A"/>
            </w:tcBorders>
            <w:gridSpan w:val="3"/>
            <w:shd w:val="clear" w:color="auto" w:fill="D9DCE1"/>
          </w:tcPr>
          <w:p>
            <w:pPr>
              <w:ind w:left="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$1.77 billion </w:t>
            </w:r>
            <w:r>
              <w:rPr>
                <w:rFonts w:ascii="Arial" w:cs="Arial" w:eastAsia="Arial" w:hAnsi="Arial"/>
                <w:sz w:val="26"/>
                <w:szCs w:val="26"/>
                <w:color w:val="auto"/>
                <w:vertAlign w:val="subscript"/>
              </w:rPr>
              <w:t>​</w:t>
            </w:r>
          </w:p>
        </w:tc>
        <w:tc>
          <w:tcPr>
            <w:tcW w:w="960" w:type="dxa"/>
            <w:vAlign w:val="bottom"/>
            <w:tcBorders>
              <w:bottom w:val="single" w:sz="8" w:color="424E6A"/>
              <w:right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$2.83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424E6A"/>
            </w:tcBorders>
          </w:tcPr>
          <w:p>
            <w:pPr>
              <w:ind w:left="140"/>
              <w:spacing w:after="0" w:line="22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940" w:type="dxa"/>
            <w:vAlign w:val="bottom"/>
            <w:tcBorders>
              <w:bottom w:val="single" w:sz="8" w:color="424E6A"/>
              <w:right w:val="single" w:sz="8" w:color="424E6A"/>
            </w:tcBorders>
          </w:tcPr>
          <w:p>
            <w:pPr>
              <w:jc w:val="right"/>
              <w:ind w:right="36"/>
              <w:spacing w:after="0" w:line="223" w:lineRule="exact"/>
              <w:rPr>
                <w:sz w:val="20"/>
                <w:szCs w:val="20"/>
                <w:color w:val="auto"/>
              </w:rPr>
            </w:pPr>
            <w:r>
              <w:rPr>
                <w:rFonts w:ascii="Arial" w:cs="Arial" w:eastAsia="Arial" w:hAnsi="Arial"/>
                <w:sz w:val="13"/>
                <w:szCs w:val="13"/>
                <w:color w:val="auto"/>
              </w:rPr>
              <w:t xml:space="preserve">8,511,945 </w:t>
            </w:r>
            <w:r>
              <w:rPr>
                <w:rFonts w:ascii="Arial" w:cs="Arial" w:eastAsia="Arial" w:hAnsi="Arial"/>
                <w:sz w:val="25"/>
                <w:szCs w:val="25"/>
                <w:color w:val="auto"/>
                <w:vertAlign w:val="subscript"/>
              </w:rPr>
              <w:t>​</w:t>
            </w:r>
          </w:p>
        </w:tc>
        <w:tc>
          <w:tcPr>
            <w:tcW w:w="1140" w:type="dxa"/>
            <w:vAlign w:val="bottom"/>
            <w:tcBorders>
              <w:bottom w:val="single" w:sz="8" w:color="424E6A"/>
              <w:right w:val="single" w:sz="8" w:color="424E6A"/>
            </w:tcBorders>
            <w:gridSpan w:val="2"/>
          </w:tcPr>
          <w:p>
            <w:pPr>
              <w:jc w:val="right"/>
              <w:ind w:right="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$ 11,885,529 </w:t>
            </w:r>
            <w:r>
              <w:rPr>
                <w:rFonts w:ascii="Arial" w:cs="Arial" w:eastAsia="Arial" w:hAnsi="Arial"/>
                <w:sz w:val="25"/>
                <w:szCs w:val="25"/>
                <w:color w:val="auto"/>
                <w:vertAlign w:val="subscript"/>
              </w:rPr>
              <w:t>​</w:t>
            </w:r>
          </w:p>
        </w:tc>
        <w:tc>
          <w:tcPr>
            <w:tcW w:w="1000" w:type="dxa"/>
            <w:vAlign w:val="bottom"/>
            <w:tcBorders>
              <w:bottom w:val="single" w:sz="8" w:color="424E6A"/>
            </w:tcBorders>
          </w:tcPr>
          <w:p>
            <w:pPr>
              <w:jc w:val="center"/>
              <w:ind w:left="36"/>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$ 3,170,269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$ 4,688,394</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ind w:left="6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$ 280.34 </w:t>
            </w:r>
            <w:r>
              <w:rPr>
                <w:rFonts w:ascii="Arial" w:cs="Arial" w:eastAsia="Arial" w:hAnsi="Arial"/>
                <w:sz w:val="25"/>
                <w:szCs w:val="25"/>
                <w:color w:val="auto"/>
                <w:vertAlign w:val="subscript"/>
              </w:rPr>
              <w:t>​ ​</w:t>
            </w:r>
          </w:p>
        </w:tc>
        <w:tc>
          <w:tcPr>
            <w:tcW w:w="8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$277.21 </w:t>
            </w:r>
            <w:r>
              <w:rPr>
                <w:rFonts w:ascii="Arial" w:cs="Arial" w:eastAsia="Arial" w:hAnsi="Arial"/>
                <w:sz w:val="25"/>
                <w:szCs w:val="25"/>
                <w:color w:val="auto"/>
                <w:vertAlign w:val="subscript"/>
              </w:rPr>
              <w:t>​</w:t>
            </w:r>
          </w:p>
        </w:tc>
        <w:tc>
          <w:tcPr>
            <w:tcW w:w="920" w:type="dxa"/>
            <w:vAlign w:val="bottom"/>
            <w:tcBorders>
              <w:bottom w:val="single" w:sz="8" w:color="424E6A"/>
            </w:tcBorders>
            <w:gridSpan w:val="2"/>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$1.11 billion</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24E6A"/>
              <w:right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$2.78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424E6A"/>
            </w:tcBorders>
            <w:shd w:val="clear" w:color="auto" w:fill="D9DCE1"/>
          </w:tcPr>
          <w:p>
            <w:pPr>
              <w:ind w:left="140"/>
              <w:spacing w:after="0" w:line="22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940" w:type="dxa"/>
            <w:vAlign w:val="bottom"/>
            <w:tcBorders>
              <w:bottom w:val="single" w:sz="8" w:color="424E6A"/>
              <w:right w:val="single" w:sz="8" w:color="424E6A"/>
            </w:tcBorders>
            <w:shd w:val="clear" w:color="auto" w:fill="D9DCE1"/>
          </w:tcPr>
          <w:p>
            <w:pPr>
              <w:jc w:val="right"/>
              <w:ind w:right="36"/>
              <w:spacing w:after="0" w:line="223" w:lineRule="exact"/>
              <w:rPr>
                <w:sz w:val="20"/>
                <w:szCs w:val="20"/>
                <w:color w:val="auto"/>
              </w:rPr>
            </w:pPr>
            <w:r>
              <w:rPr>
                <w:rFonts w:ascii="Arial" w:cs="Arial" w:eastAsia="Arial" w:hAnsi="Arial"/>
                <w:sz w:val="13"/>
                <w:szCs w:val="13"/>
                <w:color w:val="auto"/>
              </w:rPr>
              <w:t xml:space="preserve">7,453,919 </w:t>
            </w:r>
            <w:r>
              <w:rPr>
                <w:rFonts w:ascii="Arial" w:cs="Arial" w:eastAsia="Arial" w:hAnsi="Arial"/>
                <w:sz w:val="25"/>
                <w:szCs w:val="25"/>
                <w:color w:val="auto"/>
                <w:vertAlign w:val="subscript"/>
              </w:rPr>
              <w:t>​</w:t>
            </w:r>
          </w:p>
        </w:tc>
        <w:tc>
          <w:tcPr>
            <w:tcW w:w="980" w:type="dxa"/>
            <w:vAlign w:val="bottom"/>
            <w:tcBorders>
              <w:bottom w:val="single" w:sz="8" w:color="424E6A"/>
            </w:tcBorders>
            <w:shd w:val="clear" w:color="auto" w:fill="D9DCE1"/>
          </w:tcPr>
          <w:p>
            <w:pPr>
              <w:jc w:val="center"/>
              <w:ind w:left="5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$ 16,427,772</w:t>
            </w:r>
          </w:p>
        </w:tc>
        <w:tc>
          <w:tcPr>
            <w:tcW w:w="160" w:type="dxa"/>
            <w:vAlign w:val="bottom"/>
            <w:tcBorders>
              <w:bottom w:val="single" w:sz="8" w:color="424E6A"/>
              <w:right w:val="single" w:sz="8" w:color="424E6A"/>
            </w:tcBorders>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shd w:val="clear" w:color="auto" w:fill="D9DCE1"/>
          </w:tcPr>
          <w:p>
            <w:pPr>
              <w:jc w:val="center"/>
              <w:ind w:left="36"/>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$ 2,949,247</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$ 6,454,569</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shd w:val="clear" w:color="auto" w:fill="D9DCE1"/>
          </w:tcPr>
          <w:p>
            <w:pPr>
              <w:ind w:left="6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$ 230.75 </w:t>
            </w:r>
            <w:r>
              <w:rPr>
                <w:rFonts w:ascii="Arial" w:cs="Arial" w:eastAsia="Arial" w:hAnsi="Arial"/>
                <w:sz w:val="25"/>
                <w:szCs w:val="25"/>
                <w:color w:val="auto"/>
                <w:vertAlign w:val="subscript"/>
              </w:rPr>
              <w:t>​ ​</w:t>
            </w:r>
          </w:p>
        </w:tc>
        <w:tc>
          <w:tcPr>
            <w:tcW w:w="800" w:type="dxa"/>
            <w:vAlign w:val="bottom"/>
            <w:tcBorders>
              <w:bottom w:val="single" w:sz="8" w:color="424E6A"/>
              <w:right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$191.80 </w:t>
            </w:r>
            <w:r>
              <w:rPr>
                <w:rFonts w:ascii="Arial" w:cs="Arial" w:eastAsia="Arial" w:hAnsi="Arial"/>
                <w:sz w:val="25"/>
                <w:szCs w:val="25"/>
                <w:color w:val="auto"/>
                <w:vertAlign w:val="subscript"/>
              </w:rPr>
              <w:t>​</w:t>
            </w:r>
          </w:p>
        </w:tc>
        <w:tc>
          <w:tcPr>
            <w:tcW w:w="1020" w:type="dxa"/>
            <w:vAlign w:val="bottom"/>
            <w:tcBorders>
              <w:bottom w:val="single" w:sz="8" w:color="424E6A"/>
              <w:right w:val="single" w:sz="8" w:color="424E6A"/>
            </w:tcBorders>
            <w:gridSpan w:val="3"/>
            <w:shd w:val="clear" w:color="auto" w:fill="D9DCE1"/>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$1.50 billion </w:t>
            </w:r>
            <w:r>
              <w:rPr>
                <w:rFonts w:ascii="Arial" w:cs="Arial" w:eastAsia="Arial" w:hAnsi="Arial"/>
                <w:sz w:val="25"/>
                <w:szCs w:val="25"/>
                <w:color w:val="auto"/>
                <w:vertAlign w:val="subscript"/>
              </w:rPr>
              <w:t>​</w:t>
            </w:r>
          </w:p>
        </w:tc>
        <w:tc>
          <w:tcPr>
            <w:tcW w:w="960" w:type="dxa"/>
            <w:vAlign w:val="bottom"/>
            <w:tcBorders>
              <w:bottom w:val="single" w:sz="8" w:color="424E6A"/>
              <w:right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$2.71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424E6A"/>
            </w:tcBorders>
          </w:tcPr>
          <w:p>
            <w:pPr>
              <w:ind w:left="140"/>
              <w:spacing w:after="0" w:line="22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940" w:type="dxa"/>
            <w:vAlign w:val="bottom"/>
            <w:tcBorders>
              <w:bottom w:val="single" w:sz="8" w:color="424E6A"/>
              <w:right w:val="single" w:sz="8" w:color="424E6A"/>
            </w:tcBorders>
          </w:tcPr>
          <w:p>
            <w:pPr>
              <w:jc w:val="right"/>
              <w:ind w:right="36"/>
              <w:spacing w:after="0" w:line="223" w:lineRule="exact"/>
              <w:rPr>
                <w:sz w:val="20"/>
                <w:szCs w:val="20"/>
                <w:color w:val="auto"/>
              </w:rPr>
            </w:pPr>
            <w:r>
              <w:rPr>
                <w:rFonts w:ascii="Arial" w:cs="Arial" w:eastAsia="Arial" w:hAnsi="Arial"/>
                <w:sz w:val="13"/>
                <w:szCs w:val="13"/>
                <w:color w:val="auto"/>
              </w:rPr>
              <w:t xml:space="preserve">8,296,140 </w:t>
            </w:r>
            <w:r>
              <w:rPr>
                <w:rFonts w:ascii="Arial" w:cs="Arial" w:eastAsia="Arial" w:hAnsi="Arial"/>
                <w:sz w:val="25"/>
                <w:szCs w:val="25"/>
                <w:color w:val="auto"/>
                <w:vertAlign w:val="subscript"/>
              </w:rPr>
              <w:t>​</w:t>
            </w:r>
          </w:p>
        </w:tc>
        <w:tc>
          <w:tcPr>
            <w:tcW w:w="980" w:type="dxa"/>
            <w:vAlign w:val="bottom"/>
            <w:tcBorders>
              <w:bottom w:val="single" w:sz="8" w:color="424E6A"/>
            </w:tcBorders>
          </w:tcPr>
          <w:p>
            <w:pPr>
              <w:jc w:val="center"/>
              <w:ind w:left="5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$ 14,459,710</w:t>
            </w:r>
          </w:p>
        </w:tc>
        <w:tc>
          <w:tcPr>
            <w:tcW w:w="160" w:type="dxa"/>
            <w:vAlign w:val="bottom"/>
            <w:tcBorders>
              <w:bottom w:val="single" w:sz="8" w:color="424E6A"/>
              <w:right w:val="single" w:sz="8" w:color="424E6A"/>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tcPr>
          <w:p>
            <w:pPr>
              <w:jc w:val="center"/>
              <w:ind w:left="36"/>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$ 4,387,570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$ 8,142,198</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ind w:left="6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$ 165.74 </w:t>
            </w:r>
            <w:r>
              <w:rPr>
                <w:rFonts w:ascii="Arial" w:cs="Arial" w:eastAsia="Arial" w:hAnsi="Arial"/>
                <w:sz w:val="25"/>
                <w:szCs w:val="25"/>
                <w:color w:val="auto"/>
                <w:vertAlign w:val="subscript"/>
              </w:rPr>
              <w:t>​ ​</w:t>
            </w:r>
          </w:p>
        </w:tc>
        <w:tc>
          <w:tcPr>
            <w:tcW w:w="8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$168.22 </w:t>
            </w:r>
            <w:r>
              <w:rPr>
                <w:rFonts w:ascii="Arial" w:cs="Arial" w:eastAsia="Arial" w:hAnsi="Arial"/>
                <w:sz w:val="25"/>
                <w:szCs w:val="25"/>
                <w:color w:val="auto"/>
                <w:vertAlign w:val="subscript"/>
              </w:rPr>
              <w:t>​</w:t>
            </w:r>
          </w:p>
        </w:tc>
        <w:tc>
          <w:tcPr>
            <w:tcW w:w="1020" w:type="dxa"/>
            <w:vAlign w:val="bottom"/>
            <w:tcBorders>
              <w:bottom w:val="single" w:sz="8" w:color="424E6A"/>
              <w:right w:val="single" w:sz="8" w:color="424E6A"/>
            </w:tcBorders>
            <w:gridSpan w:val="3"/>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$1.23 billion </w:t>
            </w:r>
            <w:r>
              <w:rPr>
                <w:rFonts w:ascii="Arial" w:cs="Arial" w:eastAsia="Arial" w:hAnsi="Arial"/>
                <w:sz w:val="25"/>
                <w:szCs w:val="25"/>
                <w:color w:val="auto"/>
                <w:vertAlign w:val="subscript"/>
              </w:rPr>
              <w:t>​</w:t>
            </w:r>
          </w:p>
        </w:tc>
        <w:tc>
          <w:tcPr>
            <w:tcW w:w="960" w:type="dxa"/>
            <w:vAlign w:val="bottom"/>
            <w:tcBorders>
              <w:bottom w:val="single" w:sz="8" w:color="424E6A"/>
              <w:right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$2.51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424E6A"/>
            </w:tcBorders>
            <w:shd w:val="clear" w:color="auto" w:fill="D9DCE1"/>
          </w:tcPr>
          <w:p>
            <w:pPr>
              <w:ind w:left="140"/>
              <w:spacing w:after="0" w:line="22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940" w:type="dxa"/>
            <w:vAlign w:val="bottom"/>
            <w:tcBorders>
              <w:bottom w:val="single" w:sz="8" w:color="424E6A"/>
              <w:right w:val="single" w:sz="8" w:color="424E6A"/>
            </w:tcBorders>
            <w:shd w:val="clear" w:color="auto" w:fill="D9DCE1"/>
          </w:tcPr>
          <w:p>
            <w:pPr>
              <w:jc w:val="right"/>
              <w:ind w:right="36"/>
              <w:spacing w:after="0" w:line="223" w:lineRule="exact"/>
              <w:rPr>
                <w:sz w:val="20"/>
                <w:szCs w:val="20"/>
                <w:color w:val="auto"/>
              </w:rPr>
            </w:pPr>
            <w:r>
              <w:rPr>
                <w:rFonts w:ascii="Arial" w:cs="Arial" w:eastAsia="Arial" w:hAnsi="Arial"/>
                <w:sz w:val="13"/>
                <w:szCs w:val="13"/>
                <w:color w:val="auto"/>
              </w:rPr>
              <w:t xml:space="preserve">4,392,210 </w:t>
            </w:r>
            <w:r>
              <w:rPr>
                <w:rFonts w:ascii="Arial" w:cs="Arial" w:eastAsia="Arial" w:hAnsi="Arial"/>
                <w:sz w:val="25"/>
                <w:szCs w:val="25"/>
                <w:color w:val="auto"/>
                <w:vertAlign w:val="subscript"/>
              </w:rPr>
              <w:t>​</w:t>
            </w:r>
          </w:p>
        </w:tc>
        <w:tc>
          <w:tcPr>
            <w:tcW w:w="980" w:type="dxa"/>
            <w:vAlign w:val="bottom"/>
            <w:tcBorders>
              <w:bottom w:val="single" w:sz="8" w:color="424E6A"/>
            </w:tcBorders>
            <w:shd w:val="clear" w:color="auto" w:fill="D9DCE1"/>
          </w:tcPr>
          <w:p>
            <w:pPr>
              <w:jc w:val="center"/>
              <w:ind w:left="5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4,792,883</w:t>
            </w:r>
          </w:p>
        </w:tc>
        <w:tc>
          <w:tcPr>
            <w:tcW w:w="160" w:type="dxa"/>
            <w:vAlign w:val="bottom"/>
            <w:tcBorders>
              <w:bottom w:val="single" w:sz="8" w:color="424E6A"/>
              <w:right w:val="single" w:sz="8" w:color="424E6A"/>
            </w:tcBorders>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shd w:val="clear" w:color="auto" w:fill="D9DCE1"/>
          </w:tcPr>
          <w:p>
            <w:pPr>
              <w:jc w:val="center"/>
              <w:ind w:left="36"/>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$ 2,147,374</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$ 2,385,698</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shd w:val="clear" w:color="auto" w:fill="D9DCE1"/>
          </w:tcPr>
          <w:p>
            <w:pPr>
              <w:ind w:left="6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$ 122.18 </w:t>
            </w:r>
            <w:r>
              <w:rPr>
                <w:rFonts w:ascii="Arial" w:cs="Arial" w:eastAsia="Arial" w:hAnsi="Arial"/>
                <w:sz w:val="25"/>
                <w:szCs w:val="25"/>
                <w:color w:val="auto"/>
                <w:vertAlign w:val="subscript"/>
              </w:rPr>
              <w:t>​ ​</w:t>
            </w:r>
          </w:p>
        </w:tc>
        <w:tc>
          <w:tcPr>
            <w:tcW w:w="800" w:type="dxa"/>
            <w:vAlign w:val="bottom"/>
            <w:tcBorders>
              <w:bottom w:val="single" w:sz="8" w:color="424E6A"/>
              <w:right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$138.42 </w:t>
            </w:r>
            <w:r>
              <w:rPr>
                <w:rFonts w:ascii="Arial" w:cs="Arial" w:eastAsia="Arial" w:hAnsi="Arial"/>
                <w:sz w:val="25"/>
                <w:szCs w:val="25"/>
                <w:color w:val="auto"/>
                <w:vertAlign w:val="subscript"/>
              </w:rPr>
              <w:t>​</w:t>
            </w:r>
          </w:p>
        </w:tc>
        <w:tc>
          <w:tcPr>
            <w:tcW w:w="1020" w:type="dxa"/>
            <w:vAlign w:val="bottom"/>
            <w:tcBorders>
              <w:bottom w:val="single" w:sz="8" w:color="424E6A"/>
              <w:right w:val="single" w:sz="8" w:color="424E6A"/>
            </w:tcBorders>
            <w:gridSpan w:val="3"/>
            <w:shd w:val="clear" w:color="auto" w:fill="D9DCE1"/>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$648 million </w:t>
            </w:r>
            <w:r>
              <w:rPr>
                <w:rFonts w:ascii="Arial" w:cs="Arial" w:eastAsia="Arial" w:hAnsi="Arial"/>
                <w:sz w:val="25"/>
                <w:szCs w:val="25"/>
                <w:color w:val="auto"/>
                <w:vertAlign w:val="subscript"/>
              </w:rPr>
              <w:t>​</w:t>
            </w:r>
          </w:p>
        </w:tc>
        <w:tc>
          <w:tcPr>
            <w:tcW w:w="960" w:type="dxa"/>
            <w:vAlign w:val="bottom"/>
            <w:tcBorders>
              <w:bottom w:val="single" w:sz="8" w:color="424E6A"/>
              <w:right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$2.20 billion</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660" w:hanging="360"/>
        <w:spacing w:after="0" w:line="233" w:lineRule="auto"/>
        <w:tabs>
          <w:tab w:leader="none" w:pos="1620" w:val="left"/>
        </w:tabs>
        <w:numPr>
          <w:ilvl w:val="0"/>
          <w:numId w:val="67"/>
        </w:numPr>
        <w:rPr>
          <w:rFonts w:ascii="Arial" w:cs="Arial" w:eastAsia="Arial" w:hAnsi="Arial"/>
          <w:sz w:val="26"/>
          <w:szCs w:val="26"/>
          <w:color w:val="auto"/>
          <w:vertAlign w:val="superscript"/>
        </w:rPr>
      </w:pPr>
      <w:r>
        <w:rPr>
          <w:rFonts w:ascii="Arial" w:cs="Arial" w:eastAsia="Arial" w:hAnsi="Arial"/>
          <w:sz w:val="17"/>
          <w:szCs w:val="17"/>
          <w:color w:val="auto"/>
        </w:rPr>
        <w:t>For each of the years presented, our PEO is Willie Chiang. For 2025, our Non-PEO NEOs are Al Swanson, Richard McGee, Chris Chandler and Jeremy Goebel. For 2021 through 2024, our Non-PEO NEOs are Harry Pefanis, Al Swanson, Richard McGee, Chris Chandler and Jeremy Goebel.</w:t>
      </w:r>
    </w:p>
    <w:p>
      <w:pPr>
        <w:spacing w:after="0" w:line="32" w:lineRule="exact"/>
        <w:rPr>
          <w:rFonts w:ascii="Arial" w:cs="Arial" w:eastAsia="Arial" w:hAnsi="Arial"/>
          <w:sz w:val="26"/>
          <w:szCs w:val="26"/>
          <w:color w:val="auto"/>
          <w:vertAlign w:val="superscript"/>
        </w:rPr>
      </w:pPr>
    </w:p>
    <w:p>
      <w:pPr>
        <w:ind w:left="1620" w:right="660" w:hanging="360"/>
        <w:spacing w:after="0" w:line="232"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33" w:lineRule="exact"/>
        <w:rPr>
          <w:rFonts w:ascii="Arial" w:cs="Arial" w:eastAsia="Arial" w:hAnsi="Arial"/>
          <w:sz w:val="27"/>
          <w:szCs w:val="27"/>
          <w:color w:val="auto"/>
          <w:vertAlign w:val="superscript"/>
        </w:rPr>
      </w:pPr>
    </w:p>
    <w:p>
      <w:pPr>
        <w:ind w:left="1620" w:right="440" w:hanging="360"/>
        <w:spacing w:after="0" w:line="228"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TSR figures assume an initial investment of $100 in PAA on December 31, 2020. The peer group referenced for purposes of the TSR comparison is the group of companies included in the Alerian Midstream Energy Index, which is the same index used for purposes of Item 201(e) of Regulation S-K.</w:t>
      </w:r>
    </w:p>
    <w:p>
      <w:pPr>
        <w:spacing w:after="0" w:line="128" w:lineRule="exact"/>
        <w:rPr>
          <w:sz w:val="20"/>
          <w:szCs w:val="20"/>
          <w:color w:val="auto"/>
        </w:rPr>
      </w:pPr>
    </w:p>
    <w:p>
      <w:pPr>
        <w:ind w:left="1260" w:right="700" w:firstLine="360"/>
        <w:spacing w:after="0" w:line="271"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040" w:type="dxa"/>
            <w:vAlign w:val="bottom"/>
            <w:tcBorders>
              <w:left w:val="single" w:sz="8" w:color="424E6A"/>
            </w:tcBorders>
            <w:shd w:val="clear" w:color="auto" w:fill="424E6A"/>
          </w:tcPr>
          <w:p>
            <w:pPr>
              <w:spacing w:after="0"/>
              <w:rPr>
                <w:sz w:val="17"/>
                <w:szCs w:val="17"/>
                <w:color w:val="auto"/>
              </w:rPr>
            </w:pPr>
          </w:p>
        </w:tc>
        <w:tc>
          <w:tcPr>
            <w:tcW w:w="640" w:type="dxa"/>
            <w:vAlign w:val="bottom"/>
            <w:tcBorders>
              <w:right w:val="single" w:sz="8" w:color="424E6A"/>
            </w:tcBorders>
            <w:shd w:val="clear" w:color="auto" w:fill="424E6A"/>
          </w:tcPr>
          <w:p>
            <w:pPr>
              <w:spacing w:after="0"/>
              <w:rPr>
                <w:sz w:val="17"/>
                <w:szCs w:val="17"/>
                <w:color w:val="auto"/>
              </w:rPr>
            </w:pPr>
          </w:p>
        </w:tc>
        <w:tc>
          <w:tcPr>
            <w:tcW w:w="1220" w:type="dxa"/>
            <w:vAlign w:val="bottom"/>
            <w:tcBorders>
              <w:right w:val="single" w:sz="8" w:color="424E6A"/>
            </w:tcBorders>
            <w:shd w:val="clear" w:color="auto" w:fill="424E6A"/>
          </w:tcPr>
          <w:p>
            <w:pPr>
              <w:spacing w:after="0"/>
              <w:rPr>
                <w:sz w:val="17"/>
                <w:szCs w:val="17"/>
                <w:color w:val="auto"/>
              </w:rPr>
            </w:pPr>
          </w:p>
        </w:tc>
        <w:tc>
          <w:tcPr>
            <w:tcW w:w="4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52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200" w:type="dxa"/>
            <w:vAlign w:val="bottom"/>
            <w:tcBorders>
              <w:right w:val="single" w:sz="8" w:color="424E6A"/>
            </w:tcBorders>
            <w:shd w:val="clear" w:color="auto" w:fill="424E6A"/>
          </w:tcPr>
          <w:p>
            <w:pPr>
              <w:spacing w:after="0"/>
              <w:rPr>
                <w:sz w:val="17"/>
                <w:szCs w:val="17"/>
                <w:color w:val="auto"/>
              </w:rPr>
            </w:pPr>
          </w:p>
        </w:tc>
      </w:tr>
      <w:tr>
        <w:trPr>
          <w:trHeight w:val="162"/>
        </w:trPr>
        <w:tc>
          <w:tcPr>
            <w:tcW w:w="1040" w:type="dxa"/>
            <w:vAlign w:val="bottom"/>
            <w:tcBorders>
              <w:left w:val="single" w:sz="8" w:color="424E6A"/>
            </w:tcBorders>
            <w:shd w:val="clear" w:color="auto" w:fill="424E6A"/>
          </w:tcPr>
          <w:p>
            <w:pPr>
              <w:spacing w:after="0"/>
              <w:rPr>
                <w:sz w:val="14"/>
                <w:szCs w:val="14"/>
                <w:color w:val="auto"/>
              </w:rPr>
            </w:pPr>
          </w:p>
        </w:tc>
        <w:tc>
          <w:tcPr>
            <w:tcW w:w="640" w:type="dxa"/>
            <w:vAlign w:val="bottom"/>
            <w:tcBorders>
              <w:right w:val="single" w:sz="8" w:color="424E6A"/>
            </w:tcBorders>
            <w:shd w:val="clear" w:color="auto" w:fill="424E6A"/>
          </w:tcPr>
          <w:p>
            <w:pPr>
              <w:spacing w:after="0"/>
              <w:rPr>
                <w:sz w:val="14"/>
                <w:szCs w:val="14"/>
                <w:color w:val="auto"/>
              </w:rPr>
            </w:pPr>
          </w:p>
        </w:tc>
        <w:tc>
          <w:tcPr>
            <w:tcW w:w="12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1040" w:type="dxa"/>
            <w:vAlign w:val="bottom"/>
            <w:tcBorders>
              <w:left w:val="single" w:sz="8" w:color="424E6A"/>
            </w:tcBorders>
            <w:shd w:val="clear" w:color="auto" w:fill="424E6A"/>
          </w:tcPr>
          <w:p>
            <w:pPr>
              <w:spacing w:after="0"/>
              <w:rPr>
                <w:sz w:val="14"/>
                <w:szCs w:val="14"/>
                <w:color w:val="auto"/>
              </w:rPr>
            </w:pPr>
          </w:p>
        </w:tc>
        <w:tc>
          <w:tcPr>
            <w:tcW w:w="640" w:type="dxa"/>
            <w:vAlign w:val="bottom"/>
            <w:tcBorders>
              <w:right w:val="single" w:sz="8" w:color="424E6A"/>
            </w:tcBorders>
            <w:shd w:val="clear" w:color="auto" w:fill="424E6A"/>
          </w:tcPr>
          <w:p>
            <w:pPr>
              <w:spacing w:after="0"/>
              <w:rPr>
                <w:sz w:val="14"/>
                <w:szCs w:val="14"/>
                <w:color w:val="auto"/>
              </w:rPr>
            </w:pPr>
          </w:p>
        </w:tc>
        <w:tc>
          <w:tcPr>
            <w:tcW w:w="12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212"/>
        </w:trPr>
        <w:tc>
          <w:tcPr>
            <w:tcW w:w="10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60" w:type="dxa"/>
            <w:vAlign w:val="bottom"/>
            <w:gridSpan w:val="4"/>
            <w:shd w:val="clear" w:color="auto" w:fill="424E6A"/>
          </w:tcPr>
          <w:p>
            <w:pPr>
              <w:ind w:left="5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54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Methodology</w:t>
            </w:r>
          </w:p>
        </w:tc>
        <w:tc>
          <w:tcPr>
            <w:tcW w:w="164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7"/>
        </w:trPr>
        <w:tc>
          <w:tcPr>
            <w:tcW w:w="10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640" w:type="dxa"/>
            <w:vAlign w:val="bottom"/>
            <w:tcBorders>
              <w:bottom w:val="single" w:sz="8" w:color="424E6A"/>
              <w:right w:val="single" w:sz="8" w:color="424E6A"/>
            </w:tcBorders>
          </w:tcPr>
          <w:p>
            <w:pPr>
              <w:ind w:left="5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​​$12,295,167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​$8,435,827</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​$14,769,804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​​$18,629,144</w:t>
            </w:r>
          </w:p>
        </w:tc>
      </w:tr>
    </w:tbl>
    <w:p>
      <w:pPr>
        <w:spacing w:after="0" w:line="157" w:lineRule="exact"/>
        <w:rPr>
          <w:sz w:val="20"/>
          <w:szCs w:val="20"/>
          <w:color w:val="auto"/>
        </w:rPr>
      </w:pPr>
    </w:p>
    <w:p>
      <w:pPr>
        <w:ind w:left="1620" w:right="520" w:hanging="360"/>
        <w:spacing w:after="0" w:line="235"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As shown in the table, the CAP total represents the SCT total for the covered fiscal year, but adjusted as required by SEC rules to replace the grant date fair value of awards granted during the covered fiscal year with the fair value of current and prior year equity awards that were outstanding at the end of the covered fiscal year or that vested or were forfeited during the covered fiscal year. Our NEOs do not participate in a defined benefit plan; therefore, no adjustment for pension benefits is included.</w:t>
      </w:r>
    </w:p>
    <w:p>
      <w:pPr>
        <w:spacing w:after="0" w:line="114" w:lineRule="exact"/>
        <w:rPr>
          <w:sz w:val="20"/>
          <w:szCs w:val="20"/>
          <w:color w:val="auto"/>
        </w:rPr>
      </w:pPr>
    </w:p>
    <w:p>
      <w:pPr>
        <w:ind w:left="1260" w:right="860" w:firstLine="360"/>
        <w:spacing w:after="0" w:line="287" w:lineRule="auto"/>
        <w:rPr>
          <w:sz w:val="20"/>
          <w:szCs w:val="20"/>
          <w:color w:val="auto"/>
        </w:rPr>
      </w:pPr>
      <w:r>
        <w:rPr>
          <w:rFonts w:ascii="Arial" w:cs="Arial" w:eastAsia="Arial" w:hAnsi="Arial"/>
          <w:sz w:val="18"/>
          <w:szCs w:val="18"/>
          <w:color w:val="auto"/>
        </w:rPr>
        <w:t>The calculation of the fair value of equity for the PEO for the covered fiscal year is shown in the following table:</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860" w:type="dxa"/>
            <w:vAlign w:val="bottom"/>
            <w:tcBorders>
              <w:left w:val="single" w:sz="8" w:color="424E6A"/>
              <w:right w:val="single" w:sz="8" w:color="424E6A"/>
            </w:tcBorders>
            <w:shd w:val="clear" w:color="auto" w:fill="424E6A"/>
          </w:tcPr>
          <w:p>
            <w:pPr>
              <w:spacing w:after="0"/>
              <w:rPr>
                <w:sz w:val="17"/>
                <w:szCs w:val="17"/>
                <w:color w:val="auto"/>
              </w:rPr>
            </w:pPr>
          </w:p>
        </w:tc>
        <w:tc>
          <w:tcPr>
            <w:tcW w:w="130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4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9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200" w:type="dxa"/>
            <w:vAlign w:val="bottom"/>
            <w:tcBorders>
              <w:right w:val="single" w:sz="8" w:color="424E6A"/>
            </w:tcBorders>
            <w:shd w:val="clear" w:color="auto" w:fill="424E6A"/>
          </w:tcPr>
          <w:p>
            <w:pPr>
              <w:spacing w:after="0"/>
              <w:rPr>
                <w:sz w:val="17"/>
                <w:szCs w:val="17"/>
                <w:color w:val="auto"/>
              </w:rPr>
            </w:pPr>
          </w:p>
        </w:tc>
      </w:tr>
      <w:tr>
        <w:trPr>
          <w:trHeight w:val="162"/>
        </w:trPr>
        <w:tc>
          <w:tcPr>
            <w:tcW w:w="860" w:type="dxa"/>
            <w:vAlign w:val="bottom"/>
            <w:tcBorders>
              <w:left w:val="single" w:sz="8" w:color="424E6A"/>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860" w:type="dxa"/>
            <w:vAlign w:val="bottom"/>
            <w:tcBorders>
              <w:left w:val="single" w:sz="8" w:color="424E6A"/>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 Value of</w:t>
            </w: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860" w:type="dxa"/>
            <w:vAlign w:val="bottom"/>
            <w:tcBorders>
              <w:left w:val="single" w:sz="8" w:color="424E6A"/>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Current Year</w:t>
            </w: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Fair Value of</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860" w:type="dxa"/>
            <w:vAlign w:val="bottom"/>
            <w:tcBorders>
              <w:left w:val="single" w:sz="8" w:color="424E6A"/>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DERs Paid</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860" w:type="dxa"/>
            <w:vAlign w:val="bottom"/>
            <w:tcBorders>
              <w:left w:val="single" w:sz="8" w:color="424E6A"/>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During the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CAP</w:t>
            </w:r>
          </w:p>
        </w:tc>
      </w:tr>
      <w:tr>
        <w:trPr>
          <w:trHeight w:val="212"/>
        </w:trPr>
        <w:tc>
          <w:tcPr>
            <w:tcW w:w="86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40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 ​</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62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7"/>
        </w:trPr>
        <w:tc>
          <w:tcPr>
            <w:tcW w:w="86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130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​$ 5,910,501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​$6,069,078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​$450,042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​​$2,340,183 ​</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​​$14,769,804</w:t>
            </w: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59" w:hanging="360"/>
        <w:spacing w:after="0" w:line="22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140" w:type="dxa"/>
            <w:vAlign w:val="bottom"/>
            <w:tcBorders>
              <w:left w:val="single" w:sz="8" w:color="424E6A"/>
            </w:tcBorders>
            <w:shd w:val="clear" w:color="auto" w:fill="424E6A"/>
          </w:tcPr>
          <w:p>
            <w:pPr>
              <w:spacing w:after="0"/>
              <w:rPr>
                <w:sz w:val="17"/>
                <w:szCs w:val="17"/>
                <w:color w:val="auto"/>
              </w:rPr>
            </w:pPr>
          </w:p>
        </w:tc>
        <w:tc>
          <w:tcPr>
            <w:tcW w:w="720" w:type="dxa"/>
            <w:vAlign w:val="bottom"/>
            <w:tcBorders>
              <w:right w:val="single" w:sz="8" w:color="424E6A"/>
            </w:tcBorders>
            <w:shd w:val="clear" w:color="auto" w:fill="424E6A"/>
          </w:tcPr>
          <w:p>
            <w:pPr>
              <w:spacing w:after="0"/>
              <w:rPr>
                <w:sz w:val="17"/>
                <w:szCs w:val="17"/>
                <w:color w:val="auto"/>
              </w:rPr>
            </w:pPr>
          </w:p>
        </w:tc>
        <w:tc>
          <w:tcPr>
            <w:tcW w:w="1140" w:type="dxa"/>
            <w:vAlign w:val="bottom"/>
            <w:tcBorders>
              <w:right w:val="single" w:sz="8" w:color="424E6A"/>
            </w:tcBorders>
            <w:shd w:val="clear" w:color="auto" w:fill="424E6A"/>
          </w:tcPr>
          <w:p>
            <w:pPr>
              <w:spacing w:after="0"/>
              <w:rPr>
                <w:sz w:val="17"/>
                <w:szCs w:val="17"/>
                <w:color w:val="auto"/>
              </w:rPr>
            </w:pPr>
          </w:p>
        </w:tc>
        <w:tc>
          <w:tcPr>
            <w:tcW w:w="4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52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100" w:type="dxa"/>
            <w:vAlign w:val="bottom"/>
            <w:tcBorders>
              <w:right w:val="single" w:sz="8" w:color="424E6A"/>
            </w:tcBorders>
            <w:shd w:val="clear" w:color="auto" w:fill="424E6A"/>
          </w:tcPr>
          <w:p>
            <w:pPr>
              <w:spacing w:after="0"/>
              <w:rPr>
                <w:sz w:val="17"/>
                <w:szCs w:val="17"/>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00" w:type="dxa"/>
            <w:vAlign w:val="bottom"/>
            <w:tcBorders>
              <w:right w:val="single" w:sz="8" w:color="424E6A"/>
            </w:tcBorders>
            <w:shd w:val="clear" w:color="auto" w:fill="424E6A"/>
          </w:tcPr>
          <w:p>
            <w:pPr>
              <w:spacing w:after="0"/>
              <w:rPr>
                <w:sz w:val="14"/>
                <w:szCs w:val="14"/>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00" w:type="dxa"/>
            <w:vAlign w:val="bottom"/>
            <w:tcBorders>
              <w:right w:val="single" w:sz="8" w:color="424E6A"/>
            </w:tcBorders>
            <w:shd w:val="clear" w:color="auto" w:fill="424E6A"/>
          </w:tcPr>
          <w:p>
            <w:pPr>
              <w:spacing w:after="0"/>
              <w:rPr>
                <w:sz w:val="14"/>
                <w:szCs w:val="14"/>
                <w:color w:val="auto"/>
              </w:rPr>
            </w:pPr>
          </w:p>
        </w:tc>
      </w:tr>
      <w:tr>
        <w:trPr>
          <w:trHeight w:val="212"/>
        </w:trPr>
        <w:tc>
          <w:tcPr>
            <w:tcW w:w="11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40" w:type="dxa"/>
            <w:vAlign w:val="bottom"/>
            <w:gridSpan w:val="4"/>
            <w:shd w:val="clear" w:color="auto" w:fill="424E6A"/>
          </w:tcPr>
          <w:p>
            <w:pPr>
              <w:ind w:left="6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Methodology</w:t>
            </w:r>
          </w:p>
        </w:tc>
        <w:tc>
          <w:tcPr>
            <w:tcW w:w="154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6"/>
        </w:trPr>
        <w:tc>
          <w:tcPr>
            <w:tcW w:w="11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424E6A"/>
              <w:right w:val="single" w:sz="8" w:color="424E6A"/>
            </w:tcBorders>
          </w:tcPr>
          <w:p>
            <w:pPr>
              <w:ind w:left="6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​​$6,772,185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​$4,968,470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​$6,870,814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​​$8,674,529</w:t>
            </w:r>
          </w:p>
        </w:tc>
      </w:tr>
    </w:tbl>
    <w:p>
      <w:pPr>
        <w:spacing w:after="0" w:line="170" w:lineRule="exact"/>
        <w:rPr>
          <w:sz w:val="20"/>
          <w:szCs w:val="20"/>
          <w:color w:val="auto"/>
        </w:rPr>
      </w:pPr>
    </w:p>
    <w:p>
      <w:pPr>
        <w:ind w:left="1620" w:right="539" w:hanging="360"/>
        <w:spacing w:after="0" w:line="210"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128" w:lineRule="exact"/>
        <w:rPr>
          <w:sz w:val="20"/>
          <w:szCs w:val="20"/>
          <w:color w:val="auto"/>
        </w:rPr>
      </w:pPr>
    </w:p>
    <w:p>
      <w:pPr>
        <w:ind w:left="1260" w:right="959" w:firstLine="360"/>
        <w:spacing w:after="0" w:line="303" w:lineRule="auto"/>
        <w:rPr>
          <w:sz w:val="20"/>
          <w:szCs w:val="20"/>
          <w:color w:val="auto"/>
        </w:rPr>
      </w:pPr>
      <w:r>
        <w:rPr>
          <w:rFonts w:ascii="Arial" w:cs="Arial" w:eastAsia="Arial" w:hAnsi="Arial"/>
          <w:sz w:val="18"/>
          <w:szCs w:val="18"/>
          <w:color w:val="auto"/>
        </w:rPr>
        <w:t>The calculation of the fair value of equity for the Non-PEO NEOs for the covered fiscal year is shown in the following table:</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960" w:type="dxa"/>
            <w:vAlign w:val="bottom"/>
            <w:tcBorders>
              <w:left w:val="single" w:sz="8" w:color="424E6A"/>
              <w:right w:val="single" w:sz="8" w:color="424E6A"/>
            </w:tcBorders>
            <w:shd w:val="clear" w:color="auto" w:fill="424E6A"/>
          </w:tcPr>
          <w:p>
            <w:pPr>
              <w:spacing w:after="0"/>
              <w:rPr>
                <w:sz w:val="17"/>
                <w:szCs w:val="17"/>
                <w:color w:val="auto"/>
              </w:rPr>
            </w:pPr>
          </w:p>
        </w:tc>
        <w:tc>
          <w:tcPr>
            <w:tcW w:w="132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4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90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1120" w:type="dxa"/>
            <w:vAlign w:val="bottom"/>
            <w:tcBorders>
              <w:right w:val="single" w:sz="8" w:color="424E6A"/>
            </w:tcBorders>
            <w:shd w:val="clear" w:color="auto" w:fill="424E6A"/>
          </w:tcPr>
          <w:p>
            <w:pPr>
              <w:spacing w:after="0"/>
              <w:rPr>
                <w:sz w:val="17"/>
                <w:szCs w:val="17"/>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YE Fair Value of</w:t>
            </w: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Fair Value of</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Awards</w:t>
            </w: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DERs Paid</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Outstanding</w:t>
            </w: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During the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CAP</w:t>
            </w:r>
          </w:p>
        </w:tc>
      </w:tr>
      <w:tr>
        <w:trPr>
          <w:trHeight w:val="212"/>
        </w:trPr>
        <w:tc>
          <w:tcPr>
            <w:tcW w:w="96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40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 ​</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0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54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7"/>
        </w:trPr>
        <w:tc>
          <w:tcPr>
            <w:tcW w:w="96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1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​$ 4,406,765 ​</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​$1,324,483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​$162,252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00" w:type="dxa"/>
            <w:vAlign w:val="bottom"/>
            <w:tcBorders>
              <w:bottom w:val="single" w:sz="8" w:color="424E6A"/>
              <w:right w:val="single" w:sz="8" w:color="424E6A"/>
            </w:tcBorders>
            <w:gridSpan w:val="3"/>
          </w:tcPr>
          <w:p>
            <w:pPr>
              <w:ind w:left="60"/>
              <w:spacing w:after="0"/>
              <w:rPr>
                <w:sz w:val="20"/>
                <w:szCs w:val="20"/>
                <w:color w:val="auto"/>
              </w:rPr>
            </w:pPr>
            <w:r>
              <w:rPr>
                <w:rFonts w:ascii="Arial" w:cs="Arial" w:eastAsia="Arial" w:hAnsi="Arial"/>
                <w:sz w:val="18"/>
                <w:szCs w:val="18"/>
                <w:color w:val="auto"/>
              </w:rPr>
              <w:t>​ ​$977,314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​​$6,870,814</w:t>
            </w:r>
          </w:p>
        </w:tc>
      </w:tr>
    </w:tbl>
    <w:p>
      <w:pPr>
        <w:spacing w:after="0" w:line="170" w:lineRule="exact"/>
        <w:rPr>
          <w:sz w:val="20"/>
          <w:szCs w:val="20"/>
          <w:color w:val="auto"/>
        </w:rPr>
      </w:pPr>
    </w:p>
    <w:p>
      <w:pPr>
        <w:ind w:left="1620" w:right="559" w:hanging="360"/>
        <w:spacing w:after="0" w:line="222"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196" w:lineRule="exact"/>
        <w:rPr>
          <w:sz w:val="20"/>
          <w:szCs w:val="20"/>
          <w:color w:val="auto"/>
        </w:rPr>
      </w:pPr>
    </w:p>
    <w:p>
      <w:pPr>
        <w:ind w:left="1260" w:right="699"/>
        <w:spacing w:after="0" w:line="300"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2025 to Company Performance</w:t>
      </w:r>
    </w:p>
    <w:p>
      <w:pPr>
        <w:spacing w:after="0" w:line="75" w:lineRule="exact"/>
        <w:rPr>
          <w:sz w:val="20"/>
          <w:szCs w:val="20"/>
          <w:color w:val="auto"/>
        </w:rPr>
      </w:pPr>
    </w:p>
    <w:p>
      <w:pPr>
        <w:ind w:left="1260" w:right="719" w:firstLine="360"/>
        <w:spacing w:after="0" w:line="276"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2025 CAP to the Company’s performance for the most recently completed fiscal year (unranked):</w:t>
      </w:r>
    </w:p>
    <w:p>
      <w:pPr>
        <w:spacing w:after="0" w:line="155" w:lineRule="exact"/>
        <w:rPr>
          <w:sz w:val="20"/>
          <w:szCs w:val="20"/>
          <w:color w:val="auto"/>
        </w:rPr>
      </w:pPr>
    </w:p>
    <w:tbl>
      <w:tblPr>
        <w:tblLayout w:type="fixed"/>
        <w:tblInd w:w="1630" w:type="dxa"/>
        <w:tblCellMar>
          <w:top w:w="0" w:type="dxa"/>
          <w:left w:w="0" w:type="dxa"/>
          <w:bottom w:w="0" w:type="dxa"/>
          <w:right w:w="0" w:type="dxa"/>
        </w:tblCellMar>
      </w:tblPr>
      <w:tr>
        <w:trPr>
          <w:trHeight w:val="256"/>
        </w:trPr>
        <w:tc>
          <w:tcPr>
            <w:tcW w:w="118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5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Most Important Performance Measures</w:t>
            </w:r>
          </w:p>
        </w:tc>
        <w:tc>
          <w:tcPr>
            <w:tcW w:w="1160" w:type="dxa"/>
            <w:vAlign w:val="bottom"/>
            <w:shd w:val="clear" w:color="auto" w:fill="424E6A"/>
          </w:tcPr>
          <w:p>
            <w:pPr>
              <w:ind w:left="1120"/>
              <w:spacing w:after="0"/>
              <w:rPr>
                <w:sz w:val="20"/>
                <w:szCs w:val="20"/>
                <w:color w:val="auto"/>
              </w:rPr>
            </w:pPr>
            <w:r>
              <w:rPr>
                <w:rFonts w:ascii="Arial" w:cs="Arial" w:eastAsia="Arial" w:hAnsi="Arial"/>
                <w:sz w:val="14"/>
                <w:szCs w:val="14"/>
                <w:b w:val="1"/>
                <w:bCs w:val="1"/>
                <w:color w:val="FFFFFF"/>
              </w:rPr>
              <w:t>​</w:t>
            </w:r>
          </w:p>
        </w:tc>
      </w:tr>
      <w:tr>
        <w:trPr>
          <w:trHeight w:val="257"/>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8"/>
              </w:rPr>
              <w:t>Adjusted EBITDA Attributable to PAA</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7"/>
              </w:rPr>
              <w:t>DCF per CUE</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TSR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5"/>
              </w:rPr>
              <w:t>TRIR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OPRR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-856615</wp:posOffset>
            </wp:positionV>
            <wp:extent cx="4740275" cy="857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0275" cy="857250"/>
                    </a:xfrm>
                    <a:prstGeom prst="rect">
                      <a:avLst/>
                    </a:prstGeom>
                    <a:noFill/>
                  </pic:spPr>
                </pic:pic>
              </a:graphicData>
            </a:graphic>
          </wp:anchor>
        </w:drawing>
      </w:r>
    </w:p>
    <w:p>
      <w:pPr>
        <w:spacing w:after="0" w:line="123" w:lineRule="exact"/>
        <w:rPr>
          <w:sz w:val="20"/>
          <w:szCs w:val="20"/>
          <w:color w:val="auto"/>
        </w:rPr>
      </w:pPr>
    </w:p>
    <w:p>
      <w:pPr>
        <w:ind w:left="1260" w:right="659" w:firstLine="360"/>
        <w:spacing w:after="0" w:line="335" w:lineRule="auto"/>
        <w:rPr>
          <w:sz w:val="20"/>
          <w:szCs w:val="20"/>
          <w:color w:val="auto"/>
        </w:rPr>
      </w:pPr>
      <w:r>
        <w:rPr>
          <w:rFonts w:ascii="Arial" w:cs="Arial" w:eastAsia="Arial" w:hAnsi="Arial"/>
          <w:sz w:val="17"/>
          <w:szCs w:val="17"/>
          <w:color w:val="auto"/>
        </w:rPr>
        <w:t xml:space="preserve">For further information regarding these performance measures and their function in our executive compensation program, please see “Compensation Discussion and Analysis” beginning on page </w:t>
      </w:r>
      <w:r>
        <w:rPr>
          <w:rFonts w:ascii="Arial" w:cs="Arial" w:eastAsia="Arial" w:hAnsi="Arial"/>
          <w:sz w:val="17"/>
          <w:szCs w:val="17"/>
          <w:u w:val="single" w:color="auto"/>
          <w:color w:val="0000EE"/>
        </w:rPr>
        <w:t>26</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979"/>
        <w:spacing w:after="0" w:line="300"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75"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102870</wp:posOffset>
            </wp:positionV>
            <wp:extent cx="5203190" cy="66008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03190" cy="66008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2025 (other than Mr. Chiang who was not compensated separately for his services as a director and whose executive compensation is set forth in the Summary Compensation Table above):</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520" w:type="dxa"/>
            <w:vAlign w:val="bottom"/>
            <w:tcBorders>
              <w:left w:val="single" w:sz="8" w:color="424E6A"/>
            </w:tcBorders>
            <w:shd w:val="clear" w:color="auto" w:fill="424E6A"/>
          </w:tcPr>
          <w:p>
            <w:pPr>
              <w:spacing w:after="0"/>
              <w:rPr>
                <w:sz w:val="17"/>
                <w:szCs w:val="17"/>
                <w:color w:val="auto"/>
              </w:rPr>
            </w:pPr>
          </w:p>
        </w:tc>
        <w:tc>
          <w:tcPr>
            <w:tcW w:w="86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Fees</w:t>
            </w:r>
          </w:p>
        </w:tc>
        <w:tc>
          <w:tcPr>
            <w:tcW w:w="24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180" w:type="dxa"/>
            <w:vAlign w:val="bottom"/>
            <w:shd w:val="clear" w:color="auto" w:fill="424E6A"/>
          </w:tcPr>
          <w:p>
            <w:pPr>
              <w:spacing w:after="0"/>
              <w:rPr>
                <w:sz w:val="17"/>
                <w:szCs w:val="17"/>
                <w:color w:val="auto"/>
              </w:rPr>
            </w:pPr>
          </w:p>
        </w:tc>
        <w:tc>
          <w:tcPr>
            <w:tcW w:w="720" w:type="dxa"/>
            <w:vAlign w:val="bottom"/>
            <w:shd w:val="clear" w:color="auto" w:fill="424E6A"/>
          </w:tcPr>
          <w:p>
            <w:pPr>
              <w:spacing w:after="0"/>
              <w:rPr>
                <w:sz w:val="17"/>
                <w:szCs w:val="17"/>
                <w:color w:val="auto"/>
              </w:rPr>
            </w:pPr>
          </w:p>
        </w:tc>
        <w:tc>
          <w:tcPr>
            <w:tcW w:w="2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340" w:type="dxa"/>
            <w:vAlign w:val="bottom"/>
            <w:shd w:val="clear" w:color="auto" w:fill="424E6A"/>
          </w:tcPr>
          <w:p>
            <w:pPr>
              <w:spacing w:after="0"/>
              <w:rPr>
                <w:sz w:val="17"/>
                <w:szCs w:val="17"/>
                <w:color w:val="auto"/>
              </w:rPr>
            </w:pPr>
          </w:p>
        </w:tc>
        <w:tc>
          <w:tcPr>
            <w:tcW w:w="66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900" w:type="dxa"/>
            <w:vAlign w:val="bottom"/>
            <w:tcBorders>
              <w:right w:val="single" w:sz="8" w:color="424E6A"/>
            </w:tcBorders>
            <w:shd w:val="clear" w:color="auto" w:fill="424E6A"/>
          </w:tcPr>
          <w:p>
            <w:pPr>
              <w:spacing w:after="0"/>
              <w:rPr>
                <w:sz w:val="17"/>
                <w:szCs w:val="17"/>
                <w:color w:val="auto"/>
              </w:rPr>
            </w:pPr>
          </w:p>
        </w:tc>
      </w:tr>
      <w:tr>
        <w:trPr>
          <w:trHeight w:val="162"/>
        </w:trPr>
        <w:tc>
          <w:tcPr>
            <w:tcW w:w="2520" w:type="dxa"/>
            <w:vAlign w:val="bottom"/>
            <w:tcBorders>
              <w:left w:val="single" w:sz="8" w:color="424E6A"/>
            </w:tcBorders>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Earned or</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r>
      <w:tr>
        <w:trPr>
          <w:trHeight w:val="162"/>
        </w:trPr>
        <w:tc>
          <w:tcPr>
            <w:tcW w:w="2520" w:type="dxa"/>
            <w:vAlign w:val="bottom"/>
            <w:tcBorders>
              <w:left w:val="single" w:sz="8" w:color="424E6A"/>
            </w:tcBorders>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in</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41"/>
              <w:spacing w:after="0"/>
              <w:rPr>
                <w:sz w:val="20"/>
                <w:szCs w:val="20"/>
                <w:color w:val="auto"/>
              </w:rPr>
            </w:pPr>
            <w:r>
              <w:rPr>
                <w:rFonts w:ascii="Arial" w:cs="Arial" w:eastAsia="Arial" w:hAnsi="Arial"/>
                <w:sz w:val="14"/>
                <w:szCs w:val="14"/>
                <w:b w:val="1"/>
                <w:bCs w:val="1"/>
                <w:color w:val="FFFFFF"/>
                <w:w w:val="99"/>
              </w:rPr>
              <w:t>Stock</w:t>
            </w: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40" w:type="dxa"/>
            <w:vAlign w:val="bottom"/>
            <w:tcBorders>
              <w:righ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r>
      <w:tr>
        <w:trPr>
          <w:trHeight w:val="149"/>
        </w:trPr>
        <w:tc>
          <w:tcPr>
            <w:tcW w:w="2520" w:type="dxa"/>
            <w:vAlign w:val="bottom"/>
            <w:tcBorders>
              <w:left w:val="single" w:sz="8" w:color="424E6A"/>
            </w:tcBorders>
            <w:shd w:val="clear" w:color="auto" w:fill="424E6A"/>
          </w:tcPr>
          <w:p>
            <w:pPr>
              <w:spacing w:after="0"/>
              <w:rPr>
                <w:sz w:val="12"/>
                <w:szCs w:val="12"/>
                <w:color w:val="auto"/>
              </w:rPr>
            </w:pPr>
          </w:p>
        </w:tc>
        <w:tc>
          <w:tcPr>
            <w:tcW w:w="860" w:type="dxa"/>
            <w:vAlign w:val="bottom"/>
            <w:tcBorders>
              <w:right w:val="single" w:sz="8" w:color="424E6A"/>
            </w:tcBorders>
            <w:shd w:val="clear" w:color="auto" w:fill="424E6A"/>
          </w:tcPr>
          <w:p>
            <w:pPr>
              <w:spacing w:after="0"/>
              <w:rPr>
                <w:sz w:val="12"/>
                <w:szCs w:val="12"/>
                <w:color w:val="auto"/>
              </w:rPr>
            </w:pPr>
          </w:p>
        </w:tc>
        <w:tc>
          <w:tcPr>
            <w:tcW w:w="200" w:type="dxa"/>
            <w:vAlign w:val="bottom"/>
            <w:shd w:val="clear" w:color="auto" w:fill="424E6A"/>
          </w:tcPr>
          <w:p>
            <w:pPr>
              <w:spacing w:after="0"/>
              <w:rPr>
                <w:sz w:val="12"/>
                <w:szCs w:val="12"/>
                <w:color w:val="auto"/>
              </w:rPr>
            </w:pPr>
          </w:p>
        </w:tc>
        <w:tc>
          <w:tcPr>
            <w:tcW w:w="9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Cash</w:t>
            </w:r>
          </w:p>
        </w:tc>
        <w:tc>
          <w:tcPr>
            <w:tcW w:w="240" w:type="dxa"/>
            <w:vAlign w:val="bottom"/>
            <w:tcBorders>
              <w:right w:val="single" w:sz="8" w:color="424E6A"/>
            </w:tcBorders>
            <w:shd w:val="clear" w:color="auto" w:fill="424E6A"/>
          </w:tcPr>
          <w:p>
            <w:pPr>
              <w:spacing w:after="0"/>
              <w:rPr>
                <w:sz w:val="12"/>
                <w:szCs w:val="12"/>
                <w:color w:val="auto"/>
              </w:rPr>
            </w:pPr>
          </w:p>
        </w:tc>
        <w:tc>
          <w:tcPr>
            <w:tcW w:w="200" w:type="dxa"/>
            <w:vAlign w:val="bottom"/>
            <w:shd w:val="clear" w:color="auto" w:fill="424E6A"/>
          </w:tcPr>
          <w:p>
            <w:pPr>
              <w:spacing w:after="0"/>
              <w:rPr>
                <w:sz w:val="12"/>
                <w:szCs w:val="12"/>
                <w:color w:val="auto"/>
              </w:rPr>
            </w:pPr>
          </w:p>
        </w:tc>
        <w:tc>
          <w:tcPr>
            <w:tcW w:w="180" w:type="dxa"/>
            <w:vAlign w:val="bottom"/>
            <w:shd w:val="clear" w:color="auto" w:fill="424E6A"/>
          </w:tcPr>
          <w:p>
            <w:pPr>
              <w:spacing w:after="0"/>
              <w:rPr>
                <w:sz w:val="12"/>
                <w:szCs w:val="12"/>
                <w:color w:val="auto"/>
              </w:rPr>
            </w:pPr>
          </w:p>
        </w:tc>
        <w:tc>
          <w:tcPr>
            <w:tcW w:w="720" w:type="dxa"/>
            <w:vAlign w:val="bottom"/>
            <w:shd w:val="clear" w:color="auto" w:fill="424E6A"/>
          </w:tcPr>
          <w:p>
            <w:pPr>
              <w:jc w:val="center"/>
              <w:ind w:right="121"/>
              <w:spacing w:after="0" w:line="149" w:lineRule="exact"/>
              <w:rPr>
                <w:sz w:val="20"/>
                <w:szCs w:val="20"/>
                <w:color w:val="auto"/>
              </w:rPr>
            </w:pPr>
            <w:r>
              <w:rPr>
                <w:rFonts w:ascii="Arial" w:cs="Arial" w:eastAsia="Arial" w:hAnsi="Arial"/>
                <w:sz w:val="14"/>
                <w:szCs w:val="14"/>
                <w:b w:val="1"/>
                <w:bCs w:val="1"/>
                <w:color w:val="FFFFFF"/>
              </w:rPr>
              <w:t>Awards</w:t>
            </w:r>
          </w:p>
        </w:tc>
        <w:tc>
          <w:tcPr>
            <w:tcW w:w="24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00" w:type="dxa"/>
            <w:vAlign w:val="bottom"/>
            <w:gridSpan w:val="2"/>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2"/>
                <w:szCs w:val="12"/>
                <w:color w:val="auto"/>
              </w:rPr>
            </w:pPr>
          </w:p>
        </w:tc>
        <w:tc>
          <w:tcPr>
            <w:tcW w:w="900" w:type="dxa"/>
            <w:vAlign w:val="bottom"/>
            <w:tcBorders>
              <w:right w:val="single" w:sz="8" w:color="424E6A"/>
            </w:tcBorders>
            <w:shd w:val="clear" w:color="auto" w:fill="424E6A"/>
          </w:tcPr>
          <w:p>
            <w:pPr>
              <w:jc w:val="center"/>
              <w:ind w:right="3"/>
              <w:spacing w:after="0" w:line="149" w:lineRule="exact"/>
              <w:rPr>
                <w:sz w:val="20"/>
                <w:szCs w:val="20"/>
                <w:color w:val="auto"/>
              </w:rPr>
            </w:pPr>
            <w:r>
              <w:rPr>
                <w:rFonts w:ascii="Arial" w:cs="Arial" w:eastAsia="Arial" w:hAnsi="Arial"/>
                <w:sz w:val="14"/>
                <w:szCs w:val="14"/>
                <w:b w:val="1"/>
                <w:bCs w:val="1"/>
                <w:color w:val="FFFFFF"/>
              </w:rPr>
              <w:t>Total</w:t>
            </w:r>
          </w:p>
        </w:tc>
      </w:tr>
      <w:tr>
        <w:trPr>
          <w:trHeight w:val="224"/>
        </w:trPr>
        <w:tc>
          <w:tcPr>
            <w:tcW w:w="25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060" w:type="dxa"/>
            <w:vAlign w:val="bottom"/>
            <w:gridSpan w:val="2"/>
            <w:shd w:val="clear" w:color="auto" w:fill="424E6A"/>
          </w:tcPr>
          <w:p>
            <w:pPr>
              <w:ind w:left="80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gridSpan w:val="2"/>
            <w:shd w:val="clear" w:color="auto" w:fill="424E6A"/>
          </w:tcPr>
          <w:p>
            <w:pPr>
              <w:jc w:val="right"/>
              <w:ind w:right="30"/>
              <w:spacing w:after="0"/>
              <w:rPr>
                <w:sz w:val="20"/>
                <w:szCs w:val="20"/>
                <w:color w:val="auto"/>
              </w:rPr>
            </w:pPr>
            <w:r>
              <w:rPr>
                <w:rFonts w:ascii="Arial" w:cs="Arial" w:eastAsia="Arial" w:hAnsi="Arial"/>
                <w:sz w:val="14"/>
                <w:szCs w:val="14"/>
                <w:b w:val="1"/>
                <w:bCs w:val="1"/>
                <w:color w:val="FFFFFF"/>
              </w:rPr>
              <w:t>​ ​</w:t>
            </w:r>
          </w:p>
        </w:tc>
        <w:tc>
          <w:tcPr>
            <w:tcW w:w="180" w:type="dxa"/>
            <w:vAlign w:val="bottom"/>
            <w:shd w:val="clear" w:color="auto" w:fill="424E6A"/>
          </w:tcPr>
          <w:p>
            <w:pPr>
              <w:spacing w:after="0"/>
              <w:rPr>
                <w:sz w:val="19"/>
                <w:szCs w:val="19"/>
                <w:color w:val="auto"/>
              </w:rPr>
            </w:pPr>
          </w:p>
        </w:tc>
        <w:tc>
          <w:tcPr>
            <w:tcW w:w="720" w:type="dxa"/>
            <w:vAlign w:val="bottom"/>
            <w:shd w:val="clear" w:color="auto" w:fill="424E6A"/>
          </w:tcPr>
          <w:p>
            <w:pPr>
              <w:jc w:val="center"/>
              <w:ind w:right="81"/>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3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shd w:val="clear" w:color="auto" w:fill="424E6A"/>
          </w:tcPr>
          <w:p>
            <w:pPr>
              <w:spacing w:after="0"/>
              <w:rPr>
                <w:sz w:val="19"/>
                <w:szCs w:val="19"/>
                <w:color w:val="auto"/>
              </w:rPr>
            </w:pPr>
          </w:p>
        </w:tc>
        <w:tc>
          <w:tcPr>
            <w:tcW w:w="660" w:type="dxa"/>
            <w:vAlign w:val="bottom"/>
            <w:shd w:val="clear" w:color="auto" w:fill="424E6A"/>
          </w:tcPr>
          <w:p>
            <w:pPr>
              <w:jc w:val="center"/>
              <w:ind w:right="232"/>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right w:val="single" w:sz="8" w:color="424E6A"/>
            </w:tcBorders>
            <w:gridSpan w:val="2"/>
            <w:shd w:val="clear" w:color="auto" w:fill="424E6A"/>
          </w:tcPr>
          <w:p>
            <w:pPr>
              <w:ind w:left="8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w:t>
            </w:r>
          </w:p>
        </w:tc>
      </w:tr>
      <w:tr>
        <w:trPr>
          <w:trHeight w:val="256"/>
        </w:trPr>
        <w:tc>
          <w:tcPr>
            <w:tcW w:w="2520" w:type="dxa"/>
            <w:vAlign w:val="bottom"/>
            <w:tcBorders>
              <w:left w:val="single" w:sz="8" w:color="424E6A"/>
              <w:bottom w:val="single" w:sz="8" w:color="424E6A"/>
            </w:tcBorders>
            <w:shd w:val="clear" w:color="auto" w:fill="D9DCE1"/>
          </w:tcPr>
          <w:p>
            <w:pPr>
              <w:ind w:left="60"/>
              <w:spacing w:after="0" w:line="256"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860" w:type="dxa"/>
            <w:vAlign w:val="bottom"/>
            <w:tcBorders>
              <w:bottom w:val="single" w:sz="8" w:color="424E6A"/>
              <w:right w:val="single" w:sz="8" w:color="424E6A"/>
            </w:tcBorders>
            <w:shd w:val="clear" w:color="auto" w:fill="D9DCE1"/>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325,000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24E6A"/>
            </w:tcBorders>
            <w:shd w:val="clear" w:color="auto" w:fill="D9DCE1"/>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shd w:val="clear" w:color="auto" w:fill="D9DCE1"/>
          </w:tcPr>
          <w:p>
            <w:pPr>
              <w:jc w:val="right"/>
              <w:ind w:right="132"/>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20,340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345,340</w:t>
            </w:r>
          </w:p>
        </w:tc>
      </w:tr>
      <w:tr>
        <w:trPr>
          <w:trHeight w:val="250"/>
        </w:trPr>
        <w:tc>
          <w:tcPr>
            <w:tcW w:w="25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Victor Burk</w:t>
            </w:r>
          </w:p>
        </w:tc>
        <w:tc>
          <w:tcPr>
            <w:tcW w:w="860" w:type="dxa"/>
            <w:vAlign w:val="bottom"/>
            <w:tcBorders>
              <w:bottom w:val="single" w:sz="8" w:color="424E6A"/>
              <w:right w:val="single" w:sz="8" w:color="424E6A"/>
            </w:tcBorders>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285,970</w:t>
            </w:r>
          </w:p>
        </w:tc>
      </w:tr>
      <w:tr>
        <w:trPr>
          <w:trHeight w:val="250"/>
        </w:trPr>
        <w:tc>
          <w:tcPr>
            <w:tcW w:w="25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Ellen R. DeSanctis</w:t>
            </w:r>
          </w:p>
        </w:tc>
        <w:tc>
          <w:tcPr>
            <w:tcW w:w="860" w:type="dxa"/>
            <w:vAlign w:val="bottom"/>
            <w:tcBorders>
              <w:bottom w:val="single" w:sz="8" w:color="424E6A"/>
              <w:right w:val="single" w:sz="8" w:color="424E6A"/>
            </w:tcBorders>
            <w:shd w:val="clear" w:color="auto" w:fill="D9DCE1"/>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270,970</w:t>
            </w:r>
          </w:p>
        </w:tc>
      </w:tr>
      <w:tr>
        <w:trPr>
          <w:trHeight w:val="250"/>
        </w:trPr>
        <w:tc>
          <w:tcPr>
            <w:tcW w:w="25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Kevin S. McCarthy</w:t>
            </w:r>
          </w:p>
        </w:tc>
        <w:tc>
          <w:tcPr>
            <w:tcW w:w="860" w:type="dxa"/>
            <w:vAlign w:val="bottom"/>
            <w:tcBorders>
              <w:bottom w:val="single" w:sz="8" w:color="424E6A"/>
              <w:right w:val="single" w:sz="8" w:color="424E6A"/>
            </w:tcBorders>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255,970</w:t>
            </w:r>
          </w:p>
        </w:tc>
      </w:tr>
      <w:tr>
        <w:trPr>
          <w:trHeight w:val="250"/>
        </w:trPr>
        <w:tc>
          <w:tcPr>
            <w:tcW w:w="2520" w:type="dxa"/>
            <w:vAlign w:val="bottom"/>
            <w:tcBorders>
              <w:left w:val="single" w:sz="8" w:color="424E6A"/>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18"/>
                <w:szCs w:val="18"/>
                <w:color w:val="auto"/>
              </w:rPr>
              <w:t>Harry N. Pefanis</w:t>
            </w:r>
            <w:r>
              <w:rPr>
                <w:rFonts w:ascii="Arial" w:cs="Arial" w:eastAsia="Arial" w:hAnsi="Arial"/>
                <w:sz w:val="23"/>
                <w:szCs w:val="23"/>
                <w:color w:val="auto"/>
                <w:vertAlign w:val="superscript"/>
              </w:rPr>
              <w:t>(3)</w:t>
            </w:r>
          </w:p>
        </w:tc>
        <w:tc>
          <w:tcPr>
            <w:tcW w:w="860" w:type="dxa"/>
            <w:vAlign w:val="bottom"/>
            <w:tcBorders>
              <w:bottom w:val="single" w:sz="8" w:color="424E6A"/>
              <w:right w:val="single" w:sz="8" w:color="424E6A"/>
            </w:tcBorders>
            <w:shd w:val="clear" w:color="auto" w:fill="D9DCE1"/>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439,584</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24E6A"/>
            </w:tcBorders>
            <w:shd w:val="clear" w:color="auto" w:fill="D9DCE1"/>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shd w:val="clear" w:color="auto" w:fill="D9DCE1"/>
          </w:tcPr>
          <w:p>
            <w:pPr>
              <w:jc w:val="right"/>
              <w:ind w:right="13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21,840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461,424</w:t>
            </w:r>
          </w:p>
        </w:tc>
      </w:tr>
      <w:tr>
        <w:trPr>
          <w:trHeight w:val="250"/>
        </w:trPr>
        <w:tc>
          <w:tcPr>
            <w:tcW w:w="25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Gary R. Petersen</w:t>
            </w:r>
          </w:p>
        </w:tc>
        <w:tc>
          <w:tcPr>
            <w:tcW w:w="860" w:type="dxa"/>
            <w:vAlign w:val="bottom"/>
            <w:tcBorders>
              <w:bottom w:val="single" w:sz="8" w:color="424E6A"/>
              <w:right w:val="single" w:sz="8" w:color="424E6A"/>
            </w:tcBorders>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255,970</w:t>
            </w:r>
          </w:p>
        </w:tc>
      </w:tr>
      <w:tr>
        <w:trPr>
          <w:trHeight w:val="250"/>
        </w:trPr>
        <w:tc>
          <w:tcPr>
            <w:tcW w:w="25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Alexandra D. Pruner</w:t>
            </w:r>
          </w:p>
        </w:tc>
        <w:tc>
          <w:tcPr>
            <w:tcW w:w="860" w:type="dxa"/>
            <w:vAlign w:val="bottom"/>
            <w:tcBorders>
              <w:bottom w:val="single" w:sz="8" w:color="424E6A"/>
              <w:right w:val="single" w:sz="8" w:color="424E6A"/>
            </w:tcBorders>
            <w:shd w:val="clear" w:color="auto" w:fill="D9DCE1"/>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270,970</w:t>
            </w:r>
          </w:p>
        </w:tc>
      </w:tr>
      <w:tr>
        <w:trPr>
          <w:trHeight w:val="250"/>
        </w:trPr>
        <w:tc>
          <w:tcPr>
            <w:tcW w:w="25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John T. Raymond</w:t>
            </w:r>
          </w:p>
        </w:tc>
        <w:tc>
          <w:tcPr>
            <w:tcW w:w="860" w:type="dxa"/>
            <w:vAlign w:val="bottom"/>
            <w:tcBorders>
              <w:bottom w:val="single" w:sz="8" w:color="424E6A"/>
              <w:right w:val="single" w:sz="8" w:color="424E6A"/>
            </w:tcBorders>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155,417</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296,387</w:t>
            </w:r>
          </w:p>
        </w:tc>
      </w:tr>
      <w:tr>
        <w:trPr>
          <w:trHeight w:val="250"/>
        </w:trPr>
        <w:tc>
          <w:tcPr>
            <w:tcW w:w="25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Bobby S. Shackouls</w:t>
            </w:r>
          </w:p>
        </w:tc>
        <w:tc>
          <w:tcPr>
            <w:tcW w:w="860" w:type="dxa"/>
            <w:vAlign w:val="bottom"/>
            <w:tcBorders>
              <w:bottom w:val="single" w:sz="8" w:color="424E6A"/>
              <w:right w:val="single" w:sz="8" w:color="424E6A"/>
            </w:tcBorders>
            <w:shd w:val="clear" w:color="auto" w:fill="D9DCE1"/>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149,583</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290,553</w:t>
            </w:r>
          </w:p>
        </w:tc>
      </w:tr>
      <w:tr>
        <w:trPr>
          <w:trHeight w:val="250"/>
        </w:trPr>
        <w:tc>
          <w:tcPr>
            <w:tcW w:w="25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Lawrence M. Ziemba</w:t>
            </w:r>
          </w:p>
        </w:tc>
        <w:tc>
          <w:tcPr>
            <w:tcW w:w="860" w:type="dxa"/>
            <w:vAlign w:val="bottom"/>
            <w:tcBorders>
              <w:bottom w:val="single" w:sz="8" w:color="424E6A"/>
              <w:right w:val="single" w:sz="8" w:color="424E6A"/>
            </w:tcBorders>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150,000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140,970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290,970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459" w:hanging="360"/>
        <w:spacing w:after="0"/>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2025 is based on the grant date fair value computed in accordance with FASB guidance regarding share-based payments. See Note 18 to our Consolidated Financial Statements included in our 2025 Annual Report for additional discussion regarding the calculation of grant date fair values. In August 2025, each of Messrs. Burk, McCarthy, Petersen, Raymond, Shackouls and Ziemba, Ms. DeSanctis and Ms. Pruner received an annual long-term incentive award for 7,400 PAGP phantom Class A shares. See “— Long-Term Equity Awards” below for further information regarding long-term incentive awards granted to our non-employee directors. The number of outstanding long-term incentive awards held by each of our non-employee directors as of December 31, 2025 was 7,400.</w:t>
      </w:r>
    </w:p>
    <w:p>
      <w:pPr>
        <w:spacing w:after="0" w:line="58" w:lineRule="exact"/>
        <w:rPr>
          <w:rFonts w:ascii="Arial" w:cs="Arial" w:eastAsia="Arial" w:hAnsi="Arial"/>
          <w:sz w:val="27"/>
          <w:szCs w:val="27"/>
          <w:color w:val="auto"/>
          <w:vertAlign w:val="superscript"/>
        </w:rPr>
      </w:pPr>
    </w:p>
    <w:p>
      <w:pPr>
        <w:ind w:left="1620" w:right="439" w:hanging="360"/>
        <w:spacing w:after="0" w:line="237"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During 2025, Mr. Armstrong served as Senior Advisor to the CEO and received a salary of $325,000 and other compensation of $20,340 (comprising 401(k) plan matching contributions and premium payments for group term life insurance) for his services as an employee and as a director. Pursuant to his employment agreement, which was amended and restated in May 2024, Mr. Armstrong will continue to serve as a director and will also serve as a Senior Advisor to the CEO until the date of the 2027 annual meeting and he will receive an annual base salary of $325,000 for these services. Mr. Armstrong does not hold any LTIP awards.</w:t>
      </w:r>
    </w:p>
    <w:p>
      <w:pPr>
        <w:spacing w:after="0" w:line="46" w:lineRule="exact"/>
        <w:rPr>
          <w:rFonts w:ascii="Arial" w:cs="Arial" w:eastAsia="Arial" w:hAnsi="Arial"/>
          <w:sz w:val="27"/>
          <w:szCs w:val="27"/>
          <w:color w:val="auto"/>
          <w:vertAlign w:val="superscript"/>
        </w:rPr>
      </w:pPr>
    </w:p>
    <w:p>
      <w:pPr>
        <w:ind w:left="1620" w:right="519" w:hanging="360"/>
        <w:spacing w:after="0" w:line="238"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During 2025, Mr. Pefanis served as President from January 1 through May 31 and as a Senior Advisor to the CEO from June 1 through December 31. Mr. Pefanis received an aggregate blended salary of $439,584 and other compensation of $21,840 (comprising 401(k) plan matching contributions and premium payments for group term life insurance) for his services as an employee and as a director. Pursuant to his employment agreement dated effective June 1, 2025, Mr. Pefanis will continue to serve as a director and will also serve as a Senior Advisor to the CEO until the date of the 2028 annual meeting and he will receive an annual salary of $325,000 for these services. Mr. Pefanis does not hold any LTIP awards.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42"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During 2025, our non-employee directors received an annual retainer fee of $115,000. In addition to their annual retainer, each committee chair (other than the Audit Committee chair) received an additional retainer of $20,000, the Audit Committee chair received an additional retainer of $30,000, each other member of the Audit Committee received an additional retainer of $15,000, and the Lead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Director received an additional retainer of $35,000. The amounts shown in the table above for Messrs. Raymond and Shackouls reflect a blended rate as a result of the Lead Director and Committee Chair rotations that took place in June 2025.</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719" w:firstLine="360"/>
        <w:spacing w:after="0" w:line="256" w:lineRule="auto"/>
        <w:rPr>
          <w:sz w:val="20"/>
          <w:szCs w:val="20"/>
          <w:color w:val="auto"/>
        </w:rPr>
      </w:pPr>
      <w:r>
        <w:rPr>
          <w:rFonts w:ascii="Arial" w:cs="Arial" w:eastAsia="Arial" w:hAnsi="Arial"/>
          <w:sz w:val="18"/>
          <w:szCs w:val="18"/>
          <w:color w:val="auto"/>
        </w:rPr>
        <w:t>Our non-employee directors receive annual LTIP awards as part of their compensation. In 2025, such LTIP awards consisted of PAGP phantom Class A shares having a market value on the date of grant equal to approximately $145,000 (based on a volume weighted average price for the 10-trading day period beginning five days before and ending five days after the ex-dividend date immediately preceding the date of grant). The annual LTIP awards granted in 2025 will vest (become payable in PAGP Class A shares on a one-for-one basis) on the August 2026 distribution date and include associated DERs.</w:t>
      </w:r>
    </w:p>
    <w:p>
      <w:pPr>
        <w:spacing w:after="0" w:line="102"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All non-employee director LTIP awards vest in full upon the next following distribution date after the death or disability (as determined in good faith by the Board) of the director. The non-employee director LTIP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PAA does not pay its general partner a management fee, but it does reimburse its general partner for all direct and indirect costs of services provided to PAA or incurred on PAA’s behalf, including the costs of employee, officer and director compensation and benefits allocable to PAA, as well as all other expenses necessary or appropriate to the conduct of PAA’s business.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58" w:lineRule="exact"/>
        <w:rPr>
          <w:sz w:val="20"/>
          <w:szCs w:val="20"/>
          <w:color w:val="auto"/>
        </w:rPr>
      </w:pPr>
    </w:p>
    <w:p>
      <w:pPr>
        <w:ind w:left="1260" w:right="780" w:firstLine="360"/>
        <w:spacing w:after="0" w:line="254" w:lineRule="auto"/>
        <w:rPr>
          <w:sz w:val="20"/>
          <w:szCs w:val="20"/>
          <w:color w:val="auto"/>
        </w:rPr>
      </w:pPr>
      <w:r>
        <w:rPr>
          <w:rFonts w:ascii="Arial" w:cs="Arial" w:eastAsia="Arial" w:hAnsi="Arial"/>
          <w:sz w:val="18"/>
          <w:szCs w:val="18"/>
          <w:color w:val="auto"/>
        </w:rPr>
        <w:t xml:space="preserve">Our Class A, Class B and Class C shares outstanding represent 100% of our voting securities. The following table sets forth certain information regarding the beneficial ownership of our Class A, Class B and Class C shares as of March 23, 2026 (unless otherwise noted) by each person who is known to us to beneficially own more than 5% of our Class A shares, Class B shares and Class C shares, the Named Executive Officers, our directors, and all directors and executive officers as a group. As reflected below, PAA is the record owner of 100% of our Class C shares, but votes such shares for the election of directors at our Annual Meeting based on instructions received from the holders of PAA’s common units (other than Plains AAP) and Series A Preferred Units. See pages </w:t>
      </w:r>
      <w:r>
        <w:rPr>
          <w:rFonts w:ascii="Arial" w:cs="Arial" w:eastAsia="Arial" w:hAnsi="Arial"/>
          <w:sz w:val="18"/>
          <w:szCs w:val="18"/>
          <w:u w:val="single" w:color="auto"/>
          <w:color w:val="0000EE"/>
        </w:rPr>
        <w:t>8</w:t>
      </w:r>
      <w:r>
        <w:rPr>
          <w:rFonts w:ascii="Arial" w:cs="Arial" w:eastAsia="Arial" w:hAnsi="Arial"/>
          <w:sz w:val="18"/>
          <w:szCs w:val="18"/>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for additional information regarding our ownership and voting structure, including the ownership of PAA’s common units and Series A preferred units.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380" w:type="dxa"/>
            <w:vAlign w:val="bottom"/>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22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280" w:type="dxa"/>
            <w:vAlign w:val="bottom"/>
            <w:shd w:val="clear" w:color="auto" w:fill="424E6A"/>
          </w:tcPr>
          <w:p>
            <w:pPr>
              <w:spacing w:after="0"/>
              <w:rPr>
                <w:sz w:val="17"/>
                <w:szCs w:val="17"/>
                <w:color w:val="auto"/>
              </w:rPr>
            </w:pPr>
          </w:p>
        </w:tc>
        <w:tc>
          <w:tcPr>
            <w:tcW w:w="88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46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920" w:type="dxa"/>
            <w:vAlign w:val="bottom"/>
            <w:shd w:val="clear" w:color="auto" w:fill="424E6A"/>
          </w:tcPr>
          <w:p>
            <w:pPr>
              <w:spacing w:after="0"/>
              <w:rPr>
                <w:sz w:val="17"/>
                <w:szCs w:val="17"/>
                <w:color w:val="auto"/>
              </w:rPr>
            </w:pPr>
          </w:p>
        </w:tc>
        <w:tc>
          <w:tcPr>
            <w:tcW w:w="360" w:type="dxa"/>
            <w:vAlign w:val="bottom"/>
            <w:shd w:val="clear" w:color="auto" w:fill="424E6A"/>
          </w:tcPr>
          <w:p>
            <w:pPr>
              <w:spacing w:after="0"/>
              <w:rPr>
                <w:sz w:val="17"/>
                <w:szCs w:val="17"/>
                <w:color w:val="auto"/>
              </w:rPr>
            </w:pPr>
          </w:p>
        </w:tc>
        <w:tc>
          <w:tcPr>
            <w:tcW w:w="440" w:type="dxa"/>
            <w:vAlign w:val="bottom"/>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20" w:type="dxa"/>
            <w:vAlign w:val="bottom"/>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400" w:type="dxa"/>
            <w:vAlign w:val="bottom"/>
            <w:shd w:val="clear" w:color="auto" w:fill="424E6A"/>
          </w:tcPr>
          <w:p>
            <w:pPr>
              <w:spacing w:after="0"/>
              <w:rPr>
                <w:sz w:val="14"/>
                <w:szCs w:val="14"/>
                <w:color w:val="auto"/>
              </w:rPr>
            </w:pPr>
          </w:p>
        </w:tc>
        <w:tc>
          <w:tcPr>
            <w:tcW w:w="40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8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46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4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A,</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Name of Beneficial Owner and</w:t>
            </w:r>
          </w:p>
        </w:tc>
        <w:tc>
          <w:tcPr>
            <w:tcW w:w="2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80" w:type="dxa"/>
            <w:vAlign w:val="bottom"/>
            <w:shd w:val="clear" w:color="auto" w:fill="424E6A"/>
          </w:tcPr>
          <w:p>
            <w:pPr>
              <w:spacing w:after="0"/>
              <w:rPr>
                <w:sz w:val="14"/>
                <w:szCs w:val="14"/>
                <w:color w:val="auto"/>
              </w:rPr>
            </w:pPr>
          </w:p>
        </w:tc>
        <w:tc>
          <w:tcPr>
            <w:tcW w:w="88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 and C</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Address (in the case</w:t>
            </w:r>
          </w:p>
        </w:tc>
        <w:tc>
          <w:tcPr>
            <w:tcW w:w="2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80" w:type="dxa"/>
            <w:vAlign w:val="bottom"/>
            <w:shd w:val="clear" w:color="auto" w:fill="424E6A"/>
          </w:tcPr>
          <w:p>
            <w:pPr>
              <w:jc w:val="right"/>
              <w:ind w:right="48"/>
              <w:spacing w:after="0"/>
              <w:rPr>
                <w:sz w:val="20"/>
                <w:szCs w:val="20"/>
                <w:color w:val="auto"/>
              </w:rPr>
            </w:pPr>
            <w:r>
              <w:rPr>
                <w:rFonts w:ascii="Arial" w:cs="Arial" w:eastAsia="Arial" w:hAnsi="Arial"/>
                <w:sz w:val="14"/>
                <w:szCs w:val="14"/>
                <w:b w:val="1"/>
                <w:bCs w:val="1"/>
                <w:color w:val="FFFFFF"/>
              </w:rPr>
              <w:t>Class A</w:t>
            </w:r>
          </w:p>
        </w:tc>
        <w:tc>
          <w:tcPr>
            <w:tcW w:w="1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of Class A</w:t>
            </w:r>
          </w:p>
        </w:tc>
        <w:tc>
          <w:tcPr>
            <w:tcW w:w="280" w:type="dxa"/>
            <w:vAlign w:val="bottom"/>
            <w:shd w:val="clear" w:color="auto" w:fill="424E6A"/>
          </w:tcPr>
          <w:p>
            <w:pPr>
              <w:spacing w:after="0"/>
              <w:rPr>
                <w:sz w:val="14"/>
                <w:szCs w:val="14"/>
                <w:color w:val="auto"/>
              </w:rPr>
            </w:pPr>
          </w:p>
        </w:tc>
        <w:tc>
          <w:tcPr>
            <w:tcW w:w="880" w:type="dxa"/>
            <w:vAlign w:val="bottom"/>
            <w:shd w:val="clear" w:color="auto" w:fill="424E6A"/>
          </w:tcPr>
          <w:p>
            <w:pPr>
              <w:jc w:val="right"/>
              <w:ind w:right="251"/>
              <w:spacing w:after="0"/>
              <w:rPr>
                <w:sz w:val="20"/>
                <w:szCs w:val="20"/>
                <w:color w:val="auto"/>
              </w:rPr>
            </w:pPr>
            <w:r>
              <w:rPr>
                <w:rFonts w:ascii="Arial" w:cs="Arial" w:eastAsia="Arial" w:hAnsi="Arial"/>
                <w:sz w:val="14"/>
                <w:szCs w:val="14"/>
                <w:b w:val="1"/>
                <w:bCs w:val="1"/>
                <w:color w:val="FFFFFF"/>
              </w:rPr>
              <w:t>Class B</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B</w:t>
            </w: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rPr>
              <w:t>Class C</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C</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​of Owners of more than 5%)</w:t>
            </w:r>
          </w:p>
        </w:tc>
        <w:tc>
          <w:tcPr>
            <w:tcW w:w="26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140" w:type="dxa"/>
            <w:vAlign w:val="bottom"/>
            <w:shd w:val="clear" w:color="auto" w:fill="424E6A"/>
          </w:tcPr>
          <w:p>
            <w:pPr>
              <w:spacing w:after="0"/>
              <w:rPr>
                <w:sz w:val="14"/>
                <w:szCs w:val="14"/>
                <w:color w:val="auto"/>
              </w:rPr>
            </w:pPr>
          </w:p>
        </w:tc>
        <w:tc>
          <w:tcPr>
            <w:tcW w:w="680" w:type="dxa"/>
            <w:vAlign w:val="bottom"/>
            <w:shd w:val="clear" w:color="auto" w:fill="424E6A"/>
          </w:tcPr>
          <w:p>
            <w:pPr>
              <w:jc w:val="right"/>
              <w:ind w:right="8"/>
              <w:spacing w:after="0" w:line="172" w:lineRule="exact"/>
              <w:rPr>
                <w:sz w:val="20"/>
                <w:szCs w:val="20"/>
                <w:color w:val="auto"/>
              </w:rPr>
            </w:pPr>
            <w:r>
              <w:rPr>
                <w:rFonts w:ascii="Arial" w:cs="Arial" w:eastAsia="Arial" w:hAnsi="Arial"/>
                <w:sz w:val="14"/>
                <w:szCs w:val="14"/>
                <w:b w:val="1"/>
                <w:bCs w:val="1"/>
                <w:color w:val="FFFFFF"/>
                <w:w w:val="95"/>
              </w:rPr>
              <w:t>Shares</w:t>
            </w:r>
            <w:r>
              <w:rPr>
                <w:rFonts w:ascii="Arial" w:cs="Arial" w:eastAsia="Arial" w:hAnsi="Arial"/>
                <w:sz w:val="17"/>
                <w:szCs w:val="17"/>
                <w:b w:val="1"/>
                <w:bCs w:val="1"/>
                <w:color w:val="FFFFFF"/>
                <w:w w:val="95"/>
                <w:vertAlign w:val="superscript"/>
              </w:rPr>
              <w:t>(1)</w:t>
            </w:r>
          </w:p>
        </w:tc>
        <w:tc>
          <w:tcPr>
            <w:tcW w:w="140" w:type="dxa"/>
            <w:vAlign w:val="bottom"/>
            <w:shd w:val="clear" w:color="auto" w:fill="424E6A"/>
          </w:tcPr>
          <w:p>
            <w:pPr>
              <w:spacing w:after="0"/>
              <w:rPr>
                <w:sz w:val="14"/>
                <w:szCs w:val="14"/>
                <w:color w:val="auto"/>
              </w:rPr>
            </w:pPr>
          </w:p>
        </w:tc>
        <w:tc>
          <w:tcPr>
            <w:tcW w:w="2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2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424E6A"/>
          </w:tcPr>
          <w:p>
            <w:pPr>
              <w:jc w:val="right"/>
              <w:spacing w:after="0" w:line="172"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17"/>
                <w:szCs w:val="17"/>
                <w:b w:val="1"/>
                <w:bCs w:val="1"/>
                <w:color w:val="FFFFFF"/>
                <w:vertAlign w:val="superscript"/>
              </w:rPr>
              <w:t>(1)</w:t>
            </w:r>
            <w:r>
              <w:rPr>
                <w:rFonts w:ascii="Arial" w:cs="Arial" w:eastAsia="Arial" w:hAnsi="Arial"/>
                <w:sz w:val="14"/>
                <w:szCs w:val="14"/>
                <w:b w:val="1"/>
                <w:bCs w:val="1"/>
                <w:color w:val="FFFFFF"/>
              </w:rPr>
              <w:t xml:space="preserve">   ​ ​</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right"/>
              <w:spacing w:after="0" w:line="172"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17"/>
                <w:szCs w:val="17"/>
                <w:b w:val="1"/>
                <w:bCs w:val="1"/>
                <w:color w:val="FFFFFF"/>
                <w:vertAlign w:val="superscript"/>
              </w:rPr>
              <w:t>(2)</w:t>
            </w:r>
            <w:r>
              <w:rPr>
                <w:rFonts w:ascii="Arial" w:cs="Arial" w:eastAsia="Arial" w:hAnsi="Arial"/>
                <w:sz w:val="14"/>
                <w:szCs w:val="14"/>
                <w:b w:val="1"/>
                <w:bCs w:val="1"/>
                <w:color w:val="FFFFFF"/>
              </w:rPr>
              <w:t xml:space="preserve">   ​ ​</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000" w:type="dxa"/>
            <w:vAlign w:val="bottom"/>
            <w:gridSpan w:val="3"/>
            <w:shd w:val="clear" w:color="auto" w:fill="424E6A"/>
          </w:tcPr>
          <w:p>
            <w:pPr>
              <w:ind w:left="60"/>
              <w:spacing w:after="0"/>
              <w:rPr>
                <w:sz w:val="20"/>
                <w:szCs w:val="20"/>
                <w:color w:val="auto"/>
              </w:rPr>
            </w:pPr>
            <w:r>
              <w:rPr>
                <w:rFonts w:ascii="Arial" w:cs="Arial" w:eastAsia="Arial" w:hAnsi="Arial"/>
                <w:sz w:val="14"/>
                <w:szCs w:val="14"/>
                <w:b w:val="1"/>
                <w:bCs w:val="1"/>
                <w:color w:val="FFFFFF"/>
              </w:rPr>
              <w:t>​ ​ Combined</w:t>
            </w:r>
          </w:p>
        </w:tc>
        <w:tc>
          <w:tcPr>
            <w:tcW w:w="1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380" w:type="dxa"/>
            <w:vAlign w:val="bottom"/>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Tortoise Capital Advisors, L.L.C.</w:t>
            </w:r>
            <w:r>
              <w:rPr>
                <w:rFonts w:ascii="Arial" w:cs="Arial" w:eastAsia="Arial" w:hAnsi="Arial"/>
                <w:sz w:val="17"/>
                <w:szCs w:val="17"/>
                <w:color w:val="auto"/>
                <w:vertAlign w:val="superscript"/>
              </w:rPr>
              <w:t>(3)</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D9DCE1"/>
          </w:tcPr>
          <w:p>
            <w:pPr>
              <w:ind w:left="10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11,704,169</w:t>
            </w:r>
          </w:p>
        </w:tc>
        <w:tc>
          <w:tcPr>
            <w:tcW w:w="140" w:type="dxa"/>
            <w:vAlign w:val="bottom"/>
            <w:shd w:val="clear" w:color="auto" w:fill="D9DCE1"/>
          </w:tcPr>
          <w:p>
            <w:pPr>
              <w:spacing w:after="0"/>
              <w:rPr>
                <w:sz w:val="21"/>
                <w:szCs w:val="21"/>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5.9%</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9,542,156​​ ​</w:t>
            </w:r>
          </w:p>
        </w:tc>
        <w:tc>
          <w:tcPr>
            <w:tcW w:w="80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1.8%</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80" w:type="dxa"/>
            <w:vAlign w:val="bottom"/>
          </w:tcPr>
          <w:p>
            <w:pPr>
              <w:ind w:left="240"/>
              <w:spacing w:after="0"/>
              <w:rPr>
                <w:sz w:val="20"/>
                <w:szCs w:val="20"/>
                <w:color w:val="auto"/>
              </w:rPr>
            </w:pPr>
            <w:r>
              <w:rPr>
                <w:rFonts w:ascii="Arial" w:cs="Arial" w:eastAsia="Arial" w:hAnsi="Arial"/>
                <w:sz w:val="14"/>
                <w:szCs w:val="14"/>
                <w:color w:val="auto"/>
              </w:rPr>
              <w:t>6363 College Blvd., Suite 100A</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tcPr>
          <w:p>
            <w:pPr>
              <w:ind w:left="40"/>
              <w:spacing w:after="0"/>
              <w:rPr>
                <w:sz w:val="20"/>
                <w:szCs w:val="20"/>
                <w:color w:val="auto"/>
              </w:rPr>
            </w:pPr>
            <w:r>
              <w:rPr>
                <w:rFonts w:ascii="Arial" w:cs="Arial" w:eastAsia="Arial" w:hAnsi="Arial"/>
                <w:sz w:val="14"/>
                <w:szCs w:val="14"/>
                <w:color w:val="auto"/>
              </w:rPr>
              <w:t>​  Overland Park, KS 66211</w:t>
            </w: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​Arrowtown LP</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CE1"/>
          </w:tcPr>
          <w:p>
            <w:pPr>
              <w:spacing w:after="0"/>
              <w:rPr>
                <w:sz w:val="18"/>
                <w:szCs w:val="18"/>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16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r>
              <w:rPr>
                <w:rFonts w:ascii="Arial" w:cs="Arial" w:eastAsia="Arial" w:hAnsi="Arial"/>
                <w:sz w:val="14"/>
                <w:szCs w:val="14"/>
                <w:color w:val="auto"/>
              </w:rPr>
              <w:t xml:space="preserve"> 7,059,799​​ ​</w:t>
            </w:r>
          </w:p>
        </w:tc>
        <w:tc>
          <w:tcPr>
            <w:tcW w:w="780" w:type="dxa"/>
            <w:vAlign w:val="bottom"/>
            <w:gridSpan w:val="2"/>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20.1%</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80" w:type="dxa"/>
            <w:vAlign w:val="bottom"/>
          </w:tcPr>
          <w:p>
            <w:pPr>
              <w:ind w:left="240"/>
              <w:spacing w:after="0"/>
              <w:rPr>
                <w:sz w:val="20"/>
                <w:szCs w:val="20"/>
                <w:color w:val="auto"/>
              </w:rPr>
            </w:pPr>
            <w:r>
              <w:rPr>
                <w:rFonts w:ascii="Arial" w:cs="Arial" w:eastAsia="Arial" w:hAnsi="Arial"/>
                <w:sz w:val="14"/>
                <w:szCs w:val="14"/>
                <w:color w:val="auto"/>
              </w:rPr>
              <w:t>1800 Avenue of the Stars,</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tcPr>
          <w:p>
            <w:pPr>
              <w:ind w:left="40"/>
              <w:spacing w:after="0"/>
              <w:rPr>
                <w:sz w:val="20"/>
                <w:szCs w:val="20"/>
                <w:color w:val="auto"/>
              </w:rPr>
            </w:pPr>
            <w:r>
              <w:rPr>
                <w:rFonts w:ascii="Arial" w:cs="Arial" w:eastAsia="Arial" w:hAnsi="Arial"/>
                <w:sz w:val="14"/>
                <w:szCs w:val="14"/>
                <w:color w:val="auto"/>
              </w:rPr>
              <w:t>​  3rd Floor Los Angeles, CA 90067</w:t>
            </w: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Plains All American Pipeline, L.P.</w:t>
            </w:r>
            <w:r>
              <w:rPr>
                <w:rFonts w:ascii="Arial" w:cs="Arial" w:eastAsia="Arial" w:hAnsi="Arial"/>
                <w:sz w:val="17"/>
                <w:szCs w:val="17"/>
                <w:color w:val="auto"/>
                <w:vertAlign w:val="superscript"/>
              </w:rPr>
              <w:t>(2)</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CE1"/>
          </w:tcPr>
          <w:p>
            <w:pPr>
              <w:spacing w:after="0"/>
              <w:rPr>
                <w:sz w:val="21"/>
                <w:szCs w:val="21"/>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530,943,161​​ ​</w:t>
            </w:r>
          </w:p>
        </w:tc>
        <w:tc>
          <w:tcPr>
            <w:tcW w:w="80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69.5%</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80" w:type="dxa"/>
            <w:vAlign w:val="bottom"/>
          </w:tcPr>
          <w:p>
            <w:pPr>
              <w:ind w:left="240"/>
              <w:spacing w:after="0"/>
              <w:rPr>
                <w:sz w:val="20"/>
                <w:szCs w:val="20"/>
                <w:color w:val="auto"/>
              </w:rPr>
            </w:pPr>
            <w:r>
              <w:rPr>
                <w:rFonts w:ascii="Arial" w:cs="Arial" w:eastAsia="Arial" w:hAnsi="Arial"/>
                <w:sz w:val="14"/>
                <w:szCs w:val="14"/>
                <w:color w:val="auto"/>
              </w:rPr>
              <w:t>333 Clay Street, Suite 1600</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tcPr>
          <w:p>
            <w:pPr>
              <w:ind w:left="40"/>
              <w:spacing w:after="0"/>
              <w:rPr>
                <w:sz w:val="20"/>
                <w:szCs w:val="20"/>
                <w:color w:val="auto"/>
              </w:rPr>
            </w:pPr>
            <w:r>
              <w:rPr>
                <w:rFonts w:ascii="Arial" w:cs="Arial" w:eastAsia="Arial" w:hAnsi="Arial"/>
                <w:sz w:val="14"/>
                <w:szCs w:val="14"/>
                <w:color w:val="auto"/>
              </w:rPr>
              <w:t>​  Houston, TX 77002</w:t>
            </w: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​Willie Chiang</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378,704</w:t>
            </w:r>
          </w:p>
        </w:tc>
        <w:tc>
          <w:tcPr>
            <w:tcW w:w="140" w:type="dxa"/>
            <w:vAlign w:val="bottom"/>
            <w:shd w:val="clear" w:color="auto" w:fill="D9DCE1"/>
          </w:tcPr>
          <w:p>
            <w:pPr>
              <w:spacing w:after="0"/>
              <w:rPr>
                <w:sz w:val="18"/>
                <w:szCs w:val="18"/>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353,489​​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1.0%</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1,186,791​​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4"/>
                <w:szCs w:val="14"/>
                <w:color w:val="auto"/>
              </w:rPr>
              <w:t>​Al Swanson</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1,351,839</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601,901​​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​Richard McGee</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CE1"/>
          </w:tcPr>
          <w:p>
            <w:pPr>
              <w:spacing w:after="0"/>
              <w:rPr>
                <w:sz w:val="18"/>
                <w:szCs w:val="18"/>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429,346​​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1.2%</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606,353​​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4"/>
                <w:szCs w:val="14"/>
                <w:color w:val="auto"/>
              </w:rPr>
              <w:t>​Chris Chandler</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493,904​​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​Jeremy Goebel</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1,314</w:t>
            </w:r>
          </w:p>
        </w:tc>
        <w:tc>
          <w:tcPr>
            <w:tcW w:w="140" w:type="dxa"/>
            <w:vAlign w:val="bottom"/>
            <w:shd w:val="clear" w:color="auto" w:fill="D9DCE1"/>
          </w:tcPr>
          <w:p>
            <w:pPr>
              <w:spacing w:after="0"/>
              <w:rPr>
                <w:sz w:val="18"/>
                <w:szCs w:val="18"/>
                <w:color w:val="auto"/>
              </w:rPr>
            </w:pP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35,350​​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518,936​​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4"/>
                <w:szCs w:val="14"/>
                <w:color w:val="auto"/>
              </w:rPr>
              <w:t>​Greg L. Armstrong</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1,765,812</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r>
              <w:rPr>
                <w:rFonts w:ascii="Arial" w:cs="Arial" w:eastAsia="Arial" w:hAnsi="Arial"/>
                <w:sz w:val="14"/>
                <w:szCs w:val="14"/>
                <w:color w:val="auto"/>
              </w:rPr>
              <w:t xml:space="preserve"> 4,492,268​​ ​</w:t>
            </w: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12.8%</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1,508,418​​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​Victor Burk</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42,923</w:t>
            </w:r>
            <w:r>
              <w:rPr>
                <w:rFonts w:ascii="Arial" w:cs="Arial" w:eastAsia="Arial" w:hAnsi="Arial"/>
                <w:sz w:val="17"/>
                <w:szCs w:val="17"/>
                <w:color w:val="auto"/>
                <w:vertAlign w:val="superscript"/>
              </w:rPr>
              <w:t>(4)</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37,043​​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4"/>
                <w:szCs w:val="14"/>
                <w:color w:val="auto"/>
              </w:rPr>
              <w:t>​Ellen DeSanctis</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37,100</w:t>
            </w:r>
            <w:r>
              <w:rPr>
                <w:rFonts w:ascii="Arial" w:cs="Arial" w:eastAsia="Arial" w:hAnsi="Arial"/>
                <w:sz w:val="17"/>
                <w:szCs w:val="17"/>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​Kevin S. McCarthy</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148,691</w:t>
            </w:r>
            <w:r>
              <w:rPr>
                <w:rFonts w:ascii="Arial" w:cs="Arial" w:eastAsia="Arial" w:hAnsi="Arial"/>
                <w:sz w:val="17"/>
                <w:szCs w:val="17"/>
                <w:color w:val="auto"/>
                <w:vertAlign w:val="superscript"/>
              </w:rPr>
              <w:t>(4)</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200,000​​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4"/>
                <w:szCs w:val="14"/>
                <w:color w:val="auto"/>
              </w:rPr>
              <w:t>​Harry N. Pefanis</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1,108,653</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r>
              <w:rPr>
                <w:rFonts w:ascii="Arial" w:cs="Arial" w:eastAsia="Arial" w:hAnsi="Arial"/>
                <w:sz w:val="14"/>
                <w:szCs w:val="14"/>
                <w:color w:val="auto"/>
              </w:rPr>
              <w:t xml:space="preserve"> 2,268,988​​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420,194​​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​Gary R. Petersen</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68,144</w:t>
            </w:r>
            <w:r>
              <w:rPr>
                <w:rFonts w:ascii="Arial" w:cs="Arial" w:eastAsia="Arial" w:hAnsi="Arial"/>
                <w:sz w:val="17"/>
                <w:szCs w:val="17"/>
                <w:color w:val="auto"/>
                <w:vertAlign w:val="superscript"/>
              </w:rPr>
              <w:t>(4)</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68,200​​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4"/>
                <w:szCs w:val="14"/>
                <w:color w:val="auto"/>
              </w:rPr>
              <w:t>​Alexandra D. Pruner</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80,894</w:t>
            </w:r>
            <w:r>
              <w:rPr>
                <w:rFonts w:ascii="Arial" w:cs="Arial" w:eastAsia="Arial" w:hAnsi="Arial"/>
                <w:sz w:val="17"/>
                <w:szCs w:val="17"/>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380" w:type="dxa"/>
            <w:vAlign w:val="bottom"/>
            <w:vMerge w:val="restart"/>
            <w:shd w:val="clear" w:color="auto" w:fill="D9DCE1"/>
          </w:tcPr>
          <w:p>
            <w:pPr>
              <w:ind w:left="40"/>
              <w:spacing w:after="0"/>
              <w:rPr>
                <w:sz w:val="20"/>
                <w:szCs w:val="20"/>
                <w:color w:val="auto"/>
              </w:rPr>
            </w:pPr>
            <w:r>
              <w:rPr>
                <w:rFonts w:ascii="Arial" w:cs="Arial" w:eastAsia="Arial" w:hAnsi="Arial"/>
                <w:sz w:val="14"/>
                <w:szCs w:val="14"/>
                <w:color w:val="auto"/>
              </w:rPr>
              <w:t>​John T. Raymond</w:t>
            </w:r>
          </w:p>
        </w:tc>
        <w:tc>
          <w:tcPr>
            <w:tcW w:w="260" w:type="dxa"/>
            <w:vAlign w:val="bottom"/>
            <w:vMerge w:val="restart"/>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vMerge w:val="restart"/>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315,394</w:t>
            </w:r>
          </w:p>
        </w:tc>
        <w:tc>
          <w:tcPr>
            <w:tcW w:w="140" w:type="dxa"/>
            <w:vAlign w:val="bottom"/>
            <w:shd w:val="clear" w:color="auto" w:fill="D9DCE1"/>
          </w:tcPr>
          <w:p>
            <w:pPr>
              <w:spacing w:after="0"/>
              <w:rPr>
                <w:sz w:val="20"/>
                <w:szCs w:val="20"/>
                <w:color w:val="auto"/>
              </w:rPr>
            </w:pPr>
            <w:r>
              <w:rPr>
                <w:rFonts w:ascii="Arial" w:cs="Arial" w:eastAsia="Arial" w:hAnsi="Arial"/>
                <w:sz w:val="9"/>
                <w:szCs w:val="9"/>
                <w:color w:val="auto"/>
              </w:rPr>
              <w:t>(4)</w:t>
            </w:r>
          </w:p>
        </w:tc>
        <w:tc>
          <w:tcPr>
            <w:tcW w:w="2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spacing w:after="0"/>
              <w:rPr>
                <w:sz w:val="11"/>
                <w:szCs w:val="11"/>
                <w:color w:val="auto"/>
              </w:rPr>
            </w:pPr>
          </w:p>
        </w:tc>
        <w:tc>
          <w:tcPr>
            <w:tcW w:w="880" w:type="dxa"/>
            <w:vAlign w:val="bottom"/>
            <w:shd w:val="clear" w:color="auto" w:fill="D9DCE1"/>
          </w:tcPr>
          <w:p>
            <w:pPr>
              <w:jc w:val="right"/>
              <w:ind w:right="11"/>
              <w:spacing w:after="0"/>
              <w:rPr>
                <w:sz w:val="20"/>
                <w:szCs w:val="20"/>
                <w:color w:val="auto"/>
              </w:rPr>
            </w:pPr>
            <w:r>
              <w:rPr>
                <w:rFonts w:ascii="Arial" w:cs="Arial" w:eastAsia="Arial" w:hAnsi="Arial"/>
                <w:sz w:val="9"/>
                <w:szCs w:val="9"/>
                <w:color w:val="auto"/>
              </w:rPr>
              <w:t>(5)</w:t>
            </w:r>
          </w:p>
        </w:tc>
        <w:tc>
          <w:tcPr>
            <w:tcW w:w="780" w:type="dxa"/>
            <w:vAlign w:val="bottom"/>
            <w:gridSpan w:val="2"/>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32.7%</w:t>
            </w:r>
          </w:p>
        </w:tc>
        <w:tc>
          <w:tcPr>
            <w:tcW w:w="1240" w:type="dxa"/>
            <w:vAlign w:val="bottom"/>
            <w:gridSpan w:val="2"/>
            <w:vMerge w:val="restart"/>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21,978,875​​ ​</w:t>
            </w:r>
          </w:p>
        </w:tc>
        <w:tc>
          <w:tcPr>
            <w:tcW w:w="80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4.1%</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380" w:type="dxa"/>
            <w:vAlign w:val="bottom"/>
            <w:vMerge w:val="continue"/>
            <w:shd w:val="clear" w:color="auto" w:fill="D9DCE1"/>
          </w:tcPr>
          <w:p>
            <w:pPr>
              <w:spacing w:after="0"/>
              <w:rPr>
                <w:sz w:val="8"/>
                <w:szCs w:val="8"/>
                <w:color w:val="auto"/>
              </w:rPr>
            </w:pPr>
          </w:p>
        </w:tc>
        <w:tc>
          <w:tcPr>
            <w:tcW w:w="260" w:type="dxa"/>
            <w:vAlign w:val="bottom"/>
            <w:vMerge w:val="continue"/>
            <w:shd w:val="clear" w:color="auto" w:fill="D9DCE1"/>
          </w:tcPr>
          <w:p>
            <w:pPr>
              <w:spacing w:after="0"/>
              <w:rPr>
                <w:sz w:val="8"/>
                <w:szCs w:val="8"/>
                <w:color w:val="auto"/>
              </w:rPr>
            </w:pPr>
          </w:p>
        </w:tc>
        <w:tc>
          <w:tcPr>
            <w:tcW w:w="14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140" w:type="dxa"/>
            <w:vAlign w:val="bottom"/>
            <w:shd w:val="clear" w:color="auto" w:fill="D9DCE1"/>
          </w:tcPr>
          <w:p>
            <w:pPr>
              <w:spacing w:after="0"/>
              <w:rPr>
                <w:sz w:val="8"/>
                <w:szCs w:val="8"/>
                <w:color w:val="auto"/>
              </w:rPr>
            </w:pPr>
          </w:p>
        </w:tc>
        <w:tc>
          <w:tcPr>
            <w:tcW w:w="22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1160" w:type="dxa"/>
            <w:vAlign w:val="bottom"/>
            <w:gridSpan w:val="2"/>
            <w:shd w:val="clear" w:color="auto" w:fill="D9DCE1"/>
          </w:tcPr>
          <w:p>
            <w:pPr>
              <w:jc w:val="right"/>
              <w:spacing w:after="0" w:line="95" w:lineRule="exact"/>
              <w:rPr>
                <w:sz w:val="20"/>
                <w:szCs w:val="20"/>
                <w:color w:val="auto"/>
              </w:rPr>
            </w:pPr>
            <w:r>
              <w:rPr>
                <w:rFonts w:ascii="Arial" w:cs="Arial" w:eastAsia="Arial" w:hAnsi="Arial"/>
                <w:sz w:val="10"/>
                <w:szCs w:val="10"/>
                <w:color w:val="auto"/>
              </w:rPr>
              <w:t>​ ​ ​</w:t>
            </w:r>
            <w:r>
              <w:rPr>
                <w:rFonts w:ascii="Arial" w:cs="Arial" w:eastAsia="Arial" w:hAnsi="Arial"/>
                <w:sz w:val="10"/>
                <w:szCs w:val="10"/>
                <w:b w:val="1"/>
                <w:bCs w:val="1"/>
                <w:color w:val="auto"/>
              </w:rPr>
              <w:t>​</w:t>
            </w:r>
            <w:r>
              <w:rPr>
                <w:rFonts w:ascii="Arial" w:cs="Arial" w:eastAsia="Arial" w:hAnsi="Arial"/>
                <w:sz w:val="10"/>
                <w:szCs w:val="10"/>
                <w:color w:val="auto"/>
              </w:rPr>
              <w:t>11,458,736​​ ​</w:t>
            </w:r>
          </w:p>
        </w:tc>
        <w:tc>
          <w:tcPr>
            <w:tcW w:w="780" w:type="dxa"/>
            <w:vAlign w:val="bottom"/>
            <w:gridSpan w:val="2"/>
            <w:vMerge w:val="continue"/>
            <w:shd w:val="clear" w:color="auto" w:fill="D9DCE1"/>
          </w:tcPr>
          <w:p>
            <w:pPr>
              <w:spacing w:after="0"/>
              <w:rPr>
                <w:sz w:val="8"/>
                <w:szCs w:val="8"/>
                <w:color w:val="auto"/>
              </w:rPr>
            </w:pPr>
          </w:p>
        </w:tc>
        <w:tc>
          <w:tcPr>
            <w:tcW w:w="1240" w:type="dxa"/>
            <w:vAlign w:val="bottom"/>
            <w:gridSpan w:val="2"/>
            <w:vMerge w:val="continue"/>
            <w:shd w:val="clear" w:color="auto" w:fill="D9DCE1"/>
          </w:tcPr>
          <w:p>
            <w:pPr>
              <w:spacing w:after="0"/>
              <w:rPr>
                <w:sz w:val="8"/>
                <w:szCs w:val="8"/>
                <w:color w:val="auto"/>
              </w:rPr>
            </w:pPr>
          </w:p>
        </w:tc>
        <w:tc>
          <w:tcPr>
            <w:tcW w:w="80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4"/>
                <w:szCs w:val="14"/>
                <w:color w:val="auto"/>
              </w:rPr>
              <w:t>​Bobby S. Shackouls</w:t>
            </w:r>
          </w:p>
        </w:tc>
        <w:tc>
          <w:tcPr>
            <w:tcW w:w="26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73,401</w:t>
            </w:r>
            <w:r>
              <w:rPr>
                <w:rFonts w:ascii="Arial" w:cs="Arial" w:eastAsia="Arial" w:hAnsi="Arial"/>
                <w:sz w:val="17"/>
                <w:szCs w:val="17"/>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35,033​​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D9DCE1"/>
          </w:tcPr>
          <w:p>
            <w:pPr>
              <w:ind w:left="40"/>
              <w:spacing w:after="0"/>
              <w:rPr>
                <w:sz w:val="20"/>
                <w:szCs w:val="20"/>
                <w:color w:val="auto"/>
              </w:rPr>
            </w:pPr>
            <w:r>
              <w:rPr>
                <w:rFonts w:ascii="Arial" w:cs="Arial" w:eastAsia="Arial" w:hAnsi="Arial"/>
                <w:sz w:val="14"/>
                <w:szCs w:val="14"/>
                <w:color w:val="auto"/>
              </w:rPr>
              <w:t>​Lawrence M. Ziemba</w:t>
            </w:r>
          </w:p>
        </w:tc>
        <w:tc>
          <w:tcPr>
            <w:tcW w:w="260" w:type="dxa"/>
            <w:vAlign w:val="bottom"/>
            <w:shd w:val="clear" w:color="auto" w:fill="D9DCE1"/>
          </w:tcPr>
          <w:p>
            <w:pPr>
              <w:ind w:left="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D9DCE1"/>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87,780</w:t>
            </w:r>
            <w:r>
              <w:rPr>
                <w:rFonts w:ascii="Arial" w:cs="Arial" w:eastAsia="Arial" w:hAnsi="Arial"/>
                <w:sz w:val="17"/>
                <w:szCs w:val="17"/>
                <w:color w:val="auto"/>
                <w:vertAlign w:val="superscript"/>
              </w:rPr>
              <w:t>(4)</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8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2,346​​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380" w:type="dxa"/>
            <w:vAlign w:val="bottom"/>
          </w:tcPr>
          <w:p>
            <w:pPr>
              <w:ind w:left="100"/>
              <w:spacing w:after="0"/>
              <w:rPr>
                <w:sz w:val="20"/>
                <w:szCs w:val="20"/>
                <w:color w:val="auto"/>
              </w:rPr>
            </w:pPr>
            <w:r>
              <w:rPr>
                <w:rFonts w:ascii="Arial" w:cs="Arial" w:eastAsia="Arial" w:hAnsi="Arial"/>
                <w:sz w:val="14"/>
                <w:szCs w:val="14"/>
                <w:color w:val="auto"/>
              </w:rPr>
              <w:t>All directors and executive officers</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5,460,649</w:t>
            </w:r>
          </w:p>
        </w:tc>
        <w:tc>
          <w:tcPr>
            <w:tcW w:w="360" w:type="dxa"/>
            <w:vAlign w:val="bottom"/>
            <w:gridSpan w:val="2"/>
          </w:tcPr>
          <w:p>
            <w:pPr>
              <w:spacing w:after="0"/>
              <w:rPr>
                <w:sz w:val="20"/>
                <w:szCs w:val="20"/>
                <w:color w:val="auto"/>
              </w:rPr>
            </w:pPr>
            <w:r>
              <w:rPr>
                <w:rFonts w:ascii="Arial" w:cs="Arial" w:eastAsia="Arial" w:hAnsi="Arial"/>
                <w:sz w:val="9"/>
                <w:szCs w:val="9"/>
                <w:color w:val="auto"/>
              </w:rPr>
              <w:t>(4)(6)</w:t>
            </w:r>
          </w:p>
        </w:tc>
        <w:tc>
          <w:tcPr>
            <w:tcW w:w="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2.8%</w:t>
            </w:r>
          </w:p>
        </w:tc>
        <w:tc>
          <w:tcPr>
            <w:tcW w:w="2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9"/>
                <w:szCs w:val="9"/>
                <w:color w:val="auto"/>
              </w:rPr>
              <w:t>(6)</w:t>
            </w: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54.7%</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27,899,067​​ ​</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5.3%</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  as a group (16 persons)</w:t>
            </w:r>
          </w:p>
        </w:tc>
        <w:tc>
          <w:tcPr>
            <w:tcW w:w="2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vMerge w:val="continue"/>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r>
              <w:rPr>
                <w:rFonts w:ascii="Arial" w:cs="Arial" w:eastAsia="Arial" w:hAnsi="Arial"/>
                <w:sz w:val="14"/>
                <w:szCs w:val="14"/>
                <w:color w:val="auto"/>
              </w:rPr>
              <w:t>19,184,581​​ ​</w:t>
            </w:r>
          </w:p>
        </w:tc>
        <w:tc>
          <w:tcPr>
            <w:tcW w:w="7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76200</wp:posOffset>
            </wp:positionV>
            <wp:extent cx="1234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0" w:lineRule="exact"/>
        <w:rPr>
          <w:sz w:val="20"/>
          <w:szCs w:val="20"/>
          <w:color w:val="auto"/>
        </w:rPr>
      </w:pPr>
    </w:p>
    <w:p>
      <w:pPr>
        <w:ind w:left="1620" w:hanging="360"/>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760" w:hanging="360"/>
        <w:spacing w:after="0" w:line="237"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Class A shares beneficially owned do not include any Class A shares issuable in connection with the exchange of any Class B shares.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hanging="360"/>
        <w:spacing w:after="0" w:line="242"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Each Class C share represents a non-economic limited partner interest in PAGP. The Class C shares function as a “pass-through” voting mechanism through which PAA votes at the direction of and as proxy for holders of PAA common units (other than Plains AAP) and holders of PAA Series A preferred units on the election of directors. The number of Class C shares owned by PAA is equal to the number of outstanding PAA common units and PAA Series A preferred units that are entitled to vote, pro rata with the holders of PAGP Class A and Class B shares, for the election of PAGP GP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64" w:lineRule="exact"/>
        <w:rPr>
          <w:rFonts w:ascii="Arial" w:cs="Arial" w:eastAsia="Arial" w:hAnsi="Arial"/>
          <w:sz w:val="27"/>
          <w:szCs w:val="27"/>
          <w:color w:val="auto"/>
          <w:vertAlign w:val="superscript"/>
        </w:rPr>
      </w:pPr>
    </w:p>
    <w:p>
      <w:pPr>
        <w:ind w:left="1620" w:right="479" w:hanging="360"/>
        <w:spacing w:after="0" w:line="210"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2025 as reported in a Schedule 13F filed with the SEC.</w:t>
      </w:r>
    </w:p>
    <w:p>
      <w:pPr>
        <w:spacing w:after="0" w:line="46" w:lineRule="exact"/>
        <w:rPr>
          <w:rFonts w:ascii="Arial" w:cs="Arial" w:eastAsia="Arial" w:hAnsi="Arial"/>
          <w:sz w:val="27"/>
          <w:szCs w:val="27"/>
          <w:color w:val="auto"/>
          <w:vertAlign w:val="superscript"/>
        </w:rPr>
      </w:pPr>
    </w:p>
    <w:p>
      <w:pPr>
        <w:ind w:left="1620" w:right="639" w:hanging="360"/>
        <w:spacing w:after="0" w:line="210"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Class A shares granted under our Long-Term Incentive Plan. See “Director Compensation.”</w:t>
      </w:r>
    </w:p>
    <w:p>
      <w:pPr>
        <w:spacing w:after="0" w:line="46" w:lineRule="exact"/>
        <w:rPr>
          <w:rFonts w:ascii="Arial" w:cs="Arial" w:eastAsia="Arial" w:hAnsi="Arial"/>
          <w:sz w:val="27"/>
          <w:szCs w:val="27"/>
          <w:color w:val="auto"/>
          <w:vertAlign w:val="superscript"/>
        </w:rPr>
      </w:pPr>
    </w:p>
    <w:p>
      <w:pPr>
        <w:ind w:left="1620" w:right="799" w:hanging="360"/>
        <w:spacing w:after="0" w:line="222"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Mr. Raymond is the sole member of Lynx Holdings I, LLC, which entity owns 3,183,216 Class B shares. As such, Mr. Raymond has sole voting and dispositive power over the Class B shares owned by Lynx Holdings I, LLC.</w:t>
      </w:r>
    </w:p>
    <w:p>
      <w:pPr>
        <w:spacing w:after="0" w:line="58" w:lineRule="exact"/>
        <w:rPr>
          <w:rFonts w:ascii="Arial" w:cs="Arial" w:eastAsia="Arial" w:hAnsi="Arial"/>
          <w:sz w:val="27"/>
          <w:szCs w:val="27"/>
          <w:color w:val="auto"/>
          <w:vertAlign w:val="superscript"/>
        </w:rPr>
      </w:pPr>
    </w:p>
    <w:p>
      <w:pPr>
        <w:ind w:left="1620" w:right="819" w:hanging="360"/>
        <w:spacing w:after="0" w:line="222"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Class A shares or Class B shares were pledged by directors or Named Executive Officers as of March 23, 2026.</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44" w:lineRule="exact"/>
        <w:rPr>
          <w:sz w:val="20"/>
          <w:szCs w:val="20"/>
          <w:color w:val="auto"/>
        </w:rPr>
      </w:pPr>
    </w:p>
    <w:p>
      <w:pPr>
        <w:ind w:left="1260" w:right="799" w:firstLine="360"/>
        <w:spacing w:after="0" w:line="318" w:lineRule="auto"/>
        <w:rPr>
          <w:sz w:val="20"/>
          <w:szCs w:val="20"/>
          <w:color w:val="auto"/>
        </w:rPr>
      </w:pPr>
      <w:r>
        <w:rPr>
          <w:rFonts w:ascii="Arial" w:cs="Arial" w:eastAsia="Arial" w:hAnsi="Arial"/>
          <w:sz w:val="17"/>
          <w:szCs w:val="17"/>
          <w:color w:val="auto"/>
        </w:rPr>
        <w:t>The following table sets forth the percentage ownership of the Class A limited partners of Plains AAP, including certain of our directors and Named Executive Officers, as of March 23, 2026:</w:t>
      </w:r>
    </w:p>
    <w:p>
      <w:pPr>
        <w:spacing w:after="0" w:line="122"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80" w:type="dxa"/>
            <w:vAlign w:val="bottom"/>
            <w:tcBorders>
              <w:lef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5280" w:type="dxa"/>
            <w:vAlign w:val="bottom"/>
            <w:shd w:val="clear" w:color="auto" w:fill="424E6A"/>
          </w:tcPr>
          <w:p>
            <w:pPr>
              <w:spacing w:after="0"/>
              <w:rPr>
                <w:sz w:val="17"/>
                <w:szCs w:val="17"/>
                <w:color w:val="auto"/>
              </w:rPr>
            </w:pPr>
          </w:p>
        </w:tc>
        <w:tc>
          <w:tcPr>
            <w:tcW w:w="7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8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 of</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8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Plains AAP, L.P.</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49"/>
        </w:trPr>
        <w:tc>
          <w:tcPr>
            <w:tcW w:w="80" w:type="dxa"/>
            <w:vAlign w:val="bottom"/>
            <w:tcBorders>
              <w:lef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5280" w:type="dxa"/>
            <w:vAlign w:val="bottom"/>
            <w:shd w:val="clear" w:color="auto" w:fill="424E6A"/>
          </w:tcPr>
          <w:p>
            <w:pPr>
              <w:spacing w:after="0"/>
              <w:rPr>
                <w:sz w:val="12"/>
                <w:szCs w:val="12"/>
                <w:color w:val="auto"/>
              </w:rPr>
            </w:pPr>
          </w:p>
        </w:tc>
        <w:tc>
          <w:tcPr>
            <w:tcW w:w="76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80" w:type="dxa"/>
            <w:vAlign w:val="bottom"/>
            <w:gridSpan w:val="2"/>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Class A LP</w:t>
            </w:r>
          </w:p>
        </w:tc>
        <w:tc>
          <w:tcPr>
            <w:tcW w:w="100" w:type="dxa"/>
            <w:vAlign w:val="bottom"/>
            <w:tcBorders>
              <w:right w:val="single" w:sz="8" w:color="424E6A"/>
            </w:tcBorders>
            <w:shd w:val="clear" w:color="auto" w:fill="424E6A"/>
          </w:tcPr>
          <w:p>
            <w:pPr>
              <w:spacing w:after="0"/>
              <w:rPr>
                <w:sz w:val="12"/>
                <w:szCs w:val="12"/>
                <w:color w:val="auto"/>
              </w:rPr>
            </w:pPr>
          </w:p>
        </w:tc>
      </w:tr>
      <w:tr>
        <w:trPr>
          <w:trHeight w:val="211"/>
        </w:trPr>
        <w:tc>
          <w:tcPr>
            <w:tcW w:w="8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536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Name of Owner and Address (in the case of Owners of more than 5%)</w:t>
            </w:r>
          </w:p>
        </w:tc>
        <w:tc>
          <w:tcPr>
            <w:tcW w:w="860" w:type="dxa"/>
            <w:vAlign w:val="bottom"/>
            <w:gridSpan w:val="2"/>
            <w:shd w:val="clear" w:color="auto" w:fill="424E6A"/>
          </w:tcPr>
          <w:p>
            <w:pPr>
              <w:jc w:val="center"/>
              <w:ind w:left="492"/>
              <w:spacing w:after="0"/>
              <w:rPr>
                <w:sz w:val="20"/>
                <w:szCs w:val="20"/>
                <w:color w:val="auto"/>
              </w:rPr>
            </w:pPr>
            <w:r>
              <w:rPr>
                <w:rFonts w:ascii="Arial" w:cs="Arial" w:eastAsia="Arial" w:hAnsi="Arial"/>
                <w:sz w:val="14"/>
                <w:szCs w:val="14"/>
                <w:b w:val="1"/>
                <w:bCs w:val="1"/>
                <w:color w:val="FFFFFF"/>
              </w:rPr>
              <w:t>​ ​</w:t>
            </w: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Interest</w:t>
            </w:r>
            <w:r>
              <w:rPr>
                <w:rFonts w:ascii="Arial" w:cs="Arial" w:eastAsia="Arial" w:hAnsi="Arial"/>
                <w:sz w:val="17"/>
                <w:szCs w:val="17"/>
                <w:b w:val="1"/>
                <w:bCs w:val="1"/>
                <w:color w:val="FFFFFF"/>
                <w:w w:val="96"/>
                <w:vertAlign w:val="superscript"/>
              </w:rPr>
              <w:t>(1)</w:t>
            </w:r>
          </w:p>
        </w:tc>
        <w:tc>
          <w:tcPr>
            <w:tcW w:w="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r>
      <w:tr>
        <w:trPr>
          <w:trHeight w:val="256"/>
        </w:trPr>
        <w:tc>
          <w:tcPr>
            <w:tcW w:w="5440" w:type="dxa"/>
            <w:vAlign w:val="bottom"/>
            <w:tcBorders>
              <w:left w:val="single" w:sz="8" w:color="424E6A"/>
              <w:bottom w:val="single" w:sz="8" w:color="424E6A"/>
            </w:tcBorders>
            <w:gridSpan w:val="3"/>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Plains GP Holdings, L.P.</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​84.9%</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333 Clay Street, Suite 1600</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Houston, TX 77002</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Lynx Holdings I, LLC</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1.4%</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3.6%</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 L. Armstrong</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1.9%</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N. Pefanis</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shd w:val="clear" w:color="auto" w:fill="D9DCE1"/>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shd w:val="clear" w:color="auto" w:fill="D9DCE1"/>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Various Individual and Other Investors</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6.9%</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6" w:lineRule="exact"/>
        <w:rPr>
          <w:sz w:val="20"/>
          <w:szCs w:val="20"/>
          <w:color w:val="auto"/>
        </w:rPr>
      </w:pPr>
    </w:p>
    <w:p>
      <w:pPr>
        <w:ind w:left="1620" w:hanging="360"/>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419" w:hanging="360"/>
        <w:spacing w:after="0" w:line="21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233 million PAA common units and a 100% member interest in PAA GP LLC, which owns PAA’s non-economic general partner interest.</w:t>
      </w: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jc w:val="both"/>
        <w:ind w:left="1260" w:right="51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2025. For a description of this plan, see “Certain Relationships and Related Transactions — Plains GP Holdings, L.P. Long Term Incentive Plan.”</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680" w:type="dxa"/>
            <w:vAlign w:val="bottom"/>
            <w:tcBorders>
              <w:left w:val="single" w:sz="8" w:color="424E6A"/>
            </w:tcBorders>
            <w:shd w:val="clear" w:color="auto" w:fill="424E6A"/>
          </w:tcPr>
          <w:p>
            <w:pPr>
              <w:spacing w:after="0"/>
              <w:rPr>
                <w:sz w:val="17"/>
                <w:szCs w:val="17"/>
                <w:color w:val="auto"/>
              </w:rPr>
            </w:pPr>
          </w:p>
        </w:tc>
        <w:tc>
          <w:tcPr>
            <w:tcW w:w="2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40" w:type="dxa"/>
            <w:vAlign w:val="bottom"/>
            <w:tcBorders>
              <w:right w:val="single" w:sz="8" w:color="424E6A"/>
            </w:tcBorders>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122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40" w:type="dxa"/>
            <w:vAlign w:val="bottom"/>
            <w:tcBorders>
              <w:right w:val="single" w:sz="8" w:color="424E6A"/>
            </w:tcBorders>
            <w:shd w:val="clear" w:color="auto" w:fill="424E6A"/>
          </w:tcPr>
          <w:p>
            <w:pPr>
              <w:spacing w:after="0"/>
              <w:rPr>
                <w:sz w:val="14"/>
                <w:szCs w:val="14"/>
                <w:color w:val="auto"/>
              </w:rPr>
            </w:pPr>
          </w:p>
        </w:tc>
        <w:tc>
          <w:tcPr>
            <w:tcW w:w="1340" w:type="dxa"/>
            <w:vAlign w:val="bottom"/>
            <w:gridSpan w:val="2"/>
            <w:shd w:val="clear" w:color="auto" w:fill="424E6A"/>
          </w:tcPr>
          <w:p>
            <w:pPr>
              <w:jc w:val="center"/>
              <w:ind w:left="15"/>
              <w:spacing w:after="0"/>
              <w:rPr>
                <w:sz w:val="20"/>
                <w:szCs w:val="20"/>
                <w:color w:val="auto"/>
              </w:rPr>
            </w:pPr>
            <w:r>
              <w:rPr>
                <w:rFonts w:ascii="Arial" w:cs="Arial" w:eastAsia="Arial" w:hAnsi="Arial"/>
                <w:sz w:val="14"/>
                <w:szCs w:val="14"/>
                <w:b w:val="1"/>
                <w:bCs w:val="1"/>
                <w:color w:val="FFFFFF"/>
              </w:rPr>
              <w:t>Weighted Average</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Available for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Future Issuance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under Equity</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left w:val="single" w:sz="8" w:color="424E6A"/>
            </w:tcBorders>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242"/>
              <w:spacing w:after="0"/>
              <w:rPr>
                <w:sz w:val="20"/>
                <w:szCs w:val="20"/>
                <w:color w:val="auto"/>
              </w:rPr>
            </w:pPr>
            <w:r>
              <w:rPr>
                <w:rFonts w:ascii="Arial" w:cs="Arial" w:eastAsia="Arial" w:hAnsi="Arial"/>
                <w:sz w:val="14"/>
                <w:szCs w:val="14"/>
                <w:b w:val="1"/>
                <w:bCs w:val="1"/>
                <w:color w:val="FFFFFF"/>
              </w:rPr>
              <w:t>Plans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8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Plan Category</w:t>
            </w:r>
          </w:p>
        </w:tc>
        <w:tc>
          <w:tcPr>
            <w:tcW w:w="3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(a)</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424E6A"/>
          </w:tcPr>
          <w:p>
            <w:pPr>
              <w:spacing w:after="0"/>
              <w:rPr>
                <w:sz w:val="17"/>
                <w:szCs w:val="17"/>
                <w:color w:val="auto"/>
              </w:rPr>
            </w:pPr>
          </w:p>
        </w:tc>
        <w:tc>
          <w:tcPr>
            <w:tcW w:w="840" w:type="dxa"/>
            <w:vAlign w:val="bottom"/>
            <w:shd w:val="clear" w:color="auto" w:fill="424E6A"/>
          </w:tcPr>
          <w:p>
            <w:pPr>
              <w:jc w:val="center"/>
              <w:ind w:right="202"/>
              <w:spacing w:after="0"/>
              <w:rPr>
                <w:sz w:val="20"/>
                <w:szCs w:val="20"/>
                <w:color w:val="auto"/>
              </w:rPr>
            </w:pPr>
            <w:r>
              <w:rPr>
                <w:rFonts w:ascii="Arial" w:cs="Arial" w:eastAsia="Arial" w:hAnsi="Arial"/>
                <w:sz w:val="14"/>
                <w:szCs w:val="14"/>
                <w:b w:val="1"/>
                <w:bCs w:val="1"/>
                <w:color w:val="FFFFFF"/>
                <w:w w:val="93"/>
              </w:rPr>
              <w:t>(c)</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8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 by</w:t>
            </w:r>
          </w:p>
        </w:tc>
        <w:tc>
          <w:tcPr>
            <w:tcW w:w="260" w:type="dxa"/>
            <w:vAlign w:val="bottom"/>
            <w:tcBorders>
              <w:right w:val="single" w:sz="8" w:color="424E6A"/>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1240" w:type="dxa"/>
            <w:vAlign w:val="bottom"/>
            <w:shd w:val="clear" w:color="auto" w:fill="D9DCE1"/>
          </w:tcPr>
          <w:p>
            <w:pPr>
              <w:spacing w:after="0"/>
              <w:rPr>
                <w:sz w:val="18"/>
                <w:szCs w:val="18"/>
                <w:color w:val="auto"/>
              </w:rPr>
            </w:pPr>
          </w:p>
        </w:tc>
        <w:tc>
          <w:tcPr>
            <w:tcW w:w="140" w:type="dxa"/>
            <w:vAlign w:val="bottom"/>
            <w:tcBorders>
              <w:right w:val="single" w:sz="8" w:color="424E6A"/>
            </w:tcBorders>
            <w:shd w:val="clear" w:color="auto" w:fill="D9DCE1"/>
          </w:tcPr>
          <w:p>
            <w:pPr>
              <w:spacing w:after="0"/>
              <w:rPr>
                <w:sz w:val="18"/>
                <w:szCs w:val="18"/>
                <w:color w:val="auto"/>
              </w:rPr>
            </w:pPr>
          </w:p>
        </w:tc>
        <w:tc>
          <w:tcPr>
            <w:tcW w:w="120" w:type="dxa"/>
            <w:vAlign w:val="bottom"/>
            <w:shd w:val="clear" w:color="auto" w:fill="D9DCE1"/>
          </w:tcPr>
          <w:p>
            <w:pPr>
              <w:spacing w:after="0"/>
              <w:rPr>
                <w:sz w:val="18"/>
                <w:szCs w:val="18"/>
                <w:color w:val="auto"/>
              </w:rPr>
            </w:pPr>
          </w:p>
        </w:tc>
        <w:tc>
          <w:tcPr>
            <w:tcW w:w="1220" w:type="dxa"/>
            <w:vAlign w:val="bottom"/>
            <w:shd w:val="clear" w:color="auto" w:fill="D9DCE1"/>
          </w:tcPr>
          <w:p>
            <w:pPr>
              <w:spacing w:after="0"/>
              <w:rPr>
                <w:sz w:val="18"/>
                <w:szCs w:val="18"/>
                <w:color w:val="auto"/>
              </w:rPr>
            </w:pPr>
          </w:p>
        </w:tc>
        <w:tc>
          <w:tcPr>
            <w:tcW w:w="160" w:type="dxa"/>
            <w:vAlign w:val="bottom"/>
            <w:tcBorders>
              <w:right w:val="single" w:sz="8" w:color="424E6A"/>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840" w:type="dxa"/>
            <w:vAlign w:val="bottom"/>
            <w:shd w:val="clear" w:color="auto" w:fill="D9DCE1"/>
          </w:tcPr>
          <w:p>
            <w:pPr>
              <w:spacing w:after="0"/>
              <w:rPr>
                <w:sz w:val="18"/>
                <w:szCs w:val="18"/>
                <w:color w:val="auto"/>
              </w:rPr>
            </w:pPr>
          </w:p>
        </w:tc>
        <w:tc>
          <w:tcPr>
            <w:tcW w:w="1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68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unitholders:</w:t>
            </w:r>
          </w:p>
        </w:tc>
        <w:tc>
          <w:tcPr>
            <w:tcW w:w="26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24E6A"/>
            </w:tcBorders>
            <w:shd w:val="clear" w:color="auto" w:fill="D9DCE1"/>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24E6A"/>
            </w:tcBorders>
            <w:shd w:val="clear" w:color="auto" w:fill="D9DCE1"/>
          </w:tcPr>
          <w:p>
            <w:pPr>
              <w:spacing w:after="0"/>
              <w:rPr>
                <w:sz w:val="22"/>
                <w:szCs w:val="22"/>
                <w:color w:val="auto"/>
              </w:rPr>
            </w:pP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3680" w:type="dxa"/>
            <w:vAlign w:val="bottom"/>
            <w:tcBorders>
              <w:left w:val="single" w:sz="8" w:color="424E6A"/>
            </w:tcBorders>
          </w:tcPr>
          <w:p>
            <w:pPr>
              <w:ind w:left="240"/>
              <w:spacing w:after="0" w:line="182" w:lineRule="exact"/>
              <w:rPr>
                <w:sz w:val="20"/>
                <w:szCs w:val="20"/>
                <w:color w:val="auto"/>
              </w:rPr>
            </w:pPr>
            <w:r>
              <w:rPr>
                <w:rFonts w:ascii="Arial" w:cs="Arial" w:eastAsia="Arial" w:hAnsi="Arial"/>
                <w:sz w:val="18"/>
                <w:szCs w:val="18"/>
                <w:color w:val="auto"/>
              </w:rPr>
              <w:t>Long Term Incentive Plan</w:t>
            </w:r>
          </w:p>
        </w:tc>
        <w:tc>
          <w:tcPr>
            <w:tcW w:w="26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360"/>
              <w:spacing w:after="0" w:line="183" w:lineRule="exact"/>
              <w:rPr>
                <w:sz w:val="20"/>
                <w:szCs w:val="20"/>
                <w:color w:val="auto"/>
              </w:rPr>
            </w:pPr>
            <w:r>
              <w:rPr>
                <w:rFonts w:ascii="Arial" w:cs="Arial" w:eastAsia="Arial" w:hAnsi="Arial"/>
                <w:sz w:val="17"/>
                <w:szCs w:val="17"/>
                <w:color w:val="auto"/>
              </w:rPr>
              <w:t>59,200</w:t>
            </w:r>
            <w:r>
              <w:rPr>
                <w:rFonts w:ascii="Arial" w:cs="Arial" w:eastAsia="Arial" w:hAnsi="Arial"/>
                <w:sz w:val="21"/>
                <w:szCs w:val="21"/>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80"/>
              <w:spacing w:after="0" w:line="183" w:lineRule="exact"/>
              <w:rPr>
                <w:sz w:val="20"/>
                <w:szCs w:val="20"/>
                <w:color w:val="auto"/>
              </w:rPr>
            </w:pPr>
            <w:r>
              <w:rPr>
                <w:rFonts w:ascii="Arial" w:cs="Arial" w:eastAsia="Arial" w:hAnsi="Arial"/>
                <w:sz w:val="17"/>
                <w:szCs w:val="17"/>
                <w:color w:val="auto"/>
              </w:rPr>
              <w:t>3,040,391</w:t>
            </w:r>
            <w:r>
              <w:rPr>
                <w:rFonts w:ascii="Arial" w:cs="Arial" w:eastAsia="Arial" w:hAnsi="Arial"/>
                <w:sz w:val="21"/>
                <w:szCs w:val="21"/>
                <w:color w:val="auto"/>
                <w:vertAlign w:val="superscript"/>
              </w:rPr>
              <w:t>(1)</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680" w:type="dxa"/>
            <w:vAlign w:val="bottom"/>
            <w:tcBorders>
              <w:left w:val="single" w:sz="8" w:color="424E6A"/>
              <w:bottom w:val="single" w:sz="8" w:color="424E6A"/>
            </w:tcBorders>
          </w:tcPr>
          <w:p>
            <w:pPr>
              <w:spacing w:after="0"/>
              <w:rPr>
                <w:sz w:val="5"/>
                <w:szCs w:val="5"/>
                <w:color w:val="auto"/>
              </w:rPr>
            </w:pPr>
          </w:p>
        </w:tc>
        <w:tc>
          <w:tcPr>
            <w:tcW w:w="26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1240" w:type="dxa"/>
            <w:vAlign w:val="bottom"/>
            <w:tcBorders>
              <w:bottom w:val="single" w:sz="8" w:color="424E6A"/>
            </w:tcBorders>
          </w:tcPr>
          <w:p>
            <w:pPr>
              <w:ind w:left="3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220" w:type="dxa"/>
            <w:vAlign w:val="bottom"/>
            <w:tcBorders>
              <w:bottom w:val="single" w:sz="8" w:color="424E6A"/>
            </w:tcBorders>
          </w:tcPr>
          <w:p>
            <w:pPr>
              <w:ind w:left="44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4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680" w:type="dxa"/>
            <w:vAlign w:val="bottom"/>
            <w:tcBorders>
              <w:left w:val="single" w:sz="8" w:color="424E6A"/>
            </w:tcBorders>
            <w:shd w:val="clear" w:color="auto" w:fill="D9DCE1"/>
          </w:tcPr>
          <w:p>
            <w:pPr>
              <w:ind w:left="60"/>
              <w:spacing w:after="0" w:line="204" w:lineRule="exact"/>
              <w:rPr>
                <w:sz w:val="20"/>
                <w:szCs w:val="20"/>
                <w:color w:val="auto"/>
              </w:rPr>
            </w:pPr>
            <w:r>
              <w:rPr>
                <w:rFonts w:ascii="Arial" w:cs="Arial" w:eastAsia="Arial" w:hAnsi="Arial"/>
                <w:sz w:val="18"/>
                <w:szCs w:val="18"/>
                <w:color w:val="auto"/>
              </w:rPr>
              <w:t>Equity compensation plans not approved by</w:t>
            </w:r>
          </w:p>
        </w:tc>
        <w:tc>
          <w:tcPr>
            <w:tcW w:w="260" w:type="dxa"/>
            <w:vAlign w:val="bottom"/>
            <w:tcBorders>
              <w:right w:val="single" w:sz="8" w:color="424E6A"/>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1240" w:type="dxa"/>
            <w:vAlign w:val="bottom"/>
            <w:shd w:val="clear" w:color="auto" w:fill="D9DCE1"/>
          </w:tcPr>
          <w:p>
            <w:pPr>
              <w:spacing w:after="0"/>
              <w:rPr>
                <w:sz w:val="17"/>
                <w:szCs w:val="17"/>
                <w:color w:val="auto"/>
              </w:rPr>
            </w:pPr>
          </w:p>
        </w:tc>
        <w:tc>
          <w:tcPr>
            <w:tcW w:w="140" w:type="dxa"/>
            <w:vAlign w:val="bottom"/>
            <w:tcBorders>
              <w:right w:val="single" w:sz="8" w:color="424E6A"/>
            </w:tcBorders>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1220" w:type="dxa"/>
            <w:vAlign w:val="bottom"/>
            <w:shd w:val="clear" w:color="auto" w:fill="D9DCE1"/>
          </w:tcPr>
          <w:p>
            <w:pPr>
              <w:spacing w:after="0"/>
              <w:rPr>
                <w:sz w:val="17"/>
                <w:szCs w:val="17"/>
                <w:color w:val="auto"/>
              </w:rPr>
            </w:pPr>
          </w:p>
        </w:tc>
        <w:tc>
          <w:tcPr>
            <w:tcW w:w="160" w:type="dxa"/>
            <w:vAlign w:val="bottom"/>
            <w:tcBorders>
              <w:right w:val="single" w:sz="8" w:color="424E6A"/>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840" w:type="dxa"/>
            <w:vAlign w:val="bottom"/>
            <w:shd w:val="clear" w:color="auto" w:fill="D9DCE1"/>
          </w:tcPr>
          <w:p>
            <w:pPr>
              <w:spacing w:after="0"/>
              <w:rPr>
                <w:sz w:val="17"/>
                <w:szCs w:val="17"/>
                <w:color w:val="auto"/>
              </w:rPr>
            </w:pPr>
          </w:p>
        </w:tc>
        <w:tc>
          <w:tcPr>
            <w:tcW w:w="10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68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unitholders:</w:t>
            </w:r>
          </w:p>
        </w:tc>
        <w:tc>
          <w:tcPr>
            <w:tcW w:w="26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24E6A"/>
            </w:tcBorders>
            <w:shd w:val="clear" w:color="auto" w:fill="D9DCE1"/>
          </w:tcPr>
          <w:p>
            <w:pPr>
              <w:jc w:val="center"/>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N/A</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jc w:val="center"/>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N/A</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24E6A"/>
            </w:tcBorders>
            <w:shd w:val="clear" w:color="auto" w:fill="D9DCE1"/>
          </w:tcPr>
          <w:p>
            <w:pPr>
              <w:ind w:left="38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439" w:hanging="360"/>
        <w:spacing w:after="0" w:line="235" w:lineRule="auto"/>
        <w:tabs>
          <w:tab w:leader="none" w:pos="16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 (a)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Our general partner manages our operations and activities. We and our general partner have no employees. All of our officers and other personnel necessary for our business to function are employed by GP LLC or our Canadian subsidiary. Pursuant to the Omnibus Agreement described below under “— Omnibus Agreement,” all of our direct or indirect expenses, other than income taxes, if any, will be paid by PAA. These direct or indirect expenses include, but are not limited to, (i) compensation and expense reimbursements for the non-employee directors of PAGP GP, (ii) director and officer liability insurance,</w:t>
      </w:r>
    </w:p>
    <w:p>
      <w:pPr>
        <w:spacing w:after="0" w:line="4" w:lineRule="exact"/>
        <w:rPr>
          <w:sz w:val="20"/>
          <w:szCs w:val="20"/>
          <w:color w:val="auto"/>
        </w:rPr>
      </w:pPr>
    </w:p>
    <w:p>
      <w:pPr>
        <w:ind w:left="1260" w:right="839"/>
        <w:spacing w:after="0" w:line="250" w:lineRule="auto"/>
        <w:tabs>
          <w:tab w:leader="none" w:pos="15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listing exchange fees, (iv) investor relations expenses, and (v) fees related to legal, tax, financial advisory and accounting services.</w:t>
      </w:r>
    </w:p>
    <w:p>
      <w:pPr>
        <w:spacing w:after="0" w:line="104"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58"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7"/>
          <w:szCs w:val="17"/>
          <w:color w:val="auto"/>
        </w:rPr>
        <w:t>In connection with our initial public offering, our general partner adopted the PAGP Plan on our behalf for (i) the employees of our general partner and its affiliates who perform services for us and</w:t>
      </w:r>
    </w:p>
    <w:p>
      <w:pPr>
        <w:spacing w:after="0" w:line="1" w:lineRule="exact"/>
        <w:rPr>
          <w:sz w:val="20"/>
          <w:szCs w:val="20"/>
          <w:color w:val="auto"/>
        </w:rPr>
      </w:pPr>
    </w:p>
    <w:p>
      <w:pPr>
        <w:ind w:left="1260" w:right="419"/>
        <w:spacing w:after="0" w:line="242" w:lineRule="auto"/>
        <w:tabs>
          <w:tab w:leader="none" w:pos="15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2025, grants of 59,200 unvested phantom Class A shares were outstanding under the PAGP Plan.</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The PAGP Plan is administered by the Compensation Committee or other Board committee appointed to administer the Plan, or by the Board. The Board and the Compensation Committee have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Compensation Committee or on the date that no shares remain available under the PAGP Plan for awards. Upon termination of the PAGP Plan, awards then outstanding will continue pursuant to the terms of their grants.</w:t>
      </w:r>
    </w:p>
    <w:p>
      <w:pPr>
        <w:spacing w:after="0" w:line="110"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579" w:firstLine="360"/>
        <w:spacing w:after="0" w:line="27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A restricted share is a Class A share that vests over a period of time and that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such time is subject to forfeiture. The Board or the Compensation Committee will determine the period over which restricted shares granted to participants will vest. The Board or the Compensation Committee,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Compensation Committee or the terms of the award agreement provide otherwise.</w:t>
      </w:r>
    </w:p>
    <w:p>
      <w:pPr>
        <w:spacing w:after="0" w:line="91"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phantom share or, in the discretion of the Board or the Compensation Committee, cash equivalent to the value of a Class A share. The Board or the Compensation Committee will determine the period over which phantom shares granted to participants will vest. The Board or the Compensation Committee, in its discretion, may base its determination upon the achievement of performance metrics. If a grantee’s employment or membership on the Board terminates for any reason, the grantee’s phantom shares will be automatically forfeited unless, and to the extent, the Board or the Compensation Committee or the terms of the award agreement provide otherwise.</w:t>
      </w:r>
    </w:p>
    <w:p>
      <w:pPr>
        <w:spacing w:after="0" w:line="11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Board or the Compensation Committee, in its discretion, may grant DERs with respect to a phantom share. DERs entitle the grantee to receive an amount in cash equal to the cash distributions paid on a Class A share during the period the related award is outstanding. The Board or the Compensation Committee will establish whether the DERs are paid currently, when the tandem phantom share vests or on some other basis.</w:t>
      </w:r>
    </w:p>
    <w:p>
      <w:pPr>
        <w:spacing w:after="0" w:line="11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9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or the Compensation Committee determines for each option. The Board or the Compensation Committee will determine the methods and form of payment for the exercise price of an option and the methods and forms in which Class A shares will be delivered to a participant. The Board or the Compensation Committee, in its discretion, may grant DERs with respect to an option.</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A share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Class A share on the exercise date over the grant price of the share appreciation right. The excess may be paid in cash and/or in Class A shares, as determined by the Board or the Compensation Committee in its discretion. The Board or the Compensation Committee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or the Compensation Committee at the time the share appreciation right is granted, but each share appreciation right must have an exercise price that is not less than the fair market value of the Class A shares on the date of grant. The Board or the Compensation Committee will determine the time or times at which a share appreciation right may be exercised in whole or in part. Unless otherwise waived by the Board or the Compensation Committee, or set forth in an award agreement, outstanding share appreciation rights awarded to a participant will be automatically forfeited upon a termination of the individual’s employment or membership on the Board terminates for any reason. The Board or the Compensation Committee, in its discretion, may grant DERs with respect to a share appreciation right.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56"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guidance regarding share-based payments if adjustments to awards with respect to such event were discretionary, the Board or the Compensation Committee will equitably adjust the number and type of shares covered by each outstanding award and the terms and conditions of such award to equitably reflect the restructuring event, and the Board or the Compensation Committee will adjust the number and type of shares with respect to which future awards may be granted. With respect to a similar event that would not result in an accounting charge if adjustment to awards were discretionary, the Board or the Compensation Committee shall have complete discretion to adjust awards in the manner it deems appropriate.</w:t>
      </w:r>
    </w:p>
    <w:p>
      <w:pPr>
        <w:spacing w:after="0" w:line="113"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award agreement), the award may automatically vest and be payable or become exercisable in full, as the case may be.</w:t>
      </w:r>
    </w:p>
    <w:p>
      <w:pPr>
        <w:spacing w:after="0" w:line="103"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or the Compensation Committee may, in its discretion, allow a participant to transfer an option or a share appreciation right without consideration to an immediate family member or a related family trust, limited partnership, or similar entity on the terms and conditions established by the Board or the Compensation Committee from time to time.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44"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PAA, PAGP GP, Plains AAP, PAA GP LLC and GP LLC (collectively with us, the “Plains Entities”), which provides, among other things, that all direct or indirect expenses of any of the Plains Entities will be paid by PAA, other than income taxes, if any, of PAGP GP, PAGP, GP LLC, Plains AAP and PAA GP LLC. Such direct or indirect expenses include, but are not limited to, (i) compensation and expense reimbursements for the directors of PAGP GP,</w:t>
      </w:r>
    </w:p>
    <w:p>
      <w:pPr>
        <w:spacing w:after="0" w:line="4" w:lineRule="exact"/>
        <w:rPr>
          <w:sz w:val="20"/>
          <w:szCs w:val="20"/>
          <w:color w:val="auto"/>
        </w:rPr>
      </w:pPr>
    </w:p>
    <w:p>
      <w:pPr>
        <w:ind w:left="1500" w:hanging="240"/>
        <w:spacing w:after="0"/>
        <w:tabs>
          <w:tab w:leader="none" w:pos="1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w:t>
      </w:r>
    </w:p>
    <w:p>
      <w:pPr>
        <w:spacing w:after="0" w:line="20" w:lineRule="exact"/>
        <w:rPr>
          <w:rFonts w:ascii="Arial" w:cs="Arial" w:eastAsia="Arial" w:hAnsi="Arial"/>
          <w:sz w:val="17"/>
          <w:szCs w:val="17"/>
          <w:color w:val="auto"/>
        </w:rPr>
      </w:pPr>
    </w:p>
    <w:p>
      <w:pPr>
        <w:ind w:left="1260" w:right="1119"/>
        <w:spacing w:after="0" w:line="266" w:lineRule="auto"/>
        <w:tabs>
          <w:tab w:leader="none" w:pos="15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fees related to legal, tax, financial advisory and accounting services. PAA paid approximately $4.6 million of such expenses in 2025.</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January 2025, we acquired for approximately $481 million an entity that owns a gathering system in the Eagle Ford Basin from EnCap Flatrock Midstream. Also in January 2025, in a separate transaction, we repurchased from EnCap Flatrock Midstream approximately 12.7 million Series A preferred units for approximately $343 million, which amount included accrued and unpaid distributions. EnCap Flatrock Midstream is associated with EnCap, which is associated with Gary Petersen. Based on information provided by representatives of EnCap, Mr. Petersen is not an executive officer, general partner or controlling shareholder of EnCap Flatrock Midstream, nor did he have a material interest in these transactions.</w:t>
      </w:r>
    </w:p>
    <w:p>
      <w:pPr>
        <w:spacing w:after="0" w:line="11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An employee in PAA’s marketing department, who has been employed by PAA for over 15 years, is the daughter of Willie Chiang, our Chief Executive Officer. Mr. Chiang’s daughter’s total compensation for 2025 was approximately $208,000.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Arial" w:cs="Arial" w:eastAsia="Arial" w:hAnsi="Arial"/>
          <w:sz w:val="17"/>
          <w:szCs w:val="17"/>
          <w:color w:val="auto"/>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 and PAGP GP, PAA, PAGP or their respective affiliates, on the other. The resolution of any such conflict</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or potential conflict should, at the discretion of the Board in light of the circumstances, be determined by a majority of the disinterested directors.</w:t>
      </w:r>
    </w:p>
    <w:p>
      <w:pPr>
        <w:spacing w:after="0" w:line="8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Pursuant to our Code of Business Conduct, any executive officer must avoid conflicts of interest and must disclose any actual or potential conflicts of interest for review and resolution, which may include a formal waiver of the conflict of interest.</w:t>
      </w:r>
    </w:p>
    <w:p>
      <w:pPr>
        <w:spacing w:after="0" w:line="9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53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2025.</w:t>
      </w:r>
    </w:p>
    <w:p>
      <w:pPr>
        <w:spacing w:after="0" w:line="9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jc w:val="both"/>
        <w:ind w:left="1260" w:right="4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2025 for filing with the SEC.</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97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100" w:type="dxa"/>
            <w:vAlign w:val="bottom"/>
            <w:shd w:val="clear" w:color="auto" w:fill="424E6A"/>
          </w:tcPr>
          <w:p>
            <w:pPr>
              <w:spacing w:after="0"/>
              <w:rPr>
                <w:sz w:val="19"/>
                <w:szCs w:val="19"/>
                <w:color w:val="auto"/>
              </w:rPr>
            </w:pPr>
          </w:p>
        </w:tc>
        <w:tc>
          <w:tcPr>
            <w:tcW w:w="3880" w:type="dxa"/>
            <w:vAlign w:val="bottom"/>
            <w:shd w:val="clear" w:color="auto" w:fill="424E6A"/>
          </w:tcPr>
          <w:p>
            <w:pPr>
              <w:spacing w:after="0"/>
              <w:rPr>
                <w:sz w:val="19"/>
                <w:szCs w:val="19"/>
                <w:color w:val="auto"/>
              </w:rPr>
            </w:pPr>
          </w:p>
        </w:tc>
        <w:tc>
          <w:tcPr>
            <w:tcW w:w="4100" w:type="dxa"/>
            <w:vAlign w:val="bottom"/>
            <w:gridSpan w:val="8"/>
            <w:shd w:val="clear" w:color="auto" w:fill="424E6A"/>
          </w:tcPr>
          <w:p>
            <w:pPr>
              <w:ind w:left="2340"/>
              <w:spacing w:after="0"/>
              <w:rPr>
                <w:sz w:val="20"/>
                <w:szCs w:val="20"/>
                <w:color w:val="auto"/>
              </w:rPr>
            </w:pPr>
            <w:r>
              <w:rPr>
                <w:rFonts w:ascii="Arial" w:cs="Arial" w:eastAsia="Arial" w:hAnsi="Arial"/>
                <w:sz w:val="14"/>
                <w:szCs w:val="14"/>
                <w:b w:val="1"/>
                <w:bCs w:val="1"/>
                <w:color w:val="FFFFFF"/>
              </w:rPr>
              <w:t>Year Ended December 31,</w:t>
            </w:r>
          </w:p>
        </w:tc>
        <w:tc>
          <w:tcPr>
            <w:tcW w:w="120" w:type="dxa"/>
            <w:vAlign w:val="bottom"/>
            <w:shd w:val="clear" w:color="auto" w:fill="424E6A"/>
          </w:tcPr>
          <w:p>
            <w:pPr>
              <w:spacing w:after="0"/>
              <w:rPr>
                <w:sz w:val="19"/>
                <w:szCs w:val="19"/>
                <w:color w:val="auto"/>
              </w:rPr>
            </w:pPr>
          </w:p>
        </w:tc>
      </w:tr>
      <w:tr>
        <w:trPr>
          <w:trHeight w:val="259"/>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80" w:type="dxa"/>
            <w:vAlign w:val="bottom"/>
            <w:shd w:val="clear" w:color="auto" w:fill="424E6A"/>
          </w:tcPr>
          <w:p>
            <w:pPr>
              <w:spacing w:after="0"/>
              <w:rPr>
                <w:sz w:val="22"/>
                <w:szCs w:val="22"/>
                <w:color w:val="auto"/>
              </w:rPr>
            </w:pPr>
          </w:p>
        </w:tc>
        <w:tc>
          <w:tcPr>
            <w:tcW w:w="298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shd w:val="clear" w:color="auto" w:fill="424E6A"/>
          </w:tcPr>
          <w:p>
            <w:pPr>
              <w:spacing w:after="0"/>
              <w:rPr>
                <w:sz w:val="22"/>
                <w:szCs w:val="22"/>
                <w:color w:val="auto"/>
              </w:rPr>
            </w:pPr>
          </w:p>
        </w:tc>
        <w:tc>
          <w:tcPr>
            <w:tcW w:w="500" w:type="dxa"/>
            <w:vAlign w:val="bottom"/>
            <w:shd w:val="clear" w:color="auto" w:fill="424E6A"/>
          </w:tcPr>
          <w:p>
            <w:pPr>
              <w:spacing w:after="0"/>
              <w:rPr>
                <w:sz w:val="22"/>
                <w:szCs w:val="22"/>
                <w:color w:val="auto"/>
              </w:rPr>
            </w:pPr>
          </w:p>
        </w:tc>
        <w:tc>
          <w:tcPr>
            <w:tcW w:w="3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2024</w:t>
            </w:r>
          </w:p>
        </w:tc>
        <w:tc>
          <w:tcPr>
            <w:tcW w:w="20" w:type="dxa"/>
            <w:vAlign w:val="bottom"/>
            <w:shd w:val="clear" w:color="auto" w:fill="424E6A"/>
          </w:tcPr>
          <w:p>
            <w:pPr>
              <w:spacing w:after="0"/>
              <w:rPr>
                <w:sz w:val="22"/>
                <w:szCs w:val="22"/>
                <w:color w:val="auto"/>
              </w:rPr>
            </w:pPr>
          </w:p>
        </w:tc>
        <w:tc>
          <w:tcPr>
            <w:tcW w:w="140" w:type="dxa"/>
            <w:vAlign w:val="bottom"/>
            <w:shd w:val="clear" w:color="auto" w:fill="424E6A"/>
          </w:tcPr>
          <w:p>
            <w:pPr>
              <w:spacing w:after="0"/>
              <w:rPr>
                <w:sz w:val="22"/>
                <w:szCs w:val="22"/>
                <w:color w:val="auto"/>
              </w:rPr>
            </w:pPr>
          </w:p>
        </w:tc>
        <w:tc>
          <w:tcPr>
            <w:tcW w:w="120" w:type="dxa"/>
            <w:vAlign w:val="bottom"/>
            <w:shd w:val="clear" w:color="auto" w:fill="424E6A"/>
          </w:tcPr>
          <w:p>
            <w:pPr>
              <w:spacing w:after="0"/>
              <w:rPr>
                <w:sz w:val="22"/>
                <w:szCs w:val="22"/>
                <w:color w:val="auto"/>
              </w:rPr>
            </w:pPr>
          </w:p>
        </w:tc>
      </w:tr>
      <w:tr>
        <w:trPr>
          <w:trHeight w:val="283"/>
        </w:trPr>
        <w:tc>
          <w:tcPr>
            <w:tcW w:w="398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2680" w:type="dxa"/>
            <w:vAlign w:val="bottom"/>
            <w:gridSpan w:val="2"/>
            <w:shd w:val="clear" w:color="auto" w:fill="D9DCE1"/>
          </w:tcPr>
          <w:p>
            <w:pPr>
              <w:ind w:left="2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9DCE1"/>
          </w:tcPr>
          <w:p>
            <w:pPr>
              <w:jc w:val="right"/>
              <w:ind w:right="80"/>
              <w:spacing w:after="0"/>
              <w:rPr>
                <w:sz w:val="20"/>
                <w:szCs w:val="20"/>
                <w:color w:val="auto"/>
              </w:rPr>
            </w:pPr>
            <w:r>
              <w:rPr>
                <w:rFonts w:ascii="Arial" w:cs="Arial" w:eastAsia="Arial" w:hAnsi="Arial"/>
                <w:sz w:val="18"/>
                <w:szCs w:val="18"/>
                <w:color w:val="auto"/>
              </w:rPr>
              <w:t>8.4</w:t>
            </w:r>
          </w:p>
        </w:tc>
        <w:tc>
          <w:tcPr>
            <w:tcW w:w="5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D9DCE1"/>
          </w:tcPr>
          <w:p>
            <w:pPr>
              <w:jc w:val="center"/>
              <w:ind w:right="1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398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268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center"/>
              <w:ind w:right="160"/>
              <w:spacing w:after="0"/>
              <w:rPr>
                <w:sz w:val="20"/>
                <w:szCs w:val="20"/>
                <w:color w:val="auto"/>
              </w:rPr>
            </w:pPr>
            <w:r>
              <w:rPr>
                <w:rFonts w:ascii="Arial" w:cs="Arial" w:eastAsia="Arial" w:hAnsi="Arial"/>
                <w:sz w:val="18"/>
                <w:szCs w:val="18"/>
                <w:color w:val="auto"/>
              </w:rPr>
              <w:t>​ 0.6</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8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680" w:type="dxa"/>
            <w:vAlign w:val="bottom"/>
            <w:gridSpan w:val="2"/>
            <w:shd w:val="clear" w:color="auto" w:fill="D9DCE1"/>
          </w:tcPr>
          <w:p>
            <w:pPr>
              <w:ind w:left="2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9DCE1"/>
          </w:tcPr>
          <w:p>
            <w:pPr>
              <w:jc w:val="right"/>
              <w:ind w:right="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c>
          <w:tcPr>
            <w:tcW w:w="5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D9DCE1"/>
          </w:tcPr>
          <w:p>
            <w:pPr>
              <w:jc w:val="center"/>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w:t>
            </w:r>
            <w:r>
              <w:rPr>
                <w:rFonts w:ascii="Arial" w:cs="Arial" w:eastAsia="Arial" w:hAnsi="Arial"/>
                <w:sz w:val="17"/>
                <w:szCs w:val="17"/>
                <w:u w:val="single" w:color="auto"/>
                <w:color w:val="auto"/>
              </w:rPr>
              <w:t>0</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3880" w:type="dxa"/>
            <w:vAlign w:val="bottom"/>
            <w:shd w:val="clear" w:color="auto" w:fill="D9DCE1"/>
          </w:tcPr>
          <w:p>
            <w:pPr>
              <w:spacing w:after="0" w:line="20" w:lineRule="exact"/>
              <w:rPr>
                <w:sz w:val="1"/>
                <w:szCs w:val="1"/>
                <w:color w:val="auto"/>
              </w:rPr>
            </w:pPr>
          </w:p>
        </w:tc>
        <w:tc>
          <w:tcPr>
            <w:tcW w:w="2520" w:type="dxa"/>
            <w:vAlign w:val="bottom"/>
            <w:shd w:val="clear" w:color="auto" w:fill="D9DCE1"/>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D9DCE1"/>
          </w:tcPr>
          <w:p>
            <w:pPr>
              <w:spacing w:after="0" w:line="20" w:lineRule="exact"/>
              <w:rPr>
                <w:sz w:val="1"/>
                <w:szCs w:val="1"/>
                <w:color w:val="auto"/>
              </w:rPr>
            </w:pPr>
          </w:p>
        </w:tc>
        <w:tc>
          <w:tcPr>
            <w:tcW w:w="50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shd w:val="clear" w:color="auto" w:fill="D9DCE1"/>
          </w:tcPr>
          <w:p>
            <w:pPr>
              <w:spacing w:after="0" w:line="20" w:lineRule="exact"/>
              <w:rPr>
                <w:sz w:val="1"/>
                <w:szCs w:val="1"/>
                <w:color w:val="auto"/>
              </w:rPr>
            </w:pPr>
          </w:p>
        </w:tc>
        <w:tc>
          <w:tcPr>
            <w:tcW w:w="120" w:type="dxa"/>
            <w:vAlign w:val="bottom"/>
            <w:shd w:val="clear" w:color="auto" w:fill="D9DCE1"/>
          </w:tcPr>
          <w:p>
            <w:pPr>
              <w:spacing w:after="0" w:line="20" w:lineRule="exact"/>
              <w:rPr>
                <w:sz w:val="1"/>
                <w:szCs w:val="1"/>
                <w:color w:val="auto"/>
              </w:rPr>
            </w:pPr>
          </w:p>
        </w:tc>
      </w:tr>
      <w:tr>
        <w:trPr>
          <w:trHeight w:val="263"/>
        </w:trPr>
        <w:tc>
          <w:tcPr>
            <w:tcW w:w="398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3060" w:type="dxa"/>
            <w:vAlign w:val="bottom"/>
            <w:gridSpan w:val="4"/>
          </w:tcPr>
          <w:p>
            <w:pPr>
              <w:jc w:val="right"/>
              <w:ind w:righ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13.0</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center"/>
              <w:ind w:righ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9.5</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3" w:lineRule="exact"/>
        <w:rPr>
          <w:sz w:val="20"/>
          <w:szCs w:val="20"/>
          <w:color w:val="auto"/>
        </w:rPr>
      </w:pPr>
    </w:p>
    <w:p>
      <w:pPr>
        <w:ind w:left="1620" w:right="799" w:hanging="360"/>
        <w:spacing w:after="0" w:line="22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PAA is the operator, and (c) work performed in connection with the registration of publicly held debt and equity.</w:t>
      </w:r>
    </w:p>
    <w:p>
      <w:pPr>
        <w:spacing w:after="0" w:line="45" w:lineRule="exact"/>
        <w:rPr>
          <w:rFonts w:ascii="Arial" w:cs="Arial" w:eastAsia="Arial" w:hAnsi="Arial"/>
          <w:sz w:val="27"/>
          <w:szCs w:val="27"/>
          <w:color w:val="auto"/>
          <w:vertAlign w:val="superscript"/>
        </w:rPr>
      </w:pPr>
    </w:p>
    <w:p>
      <w:pPr>
        <w:ind w:left="1620" w:right="83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the assessment of internal controls in connection with the implementation of an information system.</w:t>
      </w:r>
    </w:p>
    <w:p>
      <w:pPr>
        <w:spacing w:after="0" w:line="46" w:lineRule="exact"/>
        <w:rPr>
          <w:rFonts w:ascii="Arial" w:cs="Arial" w:eastAsia="Arial" w:hAnsi="Arial"/>
          <w:sz w:val="27"/>
          <w:szCs w:val="27"/>
          <w:color w:val="auto"/>
          <w:vertAlign w:val="superscript"/>
        </w:rPr>
      </w:pPr>
    </w:p>
    <w:p>
      <w:pPr>
        <w:ind w:left="1620" w:right="819" w:hanging="360"/>
        <w:spacing w:after="0" w:line="22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PAA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2025 and 2024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920" w:right="12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AND PAA’S INDEPENDENT REGISTERED PUBLIC ACCOUNTING FIRM FOR THE FISCAL YEAR ENDING DECEMBER 31, 2026.</w:t>
      </w:r>
    </w:p>
    <w:p>
      <w:pPr>
        <w:spacing w:after="0" w:line="98" w:lineRule="exact"/>
        <w:rPr>
          <w:sz w:val="20"/>
          <w:szCs w:val="20"/>
          <w:color w:val="auto"/>
        </w:rPr>
      </w:pPr>
    </w:p>
    <w:p>
      <w:pPr>
        <w:jc w:val="both"/>
        <w:ind w:left="1260" w:right="1239" w:firstLine="360"/>
        <w:spacing w:after="0" w:line="268" w:lineRule="auto"/>
        <w:rPr>
          <w:sz w:val="20"/>
          <w:szCs w:val="20"/>
          <w:color w:val="auto"/>
        </w:rPr>
      </w:pPr>
      <w:r>
        <w:rPr>
          <w:rFonts w:ascii="Arial" w:cs="Arial" w:eastAsia="Arial" w:hAnsi="Arial"/>
          <w:sz w:val="18"/>
          <w:szCs w:val="18"/>
          <w:color w:val="auto"/>
        </w:rPr>
        <w:t>The second proposal item to be voted on at the PAGP Annual Meeting is ratification of the appointment of PricewaterhouseCoopers LLP as our and PAA’s independent registered public accounting firm for the fiscal year ending December 31, 2026.</w:t>
      </w:r>
    </w:p>
    <w:p>
      <w:pPr>
        <w:spacing w:after="0" w:line="103" w:lineRule="exact"/>
        <w:rPr>
          <w:sz w:val="20"/>
          <w:szCs w:val="20"/>
          <w:color w:val="auto"/>
        </w:rPr>
      </w:pPr>
    </w:p>
    <w:p>
      <w:pPr>
        <w:jc w:val="both"/>
        <w:ind w:left="1260" w:right="519" w:firstLine="360"/>
        <w:spacing w:after="0" w:line="262"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PAA’s independent registered public accounting firm for the fiscal year ending December 31, 2026. The Board has directed that such appointment be submitted to our Shareholders for ratification at the PAGP Annual Meeting.</w:t>
      </w:r>
    </w:p>
    <w:p>
      <w:pPr>
        <w:spacing w:after="0" w:line="95"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PAGP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2025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72" w:lineRule="exact"/>
        <w:rPr>
          <w:sz w:val="20"/>
          <w:szCs w:val="20"/>
          <w:color w:val="auto"/>
        </w:rPr>
      </w:pPr>
    </w:p>
    <w:p>
      <w:pPr>
        <w:jc w:val="center"/>
        <w:ind w:left="1860" w:right="120"/>
        <w:spacing w:after="0" w:line="257"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2025 COMPENSATION OF THE NAMED EXECUTIVE OFFICERS AS DESCRIBED IN THIS PROXY STATEMENT.</w:t>
      </w:r>
    </w:p>
    <w:p>
      <w:pPr>
        <w:spacing w:after="0" w:line="37"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This proposal, commonly known as a “say-on-pay” proposal, provides our Shareholders with the opportunity to cast an advisory vote on the approval of the compensation of our Named Executive Officers.</w:t>
      </w:r>
    </w:p>
    <w:p>
      <w:pPr>
        <w:spacing w:after="0" w:line="4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6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5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Dodd-Frank Wall Street Reform and Consumer Protection Act of 2010, as well as Section 14A of the Exchange Act, and the rules promulgated thereunder, provides our Shareholders with the opportunity to express their views, on an advisory basis, on the compensation of the Named Executive Officers. In accordance with the preference expressed by our Shareholders at our 2024 Annual Meeting, the Board determined in 2024 that we would provide this opportunity annually until the next advisory vote on the frequency of future advisory votes to approve the compensation of our Named Executive Officers, which will occur at the 2030 Annual Meeting. This vote is not intended to address any specific item of compensation, but rather the overall compensation of the Named Executive Officers and the philosophy, policies and practices described in this proxy statement.</w:t>
      </w:r>
    </w:p>
    <w:p>
      <w:pPr>
        <w:spacing w:after="0" w:line="56"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47"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8"/>
          <w:szCs w:val="18"/>
          <w:color w:val="auto"/>
        </w:rPr>
        <w:t>For the reasons set forth above, the following resolution will be submitted for approval at the PAGP Annual Meeting:</w:t>
      </w:r>
    </w:p>
    <w:p>
      <w:pPr>
        <w:spacing w:after="0" w:line="32"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2025, as disclosed pursuant to Item 402 of Regulation S-K in PAGP’s proxy statement for its 2026 Annual Meeting of Shareholders, including the Compensation Discussion and Analysis, compensation tables and accompanying narrative discussion, is hereby approved.”</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OTHER MATTERS FOR THE PAGP ANNUAL MEETING</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know of no matters to be acted upon at the PAGP Annual Meeting other than the proposals included in the accompanying notice and described in this proxy statement. If any other matter requiring a vote of Shareholders arises, including a question of adjourning the PAGP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DIRECTOR NOMINATIONS AND SHAREHOLDER PROPOSALS FOR THE 2027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Section 13.4(c)(ii) of our partnership agreement, any eligible Shareholder who owns</w:t>
      </w:r>
    </w:p>
    <w:p>
      <w:pPr>
        <w:spacing w:after="0" w:line="14"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auto"/>
        </w:rPr>
        <w:t>10% or more of our outstanding Class A, Class B and Class C shares, taken together as a single class, is entitled to nominate one person for election as an Eligible Director (for this purpose, ownership of our Class C shares will be considered on a look-through basis to include holders of PAA common units and Series A preferred units). Eligible Shareholders who wish to submit a director nomination for our 2027 annual meeting must deliver written notice thereof to our principal executive offices in care of the Corporate Secretary by mail to 333 Clay Street, Suite 1600, Houston, Texas 77002 no later than the close of business on February 18, 2027, nor earlier than the close of business on January 19, 2027. In the event that the date of the 2027 annual meeting is changed by more than 30 days before or more than 60 days after the one-year anniversary of the 2026 annual meeting, Shareholder notice of a director nomination must be received no earlier than the close of business on the 120th day prior to the 2027 annual meeting and not later than the close of business on the date that is the later of the (i) 90th day prior to the 2027 annual meeting or (ii) if the first public announcement of the 2027 annual meeting is less than 100 days prior to such meeting, the 10th day following the day on which public announcement of the date of the 2027 annual meeting is first made.</w:t>
      </w:r>
    </w:p>
    <w:p>
      <w:pPr>
        <w:spacing w:after="0" w:line="111"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consider any nomination at the PAGP Annual Meeting that does not meet the requirements set forth in our partnership agreement. Our partnership agreement is filed as Exhibit 3.2 to our Current Report on Form 8-K filed on November 21, 2016, as amended by Amendment No. 1, filed as Exhibit 3.1 to our Current Report on Form 8-K filed on April 9, 2020.</w:t>
      </w:r>
    </w:p>
    <w:p>
      <w:pPr>
        <w:spacing w:after="0" w:line="109"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In addition to satisfying the requirements under our partnership agreement as described in the immediately preceding paragraph, to comply with the universal proxy rules under the Exchange Act, any eligible Shareholder who intends to solicit proxies in support of director nominees other than our nominees must provide written notice that sets forth the information required by Rule 14a-19 under the Exchange Act no later than March 20, 2027. However, if the date of the 2027 annual meeting is more than 30 days before or after the anniversary of the date of the 2026 annual meeting, then such written notice must be delivered by the later of (i) the 10th day following the public announcement of the date of the 2027 annual meeting is first made and (ii) the date that is 60 days prior to the date of the 2027 annual meeting.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Any Shareholder who, in accordance with Rule 14a-8 under the Exchange Act, wishes to submit a proposal for inclusion in our proxy statement for the 2027 annual meeting must submit their proposal in writing, along with proof of eligibility, to our principal executive offices in care of the Corporate Secretary at 333 Clay Street, Suite 1600, Houston, Texas 77002. Proposal submissions must be received no later than December 11, 2026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8252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882523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upperLetter"/>
      <w:start w:val="1"/>
    </w:lvl>
  </w:abstractNum>
  <w:abstractNum w:abstractNumId="6">
    <w:nsid w:val="57E4CCAF"/>
    <w:multiLevelType w:val="hybridMultilevel"/>
    <w:lvl w:ilvl="0">
      <w:lvlJc w:val="left"/>
      <w:lvlText w:val="%1:"/>
      <w:numFmt w:val="upperLetter"/>
      <w:start w:val="1"/>
    </w:lvl>
    <w:lvl w:ilvl="1">
      <w:lvlJc w:val="left"/>
      <w:lvlText w:val="•"/>
      <w:numFmt w:val="bullet"/>
      <w:start w:val="1"/>
    </w:lvl>
  </w:abstractNum>
  <w:abstractNum w:abstractNumId="7">
    <w:nsid w:val="7A6D8D3C"/>
    <w:multiLevelType w:val="hybridMultilevel"/>
    <w:lvl w:ilvl="0">
      <w:lvlJc w:val="left"/>
      <w:lvlText w:val="%1:"/>
      <w:numFmt w:val="upperLetter"/>
      <w:start w:val="1"/>
    </w:lvl>
  </w:abstractNum>
  <w:abstractNum w:abstractNumId="8">
    <w:nsid w:val="4B588F54"/>
    <w:multiLevelType w:val="hybridMultilevel"/>
    <w:lvl w:ilvl="0">
      <w:lvlJc w:val="left"/>
      <w:lvlText w:val="%1:"/>
      <w:numFmt w:val="upperLetter"/>
      <w:start w:val="1"/>
    </w:lvl>
  </w:abstractNum>
  <w:abstractNum w:abstractNumId="9">
    <w:nsid w:val="542289EC"/>
    <w:multiLevelType w:val="hybridMultilevel"/>
    <w:lvl w:ilvl="0">
      <w:lvlJc w:val="left"/>
      <w:lvlText w:val="%1:"/>
      <w:numFmt w:val="upperLetter"/>
      <w:start w:val="1"/>
    </w:lvl>
  </w:abstractNum>
  <w:abstractNum w:abstractNumId="10">
    <w:nsid w:val="6DE91B18"/>
    <w:multiLevelType w:val="hybridMultilevel"/>
    <w:lvl w:ilvl="0">
      <w:lvlJc w:val="left"/>
      <w:lvlText w:val="%1:"/>
      <w:numFmt w:val="upperLetter"/>
      <w:start w:val="17"/>
    </w:lvl>
  </w:abstractNum>
  <w:abstractNum w:abstractNumId="11">
    <w:nsid w:val="38437FDB"/>
    <w:multiLevelType w:val="hybridMultilevel"/>
    <w:lvl w:ilvl="0">
      <w:lvlJc w:val="left"/>
      <w:lvlText w:val="%1:"/>
      <w:numFmt w:val="upperLetter"/>
      <w:start w:val="1"/>
    </w:lvl>
  </w:abstractNum>
  <w:abstractNum w:abstractNumId="12">
    <w:nsid w:val="7644A45C"/>
    <w:multiLevelType w:val="hybridMultilevel"/>
    <w:lvl w:ilvl="0">
      <w:lvlJc w:val="left"/>
      <w:lvlText w:val="%1:"/>
      <w:numFmt w:val="upperLetter"/>
      <w:start w:val="1"/>
    </w:lvl>
    <w:lvl w:ilvl="1">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upperLetter"/>
      <w:start w:val="1"/>
    </w:lvl>
    <w:lvl w:ilvl="1">
      <w:lvlJc w:val="left"/>
      <w:lvlText w:val="•"/>
      <w:numFmt w:val="bullet"/>
      <w:start w:val="1"/>
    </w:lvl>
  </w:abstractNum>
  <w:abstractNum w:abstractNumId="15">
    <w:nsid w:val="579478FE"/>
    <w:multiLevelType w:val="hybridMultilevel"/>
    <w:lvl w:ilvl="0">
      <w:lvlJc w:val="left"/>
      <w:lvlText w:val="%1:"/>
      <w:numFmt w:val="upperLetter"/>
      <w:start w:val="1"/>
    </w:lvl>
  </w:abstractNum>
  <w:abstractNum w:abstractNumId="16">
    <w:nsid w:val="749ABB43"/>
    <w:multiLevelType w:val="hybridMultilevel"/>
    <w:lvl w:ilvl="0">
      <w:lvlJc w:val="left"/>
      <w:lvlText w:val="%1:"/>
      <w:numFmt w:val="upperLetter"/>
      <w:start w:val="1"/>
    </w:lvl>
    <w:lvl w:ilvl="1">
      <w:lvlJc w:val="left"/>
      <w:lvlText w:val="•"/>
      <w:numFmt w:val="bullet"/>
      <w:start w:val="1"/>
    </w:lvl>
  </w:abstractNum>
  <w:abstractNum w:abstractNumId="17">
    <w:nsid w:val="3DC240FB"/>
    <w:multiLevelType w:val="hybridMultilevel"/>
    <w:lvl w:ilvl="0">
      <w:lvlJc w:val="left"/>
      <w:lvlText w:val="%1:"/>
      <w:numFmt w:val="upperLetter"/>
      <w:start w:val="17"/>
    </w:lvl>
  </w:abstractNum>
  <w:abstractNum w:abstractNumId="18">
    <w:nsid w:val="1BA026FA"/>
    <w:multiLevelType w:val="hybridMultilevel"/>
    <w:lvl w:ilvl="0">
      <w:lvlJc w:val="left"/>
      <w:lvlText w:val="%1:"/>
      <w:numFmt w:val="upperLetter"/>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upperLetter"/>
      <w:start w:val="1"/>
    </w:lvl>
  </w:abstractNum>
  <w:abstractNum w:abstractNumId="26">
    <w:nsid w:val="23F9C13C"/>
    <w:multiLevelType w:val="hybridMultilevel"/>
    <w:lvl w:ilvl="0">
      <w:lvlJc w:val="left"/>
      <w:lvlText w:val="%1:"/>
      <w:numFmt w:val="upperLetter"/>
      <w:start w:val="1"/>
    </w:lvl>
  </w:abstractNum>
  <w:abstractNum w:abstractNumId="27">
    <w:nsid w:val="649BB77C"/>
    <w:multiLevelType w:val="hybridMultilevel"/>
    <w:lvl w:ilvl="0">
      <w:lvlJc w:val="left"/>
      <w:lvlText w:val="%1:"/>
      <w:numFmt w:val="upperLetter"/>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decimal"/>
      <w:start w:val="1"/>
    </w:lvl>
    <w:lvl w:ilvl="1">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decimal"/>
      <w:start w:val="1"/>
    </w:lvl>
    <w:lvl w:ilvl="1">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2"/>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lvl w:ilvl="1">
      <w:lvlJc w:val="left"/>
      <w:lvlText w:val="(%2)"/>
      <w:numFmt w:val="decimal"/>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lvl w:ilvl="1">
      <w:lvlJc w:val="left"/>
      <w:lvlText w:val="o"/>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3"/>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4"/>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3"/>
    </w:lvl>
  </w:abstractNum>
  <w:abstractNum w:abstractNumId="59">
    <w:nsid w:val="6B94764"/>
    <w:multiLevelType w:val="hybridMultilevel"/>
    <w:lvl w:ilvl="0">
      <w:lvlJc w:val="left"/>
      <w:lvlText w:val="(%1)"/>
      <w:numFmt w:val="decimal"/>
      <w:start w:val="8"/>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2"/>
    </w:lvl>
  </w:abstractNum>
  <w:abstractNum w:abstractNumId="63">
    <w:nsid w:val="661E3F1E"/>
    <w:multiLevelType w:val="hybridMultilevel"/>
    <w:lvl w:ilvl="0">
      <w:lvlJc w:val="left"/>
      <w:lvlText w:val="(%1)"/>
      <w:numFmt w:val="decimal"/>
      <w:start w:val="4"/>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2"/>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Roman"/>
      <w:start w:val="3"/>
    </w:lvl>
  </w:abstractNum>
  <w:abstractNum w:abstractNumId="79">
    <w:nsid w:val="6A5EE64"/>
    <w:multiLevelType w:val="hybridMultilevel"/>
    <w:lvl w:ilvl="0">
      <w:lvlJc w:val="left"/>
      <w:lvlText w:val="(%1)"/>
      <w:numFmt w:val="lowerRoman"/>
      <w:start w:val="2"/>
    </w:lvl>
  </w:abstractNum>
  <w:abstractNum w:abstractNumId="80">
    <w:nsid w:val="14330624"/>
    <w:multiLevelType w:val="hybridMultilevel"/>
    <w:lvl w:ilvl="0">
      <w:lvlJc w:val="left"/>
      <w:lvlText w:val="(%1)"/>
      <w:numFmt w:val="lowerRoman"/>
      <w:start w:val="2"/>
    </w:lvl>
  </w:abstractNum>
  <w:abstractNum w:abstractNumId="81">
    <w:nsid w:val="7FFFCA11"/>
    <w:multiLevelType w:val="hybridMultilevel"/>
    <w:lvl w:ilvl="0">
      <w:lvlJc w:val="left"/>
      <w:lvlText w:val="(%1)"/>
      <w:numFmt w:val="lowerRoman"/>
      <w:start w:val="5"/>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2026-04-10T05:17:30Z</dcterms:created>
  <dcterms:modified xsi:type="dcterms:W3CDTF">2026-04-10T05:17:30Z</dcterms:modified>
</cp:coreProperties>
</file>