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463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4639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KAFU Holdings (QP), L.P.</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500" w:type="dxa"/>
            <w:vAlign w:val="bottom"/>
          </w:tcPr>
          <w:p>
            <w:pPr>
              <w:spacing w:after="0"/>
              <w:rPr>
                <w:sz w:val="2"/>
                <w:szCs w:val="2"/>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92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50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9"/>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500" w:type="dxa"/>
            <w:vAlign w:val="bottom"/>
            <w:vMerge w:val="continue"/>
          </w:tcPr>
          <w:p>
            <w:pPr>
              <w:spacing w:after="0"/>
              <w:rPr>
                <w:sz w:val="9"/>
                <w:szCs w:val="9"/>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9"/>
            <w:vMerge w:val="continue"/>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5"/>
            <w:vMerge w:val="restart"/>
          </w:tcPr>
          <w:p>
            <w:pPr>
              <w:spacing w:after="0"/>
              <w:rPr>
                <w:sz w:val="20"/>
                <w:szCs w:val="20"/>
                <w:color w:val="auto"/>
              </w:rPr>
            </w:pPr>
            <w:r>
              <w:rPr>
                <w:rFonts w:ascii="Arial" w:cs="Arial" w:eastAsia="Arial" w:hAnsi="Arial"/>
                <w:sz w:val="18"/>
                <w:szCs w:val="18"/>
                <w:color w:val="0000FF"/>
              </w:rPr>
              <w:t>1800 AVENUE OF THE STARS, SUITE 300</w:t>
            </w:r>
          </w:p>
        </w:tc>
        <w:tc>
          <w:tcPr>
            <w:tcW w:w="1640" w:type="dxa"/>
            <w:vAlign w:val="bottom"/>
            <w:gridSpan w:val="7"/>
          </w:tcPr>
          <w:p>
            <w:pPr>
              <w:ind w:left="160"/>
              <w:spacing w:after="0"/>
              <w:rPr>
                <w:sz w:val="20"/>
                <w:szCs w:val="20"/>
                <w:color w:val="auto"/>
              </w:rPr>
            </w:pPr>
            <w:r>
              <w:rPr>
                <w:rFonts w:ascii="Arial" w:cs="Arial" w:eastAsia="Arial" w:hAnsi="Arial"/>
                <w:sz w:val="18"/>
                <w:szCs w:val="18"/>
                <w:color w:val="0000FF"/>
              </w:rPr>
              <w:t>10/22/2018</w:t>
            </w: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0000FF"/>
                <w:w w:val="91"/>
              </w:rPr>
              <w:t>See remaks</w:t>
            </w: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gridSpan w:val="2"/>
          </w:tcPr>
          <w:p>
            <w:pPr>
              <w:spacing w:after="0"/>
              <w:rPr>
                <w:sz w:val="17"/>
                <w:szCs w:val="17"/>
                <w:color w:val="auto"/>
              </w:rPr>
            </w:pPr>
          </w:p>
        </w:tc>
        <w:tc>
          <w:tcPr>
            <w:tcW w:w="1040" w:type="dxa"/>
            <w:vAlign w:val="bottom"/>
            <w:tcBorders>
              <w:bottom w:val="single" w:sz="8" w:color="2C2C2C"/>
            </w:tcBorders>
            <w:gridSpan w:val="3"/>
          </w:tcPr>
          <w:p>
            <w:pPr>
              <w:spacing w:after="0"/>
              <w:rPr>
                <w:sz w:val="17"/>
                <w:szCs w:val="17"/>
                <w:color w:val="auto"/>
              </w:rPr>
            </w:pPr>
          </w:p>
        </w:tc>
        <w:tc>
          <w:tcPr>
            <w:tcW w:w="1000" w:type="dxa"/>
            <w:vAlign w:val="bottom"/>
            <w:tcBorders>
              <w:bottom w:val="single" w:sz="8" w:color="2C2C2C"/>
            </w:tcBorders>
            <w:gridSpan w:val="2"/>
          </w:tcPr>
          <w:p>
            <w:pPr>
              <w:spacing w:after="0"/>
              <w:rPr>
                <w:sz w:val="17"/>
                <w:szCs w:val="17"/>
                <w:color w:val="auto"/>
              </w:rPr>
            </w:pPr>
          </w:p>
        </w:tc>
        <w:tc>
          <w:tcPr>
            <w:tcW w:w="1200" w:type="dxa"/>
            <w:vAlign w:val="bottom"/>
            <w:tcBorders>
              <w:bottom w:val="single" w:sz="8" w:color="2C2C2C"/>
            </w:tcBorders>
            <w:gridSpan w:val="3"/>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3240" w:type="dxa"/>
            <w:vAlign w:val="bottom"/>
            <w:tcBorders>
              <w:bottom w:val="single" w:sz="8" w:color="2C2C2C"/>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4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line="20" w:lineRule="exact"/>
              <w:rPr>
                <w:sz w:val="1"/>
                <w:szCs w:val="1"/>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40" w:type="dxa"/>
            <w:vAlign w:val="bottom"/>
            <w:gridSpan w:val="11"/>
            <w:vMerge w:val="continue"/>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4"/>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6"/>
          </w:tcPr>
          <w:p>
            <w:pPr>
              <w:ind w:left="18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80" w:type="dxa"/>
            <w:vAlign w:val="bottom"/>
            <w:gridSpan w:val="6"/>
          </w:tcPr>
          <w:p>
            <w:pPr>
              <w:ind w:left="180"/>
              <w:spacing w:after="0" w:line="143"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1"/>
          </w:tcPr>
          <w:p>
            <w:pPr>
              <w:jc w:val="center"/>
              <w:ind w:left="9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3"/>
              </w:rPr>
              <w:t>5)</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A Shares</w:t>
            </w:r>
          </w:p>
        </w:tc>
        <w:tc>
          <w:tcPr>
            <w:tcW w:w="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8"/>
                <w:szCs w:val="18"/>
                <w:color w:val="0000FF"/>
              </w:rPr>
              <w:t>10/22/2018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00" w:type="dxa"/>
            <w:vAlign w:val="bottom"/>
            <w:gridSpan w:val="3"/>
            <w:vMerge w:val="restart"/>
          </w:tcPr>
          <w:p>
            <w:pPr>
              <w:ind w:left="200"/>
              <w:spacing w:after="0"/>
              <w:rPr>
                <w:sz w:val="20"/>
                <w:szCs w:val="20"/>
                <w:color w:val="auto"/>
              </w:rPr>
            </w:pPr>
            <w:r>
              <w:rPr>
                <w:rFonts w:ascii="Arial" w:cs="Arial" w:eastAsia="Arial" w:hAnsi="Arial"/>
                <w:sz w:val="18"/>
                <w:szCs w:val="18"/>
                <w:color w:val="0000FF"/>
              </w:rPr>
              <w:t>272,288</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80" w:type="dxa"/>
            <w:vAlign w:val="bottom"/>
          </w:tcPr>
          <w:p>
            <w:pPr>
              <w:spacing w:after="0"/>
              <w:rPr>
                <w:sz w:val="22"/>
                <w:szCs w:val="22"/>
                <w:color w:val="auto"/>
              </w:rPr>
            </w:pPr>
          </w:p>
        </w:tc>
        <w:tc>
          <w:tcPr>
            <w:tcW w:w="780" w:type="dxa"/>
            <w:vAlign w:val="bottom"/>
            <w:vMerge w:val="restart"/>
          </w:tcPr>
          <w:p>
            <w:pPr>
              <w:ind w:left="80"/>
              <w:spacing w:after="0"/>
              <w:rPr>
                <w:sz w:val="20"/>
                <w:szCs w:val="20"/>
                <w:color w:val="auto"/>
              </w:rPr>
            </w:pPr>
            <w:r>
              <w:rPr>
                <w:rFonts w:ascii="Arial" w:cs="Arial" w:eastAsia="Arial" w:hAnsi="Arial"/>
                <w:sz w:val="18"/>
                <w:szCs w:val="18"/>
                <w:color w:val="0000FF"/>
              </w:rPr>
              <w:t>0</w:t>
            </w:r>
          </w:p>
        </w:tc>
        <w:tc>
          <w:tcPr>
            <w:tcW w:w="50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4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remarks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040" w:type="dxa"/>
            <w:vAlign w:val="bottom"/>
            <w:tcBorders>
              <w:bottom w:val="single" w:sz="8" w:color="2C2C2C"/>
            </w:tcBorders>
            <w:gridSpan w:val="3"/>
          </w:tcPr>
          <w:p>
            <w:pPr>
              <w:spacing w:after="0"/>
              <w:rPr>
                <w:sz w:val="8"/>
                <w:szCs w:val="8"/>
                <w:color w:val="auto"/>
              </w:rPr>
            </w:pPr>
          </w:p>
        </w:tc>
        <w:tc>
          <w:tcPr>
            <w:tcW w:w="100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7"/>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4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4" w:lineRule="exact"/>
              <w:rPr>
                <w:rFonts w:ascii="Arial" w:cs="Arial" w:eastAsia="Arial" w:hAnsi="Arial"/>
                <w:sz w:val="22"/>
                <w:szCs w:val="22"/>
                <w:color w:val="0000EE"/>
                <w:w w:val="99"/>
              </w:rPr>
            </w:pPr>
            <w:hyperlink r:id="rId12">
              <w:r>
                <w:rPr>
                  <w:rFonts w:ascii="Arial" w:cs="Arial" w:eastAsia="Arial" w:hAnsi="Arial"/>
                  <w:sz w:val="22"/>
                  <w:szCs w:val="22"/>
                  <w:color w:val="0000EE"/>
                  <w:w w:val="99"/>
                </w:rPr>
                <w:t>KAFU Holdings (QP),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5"/>
          </w:tcPr>
          <w:p>
            <w:pPr>
              <w:spacing w:after="0"/>
              <w:rPr>
                <w:sz w:val="20"/>
                <w:szCs w:val="20"/>
                <w:color w:val="auto"/>
              </w:rPr>
            </w:pPr>
            <w:r>
              <w:rPr>
                <w:rFonts w:ascii="Arial" w:cs="Arial" w:eastAsia="Arial" w:hAnsi="Arial"/>
                <w:sz w:val="18"/>
                <w:szCs w:val="18"/>
                <w:color w:val="0000FF"/>
              </w:rPr>
              <w:t>1800 AVENUE OF THE STARS, SUITE 300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CA</w:t>
            </w:r>
          </w:p>
        </w:tc>
        <w:tc>
          <w:tcPr>
            <w:tcW w:w="1260" w:type="dxa"/>
            <w:vAlign w:val="bottom"/>
          </w:tcPr>
          <w:p>
            <w:pPr>
              <w:ind w:left="38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KAYNE ANDERSON CAPITAL ADVISORS</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LP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tcPr>
          <w:p>
            <w:pPr>
              <w:ind w:left="2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0000FF"/>
              </w:rPr>
              <w:t>1800 AVENUE OF THE STARS</w:t>
            </w:r>
          </w:p>
        </w:tc>
        <w:tc>
          <w:tcPr>
            <w:tcW w:w="170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3RD FLOOR</w:t>
            </w:r>
          </w:p>
        </w:tc>
        <w:tc>
          <w:tcPr>
            <w:tcW w:w="13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320" w:type="dxa"/>
            <w:vAlign w:val="bottom"/>
          </w:tcPr>
          <w:p>
            <w:pPr>
              <w:ind w:left="140"/>
              <w:spacing w:after="0"/>
              <w:rPr>
                <w:sz w:val="20"/>
                <w:szCs w:val="20"/>
                <w:color w:val="auto"/>
              </w:rPr>
            </w:pPr>
            <w:r>
              <w:rPr>
                <w:rFonts w:ascii="Arial" w:cs="Arial" w:eastAsia="Arial" w:hAnsi="Arial"/>
                <w:sz w:val="18"/>
                <w:szCs w:val="18"/>
                <w:color w:val="0000FF"/>
              </w:rPr>
              <w:t>CA</w:t>
            </w:r>
          </w:p>
        </w:tc>
        <w:tc>
          <w:tcPr>
            <w:tcW w:w="1700" w:type="dxa"/>
            <w:vAlign w:val="bottom"/>
          </w:tcPr>
          <w:p>
            <w:pPr>
              <w:ind w:left="28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tcPr>
          <w:p>
            <w:pPr>
              <w:ind w:left="2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reported transaction is an in-kind pro-rata distribution to limited partners of Kayne Anderson Capital Advisors, L.P. ("KACALP").</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6" w:right="239" w:bottom="0" w:gutter="0" w:footer="0" w:header="0"/>
          <w:type w:val="continuous"/>
        </w:sectPr>
      </w:pPr>
    </w:p>
    <w:p>
      <w:pPr>
        <w:spacing w:after="0" w:line="58" w:lineRule="exact"/>
        <w:rPr>
          <w:sz w:val="20"/>
          <w:szCs w:val="20"/>
          <w:color w:val="auto"/>
        </w:rPr>
      </w:pPr>
    </w:p>
    <w:p>
      <w:pPr>
        <w:ind w:left="40" w:right="40"/>
        <w:spacing w:after="0" w:line="288" w:lineRule="auto"/>
        <w:rPr>
          <w:sz w:val="20"/>
          <w:szCs w:val="20"/>
          <w:color w:val="auto"/>
        </w:rPr>
      </w:pPr>
      <w:r>
        <w:rPr>
          <w:rFonts w:ascii="Arial" w:cs="Arial" w:eastAsia="Arial" w:hAnsi="Arial"/>
          <w:sz w:val="12"/>
          <w:szCs w:val="12"/>
          <w:color w:val="008000"/>
        </w:rPr>
        <w:t>Bob Sinnott is a director of the managing general partner of the Issuer. Based on the relationship of Mr. Sinnott and the Reporting Persons, the Reporting Persons may be deemed directors by deputization of the Issuer. KAFU Holdings (QP), L.P., and KACALP, which is the manager of the general partner of KAFU, are referred to herein as the "Reporting Persons". The filing of this Statement shall not be construed as an admission that any Reporting Person is, for purposes of Section 13(d) of the Exchange Act, as amended, the beneficial owner of any security.</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David Shladovsky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10/24/2018</w:t>
            </w:r>
          </w:p>
        </w:tc>
      </w:tr>
      <w:tr>
        <w:trPr>
          <w:trHeight w:val="20"/>
        </w:trPr>
        <w:tc>
          <w:tcPr>
            <w:tcW w:w="1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08"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385" TargetMode="External"/><Relationship Id="rId13" Type="http://schemas.openxmlformats.org/officeDocument/2006/relationships/hyperlink" Target="http://www.sec.gov/cgi-bin/browse-edgar?action=getcompany&amp;CIK=0001581990" TargetMode="External"/><Relationship Id="rId14"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2019-12-24T06:48:36Z</dcterms:created>
  <dcterms:modified xsi:type="dcterms:W3CDTF">2019-12-24T06:48:36Z</dcterms:modified>
</cp:coreProperties>
</file>