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1"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71" w:orient="portrait"/>
          <w:cols w:equalWidth="0" w:num="3">
            <w:col w:w="4000" w:space="720"/>
            <w:col w:w="2800" w:space="720"/>
            <w:col w:w="3180"/>
          </w:cols>
          <w:pgMar w:left="240" w:top="544"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71"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20" w:firstLine="648"/>
        <w:spacing w:after="0" w:line="302" w:lineRule="auto"/>
        <w:rPr>
          <w:sz w:val="20"/>
          <w:szCs w:val="20"/>
          <w:color w:val="auto"/>
        </w:rPr>
      </w:pPr>
      <w:r>
        <w:rPr>
          <w:rFonts w:ascii="Arial" w:cs="Arial" w:eastAsia="Arial" w:hAnsi="Arial"/>
          <w:sz w:val="16"/>
          <w:szCs w:val="16"/>
          <w:color w:val="auto"/>
        </w:rPr>
        <w:t>On May 5, 2015, the Registrant issued a press release reporting its first-quarter 2015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May 5,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PLAINS GP HOLDINGS, L.P.</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5, 2015</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56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224"/>
        </w:trPr>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Name:   Al Swanson</w:t>
            </w:r>
          </w:p>
        </w:tc>
      </w:tr>
    </w:tbl>
    <w:p>
      <w:pPr>
        <w:sectPr>
          <w:pgSz w:w="11900" w:h="16871" w:orient="portrait"/>
          <w:cols w:equalWidth="0" w:num="1">
            <w:col w:w="11420"/>
          </w:cols>
          <w:pgMar w:left="240" w:top="544" w:right="239" w:bottom="0" w:gutter="0" w:footer="0" w:header="0"/>
          <w:type w:val="continuous"/>
        </w:sectPr>
      </w:pPr>
    </w:p>
    <w:bookmarkStart w:id="1" w:name="page2"/>
    <w:bookmarkEnd w:id="1"/>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9"/>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70" w:lineRule="exact"/>
        <w:rPr>
          <w:sz w:val="20"/>
          <w:szCs w:val="20"/>
          <w:color w:val="auto"/>
        </w:rPr>
      </w:pPr>
    </w:p>
    <w:p>
      <w:pPr>
        <w:sectPr>
          <w:pgSz w:w="11900" w:h="16838" w:orient="portrait"/>
          <w:cols w:equalWidth="0" w:num="2">
            <w:col w:w="5400" w:space="320"/>
            <w:col w:w="3299"/>
          </w:cols>
          <w:pgMar w:left="1440" w:top="125" w:right="1440"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75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2015 Results</w:t>
      </w:r>
    </w:p>
    <w:p>
      <w:pPr>
        <w:spacing w:after="0" w:line="229" w:lineRule="exact"/>
        <w:rPr>
          <w:sz w:val="20"/>
          <w:szCs w:val="20"/>
          <w:color w:val="auto"/>
        </w:rPr>
      </w:pPr>
    </w:p>
    <w:p>
      <w:pPr>
        <w:ind w:right="260" w:firstLine="702"/>
        <w:spacing w:after="0" w:line="277" w:lineRule="auto"/>
        <w:rPr>
          <w:sz w:val="20"/>
          <w:szCs w:val="20"/>
          <w:color w:val="auto"/>
        </w:rPr>
      </w:pPr>
      <w:r>
        <w:rPr>
          <w:rFonts w:ascii="Arial" w:cs="Arial" w:eastAsia="Arial" w:hAnsi="Arial"/>
          <w:sz w:val="18"/>
          <w:szCs w:val="18"/>
          <w:color w:val="auto"/>
        </w:rPr>
        <w:t>(Houston — May 5, 2015) Plains All American Pipeline, L.P. (NYSE: PAA) and Plains GP Holdings (NYSE: PAGP) today reported first-quarter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limited partner units outstanding</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limited partner unit declared for the period</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0.630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solid first quarter results, with adjusted EBITDA coming in about $12 million above the high end of our quarterly guidance range,” said Greg L. Armstrong, Chairman and CEO of Plains All American. “PAA will pay a quarterly distribution of $0.685 per limited partner unit next week, which is the equivalent of $2.74 per unit on an annualized basis, while PAGP will pay a quarterly distribution of $0.222 per Class A share, or $0.888 per share on an annualized basis. Such distributions represent an 8.7% and 30.2%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“Over the intermediate to long-term, we remain very constructive on the outlook for the North American crude oil industry. As part of our ongoing effort to address the industry’s long-term infrastructure requirements, PAA increased its targeted 2015 expansion capital program by approximately 16% to $2.15 billion.”</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Armstrong added, “Over the near term, however, we are more cautious as high crude oil inventory levels present a challenge for the industry. As a result, despite PAA’s first quarter over-performance relative to guidance, we have elected to leave our full year operating and financial guidance essentially unchanged. Importantly, PAA remains well positioned to manage through industry down cycles. PAA ended the first quarter of 2015 with $4.4 billion of committed liquidity, a strong balance sheet and credit metrics that are consistent with or favorable to our targeted levels.”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first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1" w:right="239" w:bottom="0" w:gutter="0" w:footer="0" w:header="0"/>
        </w:sectPr>
      </w:pPr>
    </w:p>
    <w:bookmarkStart w:id="3" w:name="page4"/>
    <w:bookmarkEnd w:id="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231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i w:val="1"/>
                <w:iCs w:val="1"/>
                <w:color w:val="auto"/>
              </w:rPr>
              <w:t>19%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4"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9"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64" w:orient="portrait"/>
          <w:cols w:equalWidth="0" w:num="2">
            <w:col w:w="140" w:space="500"/>
            <w:col w:w="10780"/>
          </w:cols>
          <w:pgMar w:left="240" w:top="104" w:right="239" w:bottom="0" w:gutter="0" w:footer="0" w:header="0"/>
          <w:type w:val="continuous"/>
        </w:sectPr>
      </w:pPr>
    </w:p>
    <w:p>
      <w:pPr>
        <w:spacing w:after="0" w:line="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First-quarter 2015 Transportation adjusted segment profit increased 15% versus comparable 2014 results. This increase was primarily driven by higher crude oil pipeline volumes associated with recently completed organic growth projects and earnings from our 50% interest in the BridgeTex pipeline. In addition, certain of our Canadian terminals were reclassified from the Facilities segment to the Transportation segment in the second quarter of 2014.</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First-quarter 2015 Facilities adjusted segment profit exceeded the high end of our quarterly guidance range but decreased by 9% over comparable 2014 results. This decrease was primarily due to lower revenues from our rail terminals due to lower fees related to the movement of certain volumes of Bakken crude oil, unfavorable foreign currency impacts on Canadian natural gas liquids (“NGL”) activities and the reclassification of certain Canadian terminals to the Transportation segment.</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First-quarter 2015 Supply and Logistics adjusted segment profit increased by 19% over comparable 2014 results. This increase was primarily driven by favorable NGL market conditions, offset partially by crude oil differentials that were not as favorable in 2015 as they were in 2014. Additionally, 2014’s first quarter results included costs to manage deliverability requirements associated with our natural gas storage activities, which were not incurred in the current 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Q1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Q4 2014</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0.17055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2015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PAA and PAGP will hold a conference call on May 6, 2015 (see details below). Prior to this conference call, PAA will furnish a current report on Form 8-K, which will include material in this news release as well as PAA’s financial and operational guidance for the second quarter and full year of 2015.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EDT on Wednesday, May 6,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PAA’s first-quarter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and operating guidance for the second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ectPr>
          <w:pgSz w:w="11900" w:h="16864" w:orient="portrait"/>
          <w:cols w:equalWidth="0" w:num="1">
            <w:col w:w="11420"/>
          </w:cols>
          <w:pgMar w:left="240" w:top="104" w:right="239" w:bottom="0" w:gutter="0" w:footer="0" w:header="0"/>
          <w:type w:val="continuous"/>
        </w:sectPr>
      </w:pPr>
    </w:p>
    <w:bookmarkStart w:id="4" w:name="page5"/>
    <w:bookmarkEnd w:id="4"/>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288-0337.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356914. The replay will be available beginning Wednesday, May 6, 2015, at approximately 1:00 p.m. EDT and will continue until 12:59 a.m. EDT on June 6,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our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w:t>
      </w:r>
    </w:p>
    <w:p>
      <w:pPr>
        <w:sectPr>
          <w:pgSz w:w="11900" w:h="16838" w:orient="portrait"/>
          <w:cols w:equalWidth="0" w:num="1">
            <w:col w:w="11400"/>
          </w:cols>
          <w:pgMar w:left="240" w:top="341" w:right="259" w:bottom="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t>regulations, accounting standards and statements and related interpretations; non-utilization of our assets and facilities;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4.2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8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LIMITED PARTNERS</w:t>
            </w:r>
          </w:p>
        </w:tc>
        <w:tc>
          <w:tcPr>
            <w:tcW w:w="170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LIMITED PARTNER UNITS OUTSTANDING</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LIMITED PARTNER UNITS OUTSTANDING</w:t>
            </w:r>
          </w:p>
        </w:tc>
        <w:tc>
          <w:tcPr>
            <w:tcW w:w="8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25" w:right="239" w:bottom="0" w:gutter="0" w:footer="0" w:header="0"/>
        </w:sectPr>
      </w:pPr>
    </w:p>
    <w:p>
      <w:pPr>
        <w:ind w:left="9160"/>
        <w:spacing w:after="0"/>
        <w:rPr>
          <w:sz w:val="20"/>
          <w:szCs w:val="20"/>
          <w:color w:val="auto"/>
        </w:rPr>
      </w:pPr>
      <w:r>
        <w:rPr>
          <w:rFonts w:ascii="Arial" w:cs="Arial" w:eastAsia="Arial" w:hAnsi="Arial"/>
          <w:sz w:val="13"/>
          <w:szCs w:val="13"/>
          <w:b w:val="1"/>
          <w:bCs w:val="1"/>
          <w:color w:val="auto"/>
        </w:rPr>
        <w:t>Three Months Ended</w:t>
      </w:r>
    </w:p>
    <w:p>
      <w:pPr>
        <w:sectPr>
          <w:pgSz w:w="11900" w:h="16838" w:orient="portrait"/>
          <w:cols w:equalWidth="0" w:num="1">
            <w:col w:w="11420"/>
          </w:cols>
          <w:pgMar w:left="240" w:top="125"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3,453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3,531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8,778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8,763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8,836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3"/>
            <w:vMerge w:val="continue"/>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18,152</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4"/>
              </w:rPr>
              <w:t>March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Transportation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Facilities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24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40" w:hanging="11"/>
        <w:spacing w:after="0" w:line="250"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Basin / Mesa / Sunrise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Capline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Line 63 / Line 2000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Mid-Continent Area Systems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Rainbow</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Salt Lake City Area Systems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White Cliffs</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4,123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 capacity in millions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7"/>
                <w:szCs w:val="17"/>
                <w:color w:val="auto"/>
              </w:rPr>
            </w:pP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barrels)</w:t>
            </w:r>
          </w:p>
        </w:tc>
        <w:tc>
          <w:tcPr>
            <w:tcW w:w="4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80" w:type="dxa"/>
            <w:vAlign w:val="bottom"/>
            <w:tcBorders>
              <w:top w:val="single" w:sz="8" w:color="CCEEFF"/>
            </w:tcBorders>
            <w:shd w:val="clear" w:color="auto" w:fill="CCEEFF"/>
          </w:tcPr>
          <w:p>
            <w:pPr>
              <w:ind w:left="160"/>
              <w:spacing w:after="0" w:line="186" w:lineRule="exact"/>
              <w:rPr>
                <w:sz w:val="20"/>
                <w:szCs w:val="20"/>
                <w:color w:val="auto"/>
              </w:rPr>
            </w:pPr>
            <w:r>
              <w:rPr>
                <w:rFonts w:ascii="Arial" w:cs="Arial" w:eastAsia="Arial" w:hAnsi="Arial"/>
                <w:sz w:val="18"/>
                <w:szCs w:val="18"/>
                <w:color w:val="auto"/>
              </w:rPr>
              <w:t>Rail load / unload volumes (average volumes in thousands of barrels per day)</w:t>
            </w:r>
          </w:p>
        </w:tc>
        <w:tc>
          <w:tcPr>
            <w:tcW w:w="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Facilities segment total (average monthly volumes in millions of barrels) </w:t>
            </w:r>
            <w:r>
              <w:rPr>
                <w:rFonts w:ascii="Arial" w:cs="Arial" w:eastAsia="Arial" w:hAnsi="Arial"/>
                <w:sz w:val="23"/>
                <w:szCs w:val="23"/>
                <w:color w:val="auto"/>
                <w:vertAlign w:val="superscript"/>
              </w:rPr>
              <w:t>(2)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and Logistics segment 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 w:hanging="11"/>
        <w:spacing w:after="0" w:line="258"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w:t>
      </w:r>
    </w:p>
    <w:p>
      <w:pPr>
        <w:spacing w:after="0" w:line="1" w:lineRule="exact"/>
        <w:rPr>
          <w:sz w:val="20"/>
          <w:szCs w:val="20"/>
          <w:color w:val="auto"/>
        </w:rPr>
      </w:pPr>
    </w:p>
    <w:p>
      <w:pPr>
        <w:ind w:left="20" w:hanging="11"/>
        <w:spacing w:after="0" w:line="295"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26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26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0" w:space="500"/>
            <w:col w:w="10780"/>
          </w:cols>
          <w:pgMar w:left="240" w:top="140" w:right="239" w:bottom="0" w:gutter="0" w:footer="0" w:header="0"/>
          <w:type w:val="continuous"/>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214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733"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240" w:hanging="11"/>
        <w:spacing w:after="0" w:line="250" w:lineRule="auto"/>
        <w:rPr>
          <w:sz w:val="20"/>
          <w:szCs w:val="20"/>
          <w:color w:val="auto"/>
        </w:rPr>
      </w:pPr>
      <w:r>
        <w:rPr>
          <w:rFonts w:ascii="Arial" w:cs="Arial" w:eastAsia="Arial" w:hAnsi="Arial"/>
          <w:sz w:val="18"/>
          <w:szCs w:val="18"/>
          <w:color w:val="auto"/>
        </w:rPr>
        <w:t>Includes mark-to-market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1" w:lineRule="exact"/>
        <w:rPr>
          <w:sz w:val="20"/>
          <w:szCs w:val="20"/>
          <w:color w:val="auto"/>
        </w:rPr>
      </w:pPr>
    </w:p>
    <w:p>
      <w:pPr>
        <w:ind w:left="20" w:right="40" w:hanging="11"/>
        <w:spacing w:after="0" w:line="265" w:lineRule="auto"/>
        <w:rPr>
          <w:sz w:val="20"/>
          <w:szCs w:val="20"/>
          <w:color w:val="auto"/>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1" w:lineRule="exact"/>
        <w:rPr>
          <w:sz w:val="20"/>
          <w:szCs w:val="20"/>
          <w:color w:val="auto"/>
        </w:rPr>
      </w:pPr>
    </w:p>
    <w:p>
      <w:pPr>
        <w:ind w:left="20" w:right="380" w:hanging="11"/>
        <w:spacing w:after="0" w:line="323" w:lineRule="auto"/>
        <w:rPr>
          <w:sz w:val="20"/>
          <w:szCs w:val="20"/>
          <w:color w:val="auto"/>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3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733"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9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19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9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33"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16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78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Implied DCF</w:t>
            </w:r>
          </w:p>
        </w:tc>
        <w:tc>
          <w:tcPr>
            <w:tcW w:w="1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2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2100" w:type="dxa"/>
            <w:vAlign w:val="bottom"/>
          </w:tcPr>
          <w:p>
            <w:pPr>
              <w:spacing w:after="0"/>
              <w:rPr>
                <w:sz w:val="18"/>
                <w:szCs w:val="18"/>
                <w:color w:val="auto"/>
              </w:rPr>
            </w:pPr>
          </w:p>
        </w:tc>
        <w:tc>
          <w:tcPr>
            <w:tcW w:w="25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00" w:type="dxa"/>
            <w:vAlign w:val="bottom"/>
          </w:tcPr>
          <w:p>
            <w:pPr>
              <w:ind w:left="20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5,042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gridSpan w:val="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23,596</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4"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8,344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40"/>
              <w:spacing w:after="0" w:line="182" w:lineRule="exact"/>
              <w:rPr>
                <w:sz w:val="20"/>
                <w:szCs w:val="20"/>
                <w:color w:val="auto"/>
              </w:rPr>
            </w:pPr>
            <w:r>
              <w:rPr>
                <w:rFonts w:ascii="Arial" w:cs="Arial" w:eastAsia="Arial" w:hAnsi="Arial"/>
                <w:sz w:val="18"/>
                <w:szCs w:val="18"/>
                <w:color w:val="auto"/>
              </w:rPr>
              <w:t>Total liabilities and partners’</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21,724</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160" w:type="dxa"/>
            <w:vAlign w:val="bottom"/>
          </w:tcPr>
          <w:p>
            <w:pPr>
              <w:spacing w:after="0"/>
              <w:rPr>
                <w:sz w:val="15"/>
                <w:szCs w:val="15"/>
                <w:color w:val="auto"/>
              </w:rPr>
            </w:pP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23,596</w:t>
            </w:r>
          </w:p>
        </w:tc>
        <w:tc>
          <w:tcPr>
            <w:tcW w:w="22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340" w:type="dxa"/>
            <w:vAlign w:val="bottom"/>
            <w:vMerge w:val="restart"/>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20"/>
              <w:spacing w:after="0"/>
              <w:rPr>
                <w:sz w:val="20"/>
                <w:szCs w:val="20"/>
                <w:color w:val="auto"/>
              </w:rPr>
            </w:pPr>
            <w:r>
              <w:rPr>
                <w:rFonts w:ascii="Arial" w:cs="Arial" w:eastAsia="Arial" w:hAnsi="Arial"/>
                <w:sz w:val="18"/>
                <w:szCs w:val="18"/>
                <w:color w:val="auto"/>
              </w:rPr>
              <w:t>capital</w:t>
            </w:r>
          </w:p>
        </w:tc>
        <w:tc>
          <w:tcPr>
            <w:tcW w:w="3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Q1 2015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5/1/15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(65.7%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(34.3%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5/1/15</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AAP, L.P. (“AAP”) is the general partner of PAA.</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jc w:val="right"/>
        <w:ind w:right="2300"/>
        <w:spacing w:after="0"/>
        <w:tabs>
          <w:tab w:leader="none" w:pos="4280" w:val="left"/>
          <w:tab w:leader="none" w:pos="21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CLASS A SHARE</w:t>
      </w:r>
    </w:p>
    <w:p>
      <w:pPr>
        <w:sectPr>
          <w:pgSz w:w="11900" w:h="16838" w:orient="portrait"/>
          <w:cols w:equalWidth="0" w:num="1">
            <w:col w:w="11420"/>
          </w:cols>
          <w:pgMar w:left="240" w:top="140" w:right="23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(in millions, except per share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300" w:type="dxa"/>
            <w:vAlign w:val="bottom"/>
          </w:tcPr>
          <w:p>
            <w:pPr>
              <w:ind w:left="1120"/>
              <w:spacing w:after="0"/>
              <w:rPr>
                <w:sz w:val="20"/>
                <w:szCs w:val="20"/>
                <w:color w:val="auto"/>
              </w:rPr>
            </w:pPr>
            <w:r>
              <w:rPr>
                <w:rFonts w:ascii="Arial" w:cs="Arial" w:eastAsia="Arial" w:hAnsi="Arial"/>
                <w:sz w:val="18"/>
                <w:szCs w:val="18"/>
                <w:color w:val="auto"/>
              </w:rPr>
              <w:t>Al Swanson</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300" w:type="dxa"/>
            <w:vAlign w:val="bottom"/>
          </w:tcPr>
          <w:p>
            <w:pPr>
              <w:ind w:left="1120"/>
              <w:spacing w:after="0"/>
              <w:rPr>
                <w:sz w:val="20"/>
                <w:szCs w:val="20"/>
                <w:color w:val="auto"/>
              </w:rPr>
            </w:pPr>
            <w:r>
              <w:rPr>
                <w:rFonts w:ascii="Arial" w:cs="Arial" w:eastAsia="Arial" w:hAnsi="Arial"/>
                <w:sz w:val="18"/>
                <w:szCs w:val="18"/>
                <w:color w:val="auto"/>
                <w:w w:val="94"/>
              </w:rPr>
              <w:t>(800) 564-3036</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2020-01-23T10:40:42Z</dcterms:created>
  <dcterms:modified xsi:type="dcterms:W3CDTF">2020-01-23T10:40:42Z</dcterms:modified>
</cp:coreProperties>
</file>