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May 25, 2022</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540" w:right="339" w:bottom="1440" w:gutter="0" w:footer="0" w:header="0"/>
        </w:sectPr>
      </w:pPr>
    </w:p>
    <w:p>
      <w:pPr>
        <w:spacing w:after="0" w:line="205"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838" w:orient="portrait"/>
          <w:cols w:equalWidth="0" w:num="3">
            <w:col w:w="3980" w:space="720"/>
            <w:col w:w="2740" w:space="720"/>
            <w:col w:w="3080"/>
          </w:cols>
          <w:pgMar w:left="320" w:top="540"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540" w:right="3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780" w:firstLine="8"/>
        <w:spacing w:after="0" w:line="498" w:lineRule="auto"/>
        <w:tabs>
          <w:tab w:leader="none" w:pos="405"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34"/>
        </w:trPr>
        <w:tc>
          <w:tcPr>
            <w:tcW w:w="4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24"/>
        </w:trPr>
        <w:tc>
          <w:tcPr>
            <w:tcW w:w="4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Class A Shares</w:t>
            </w:r>
          </w:p>
        </w:tc>
        <w:tc>
          <w:tcPr>
            <w:tcW w:w="24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10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type w:val="continuous"/>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2022 annual meeting of Class A, Class B and Class C shareholders (collectively, the “Shareholders”) of Plains GP Holdings, L.P. (“PAGP” or the “Partnership”) was held on May 25, 2022. At the annual meeting, the Shareholders considered and voted on the following matters, each of which is described in greater detail in PAGP’s Proxy Statement dated April 14, 2022 (the “Proxy Statement”): (i) the election of four Class II directors to serve on the board of directors of PAA GP Holdings LLC until the 2025 annual meeting; (ii) the ratification of the appointment of PricewaterhouseCoopers LLP as PAGP’s and Plains All American Pipeline, L.P.’s (“PAA”) independent registered public accounting firm for the fiscal year ending December 31, 2022; and (iii) the approval, on a non-binding advisory basis, of our 2021 named executive officer compensation.</w:t>
      </w:r>
    </w:p>
    <w:p>
      <w:pPr>
        <w:spacing w:after="0" w:line="17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voting results for each matter presented at the PAGP annual meeting were as follows (Note, for Items 1 and 3 below, which are considered non-routine matters, broker non-votes are not considered votes cast and have no impact on the outcome. Out of the 773,316,784 Class A, Class B and Class C shares eligible to vote on Items 1, 2 and 3, approximately 85%, or 653,455,683 shares, were represented in person or by proxy at the PAGP annual meeting):</w:t>
      </w:r>
    </w:p>
    <w:p>
      <w:pPr>
        <w:spacing w:after="0" w:line="187" w:lineRule="exact"/>
        <w:rPr>
          <w:sz w:val="20"/>
          <w:szCs w:val="20"/>
          <w:color w:val="auto"/>
        </w:rPr>
      </w:pPr>
    </w:p>
    <w:p>
      <w:pPr>
        <w:ind w:left="1260" w:right="280" w:hanging="240"/>
        <w:spacing w:after="0" w:line="277" w:lineRule="auto"/>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Class A, Class B and Class C shareholders voted on the election of four Class II directors to serve on the board of directors of PAA GP Holdings LLC until the 2025 annual meeting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Percentage of Votes</w:t>
            </w:r>
          </w:p>
        </w:tc>
        <w:tc>
          <w:tcPr>
            <w:tcW w:w="180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3220" w:type="dxa"/>
            <w:vAlign w:val="bottom"/>
            <w:gridSpan w:val="2"/>
          </w:tcPr>
          <w:p>
            <w:pPr>
              <w:ind w:left="1040"/>
              <w:spacing w:after="0"/>
              <w:rPr>
                <w:sz w:val="20"/>
                <w:szCs w:val="20"/>
                <w:color w:val="auto"/>
              </w:rPr>
            </w:pPr>
            <w:r>
              <w:rPr>
                <w:rFonts w:ascii="Arial" w:cs="Arial" w:eastAsia="Arial" w:hAnsi="Arial"/>
                <w:sz w:val="18"/>
                <w:szCs w:val="18"/>
                <w:b w:val="1"/>
                <w:bCs w:val="1"/>
                <w:color w:val="auto"/>
              </w:rPr>
              <w:t>Nominees</w:t>
            </w: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For</w:t>
            </w:r>
          </w:p>
        </w:tc>
        <w:tc>
          <w:tcPr>
            <w:tcW w:w="2020" w:type="dxa"/>
            <w:vAlign w:val="bottom"/>
            <w:gridSpan w:val="2"/>
          </w:tcPr>
          <w:p>
            <w:pPr>
              <w:ind w:left="540"/>
              <w:spacing w:after="0"/>
              <w:rPr>
                <w:sz w:val="20"/>
                <w:szCs w:val="20"/>
                <w:color w:val="auto"/>
              </w:rPr>
            </w:pPr>
            <w:r>
              <w:rPr>
                <w:rFonts w:ascii="Arial" w:cs="Arial" w:eastAsia="Arial" w:hAnsi="Arial"/>
                <w:sz w:val="18"/>
                <w:szCs w:val="18"/>
                <w:b w:val="1"/>
                <w:bCs w:val="1"/>
                <w:color w:val="auto"/>
              </w:rPr>
              <w:t>Withheld</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Cast FOR</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10"/>
        </w:trPr>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w:t>
            </w:r>
          </w:p>
        </w:tc>
        <w:tc>
          <w:tcPr>
            <w:tcW w:w="3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Victor Burk</w:t>
            </w:r>
          </w:p>
        </w:tc>
        <w:tc>
          <w:tcPr>
            <w:tcW w:w="2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509,019,628</w:t>
            </w: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3,796,767</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99.3%</w:t>
            </w: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140,639,288</w:t>
            </w:r>
          </w:p>
        </w:tc>
      </w:tr>
      <w:tr>
        <w:trPr>
          <w:trHeight w:val="216"/>
        </w:trPr>
        <w:tc>
          <w:tcPr>
            <w:tcW w:w="16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Kevin S. McCarthy</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507,570,284</w:t>
            </w: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5,246,111</w:t>
            </w:r>
          </w:p>
        </w:tc>
        <w:tc>
          <w:tcPr>
            <w:tcW w:w="2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99.0%</w:t>
            </w: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140,639,288</w:t>
            </w:r>
          </w:p>
        </w:tc>
      </w:tr>
      <w:tr>
        <w:trPr>
          <w:trHeight w:val="216"/>
        </w:trPr>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w:t>
            </w: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Harry N. Pefanis</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509,328,475</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3,487,920</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99.3%</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140,639,288</w:t>
            </w:r>
          </w:p>
        </w:tc>
      </w:t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Gary R. Petersen</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463,669,340</w:t>
            </w:r>
          </w:p>
        </w:tc>
        <w:tc>
          <w:tcPr>
            <w:tcW w:w="22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49,147,055</w:t>
            </w:r>
          </w:p>
        </w:tc>
        <w:tc>
          <w:tcPr>
            <w:tcW w:w="22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90.4%</w:t>
            </w:r>
          </w:p>
        </w:tc>
        <w:tc>
          <w:tcPr>
            <w:tcW w:w="22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140,639,288</w:t>
            </w:r>
          </w:p>
        </w:tc>
      </w:tr>
    </w:tbl>
    <w:p>
      <w:pPr>
        <w:spacing w:after="0" w:line="187" w:lineRule="exact"/>
        <w:rPr>
          <w:sz w:val="20"/>
          <w:szCs w:val="20"/>
          <w:color w:val="auto"/>
        </w:rPr>
      </w:pPr>
    </w:p>
    <w:p>
      <w:pPr>
        <w:ind w:left="1260" w:right="260" w:hanging="240"/>
        <w:spacing w:after="0" w:line="308" w:lineRule="auto"/>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Class A, Class B and Class C shareholders voted on the ratification of the appointment of PricewaterhouseCoopers LLP as PAGP’s and PAA’s independent registered public accounting firm for the fiscal year ending December 31, 2022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Percentage of Votes</w:t>
            </w:r>
          </w:p>
        </w:tc>
        <w:tc>
          <w:tcPr>
            <w:tcW w:w="1800" w:type="dxa"/>
            <w:vAlign w:val="bottom"/>
          </w:tcPr>
          <w:p>
            <w:pPr>
              <w:spacing w:after="0"/>
              <w:rPr>
                <w:sz w:val="18"/>
                <w:szCs w:val="18"/>
                <w:color w:val="auto"/>
              </w:rPr>
            </w:pPr>
          </w:p>
        </w:tc>
      </w:tr>
      <w:tr>
        <w:trPr>
          <w:trHeight w:val="234"/>
        </w:trPr>
        <w:tc>
          <w:tcPr>
            <w:tcW w:w="3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For</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Against</w:t>
            </w: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Abstained</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Cast FOR</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09"/>
        </w:trPr>
        <w:tc>
          <w:tcPr>
            <w:tcW w:w="3160" w:type="dxa"/>
            <w:vAlign w:val="bottom"/>
            <w:tcBorders>
              <w:top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rPr>
              <w:t>622,392,743</w:t>
            </w:r>
          </w:p>
        </w:tc>
        <w:tc>
          <w:tcPr>
            <w:tcW w:w="2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30,343,662</w:t>
            </w: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719,278</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95.3%</w:t>
            </w: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pacing w:after="0" w:line="218" w:lineRule="exact"/>
        <w:rPr>
          <w:sz w:val="20"/>
          <w:szCs w:val="20"/>
          <w:color w:val="auto"/>
        </w:rPr>
      </w:pPr>
    </w:p>
    <w:p>
      <w:pPr>
        <w:ind w:left="1260" w:right="220" w:hanging="240"/>
        <w:spacing w:after="0" w:line="277"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Class A, Class B and Class C shareholders voted on the approval, on a non-binding advisory basis, of our 2021 named executive officer compensation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Percentage of Votes</w:t>
            </w:r>
          </w:p>
        </w:tc>
        <w:tc>
          <w:tcPr>
            <w:tcW w:w="1800" w:type="dxa"/>
            <w:vAlign w:val="bottom"/>
          </w:tcPr>
          <w:p>
            <w:pPr>
              <w:spacing w:after="0"/>
              <w:rPr>
                <w:sz w:val="18"/>
                <w:szCs w:val="18"/>
                <w:color w:val="auto"/>
              </w:rPr>
            </w:pPr>
          </w:p>
        </w:tc>
      </w:tr>
      <w:tr>
        <w:trPr>
          <w:trHeight w:val="234"/>
        </w:trPr>
        <w:tc>
          <w:tcPr>
            <w:tcW w:w="3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For</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Against</w:t>
            </w: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Abstained</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Cast FOR</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10"/>
        </w:trPr>
        <w:tc>
          <w:tcPr>
            <w:tcW w:w="3160" w:type="dxa"/>
            <w:vAlign w:val="bottom"/>
            <w:tcBorders>
              <w:top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rPr>
              <w:t>505,266,470</w:t>
            </w:r>
          </w:p>
        </w:tc>
        <w:tc>
          <w:tcPr>
            <w:tcW w:w="2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4,401,551</w:t>
            </w: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3,148,374</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98.5%</w:t>
            </w: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140,639,288</w:t>
            </w:r>
          </w:p>
        </w:tc>
      </w:tr>
      <w:tr>
        <w:trPr>
          <w:trHeight w:val="648"/>
        </w:trPr>
        <w:tc>
          <w:tcPr>
            <w:tcW w:w="3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147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7820" w:type="dxa"/>
            <w:vAlign w:val="bottom"/>
            <w:gridSpan w:val="3"/>
          </w:tcPr>
          <w:p>
            <w:pPr>
              <w:ind w:left="1980"/>
              <w:spacing w:after="0"/>
              <w:rPr>
                <w:sz w:val="20"/>
                <w:szCs w:val="20"/>
                <w:color w:val="auto"/>
              </w:rPr>
            </w:pPr>
            <w:r>
              <w:rPr>
                <w:rFonts w:ascii="Arial" w:cs="Arial" w:eastAsia="Arial" w:hAnsi="Arial"/>
                <w:sz w:val="18"/>
                <w:szCs w:val="18"/>
                <w:color w:val="auto"/>
              </w:rPr>
              <w:t>PLAINS GP HOLDINGS, L.P.</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 May 27, 2022</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By:</w:t>
            </w:r>
          </w:p>
        </w:tc>
        <w:tc>
          <w:tcPr>
            <w:tcW w:w="5260" w:type="dxa"/>
            <w:vAlign w:val="bottom"/>
            <w:gridSpan w:val="2"/>
          </w:tcPr>
          <w:p>
            <w:pPr>
              <w:spacing w:after="0"/>
              <w:rPr>
                <w:sz w:val="20"/>
                <w:szCs w:val="20"/>
                <w:color w:val="auto"/>
              </w:rPr>
            </w:pPr>
            <w:r>
              <w:rPr>
                <w:rFonts w:ascii="Arial" w:cs="Arial" w:eastAsia="Arial" w:hAnsi="Arial"/>
                <w:sz w:val="18"/>
                <w:szCs w:val="18"/>
                <w:color w:val="auto"/>
              </w:rPr>
              <w:t>PAA GP Holdings LLC, its general partner</w:t>
            </w:r>
          </w:p>
        </w:tc>
      </w:tr>
      <w:tr>
        <w:trPr>
          <w:trHeight w:val="432"/>
        </w:trPr>
        <w:tc>
          <w:tcPr>
            <w:tcW w:w="3420" w:type="dxa"/>
            <w:vAlign w:val="bottom"/>
          </w:tcPr>
          <w:p>
            <w:pPr>
              <w:spacing w:after="0"/>
              <w:rPr>
                <w:sz w:val="24"/>
                <w:szCs w:val="24"/>
                <w:color w:val="auto"/>
              </w:rPr>
            </w:pP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34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Pr>
          <w:p>
            <w:pPr>
              <w:ind w:left="160"/>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34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60"/>
              <w:spacing w:after="0"/>
              <w:rPr>
                <w:sz w:val="20"/>
                <w:szCs w:val="20"/>
                <w:color w:val="auto"/>
              </w:rPr>
            </w:pPr>
            <w:r>
              <w:rPr>
                <w:rFonts w:ascii="Arial" w:cs="Arial" w:eastAsia="Arial" w:hAnsi="Arial"/>
                <w:sz w:val="18"/>
                <w:szCs w:val="18"/>
                <w:color w:val="auto"/>
              </w:rPr>
              <w:t>Executive Vice President, General Counsel &amp; Secretary</w:t>
            </w:r>
          </w:p>
        </w:tc>
      </w:tr>
      <w:tr>
        <w:trPr>
          <w:trHeight w:val="648"/>
        </w:trPr>
        <w:tc>
          <w:tcPr>
            <w:tcW w:w="34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w:t>
            </w:r>
          </w:p>
        </w:tc>
        <w:tc>
          <w:tcPr>
            <w:tcW w:w="6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2022-05-27T23:35:13Z</dcterms:created>
  <dcterms:modified xsi:type="dcterms:W3CDTF">2022-05-27T23:35:13Z</dcterms:modified>
</cp:coreProperties>
</file>