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 January 28, 2016</w:t>
      </w:r>
    </w:p>
    <w:p>
      <w:pPr>
        <w:spacing w:after="0" w:line="2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Plains All American Pipeline, L.P.</w:t>
      </w:r>
    </w:p>
    <w:p>
      <w:pPr>
        <w:spacing w:after="0" w:line="4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380"/>
          </w:cols>
          <w:pgMar w:left="240" w:top="754" w:right="279" w:bottom="0" w:gutter="0" w:footer="0" w:header="0"/>
        </w:sectPr>
      </w:pPr>
    </w:p>
    <w:p>
      <w:pPr>
        <w:spacing w:after="0" w:line="20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1-14569</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76-0582150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20" w:space="720"/>
            <w:col w:w="2900" w:space="720"/>
            <w:col w:w="3020"/>
          </w:cols>
          <w:pgMar w:left="240" w:top="754" w:right="279" w:bottom="0" w:gutter="0" w:footer="0" w:header="0"/>
          <w:type w:val="continuous"/>
        </w:sectPr>
      </w:pPr>
    </w:p>
    <w:p>
      <w:pPr>
        <w:spacing w:after="0" w:line="14"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380"/>
          </w:cols>
          <w:pgMar w:left="240" w:top="754" w:right="279" w:bottom="0" w:gutter="0" w:footer="0" w:header="0"/>
          <w:type w:val="continuous"/>
        </w:sectPr>
      </w:pPr>
    </w:p>
    <w:p>
      <w:pPr>
        <w:spacing w:after="0" w:line="200" w:lineRule="exact"/>
        <w:rPr>
          <w:sz w:val="24"/>
          <w:szCs w:val="24"/>
          <w:color w:val="auto"/>
        </w:rPr>
      </w:pPr>
    </w:p>
    <w:p>
      <w:pPr>
        <w:spacing w:after="0" w:line="2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435610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Unit Purchase Agreement, as Amended</w:t>
      </w:r>
    </w:p>
    <w:p>
      <w:pPr>
        <w:spacing w:after="0" w:line="229" w:lineRule="exact"/>
        <w:rPr>
          <w:sz w:val="24"/>
          <w:szCs w:val="24"/>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As reported by Plains All American Pipeline, L.P. (the “Partnership”) in a Current Report on Form 8-K filed with the Securities and Exchange Commission on January 19, 2016 (the “Signing 8-K”), on January 12, 2016, the Partnership entered into a Series A Preferred Unit Purchase Agreement (the “Unit Purchase Agreement”) with the purchasers party thereto (collectively, the “Original Purchasers”) to issue and sell in a private placement (the “Private Placement”) an aggregate of 55.6 million Series A Preferred Units representing limited partner interests in the Partnership (“Preferred Units”) for a cash purchase price of $26.25 per Preferred Unit. The Unit Purchase Agreement was amended on January 21, 2016 (the “Amendment”) to include additional purchasers (together with the Original Purchasers, the “Purchasers”) who agreed to purchase an additional 5.4 million Preferred Units in the Private Placement on the same terms and conditions as provided for in the Unit Purchase Agreement.</w:t>
      </w:r>
    </w:p>
    <w:p>
      <w:pPr>
        <w:spacing w:after="0" w:line="189" w:lineRule="exact"/>
        <w:rPr>
          <w:sz w:val="24"/>
          <w:szCs w:val="24"/>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issuance and sale of an aggregate of approximately 61.0 million Preferred Units pursuant to the Unit Purchase Agreement, as amended (the “Closing”), occurred on January 28, 2016, and resulted in total net proceeds to the Partnership, after deducting offering expenses and the transaction fee due to the Purchasers and including the general partner’s proportionate 2% equity contribution, of approximately $1.6 billion. Proceeds from the Private Placement will be used for capital expenditures, repayment of debt and general partnership purposes.</w:t>
      </w:r>
    </w:p>
    <w:p>
      <w:pPr>
        <w:spacing w:after="0" w:line="180" w:lineRule="exact"/>
        <w:rPr>
          <w:sz w:val="24"/>
          <w:szCs w:val="24"/>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Purchasers included affiliates of EnCap Investments, L.P. (“EnCap”), EnCap Flatrock Midstream, The Energy Minerals Group (“EMG”), Kayne Anderson Capital Advisors, L.P. (“KACALP”), First Reserve Advisors, L.L.C. and Stonepeak Partners LP, in addition to Massachusetts Mutual Life Insurance Company and Kaiser Foundation Hospitals. Gary Petersen, John Raymond and Bob Sinnott, who currently serve as directors of Plains All American GP LLC (“GP LLC”), the general partner of Plains AAP, L.P., the sole member of PAA GP LLC (the “General Partner”), which is the general partner of the Partnership, are affiliated with EnCap, EMG and KACALP, respectively. In addition, affiliates of EMG and KACALP hold significant ownership interests in the Partnership’s general partner.</w:t>
      </w:r>
    </w:p>
    <w:p>
      <w:pPr>
        <w:spacing w:after="0" w:line="188" w:lineRule="exact"/>
        <w:rPr>
          <w:sz w:val="24"/>
          <w:szCs w:val="24"/>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 summary of the material terms and conditions of the Unit Purchase Agreement and the Preferred Units is set forth in the Partnership’s Signing 8-K, and is incorporated into this report by reference. Such description of the Unit Purchase Agreement, and the foregoing description of the Unit Purchase Agreement and the Amendment, do not purport to be complete and are qualified in their entirety by reference to the Unit Purchase Agreement and the Amendment, copies of which are filed as Exhibits 10.1 and 10.2 hereto, respectively, and are incorporated into this report by reference.</w:t>
      </w:r>
    </w:p>
    <w:p>
      <w:pPr>
        <w:sectPr>
          <w:pgSz w:w="11900" w:h="16838" w:orient="portrait"/>
          <w:cols w:equalWidth="0" w:num="1">
            <w:col w:w="11380"/>
          </w:cols>
          <w:pgMar w:left="240" w:top="754" w:right="27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January 28, 2016, in connection with the Closing, the Partnership entered into a Registration Rights Agreement (the “Registration Rights Agreement”) with the Purchasers relating to the registered resale of the common units representing limited partner interests in the Partnership (“Common Units”) issuable upon conversion of the Preferred Units, including any Preferred Units issued in kind pursuant to the terms of the Fifth Amended and Restated Partnership Agreement (as defined below). Pursuant to the Registration Rights Agreement, the Partnership is required to file or cause to be filed a registration statement for such registered resale and is required to cause the registration statement to become effective no later than two years after the Closing. In certain circumstances, the holders of Registrable Securities (as defined in the Registration Rights Agreement) will have piggyback registration rights on offerings initiated by other holders, and certain Purchasers will have rights to request an underwritten offering as described in the Registration Rights Agreement. Holders of Registrable Securities will cease to have registration rights under the Registration Rights Agreement on the later of (i) the fourth anniversary of the date on which all Preferred Units have been converted into Common Units pursuant to the Fifth Amended and Restated Partnership Agreement and (ii) the earlier of (x) the date on which such holder is no longer an “affiliate” as such term is defined in Rule 144 promulgated under the Securities Act of 1933, as amended, and (y) the tenth anniversary of the Closing.</w:t>
      </w:r>
    </w:p>
    <w:p>
      <w:pPr>
        <w:spacing w:after="0" w:line="193"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Registration Rights Agreement does not purport to be complete and is qualified in its entirety by reference to the Registration Rights Agreement, a copy of which is filed as Exhibit 4.1 hereto and is incorporated into this report by reference.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Designation Amendment</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January 28, 2016, in connection with the Closing, Plains GP Holdings, L.P., the sole member of GP LLC, executed Amendment No. 1 (the “Director Designation Amendment”) to the Sixth Amended and Restated Limited Liability Company Agreement of GP LLC, the entity at which the Board of Directors responsible for governance of the Partnership resides. Pursuant to the Director Designation Amendment, if the Partnership fails to make three quarterly distributions on the Preferred Units (whether or not consecutive), the holders of Preferred Units will have a right to appoint a new member of the Board of Directors of GP LLC to serve until such time as all accrued and unpaid distributions on the Preferred Units are paid in full.</w:t>
      </w:r>
    </w:p>
    <w:p>
      <w:pPr>
        <w:spacing w:after="0" w:line="184"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Director Designation Amendment does not purport to be complete and is qualified in its entirety by reference to the Director Designation Amendment, a copy of which is filed as Exhibit 3.1 hereto and is incorporated into this report by reference.</w:t>
      </w:r>
    </w:p>
    <w:p>
      <w:pPr>
        <w:spacing w:after="0" w:line="1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9" w:lineRule="exact"/>
        <w:rPr>
          <w:sz w:val="20"/>
          <w:szCs w:val="20"/>
          <w:color w:val="auto"/>
        </w:rPr>
      </w:pPr>
    </w:p>
    <w:p>
      <w:pPr>
        <w:ind w:right="100" w:firstLine="441"/>
        <w:spacing w:after="0" w:line="266" w:lineRule="auto"/>
        <w:rPr>
          <w:sz w:val="20"/>
          <w:szCs w:val="20"/>
          <w:color w:val="auto"/>
        </w:rPr>
      </w:pPr>
      <w:r>
        <w:rPr>
          <w:rFonts w:ascii="Times New Roman" w:cs="Times New Roman" w:eastAsia="Times New Roman" w:hAnsi="Times New Roman"/>
          <w:sz w:val="18"/>
          <w:szCs w:val="18"/>
          <w:color w:val="auto"/>
        </w:rPr>
        <w:t>The information regarding the Private Placement set forth in Item 1.01 of this Current Report is incorporated by reference into this Item 3.02. The Private Placement of the Preferred Units pursuant to the Unit Purchase Agreement, as amended, has been undertaken in reliance upon an exemption from the registration requirements of the Securities Act of 1933, as amended, pursuant to Section 4(a)(2) thereof.</w:t>
      </w:r>
    </w:p>
    <w:p>
      <w:pPr>
        <w:spacing w:after="0" w:line="17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right="240" w:firstLine="441"/>
        <w:spacing w:after="0" w:line="282" w:lineRule="auto"/>
        <w:rPr>
          <w:sz w:val="20"/>
          <w:szCs w:val="20"/>
          <w:color w:val="auto"/>
        </w:rPr>
      </w:pPr>
      <w:r>
        <w:rPr>
          <w:rFonts w:ascii="Times New Roman" w:cs="Times New Roman" w:eastAsia="Times New Roman" w:hAnsi="Times New Roman"/>
          <w:sz w:val="18"/>
          <w:szCs w:val="18"/>
          <w:color w:val="auto"/>
        </w:rPr>
        <w:t>The information regarding the Preferred Units, the Registration Rights Agreement, the Director Designation Amendment and the Fifth Amended and Restated Partnership Agreement (as defined below) set forth in Items 1.01 and 5.03 of this Current Report is incorporated by reference into this Item 3.03.</w:t>
      </w:r>
    </w:p>
    <w:p>
      <w:pPr>
        <w:spacing w:after="0" w:line="1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229"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On and effective as of January 28, 2016, in connection with the Closing, the General Partner amended and restated the Fourth Amended and Restated Agreement of Limited Partnership of the Partnership by executing the Fifth Amended and Restated Agreement of Limited Partnership of the Partnership (the “Fifth Amended and Restated Partnership Agreement”). Set forth below is a summary description of the amendments that were implemented by the Fifth Amended and Restated Partnership Agreement:</w:t>
      </w:r>
    </w:p>
    <w:p>
      <w:pPr>
        <w:spacing w:after="0" w:line="180" w:lineRule="exact"/>
        <w:rPr>
          <w:sz w:val="20"/>
          <w:szCs w:val="20"/>
          <w:color w:val="auto"/>
        </w:rPr>
      </w:pPr>
    </w:p>
    <w:p>
      <w:pPr>
        <w:ind w:left="660" w:right="620" w:hanging="328"/>
        <w:spacing w:after="0" w:line="282"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preferences, privileges and other terms relating to the Preferred Units were set forth therein (see primarily Section 5.14 of the Fifth Amended and Restated Partnership Agreement);</w:t>
      </w:r>
    </w:p>
    <w:p>
      <w:pPr>
        <w:spacing w:after="0" w:line="161"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relating to the incentive distribution right modification described in the Signing 8-K were set forth therein (see primarily Section 6.4(g) of the Fifth Amended and Restated Partnership Agreement);</w:t>
      </w:r>
    </w:p>
    <w:p>
      <w:pPr>
        <w:spacing w:after="0" w:line="161"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all three amendments executed since the date of the Fourth Amended and Restated Agreement of Limited Partnership were incorporated into the Fifth Amended and Restated Partnership Agreement so that all such amendments, together with the changes described above, would be reflected in a single document; and</w:t>
      </w:r>
    </w:p>
    <w:p>
      <w:pPr>
        <w:spacing w:after="0" w:line="176"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provisions and portions of text that related to certain classes of units and past transactions that are no longer applicable were deleted given that all of those certain classes of units have previously converted into Common Units, such transactions have been completed and such provisions have no ongoing relevance.</w:t>
      </w:r>
    </w:p>
    <w:p>
      <w:pPr>
        <w:spacing w:after="0" w:line="176" w:lineRule="exact"/>
        <w:rPr>
          <w:sz w:val="20"/>
          <w:szCs w:val="20"/>
          <w:color w:val="auto"/>
        </w:rPr>
      </w:pPr>
    </w:p>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A summary of the rights, preferences and privileges of the Preferred Units and other material terms and conditions of the Fifth Amended and Restated Partnership Agreement is set forth in the Partnership’s Signing 8-K, and is incorporated into this report by reference. Information regarding the Director Designation Amendment is set forth in Item 1.01 of this Current Report and is incorporated by reference into this Item 5.03.</w:t>
      </w:r>
    </w:p>
    <w:p>
      <w:pPr>
        <w:spacing w:after="0" w:line="176"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Fifth Amended and Restated Partnership Agreement does not purport to be complete and is qualified in its entirety by reference to the Fifth Amended and Restated Partnership Agreement, a copy of which is filed as Exhibit 3.2 hereto and is incorporated into this report by reference.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3" w:right="239" w:bottom="104"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On January 28, 2016, the Partnership issued a press release announcing the closing of the Private Placement. A copy of the press release is furnished as Exhibit 99.1 to this Current Report.</w:t>
      </w:r>
    </w:p>
    <w:p>
      <w:pPr>
        <w:spacing w:after="0" w:line="162"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set forth in this Item 7.01 and in Exhibit 99.1 is deemed to be furnished and shall not be deemed to be “filed” for purposes of Section 18 of the Securities Exchange Act of 1934, as amended.</w:t>
      </w:r>
    </w:p>
    <w:p>
      <w:pPr>
        <w:spacing w:after="0" w:line="158"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9760" w:type="dxa"/>
            <w:vAlign w:val="bottom"/>
          </w:tcPr>
          <w:p>
            <w:pPr>
              <w:spacing w:after="0"/>
              <w:rPr>
                <w:sz w:val="20"/>
                <w:szCs w:val="20"/>
                <w:color w:val="auto"/>
              </w:rPr>
            </w:pPr>
          </w:p>
        </w:tc>
      </w:tr>
      <w:tr>
        <w:trPr>
          <w:trHeight w:val="414"/>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3.1</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No. 1 to Sixth Amended and Restated Limited Liability Company Agreement of Plains All American GP LLC,</w:t>
            </w:r>
          </w:p>
        </w:tc>
      </w:tr>
      <w:tr>
        <w:trPr>
          <w:trHeight w:val="234"/>
        </w:trPr>
        <w:tc>
          <w:tcPr>
            <w:tcW w:w="170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dated as of January 28, 2016.</w:t>
            </w:r>
          </w:p>
        </w:tc>
      </w:tr>
      <w:tr>
        <w:trPr>
          <w:trHeight w:val="414"/>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3.2</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Fifth Amended and Restated Agreement of Limited Partnership of Plains All American Pipeline, L.P., dated as of January 28,</w:t>
            </w:r>
          </w:p>
        </w:tc>
      </w:tr>
      <w:tr>
        <w:trPr>
          <w:trHeight w:val="234"/>
        </w:trPr>
        <w:tc>
          <w:tcPr>
            <w:tcW w:w="170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2016.</w:t>
            </w:r>
          </w:p>
        </w:tc>
      </w:tr>
      <w:tr>
        <w:trPr>
          <w:trHeight w:val="414"/>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4.1</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Rights Agreement, dated as of January 28, 2016, by and among Plains All American Pipeline, L.P. and the other</w:t>
            </w:r>
          </w:p>
        </w:tc>
      </w:tr>
      <w:tr>
        <w:trPr>
          <w:trHeight w:val="234"/>
        </w:trPr>
        <w:tc>
          <w:tcPr>
            <w:tcW w:w="170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parties signatory thereto.</w:t>
            </w:r>
          </w:p>
        </w:tc>
      </w:tr>
      <w:tr>
        <w:trPr>
          <w:trHeight w:val="414"/>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10.1</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Series A Preferred Unit Purchase Agreement, dated as of January 12, 2016, by and among Plains All American Pipeline, L.P.</w:t>
            </w:r>
          </w:p>
        </w:tc>
      </w:tr>
      <w:tr>
        <w:trPr>
          <w:trHeight w:val="234"/>
        </w:trPr>
        <w:tc>
          <w:tcPr>
            <w:tcW w:w="170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and the other parties signatory thereto.</w:t>
            </w:r>
          </w:p>
        </w:tc>
      </w:tr>
      <w:tr>
        <w:trPr>
          <w:trHeight w:val="414"/>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10.2</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No. 1 to Series A Preferred Unit Purchase Agreement, dated as of January 21, 2016, by and among Plains All</w:t>
            </w:r>
          </w:p>
        </w:tc>
      </w:tr>
      <w:tr>
        <w:trPr>
          <w:trHeight w:val="234"/>
        </w:trPr>
        <w:tc>
          <w:tcPr>
            <w:tcW w:w="170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American Pipeline, L.P. and the other parties signatory thereto.</w:t>
            </w:r>
          </w:p>
        </w:tc>
      </w:tr>
      <w:tr>
        <w:trPr>
          <w:trHeight w:val="432"/>
        </w:trPr>
        <w:tc>
          <w:tcPr>
            <w:tcW w:w="17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Exhibit 99.1</w:t>
            </w: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Press Release dated January 28, 2016.</w:t>
            </w:r>
          </w:p>
        </w:tc>
      </w:tr>
      <w:tr>
        <w:trPr>
          <w:trHeight w:val="432"/>
        </w:trPr>
        <w:tc>
          <w:tcPr>
            <w:tcW w:w="1700" w:type="dxa"/>
            <w:vAlign w:val="bottom"/>
          </w:tcPr>
          <w:p>
            <w:pPr>
              <w:spacing w:after="0"/>
              <w:rPr>
                <w:sz w:val="24"/>
                <w:szCs w:val="24"/>
                <w:color w:val="auto"/>
              </w:rPr>
            </w:pPr>
          </w:p>
        </w:tc>
        <w:tc>
          <w:tcPr>
            <w:tcW w:w="9760" w:type="dxa"/>
            <w:vAlign w:val="bottom"/>
          </w:tcPr>
          <w:p>
            <w:pPr>
              <w:ind w:left="3960"/>
              <w:spacing w:after="0"/>
              <w:rPr>
                <w:sz w:val="20"/>
                <w:szCs w:val="20"/>
                <w:color w:val="auto"/>
              </w:rPr>
            </w:pPr>
            <w:r>
              <w:rPr>
                <w:rFonts w:ascii="Times New Roman" w:cs="Times New Roman" w:eastAsia="Times New Roman" w:hAnsi="Times New Roman"/>
                <w:sz w:val="18"/>
                <w:szCs w:val="18"/>
                <w:color w:val="auto"/>
              </w:rPr>
              <w:t>4</w:t>
            </w:r>
          </w:p>
        </w:tc>
      </w:tr>
      <w:tr>
        <w:trPr>
          <w:trHeight w:val="132"/>
        </w:trPr>
        <w:tc>
          <w:tcPr>
            <w:tcW w:w="1700" w:type="dxa"/>
            <w:vAlign w:val="bottom"/>
            <w:tcBorders>
              <w:bottom w:val="single" w:sz="8" w:color="808080"/>
            </w:tcBorders>
          </w:tcPr>
          <w:p>
            <w:pPr>
              <w:spacing w:after="0"/>
              <w:rPr>
                <w:sz w:val="11"/>
                <w:szCs w:val="11"/>
                <w:color w:val="auto"/>
              </w:rPr>
            </w:pPr>
          </w:p>
        </w:tc>
        <w:tc>
          <w:tcPr>
            <w:tcW w:w="97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7480" w:type="dxa"/>
            <w:vAlign w:val="bottom"/>
            <w:gridSpan w:val="4"/>
          </w:tcPr>
          <w:p>
            <w:pPr>
              <w:ind w:left="1780"/>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February 2, 2016</w:t>
            </w:r>
          </w:p>
        </w:tc>
        <w:tc>
          <w:tcPr>
            <w:tcW w:w="204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2"/>
              </w:rPr>
              <w:t>By:</w:t>
            </w:r>
          </w:p>
        </w:tc>
        <w:tc>
          <w:tcPr>
            <w:tcW w:w="2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4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2"/>
              </w:rPr>
              <w:t>By:</w:t>
            </w:r>
          </w:p>
        </w:tc>
        <w:tc>
          <w:tcPr>
            <w:tcW w:w="2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4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2"/>
              </w:rPr>
              <w:t>By:</w:t>
            </w:r>
          </w:p>
        </w:tc>
        <w:tc>
          <w:tcPr>
            <w:tcW w:w="2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40" w:type="dxa"/>
            <w:vAlign w:val="bottom"/>
          </w:tcPr>
          <w:p>
            <w:pPr>
              <w:ind w:left="1780"/>
              <w:spacing w:after="0"/>
              <w:rPr>
                <w:sz w:val="20"/>
                <w:szCs w:val="20"/>
                <w:color w:val="auto"/>
              </w:rPr>
            </w:pPr>
            <w:r>
              <w:rPr>
                <w:rFonts w:ascii="Times New Roman" w:cs="Times New Roman" w:eastAsia="Times New Roman" w:hAnsi="Times New Roman"/>
                <w:sz w:val="18"/>
                <w:szCs w:val="18"/>
                <w:color w:val="auto"/>
                <w:w w:val="92"/>
              </w:rPr>
              <w:t>By:</w:t>
            </w:r>
          </w:p>
        </w:tc>
        <w:tc>
          <w:tcPr>
            <w:tcW w:w="220" w:type="dxa"/>
            <w:vAlign w:val="bottom"/>
          </w:tcPr>
          <w:p>
            <w:pPr>
              <w:spacing w:after="0"/>
              <w:rPr>
                <w:sz w:val="24"/>
                <w:szCs w:val="24"/>
                <w:color w:val="auto"/>
              </w:rPr>
            </w:pPr>
          </w:p>
        </w:tc>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4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68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gridSpan w:val="3"/>
          </w:tcPr>
          <w:p>
            <w:pPr>
              <w:spacing w:after="0"/>
              <w:rPr>
                <w:sz w:val="11"/>
                <w:szCs w:val="11"/>
                <w:color w:val="auto"/>
              </w:rPr>
            </w:pPr>
          </w:p>
        </w:tc>
        <w:tc>
          <w:tcPr>
            <w:tcW w:w="46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86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INDEX TO EXHIBITS</w:t>
            </w: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6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4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24"/>
                <w:szCs w:val="24"/>
                <w:color w:val="auto"/>
              </w:rPr>
            </w:pPr>
          </w:p>
        </w:tc>
        <w:tc>
          <w:tcPr>
            <w:tcW w:w="1016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Amendment No. 1 to Sixth Amended and Restated Limited Liability Company Agreement of Plains All American GP LLC, dated as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January 28, 2016.</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00" w:type="dxa"/>
            <w:vAlign w:val="bottom"/>
          </w:tcPr>
          <w:p>
            <w:pPr>
              <w:spacing w:after="0"/>
              <w:rPr>
                <w:sz w:val="24"/>
                <w:szCs w:val="24"/>
                <w:color w:val="auto"/>
              </w:rPr>
            </w:pPr>
          </w:p>
        </w:tc>
        <w:tc>
          <w:tcPr>
            <w:tcW w:w="10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Fifth Amended and Restated Agreement of Limited Partnership of Plains All American Pipeline, L.P., dated as of January 28, 2016.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tcPr>
          <w:p>
            <w:pPr>
              <w:spacing w:after="0"/>
              <w:rPr>
                <w:sz w:val="24"/>
                <w:szCs w:val="24"/>
                <w:color w:val="auto"/>
              </w:rPr>
            </w:pPr>
          </w:p>
        </w:tc>
        <w:tc>
          <w:tcPr>
            <w:tcW w:w="10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Registration Rights Agreement, dated as of January 28, 2016, by and among Plains All American Pipeline, L.P. and the other parties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signatory thereto.</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00" w:type="dxa"/>
            <w:vAlign w:val="bottom"/>
          </w:tcPr>
          <w:p>
            <w:pPr>
              <w:spacing w:after="0"/>
              <w:rPr>
                <w:sz w:val="24"/>
                <w:szCs w:val="24"/>
                <w:color w:val="auto"/>
              </w:rPr>
            </w:pPr>
          </w:p>
        </w:tc>
        <w:tc>
          <w:tcPr>
            <w:tcW w:w="10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Series A Preferred Unit Purchase Agreement, dated as of January 12, 2016, by and among Plains All American Pipeline, L.P. and the other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parties signatory thereto.</w:t>
            </w:r>
          </w:p>
        </w:tc>
        <w:tc>
          <w:tcPr>
            <w:tcW w:w="2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24"/>
                <w:szCs w:val="24"/>
                <w:color w:val="auto"/>
              </w:rPr>
            </w:pPr>
          </w:p>
        </w:tc>
        <w:tc>
          <w:tcPr>
            <w:tcW w:w="101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Amendment No. 1 to Series A Preferred Unit Purchase Agreement, dated as of January 21, 2016, by and among Plains All American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9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Pipeline, L.P. and the other parties signatory thereto.</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-2780030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-2780030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0" w:gutter="0" w:footer="0" w:header="0"/>
        </w:sectPr>
      </w:pPr>
    </w:p>
    <w:bookmarkStart w:id="3" w:name="page4"/>
    <w:bookmarkEnd w:id="3"/>
    <w:p>
      <w:pPr>
        <w:spacing w:after="0"/>
        <w:tabs>
          <w:tab w:leader="none" w:pos="12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January 28, 2016.</w:t>
      </w:r>
    </w:p>
    <w:p>
      <w:pPr>
        <w:spacing w:after="0" w:line="225"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THE SIXTH 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LIMITED LIABILITY COMPANY AGREEMENT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PLAINS ALL AMERICAN GP LLC</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Amendment No. 1 (this “Amendment”) to the Sixth Amended and Restated Limited Liability Company Agreement of Plains All American GP LLC, a Delaware limited liability company (the “Company”), dated as of October 21, 2013 (as amended, the “Company Agreement”), is hereby adopted effective as of January 28, 2016, by Plains GP Holdings, L.P., a Delaware limited partnership (the “Sole Member”), as the sole member of the Company. Capitalized terms used but not defined herein are used as defined in the Company Agreement.</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WHEREAS, Plains All American Pipeline, L.P. (the “MLP”) has entered into a Fifth Amended and Restated Agreement of Limited Partnership (the “MLP Partnership Agreement”), pursuant to which the MLP will issue Series A Convertible Preferred Units (the “Series A Preferred Units”); and</w:t>
      </w:r>
    </w:p>
    <w:p>
      <w:pPr>
        <w:spacing w:after="0" w:line="162"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the MLP Partnership Agreement, the holders of such Series A Preferred Units shall have the right to designate (the “Series A Designation Right”) a Director to the Board upon the occurrence of a Series A Trigger Event (as such term is defined in the MLP Partnership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order to accommodate the Series A Designation Right, the Sole Member does hereby amend the Company Agreement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Section 5.1(b) of the Company Agreement is hereby amended to add the following provisions:</w:t>
      </w:r>
    </w:p>
    <w:p>
      <w:pPr>
        <w:spacing w:after="0" w:line="225" w:lineRule="exact"/>
        <w:rPr>
          <w:sz w:val="20"/>
          <w:szCs w:val="20"/>
          <w:color w:val="auto"/>
        </w:rPr>
      </w:pPr>
    </w:p>
    <w:p>
      <w:pPr>
        <w:ind w:left="660" w:right="120" w:firstLine="645"/>
        <w:spacing w:after="0" w:line="253" w:lineRule="auto"/>
        <w:tabs>
          <w:tab w:leader="none" w:pos="1964"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Series A Trigger Event (as such term is defined in the MLP Partnership Agreement) occurs, then the Series A Preferred Unitholders (as such term is defined in the MLP Partnership Agreement) shall have the Series A Designation Right as set forth in the MLP Partnership Agreement, but such right shall be subject to the terms set forth in this Agreement. The Board representative identified in the notice delivered by the Series A Preferred Unitholders shall be referred to herein as the “Series A Designated Director.”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common units representing limited partner interests in the MLP (the “MLP’s Common Units”) are listed or admitted to trading, and</w:t>
      </w:r>
    </w:p>
    <w:p>
      <w:pPr>
        <w:spacing w:after="0" w:line="3" w:lineRule="exact"/>
        <w:rPr>
          <w:rFonts w:ascii="Times New Roman" w:cs="Times New Roman" w:eastAsia="Times New Roman" w:hAnsi="Times New Roman"/>
          <w:sz w:val="18"/>
          <w:szCs w:val="18"/>
          <w:color w:val="auto"/>
        </w:rPr>
      </w:pPr>
    </w:p>
    <w:p>
      <w:pPr>
        <w:ind w:left="660" w:right="20" w:hanging="4"/>
        <w:spacing w:after="0" w:line="253" w:lineRule="auto"/>
        <w:tabs>
          <w:tab w:leader="none" w:pos="9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be an employee or director of any Competitor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individual employed by a financial institution, fund or investment vehicle, who serves as a director of a portfolio company of such institution, fund or investment vehicle, which portfolio company is a Competitor, shall not be excluded from serving as a Series A Designated Director solely by virtue of such role as a director of such portfolio company. For purposes of the immediately preceding sentence the term “</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shall mean any entity that (a) is an operating company (and not a financial institution) and (b) competes with the MLP in the transportation, storage, terminaling or marketing of crude oil, natural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61" w:lineRule="auto"/>
        <w:rPr>
          <w:sz w:val="20"/>
          <w:szCs w:val="20"/>
          <w:color w:val="auto"/>
        </w:rPr>
      </w:pPr>
      <w:r>
        <w:rPr>
          <w:rFonts w:ascii="Times New Roman" w:cs="Times New Roman" w:eastAsia="Times New Roman" w:hAnsi="Times New Roman"/>
          <w:sz w:val="18"/>
          <w:szCs w:val="18"/>
          <w:color w:val="auto"/>
        </w:rPr>
        <w:t xml:space="preserve">gas liquids or natural gas in the United States or Canada. If the Series A Preferred Unitholders exercise their right to appoint a Series A Designated Director, the Board shall consist of nine individuals designated as Directors, until such Series A Designated Director is removed pursuant to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5.1(b)(vii)</w:t>
      </w:r>
      <w:r>
        <w:rPr>
          <w:rFonts w:ascii="Times New Roman" w:cs="Times New Roman" w:eastAsia="Times New Roman" w:hAnsi="Times New Roman"/>
          <w:sz w:val="18"/>
          <w:szCs w:val="18"/>
          <w:color w:val="auto"/>
        </w:rPr>
        <w:t>. Any Series A Designated Director shall have all the rights and duties of a Director otherwise serving hereunder.</w:t>
      </w:r>
    </w:p>
    <w:p>
      <w:pPr>
        <w:spacing w:after="0" w:line="180" w:lineRule="exact"/>
        <w:rPr>
          <w:sz w:val="20"/>
          <w:szCs w:val="20"/>
          <w:color w:val="auto"/>
        </w:rPr>
      </w:pPr>
    </w:p>
    <w:p>
      <w:pPr>
        <w:ind w:left="660" w:right="100" w:firstLine="645"/>
        <w:spacing w:after="0" w:line="254" w:lineRule="auto"/>
        <w:tabs>
          <w:tab w:leader="none" w:pos="197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Designation Right Termination Event (as defined below), the Series A Designated Director may be removed or replaced by the Series A Purchasers (as defined in the MLP Partnership Agreement) at any time for any reason and by the Sole Member for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w:t>
      </w:r>
    </w:p>
    <w:p>
      <w:pPr>
        <w:spacing w:after="0" w:line="3" w:lineRule="exact"/>
        <w:rPr>
          <w:rFonts w:ascii="Times New Roman" w:cs="Times New Roman" w:eastAsia="Times New Roman" w:hAnsi="Times New Roman"/>
          <w:sz w:val="18"/>
          <w:szCs w:val="18"/>
          <w:color w:val="auto"/>
        </w:rPr>
      </w:pPr>
    </w:p>
    <w:p>
      <w:pPr>
        <w:ind w:left="660" w:hanging="4"/>
        <w:spacing w:after="0" w:line="251" w:lineRule="auto"/>
        <w:tabs>
          <w:tab w:leader="none" w:pos="87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from serving as a director under any rule or regulation of the Commission or any national securities exchange on which the MLP’s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the MLP (including, but not limited to, intentionally or willfully failing to observe any obligations of confidentiality to the MLP); (iv) is determined to have acted intentionally or in bad faith in a manner that results in a material detriment to the assets, business or prospects of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93" w:lineRule="exact"/>
        <w:rPr>
          <w:rFonts w:ascii="Times New Roman" w:cs="Times New Roman" w:eastAsia="Times New Roman" w:hAnsi="Times New Roman"/>
          <w:sz w:val="18"/>
          <w:szCs w:val="18"/>
          <w:color w:val="auto"/>
        </w:rPr>
      </w:pPr>
    </w:p>
    <w:p>
      <w:pPr>
        <w:ind w:left="660" w:right="20" w:firstLine="645"/>
        <w:spacing w:after="0" w:line="256" w:lineRule="auto"/>
        <w:tabs>
          <w:tab w:leader="none" w:pos="198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by the MLP to the Series A Preferred Unitholders of all accrued but unpaid distributions on the Series A Preferred Units then outstanding (a “</w:t>
      </w:r>
      <w:r>
        <w:rPr>
          <w:rFonts w:ascii="Times New Roman" w:cs="Times New Roman" w:eastAsia="Times New Roman" w:hAnsi="Times New Roman"/>
          <w:sz w:val="18"/>
          <w:szCs w:val="18"/>
          <w:u w:val="single" w:color="auto"/>
          <w:color w:val="auto"/>
        </w:rPr>
        <w:t>Designation Right Termination Event</w:t>
      </w:r>
      <w:r>
        <w:rPr>
          <w:rFonts w:ascii="Times New Roman" w:cs="Times New Roman" w:eastAsia="Times New Roman" w:hAnsi="Times New Roman"/>
          <w:sz w:val="18"/>
          <w:szCs w:val="18"/>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Section 8.2 of the Company Agreement is hereby amended to add the following provision: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7" w:right="239" w:bottom="320" w:gutter="0" w:footer="0" w:header="0"/>
        </w:sectPr>
      </w:pPr>
    </w:p>
    <w:bookmarkStart w:id="5" w:name="page6"/>
    <w:bookmarkEnd w:id="5"/>
    <w:p>
      <w:pPr>
        <w:ind w:left="1960" w:hanging="655"/>
        <w:spacing w:after="0"/>
        <w:tabs>
          <w:tab w:leader="none" w:pos="19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no amendment to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w:t>
      </w:r>
    </w:p>
    <w:p>
      <w:pPr>
        <w:spacing w:after="0" w:line="27" w:lineRule="exact"/>
        <w:rPr>
          <w:rFonts w:ascii="Times New Roman" w:cs="Times New Roman" w:eastAsia="Times New Roman" w:hAnsi="Times New Roman"/>
          <w:sz w:val="18"/>
          <w:szCs w:val="18"/>
          <w:color w:val="auto"/>
        </w:rPr>
      </w:pPr>
    </w:p>
    <w:p>
      <w:pPr>
        <w:ind w:left="660" w:right="360" w:hanging="4"/>
        <w:spacing w:after="0" w:line="261" w:lineRule="auto"/>
        <w:tabs>
          <w:tab w:leader="none" w:pos="1015" w:val="left"/>
        </w:tabs>
        <w:numPr>
          <w:ilvl w:val="0"/>
          <w:numId w:val="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this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shall be effective without the consent of the Series A Preferred Unitholders holding a majority of the then outstanding Series A Preferred Units.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Except as hereby amended, the Company Agreement shall remain in full force and effect.</w:t>
      </w:r>
    </w:p>
    <w:p>
      <w:pPr>
        <w:spacing w:after="0" w:line="225"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62"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any provision of this Amendment is or becomes invalid, illegal or unenforceable in any respect, the validity, legality and enforceability of the remaining provisions contained herein shall not be effected thereby.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Amendment has been executed as of the date first written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SOLE MEMBER:</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00" w:lineRule="exact"/>
        <w:rPr>
          <w:sz w:val="20"/>
          <w:szCs w:val="20"/>
          <w:color w:val="auto"/>
        </w:rPr>
      </w:pPr>
    </w:p>
    <w:p>
      <w:pPr>
        <w:spacing w:after="0" w:line="223"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the Sixth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Restated Limited Liability Company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Plains All American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line="5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FIFTH AMENDED AND RESTATED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AGREEMENT OF LIMITED PARTNERSHIP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20" w:type="dxa"/>
            <w:vAlign w:val="bottom"/>
          </w:tcPr>
          <w:p>
            <w:pPr>
              <w:spacing w:after="0"/>
              <w:rPr>
                <w:sz w:val="20"/>
                <w:szCs w:val="20"/>
                <w:color w:val="auto"/>
              </w:rPr>
            </w:pPr>
          </w:p>
        </w:tc>
        <w:tc>
          <w:tcPr>
            <w:tcW w:w="980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40" w:type="dxa"/>
            <w:vAlign w:val="bottom"/>
          </w:tcPr>
          <w:p>
            <w:pPr>
              <w:spacing w:after="0"/>
              <w:rPr>
                <w:sz w:val="20"/>
                <w:szCs w:val="20"/>
                <w:color w:val="auto"/>
              </w:rPr>
            </w:pPr>
          </w:p>
        </w:tc>
      </w:tr>
      <w:tr>
        <w:trPr>
          <w:trHeight w:val="414"/>
        </w:trPr>
        <w:tc>
          <w:tcPr>
            <w:tcW w:w="1220" w:type="dxa"/>
            <w:vAlign w:val="bottom"/>
          </w:tcPr>
          <w:p>
            <w:pPr>
              <w:spacing w:after="0"/>
              <w:rPr>
                <w:sz w:val="24"/>
                <w:szCs w:val="24"/>
                <w:color w:val="auto"/>
              </w:rPr>
            </w:pPr>
          </w:p>
        </w:tc>
        <w:tc>
          <w:tcPr>
            <w:tcW w:w="98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ARTICLE I</w:t>
            </w:r>
          </w:p>
        </w:tc>
        <w:tc>
          <w:tcPr>
            <w:tcW w:w="44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98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DEFINITIONS</w:t>
            </w:r>
          </w:p>
        </w:tc>
        <w:tc>
          <w:tcPr>
            <w:tcW w:w="440" w:type="dxa"/>
            <w:vAlign w:val="bottom"/>
          </w:tcPr>
          <w:p>
            <w:pPr>
              <w:spacing w:after="0"/>
              <w:rPr>
                <w:sz w:val="18"/>
                <w:szCs w:val="18"/>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Construction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4"/>
        </w:trPr>
        <w:tc>
          <w:tcPr>
            <w:tcW w:w="1220" w:type="dxa"/>
            <w:vAlign w:val="bottom"/>
          </w:tcPr>
          <w:p>
            <w:pPr>
              <w:spacing w:after="0"/>
              <w:rPr>
                <w:sz w:val="24"/>
                <w:szCs w:val="24"/>
                <w:color w:val="auto"/>
              </w:rPr>
            </w:pPr>
          </w:p>
        </w:tc>
        <w:tc>
          <w:tcPr>
            <w:tcW w:w="98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ARTICLE II</w:t>
            </w:r>
          </w:p>
        </w:tc>
        <w:tc>
          <w:tcPr>
            <w:tcW w:w="4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8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7"/>
              </w:rPr>
              <w:t>ORGANIZATION</w:t>
            </w:r>
          </w:p>
        </w:tc>
        <w:tc>
          <w:tcPr>
            <w:tcW w:w="4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Name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Registered Office; Registered Agent; Principal Office; Other Offices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Purpose and 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Power of Attorney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Term</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Title to Partnership Assets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14"/>
        </w:trPr>
        <w:tc>
          <w:tcPr>
            <w:tcW w:w="1220" w:type="dxa"/>
            <w:vAlign w:val="bottom"/>
          </w:tcPr>
          <w:p>
            <w:pPr>
              <w:spacing w:after="0"/>
              <w:rPr>
                <w:sz w:val="24"/>
                <w:szCs w:val="24"/>
                <w:color w:val="auto"/>
              </w:rPr>
            </w:pPr>
          </w:p>
        </w:tc>
        <w:tc>
          <w:tcPr>
            <w:tcW w:w="98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ARTICLE III</w:t>
            </w:r>
          </w:p>
        </w:tc>
        <w:tc>
          <w:tcPr>
            <w:tcW w:w="4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8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RIGHTS OF LIMITED PARTNERS</w:t>
            </w:r>
          </w:p>
        </w:tc>
        <w:tc>
          <w:tcPr>
            <w:tcW w:w="4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Limitation of Liability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 of Business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Outside Activities of the Limited Partners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Rights of Limited Partners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414"/>
        </w:trPr>
        <w:tc>
          <w:tcPr>
            <w:tcW w:w="1220" w:type="dxa"/>
            <w:vAlign w:val="bottom"/>
          </w:tcPr>
          <w:p>
            <w:pPr>
              <w:spacing w:after="0"/>
              <w:rPr>
                <w:sz w:val="24"/>
                <w:szCs w:val="24"/>
                <w:color w:val="auto"/>
              </w:rPr>
            </w:pPr>
          </w:p>
        </w:tc>
        <w:tc>
          <w:tcPr>
            <w:tcW w:w="98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8"/>
              </w:rPr>
              <w:t>ARTICLE IV</w:t>
            </w:r>
          </w:p>
        </w:tc>
        <w:tc>
          <w:tcPr>
            <w:tcW w:w="440" w:type="dxa"/>
            <w:vAlign w:val="bottom"/>
          </w:tcPr>
          <w:p>
            <w:pPr>
              <w:spacing w:after="0"/>
              <w:rPr>
                <w:sz w:val="24"/>
                <w:szCs w:val="24"/>
                <w:color w:val="auto"/>
              </w:rPr>
            </w:pPr>
          </w:p>
        </w:tc>
      </w:tr>
      <w:tr>
        <w:trPr>
          <w:trHeight w:val="234"/>
        </w:trPr>
        <w:tc>
          <w:tcPr>
            <w:tcW w:w="1102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CERTIFICATES; RECORD HOLDERS; TRANSFER OF PARTNERSHIP INTERESTS; REDEMPTION OF PARTNERSHIP INTERESTS</w:t>
            </w:r>
          </w:p>
        </w:tc>
        <w:tc>
          <w:tcPr>
            <w:tcW w:w="4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4.1</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4.2</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Mutilated, Destroyed, Lost or Stolen Certificates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Generally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and Transfer of Limited Partner Interests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4.6</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of the General Partner’s General Partner Interest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4.7</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of Incentive Distribution Rights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4.8</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Restrictions on Transfers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4.9</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Citizenship Certificates; Non-citizen Assignees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Redemption of Partnership Interests of Non-citizen Assignees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14"/>
        </w:trPr>
        <w:tc>
          <w:tcPr>
            <w:tcW w:w="1220" w:type="dxa"/>
            <w:vAlign w:val="bottom"/>
          </w:tcPr>
          <w:p>
            <w:pPr>
              <w:spacing w:after="0"/>
              <w:rPr>
                <w:sz w:val="24"/>
                <w:szCs w:val="24"/>
                <w:color w:val="auto"/>
              </w:rPr>
            </w:pPr>
          </w:p>
        </w:tc>
        <w:tc>
          <w:tcPr>
            <w:tcW w:w="98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8"/>
              </w:rPr>
              <w:t>ARTICLE V</w:t>
            </w:r>
          </w:p>
        </w:tc>
        <w:tc>
          <w:tcPr>
            <w:tcW w:w="4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8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CAPITAL CONTRIBUTIONS AND ISSUANCE OF PARTNERSHIP INTERESTS</w:t>
            </w:r>
          </w:p>
        </w:tc>
        <w:tc>
          <w:tcPr>
            <w:tcW w:w="4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Organizational Contributions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Contributions by the General Partner and its Affiliates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5.3</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Contributions by Initial Limited Partners and Reimbursement of the General Partner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32"/>
        </w:trPr>
        <w:tc>
          <w:tcPr>
            <w:tcW w:w="1220" w:type="dxa"/>
            <w:vAlign w:val="bottom"/>
          </w:tcPr>
          <w:p>
            <w:pPr>
              <w:spacing w:after="0"/>
              <w:rPr>
                <w:sz w:val="24"/>
                <w:szCs w:val="24"/>
                <w:color w:val="auto"/>
              </w:rPr>
            </w:pPr>
          </w:p>
        </w:tc>
        <w:tc>
          <w:tcPr>
            <w:tcW w:w="980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rPr>
              <w:t>i</w:t>
            </w:r>
          </w:p>
        </w:tc>
        <w:tc>
          <w:tcPr>
            <w:tcW w:w="44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98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r>
      <w:tr>
        <w:trPr>
          <w:trHeight w:val="762"/>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5.4</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and Withdrawal</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5.5</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Capital Accounts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5.6</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Issuances of Additional Partnership Securities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5.7</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5.8</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5.9</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Limited Preemptive Right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Splits and Combination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Fully Paid and Non-Assessable Nature of Limited Partner Interests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9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17" w:right="19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Establishment of Series A Preferred Units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14"/>
        </w:trPr>
        <w:tc>
          <w:tcPr>
            <w:tcW w:w="1220" w:type="dxa"/>
            <w:vAlign w:val="bottom"/>
          </w:tcPr>
          <w:p>
            <w:pPr>
              <w:spacing w:after="0"/>
              <w:rPr>
                <w:sz w:val="24"/>
                <w:szCs w:val="24"/>
                <w:color w:val="auto"/>
              </w:rPr>
            </w:pPr>
          </w:p>
        </w:tc>
        <w:tc>
          <w:tcPr>
            <w:tcW w:w="9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ARTICLE VI</w:t>
            </w:r>
          </w:p>
        </w:tc>
        <w:tc>
          <w:tcPr>
            <w:tcW w:w="10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ALLOCATIONS AND DISTRIBUTIONS</w:t>
            </w:r>
          </w:p>
        </w:tc>
        <w:tc>
          <w:tcPr>
            <w:tcW w:w="10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Allocations for Capital Account Purposes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Allocations for Tax Purposes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Requirement for and Characterization of Distributions; Distributions to Record Holders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Distributions of Available Cash from Operating Surplus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6.5</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Distributions of Available Cash from Capital Surplus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6.6</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Adjustment of Minimum Quarterly Distribution and Target Distribution Levels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6.7</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6.8</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Provisions Relating to the Holders of Incentive Distribution Rights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6.9</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Entity-Level Taxation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414"/>
        </w:trPr>
        <w:tc>
          <w:tcPr>
            <w:tcW w:w="1220" w:type="dxa"/>
            <w:vAlign w:val="bottom"/>
          </w:tcPr>
          <w:p>
            <w:pPr>
              <w:spacing w:after="0"/>
              <w:rPr>
                <w:sz w:val="24"/>
                <w:szCs w:val="24"/>
                <w:color w:val="auto"/>
              </w:rPr>
            </w:pPr>
          </w:p>
        </w:tc>
        <w:tc>
          <w:tcPr>
            <w:tcW w:w="9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ARTICLE VII</w:t>
            </w:r>
          </w:p>
        </w:tc>
        <w:tc>
          <w:tcPr>
            <w:tcW w:w="10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MANAGEMENT AND OPERATION OF BUSINESS</w:t>
            </w:r>
          </w:p>
        </w:tc>
        <w:tc>
          <w:tcPr>
            <w:tcW w:w="10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Management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Certificate of Limited Partnership</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Restrictions on General Partner’s Authority</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7.4</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Reimbursement of the General Partner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7.5</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Outside Activities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7.6</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Loans from the General Partner; Loans or Contributions from the Partnership; Contracts with Affiliates; Certain</w:t>
            </w:r>
          </w:p>
        </w:tc>
        <w:tc>
          <w:tcPr>
            <w:tcW w:w="10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Restrictions on the General Partner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7.7</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Indemnification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7.8</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Liability of lndemnitees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7.9</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Resolution of Conflicts of Interest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Matters Concerning the General Partner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or Sale of Partnership Securities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Registration Rights of the General Partner and its Affiliates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Reliance by Third Parties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432"/>
        </w:trPr>
        <w:tc>
          <w:tcPr>
            <w:tcW w:w="1220" w:type="dxa"/>
            <w:vAlign w:val="bottom"/>
          </w:tcPr>
          <w:p>
            <w:pPr>
              <w:spacing w:after="0"/>
              <w:rPr>
                <w:sz w:val="24"/>
                <w:szCs w:val="24"/>
                <w:color w:val="auto"/>
              </w:rPr>
            </w:pPr>
          </w:p>
        </w:tc>
        <w:tc>
          <w:tcPr>
            <w:tcW w:w="9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ii</w:t>
            </w:r>
          </w:p>
        </w:tc>
        <w:tc>
          <w:tcPr>
            <w:tcW w:w="1040" w:type="dxa"/>
            <w:vAlign w:val="bottom"/>
          </w:tcPr>
          <w:p>
            <w:pPr>
              <w:spacing w:after="0"/>
              <w:rPr>
                <w:sz w:val="24"/>
                <w:szCs w:val="24"/>
                <w:color w:val="auto"/>
              </w:rPr>
            </w:pPr>
          </w:p>
        </w:tc>
      </w:tr>
      <w:tr>
        <w:trPr>
          <w:trHeight w:val="132"/>
        </w:trPr>
        <w:tc>
          <w:tcPr>
            <w:tcW w:w="1220" w:type="dxa"/>
            <w:vAlign w:val="bottom"/>
            <w:tcBorders>
              <w:bottom w:val="single" w:sz="8" w:color="808080"/>
            </w:tcBorders>
          </w:tcPr>
          <w:p>
            <w:pPr>
              <w:spacing w:after="0"/>
              <w:rPr>
                <w:sz w:val="11"/>
                <w:szCs w:val="11"/>
                <w:color w:val="auto"/>
              </w:rPr>
            </w:pPr>
          </w:p>
        </w:tc>
        <w:tc>
          <w:tcPr>
            <w:tcW w:w="92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r>
      <w:tr>
        <w:trPr>
          <w:trHeight w:val="762"/>
        </w:trPr>
        <w:tc>
          <w:tcPr>
            <w:tcW w:w="1220" w:type="dxa"/>
            <w:vAlign w:val="bottom"/>
          </w:tcPr>
          <w:p>
            <w:pPr>
              <w:spacing w:after="0"/>
              <w:rPr>
                <w:sz w:val="24"/>
                <w:szCs w:val="24"/>
                <w:color w:val="auto"/>
              </w:rPr>
            </w:pPr>
          </w:p>
        </w:tc>
        <w:tc>
          <w:tcPr>
            <w:tcW w:w="9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ARTICLE VIII</w:t>
            </w:r>
          </w:p>
        </w:tc>
        <w:tc>
          <w:tcPr>
            <w:tcW w:w="10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BOOKS, RECORDS, ACCOUNTING AND REPORTS</w:t>
            </w:r>
          </w:p>
        </w:tc>
        <w:tc>
          <w:tcPr>
            <w:tcW w:w="10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Records and Accounting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Fiscal Year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Reports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414"/>
        </w:trPr>
        <w:tc>
          <w:tcPr>
            <w:tcW w:w="1220" w:type="dxa"/>
            <w:vAlign w:val="bottom"/>
          </w:tcPr>
          <w:p>
            <w:pPr>
              <w:spacing w:after="0"/>
              <w:rPr>
                <w:sz w:val="24"/>
                <w:szCs w:val="24"/>
                <w:color w:val="auto"/>
              </w:rPr>
            </w:pPr>
          </w:p>
        </w:tc>
        <w:tc>
          <w:tcPr>
            <w:tcW w:w="9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ARTICLE IX</w:t>
            </w:r>
          </w:p>
        </w:tc>
        <w:tc>
          <w:tcPr>
            <w:tcW w:w="10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TAX MATTERS</w:t>
            </w:r>
          </w:p>
        </w:tc>
        <w:tc>
          <w:tcPr>
            <w:tcW w:w="10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Returns and Information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9.2</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Elections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9.3</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 Controversies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9.4</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Withholding</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414"/>
        </w:trPr>
        <w:tc>
          <w:tcPr>
            <w:tcW w:w="1220" w:type="dxa"/>
            <w:vAlign w:val="bottom"/>
          </w:tcPr>
          <w:p>
            <w:pPr>
              <w:spacing w:after="0"/>
              <w:rPr>
                <w:sz w:val="24"/>
                <w:szCs w:val="24"/>
                <w:color w:val="auto"/>
              </w:rPr>
            </w:pPr>
          </w:p>
        </w:tc>
        <w:tc>
          <w:tcPr>
            <w:tcW w:w="9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ARTICLE X</w:t>
            </w:r>
          </w:p>
        </w:tc>
        <w:tc>
          <w:tcPr>
            <w:tcW w:w="10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ADMISSION OF PARTNERS</w:t>
            </w:r>
          </w:p>
        </w:tc>
        <w:tc>
          <w:tcPr>
            <w:tcW w:w="10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Initial Limited Partners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Substituted Limited Partner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Successor General Partner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Admission of Additional Limited Partners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Amendment of Agreement and Certificate of Limited Partnership</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414"/>
        </w:trPr>
        <w:tc>
          <w:tcPr>
            <w:tcW w:w="1220" w:type="dxa"/>
            <w:vAlign w:val="bottom"/>
          </w:tcPr>
          <w:p>
            <w:pPr>
              <w:spacing w:after="0"/>
              <w:rPr>
                <w:sz w:val="24"/>
                <w:szCs w:val="24"/>
                <w:color w:val="auto"/>
              </w:rPr>
            </w:pPr>
          </w:p>
        </w:tc>
        <w:tc>
          <w:tcPr>
            <w:tcW w:w="9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ARTICLE XI</w:t>
            </w:r>
          </w:p>
        </w:tc>
        <w:tc>
          <w:tcPr>
            <w:tcW w:w="10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7"/>
              </w:rPr>
              <w:t>WITHDRAWAL OR REMOVAL OF PARTNERS</w:t>
            </w:r>
          </w:p>
        </w:tc>
        <w:tc>
          <w:tcPr>
            <w:tcW w:w="10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Withdrawal of the General Partner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Removal of the General Partner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of Departing Partner and Successor General Partner</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11.4</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11.5</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Withdrawal of Limited Partners</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414"/>
        </w:trPr>
        <w:tc>
          <w:tcPr>
            <w:tcW w:w="1220" w:type="dxa"/>
            <w:vAlign w:val="bottom"/>
          </w:tcPr>
          <w:p>
            <w:pPr>
              <w:spacing w:after="0"/>
              <w:rPr>
                <w:sz w:val="24"/>
                <w:szCs w:val="24"/>
                <w:color w:val="auto"/>
              </w:rPr>
            </w:pPr>
          </w:p>
        </w:tc>
        <w:tc>
          <w:tcPr>
            <w:tcW w:w="9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ARTICLE XII</w:t>
            </w:r>
          </w:p>
        </w:tc>
        <w:tc>
          <w:tcPr>
            <w:tcW w:w="1040" w:type="dxa"/>
            <w:vAlign w:val="bottom"/>
          </w:tcPr>
          <w:p>
            <w:pPr>
              <w:spacing w:after="0"/>
              <w:rPr>
                <w:sz w:val="24"/>
                <w:szCs w:val="24"/>
                <w:color w:val="auto"/>
              </w:rPr>
            </w:pPr>
          </w:p>
        </w:tc>
      </w:tr>
      <w:tr>
        <w:trPr>
          <w:trHeight w:val="234"/>
        </w:trPr>
        <w:tc>
          <w:tcPr>
            <w:tcW w:w="1220" w:type="dxa"/>
            <w:vAlign w:val="bottom"/>
          </w:tcPr>
          <w:p>
            <w:pPr>
              <w:spacing w:after="0"/>
              <w:rPr>
                <w:sz w:val="20"/>
                <w:szCs w:val="20"/>
                <w:color w:val="auto"/>
              </w:rPr>
            </w:pPr>
          </w:p>
        </w:tc>
        <w:tc>
          <w:tcPr>
            <w:tcW w:w="9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8"/>
              </w:rPr>
              <w:t>DISSOLUTION AND LIQUIDATION</w:t>
            </w:r>
          </w:p>
        </w:tc>
        <w:tc>
          <w:tcPr>
            <w:tcW w:w="1040" w:type="dxa"/>
            <w:vAlign w:val="bottom"/>
          </w:tcPr>
          <w:p>
            <w:pPr>
              <w:spacing w:after="0"/>
              <w:rPr>
                <w:sz w:val="20"/>
                <w:szCs w:val="20"/>
                <w:color w:val="auto"/>
              </w:rPr>
            </w:pPr>
          </w:p>
        </w:tc>
      </w:tr>
      <w:tr>
        <w:trPr>
          <w:trHeight w:val="41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12.1</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Dissolution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34"/>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Section 12.2</w:t>
            </w:r>
          </w:p>
        </w:tc>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Continuation of the Business of the Partnership After Dissolution</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-5601335</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-5601335</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0" w:gutter="0" w:footer="0" w:header="0"/>
        </w:sectPr>
      </w:pPr>
    </w:p>
    <w:bookmarkStart w:id="8" w:name="page9"/>
    <w:bookmarkEnd w:id="8"/>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Liquidator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12.4</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Liquidation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12.5</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Cancellation of Certificate of Limited Partnership</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12.6</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Return of Contributions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12.7</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Partition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12.8</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 Account Restoration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ARTICLE XIII</w:t>
            </w:r>
          </w:p>
        </w:tc>
        <w:tc>
          <w:tcPr>
            <w:tcW w:w="1960" w:type="dxa"/>
            <w:vAlign w:val="bottom"/>
          </w:tcPr>
          <w:p>
            <w:pPr>
              <w:spacing w:after="0"/>
              <w:rPr>
                <w:sz w:val="24"/>
                <w:szCs w:val="24"/>
                <w:color w:val="auto"/>
              </w:rPr>
            </w:pPr>
          </w:p>
        </w:tc>
      </w:tr>
      <w:tr>
        <w:trPr>
          <w:trHeight w:val="216"/>
        </w:trPr>
        <w:tc>
          <w:tcPr>
            <w:tcW w:w="1260" w:type="dxa"/>
            <w:vAlign w:val="bottom"/>
          </w:tcPr>
          <w:p>
            <w:pPr>
              <w:spacing w:after="0"/>
              <w:rPr>
                <w:sz w:val="18"/>
                <w:szCs w:val="18"/>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AMENDMENT OF PARTNERSHIP AGREEMENT;</w:t>
            </w:r>
          </w:p>
        </w:tc>
        <w:tc>
          <w:tcPr>
            <w:tcW w:w="1960" w:type="dxa"/>
            <w:vAlign w:val="bottom"/>
          </w:tcPr>
          <w:p>
            <w:pPr>
              <w:spacing w:after="0"/>
              <w:rPr>
                <w:sz w:val="18"/>
                <w:szCs w:val="18"/>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MEETINGS; RECORD DATE</w:t>
            </w:r>
          </w:p>
        </w:tc>
        <w:tc>
          <w:tcPr>
            <w:tcW w:w="1960" w:type="dxa"/>
            <w:vAlign w:val="bottom"/>
          </w:tcPr>
          <w:p>
            <w:pPr>
              <w:spacing w:after="0"/>
              <w:rPr>
                <w:sz w:val="20"/>
                <w:szCs w:val="20"/>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to be Adopted Solely by the General Partner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Procedures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432"/>
        </w:trPr>
        <w:tc>
          <w:tcPr>
            <w:tcW w:w="1260" w:type="dxa"/>
            <w:vAlign w:val="bottom"/>
          </w:tcPr>
          <w:p>
            <w:pPr>
              <w:spacing w:after="0"/>
              <w:rPr>
                <w:sz w:val="24"/>
                <w:szCs w:val="24"/>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2"/>
              </w:rPr>
              <w:t>iii</w:t>
            </w:r>
          </w:p>
        </w:tc>
        <w:tc>
          <w:tcPr>
            <w:tcW w:w="1960" w:type="dxa"/>
            <w:vAlign w:val="bottom"/>
          </w:tcPr>
          <w:p>
            <w:pPr>
              <w:spacing w:after="0"/>
              <w:rPr>
                <w:sz w:val="24"/>
                <w:szCs w:val="24"/>
                <w:color w:val="auto"/>
              </w:rPr>
            </w:pPr>
          </w:p>
        </w:tc>
      </w:tr>
      <w:tr>
        <w:trPr>
          <w:trHeight w:val="132"/>
        </w:trPr>
        <w:tc>
          <w:tcPr>
            <w:tcW w:w="1260" w:type="dxa"/>
            <w:vAlign w:val="bottom"/>
            <w:tcBorders>
              <w:bottom w:val="single" w:sz="8" w:color="808080"/>
            </w:tcBorders>
          </w:tcPr>
          <w:p>
            <w:pPr>
              <w:spacing w:after="0"/>
              <w:rPr>
                <w:sz w:val="11"/>
                <w:szCs w:val="11"/>
                <w:color w:val="auto"/>
              </w:rPr>
            </w:pPr>
          </w:p>
        </w:tc>
        <w:tc>
          <w:tcPr>
            <w:tcW w:w="824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r>
      <w:tr>
        <w:trPr>
          <w:trHeight w:val="76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Amendment Requirements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13.4</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Special Meetings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13.5</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Notice of a Meeting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13.6</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Record Date</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13.7</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Adjournment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13.8</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Notice; Approval of Meeting; Approval of Minutes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13.9</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Quorum</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Conduct of a Meeting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Action Without a Meeting</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Voting and Other Rights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ARTICLE XIV</w:t>
            </w:r>
          </w:p>
        </w:tc>
        <w:tc>
          <w:tcPr>
            <w:tcW w:w="19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MERGER</w:t>
            </w:r>
          </w:p>
        </w:tc>
        <w:tc>
          <w:tcPr>
            <w:tcW w:w="1960" w:type="dxa"/>
            <w:vAlign w:val="bottom"/>
          </w:tcPr>
          <w:p>
            <w:pPr>
              <w:spacing w:after="0"/>
              <w:rPr>
                <w:sz w:val="20"/>
                <w:szCs w:val="20"/>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Authority</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Procedure for Merger or Consolidation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Approval by Limited Partners of Merger or Consolidation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14.4</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Certificate of Merger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14.5</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 of Merger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ARTICLE XV</w:t>
            </w:r>
          </w:p>
        </w:tc>
        <w:tc>
          <w:tcPr>
            <w:tcW w:w="19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RIGHT TO ACQUIRE LIMITED PARTNER INTERESTS</w:t>
            </w:r>
          </w:p>
        </w:tc>
        <w:tc>
          <w:tcPr>
            <w:tcW w:w="1960" w:type="dxa"/>
            <w:vAlign w:val="bottom"/>
          </w:tcPr>
          <w:p>
            <w:pPr>
              <w:spacing w:after="0"/>
              <w:rPr>
                <w:sz w:val="20"/>
                <w:szCs w:val="20"/>
                <w:color w:val="auto"/>
              </w:rPr>
            </w:pPr>
          </w:p>
        </w:tc>
      </w:tr>
      <w:tr>
        <w:trPr>
          <w:trHeight w:val="432"/>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15.1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Right to Acquire Limited Partner Interests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414"/>
        </w:trPr>
        <w:tc>
          <w:tcPr>
            <w:tcW w:w="1260" w:type="dxa"/>
            <w:vAlign w:val="bottom"/>
          </w:tcPr>
          <w:p>
            <w:pPr>
              <w:spacing w:after="0"/>
              <w:rPr>
                <w:sz w:val="24"/>
                <w:szCs w:val="24"/>
                <w:color w:val="auto"/>
              </w:rPr>
            </w:pPr>
          </w:p>
        </w:tc>
        <w:tc>
          <w:tcPr>
            <w:tcW w:w="824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ARTICLE XVI</w:t>
            </w:r>
          </w:p>
        </w:tc>
        <w:tc>
          <w:tcPr>
            <w:tcW w:w="1960" w:type="dxa"/>
            <w:vAlign w:val="bottom"/>
          </w:tcPr>
          <w:p>
            <w:pPr>
              <w:spacing w:after="0"/>
              <w:rPr>
                <w:sz w:val="24"/>
                <w:szCs w:val="24"/>
                <w:color w:val="auto"/>
              </w:rPr>
            </w:pPr>
          </w:p>
        </w:tc>
      </w:tr>
      <w:tr>
        <w:trPr>
          <w:trHeight w:val="234"/>
        </w:trPr>
        <w:tc>
          <w:tcPr>
            <w:tcW w:w="1260" w:type="dxa"/>
            <w:vAlign w:val="bottom"/>
          </w:tcPr>
          <w:p>
            <w:pPr>
              <w:spacing w:after="0"/>
              <w:rPr>
                <w:sz w:val="20"/>
                <w:szCs w:val="20"/>
                <w:color w:val="auto"/>
              </w:rPr>
            </w:pPr>
          </w:p>
        </w:tc>
        <w:tc>
          <w:tcPr>
            <w:tcW w:w="82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1960" w:type="dxa"/>
            <w:vAlign w:val="bottom"/>
          </w:tcPr>
          <w:p>
            <w:pPr>
              <w:spacing w:after="0"/>
              <w:rPr>
                <w:sz w:val="20"/>
                <w:szCs w:val="20"/>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Addresses and Notices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16.2</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Further Action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16.3</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Binding Effect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16.4</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Integration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16.5</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Creditors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16.6</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16.7</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Counterparts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16.8</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Applicable Law; Forum; Venue and Jurisdiction</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16.9</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Invalidity of Provisions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16.10</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Consent of Partners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16.11</w:t>
            </w:r>
          </w:p>
        </w:tc>
        <w:tc>
          <w:tcPr>
            <w:tcW w:w="82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Effects of Amendments</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-5738495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-5738495</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FIFTH AMENDED AND RESTATED AGREEMENT OF LIMITED PARTNERSHIP OF PLAINS ALL AMERICAN PIPELINE, L.P.</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THIS FIFTH AMENDED AND RESTATED AGREEMENT OF LIMITED PARTNERSHIP OF PLAINS ALL AMERICAN PIPELINE, L.P. dated as of January 28, 2016, is entered into by and among PAA GP LLC, a Delaware limited liability company, as the General Partner, and PAA GP LLC, as the lawful agent and attorney-in-fact for the Limited Partners, together with any other Persons who become Partners in the Partnership or parties hereto as provided herein.</w:t>
      </w:r>
    </w:p>
    <w:p>
      <w:pPr>
        <w:spacing w:after="0" w:line="180" w:lineRule="exact"/>
        <w:rPr>
          <w:sz w:val="20"/>
          <w:szCs w:val="20"/>
          <w:color w:val="auto"/>
        </w:rPr>
      </w:pPr>
    </w:p>
    <w:p>
      <w:pPr>
        <w:ind w:right="74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General Partner and the other parties thereto entered into that certain Fourth Amended and Restated Agreement of Limited Partnership of the Partnership dated as of May 17, 2012 (the </w:t>
      </w:r>
      <w:r>
        <w:rPr>
          <w:rFonts w:ascii="Times New Roman" w:cs="Times New Roman" w:eastAsia="Times New Roman" w:hAnsi="Times New Roman"/>
          <w:sz w:val="18"/>
          <w:szCs w:val="18"/>
          <w:i w:val="1"/>
          <w:iCs w:val="1"/>
          <w:color w:val="auto"/>
        </w:rPr>
        <w:t>“2012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General Partner effected Amendment No. 1 to the 2012 Agreement on October 1, 2012 in connection with the 2012 Unit Split;</w:t>
      </w:r>
    </w:p>
    <w:p>
      <w:pPr>
        <w:spacing w:after="0" w:line="225"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WHEREAS, the General Partner effected Amendment No. 2 to the 2012 Agreement on December 31, 2013 to provide for an adjustment to the Incentive Distribution Rights following the PNG Merger;</w:t>
      </w:r>
    </w:p>
    <w:p>
      <w:pPr>
        <w:sectPr>
          <w:pgSz w:w="11900" w:h="16933" w:orient="portrait"/>
          <w:cols w:equalWidth="0" w:num="1">
            <w:col w:w="11460"/>
          </w:cols>
          <w:pgMar w:left="240" w:top="121" w:right="199" w:bottom="0" w:gutter="0" w:footer="0" w:header="0"/>
        </w:sectPr>
      </w:pPr>
    </w:p>
    <w:bookmarkStart w:id="9" w:name="page10"/>
    <w:bookmarkEnd w:id="9"/>
    <w:p>
      <w:pPr>
        <w:spacing w:after="0" w:line="7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WHEREAS, the General Partner effected Amendment No. 3 to the 2012 Agreement on May 15, 2015 to revise Section 16.8 of the 2012 Agreement to add an exclusive forum jurisdiction clause; and</w:t>
      </w:r>
    </w:p>
    <w:p>
      <w:pPr>
        <w:spacing w:after="0" w:line="162" w:lineRule="exact"/>
        <w:rPr>
          <w:sz w:val="20"/>
          <w:szCs w:val="20"/>
          <w:color w:val="auto"/>
        </w:rPr>
      </w:pPr>
    </w:p>
    <w:p>
      <w:pPr>
        <w:ind w:right="600" w:firstLine="648"/>
        <w:spacing w:after="0" w:line="282" w:lineRule="auto"/>
        <w:rPr>
          <w:sz w:val="20"/>
          <w:szCs w:val="20"/>
          <w:color w:val="auto"/>
        </w:rPr>
      </w:pPr>
      <w:r>
        <w:rPr>
          <w:rFonts w:ascii="Times New Roman" w:cs="Times New Roman" w:eastAsia="Times New Roman" w:hAnsi="Times New Roman"/>
          <w:sz w:val="18"/>
          <w:szCs w:val="18"/>
          <w:color w:val="auto"/>
        </w:rPr>
        <w:t>WHEREAS, the General Partner desires to amend and restate the 2012 Agreement in its entirety to reflect each of the foregoing amendments together with such other changes as the General Partner has determined are necessary and appropriate.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the General Partner does hereby amend and restate the 2012 Agreement to provide, in its entirety, as follows: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5"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definitions shall be for all purposes, unless otherwise clearly indicated to the contrary, applied to the terms used in this Agreement.</w:t>
      </w:r>
    </w:p>
    <w:p>
      <w:pPr>
        <w:spacing w:after="0" w:line="223"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2001 Agreement</w:t>
      </w:r>
      <w:r>
        <w:rPr>
          <w:rFonts w:ascii="Times New Roman" w:cs="Times New Roman" w:eastAsia="Times New Roman" w:hAnsi="Times New Roman"/>
          <w:sz w:val="18"/>
          <w:szCs w:val="18"/>
          <w:color w:val="auto"/>
        </w:rPr>
        <w:t>” means the Third Amended and Restated Agreement of Limited Partnership of Plains All American Pipeline, L.P., dated as of June 27, 2001.</w:t>
      </w:r>
    </w:p>
    <w:p>
      <w:pPr>
        <w:spacing w:after="0" w:line="158" w:lineRule="exact"/>
        <w:rPr>
          <w:sz w:val="20"/>
          <w:szCs w:val="20"/>
          <w:color w:val="auto"/>
        </w:rPr>
      </w:pPr>
    </w:p>
    <w:p>
      <w:pPr>
        <w:ind w:right="6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“2001 GP Transfer Agreement” </w:t>
      </w:r>
      <w:r>
        <w:rPr>
          <w:rFonts w:ascii="Times New Roman" w:cs="Times New Roman" w:eastAsia="Times New Roman" w:hAnsi="Times New Roman"/>
          <w:sz w:val="18"/>
          <w:szCs w:val="18"/>
          <w:color w:val="auto"/>
        </w:rPr>
        <w:t>means the Contribution, Assignment and Amendment Agreement, dated as of June 8, 2001, among the 2001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General Partner, the 2007 Predecessor General Partner and Plains All American GP LLC.</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“2001 Predecessor General Partner” </w:t>
      </w:r>
      <w:r>
        <w:rPr>
          <w:rFonts w:ascii="Times New Roman" w:cs="Times New Roman" w:eastAsia="Times New Roman" w:hAnsi="Times New Roman"/>
          <w:sz w:val="18"/>
          <w:szCs w:val="18"/>
          <w:color w:val="auto"/>
        </w:rPr>
        <w:t>means Plains All American Inc., in its capacity as the general partner of the Partnership prior to the transfer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General Partner Interest to the 2007 Predecessor General Partner pursuant to the 2001 GP Transfer Agreement.</w:t>
      </w:r>
    </w:p>
    <w:p>
      <w:pPr>
        <w:spacing w:after="0" w:line="158"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“2007 GP Transfer Agreement” </w:t>
      </w:r>
      <w:r>
        <w:rPr>
          <w:rFonts w:ascii="Times New Roman" w:cs="Times New Roman" w:eastAsia="Times New Roman" w:hAnsi="Times New Roman"/>
          <w:sz w:val="18"/>
          <w:szCs w:val="18"/>
          <w:color w:val="auto"/>
        </w:rPr>
        <w:t>means the Contribution and Assumption Agreement, dated as of December 28, 2007, by and between the 2007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Predecessor General Partner and the General Partner.</w:t>
      </w:r>
    </w:p>
    <w:p>
      <w:pPr>
        <w:spacing w:after="0" w:line="158" w:lineRule="exact"/>
        <w:rPr>
          <w:sz w:val="20"/>
          <w:szCs w:val="20"/>
          <w:color w:val="auto"/>
        </w:rPr>
      </w:pPr>
    </w:p>
    <w:p>
      <w:pPr>
        <w:jc w:val="both"/>
        <w:ind w:right="3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“2007 Predecessor General Partner” </w:t>
      </w:r>
      <w:r>
        <w:rPr>
          <w:rFonts w:ascii="Times New Roman" w:cs="Times New Roman" w:eastAsia="Times New Roman" w:hAnsi="Times New Roman"/>
          <w:sz w:val="18"/>
          <w:szCs w:val="18"/>
          <w:color w:val="auto"/>
        </w:rPr>
        <w:t>means Plains AAP, L.P., in its capacity as the general partner of the Partnership (i) after the transfer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Partner Interest by the 2001 Predecessor General Partner pursuant to the 2001 GP Transfer Agreement and (ii) prior to the transfer of the General Partner Interest to the General Partner pursuant to the 2007 GP Transfer Agreement.</w:t>
      </w:r>
    </w:p>
    <w:p>
      <w:pPr>
        <w:spacing w:after="0" w:line="174"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“2012 Agreement” </w:t>
      </w:r>
      <w:r>
        <w:rPr>
          <w:rFonts w:ascii="Times New Roman" w:cs="Times New Roman" w:eastAsia="Times New Roman" w:hAnsi="Times New Roman"/>
          <w:sz w:val="18"/>
          <w:szCs w:val="18"/>
          <w:color w:val="auto"/>
        </w:rPr>
        <w:t>means the Fourth Amended and Restated Agreement of Limited Partnership of Plains All American Pipeline, L.P, dated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17, 2012, as amended.</w:t>
      </w:r>
    </w:p>
    <w:p>
      <w:pPr>
        <w:spacing w:after="0" w:line="158" w:lineRule="exact"/>
        <w:rPr>
          <w:sz w:val="20"/>
          <w:szCs w:val="20"/>
          <w:color w:val="auto"/>
        </w:rPr>
      </w:pPr>
    </w:p>
    <w:p>
      <w:pPr>
        <w:ind w:right="5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“2012 Unit Split” </w:t>
      </w:r>
      <w:r>
        <w:rPr>
          <w:rFonts w:ascii="Times New Roman" w:cs="Times New Roman" w:eastAsia="Times New Roman" w:hAnsi="Times New Roman"/>
          <w:sz w:val="18"/>
          <w:szCs w:val="18"/>
          <w:color w:val="auto"/>
        </w:rPr>
        <w:t>means the two-for-one split of the Common Units effected on October 1, 2012 by way of a dividend and distribution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Unit for each Common Unit outstanding to Record Holders as of September 17, 2012.</w:t>
      </w:r>
    </w:p>
    <w:p>
      <w:pPr>
        <w:spacing w:after="0" w:line="158"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“Acquisition” </w:t>
      </w:r>
      <w:r>
        <w:rPr>
          <w:rFonts w:ascii="Times New Roman" w:cs="Times New Roman" w:eastAsia="Times New Roman" w:hAnsi="Times New Roman"/>
          <w:sz w:val="18"/>
          <w:szCs w:val="18"/>
          <w:color w:val="auto"/>
        </w:rPr>
        <w:t>means any transaction in which any Group Member acquires (through an asset acquisition, merger, stock acquisition or other form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control over all or a portion of the assets, properties or business of another Person for the purpose of increasing the operating capacity or revenues of the Partnership Group from the operating capacity or revenues of the Partnership Group existing immediately prior to such transaction.</w:t>
      </w:r>
    </w:p>
    <w:p>
      <w:pPr>
        <w:spacing w:after="0" w:line="174"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 Book Basis” </w:t>
      </w:r>
      <w:r>
        <w:rPr>
          <w:rFonts w:ascii="Times New Roman" w:cs="Times New Roman" w:eastAsia="Times New Roman" w:hAnsi="Times New Roman"/>
          <w:sz w:val="18"/>
          <w:szCs w:val="18"/>
          <w:color w:val="auto"/>
        </w:rPr>
        <w:t>means the portion of any remaining Carrying Value of an Adjusted Property that is attributable to positive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to such Carrying Value as a result of Book-Up Events. For purposes of determining the extent that Carrying Value constitutes Additional Book Basis:</w:t>
      </w:r>
    </w:p>
    <w:p>
      <w:pPr>
        <w:spacing w:after="0" w:line="160" w:lineRule="exact"/>
        <w:rPr>
          <w:sz w:val="20"/>
          <w:szCs w:val="20"/>
          <w:color w:val="auto"/>
        </w:rPr>
      </w:pPr>
    </w:p>
    <w:p>
      <w:pPr>
        <w:ind w:right="20" w:firstLine="656"/>
        <w:spacing w:after="0" w:line="266" w:lineRule="auto"/>
        <w:tabs>
          <w:tab w:leader="none" w:pos="13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adjustment made to the Carrying Value of an Adjusted Property as a result of either a Book-Down Event or a Book-Up Event shall first be deemed to offset or decrease that portion of the Carrying Value of such Adjusted Property that is attributable to any prior positive adjustments made thereto pursuant to a Book-Up Event or Book-Down Event.</w:t>
      </w:r>
    </w:p>
    <w:p>
      <w:pPr>
        <w:spacing w:after="0" w:line="176" w:lineRule="exact"/>
        <w:rPr>
          <w:rFonts w:ascii="Times New Roman" w:cs="Times New Roman" w:eastAsia="Times New Roman" w:hAnsi="Times New Roman"/>
          <w:sz w:val="18"/>
          <w:szCs w:val="18"/>
          <w:color w:val="auto"/>
        </w:rPr>
      </w:pPr>
    </w:p>
    <w:p>
      <w:pPr>
        <w:ind w:right="40" w:firstLine="656"/>
        <w:spacing w:after="0" w:line="258" w:lineRule="auto"/>
        <w:tabs>
          <w:tab w:leader="none" w:pos="136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Carrying Value that constitutes Additional Book Basis is reduced as a result of a Book-Down Event and the Carrying Value of other property is increased as a result of such Book-Down Event, an allocable portion of any such increase in Carrying Value shall be treated as Additional Book Basis; provided that the amount treated as Additional Book Basis pursuant hereto as a result of such Book-Down Event shall not exceed the amount by which the Aggregate Remaining Net Positive Adjustments after such Book-Down Event exceeds the remaining Additional Book Basis attributable to all of the Partnership’s Adjusted Property after such Book-Down Event (determined without regard to the application of this clause (ii) to such Book-Down Event).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“Additional Book Basis Derivative Items” </w:t>
      </w:r>
      <w:r>
        <w:rPr>
          <w:rFonts w:ascii="Times New Roman" w:cs="Times New Roman" w:eastAsia="Times New Roman" w:hAnsi="Times New Roman"/>
          <w:sz w:val="18"/>
          <w:szCs w:val="18"/>
          <w:color w:val="auto"/>
        </w:rPr>
        <w:t>means any Book Basis Derivative Items that are computed with reference to Additional Book Basis.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extent that the Additional Book Basis attributable to all of the Partnership’s Adjusted Property as of the beginning of any taxable period exceeds the Aggregate Remaining Net Positive Adjustments as of the beginning of such period (the </w:t>
      </w:r>
      <w:r>
        <w:rPr>
          <w:rFonts w:ascii="Times New Roman" w:cs="Times New Roman" w:eastAsia="Times New Roman" w:hAnsi="Times New Roman"/>
          <w:sz w:val="18"/>
          <w:szCs w:val="18"/>
          <w:i w:val="1"/>
          <w:iCs w:val="1"/>
          <w:color w:val="auto"/>
        </w:rPr>
        <w:t>“Excess Additional Book Basis”</w:t>
      </w:r>
      <w:r>
        <w:rPr>
          <w:rFonts w:ascii="Times New Roman" w:cs="Times New Roman" w:eastAsia="Times New Roman" w:hAnsi="Times New Roman"/>
          <w:sz w:val="18"/>
          <w:szCs w:val="18"/>
          <w:color w:val="auto"/>
        </w:rPr>
        <w:t>), the Additional Book Basis Derivative Items for such period shall be reduced by the amount that bears the same ratio to the amount of Additional Book Basis Derivative Items determined without regard to this sentence as the Excess Additional Book Basis bears to the Additional Book Basis as of the beginning of such period.</w:t>
      </w:r>
    </w:p>
    <w:p>
      <w:pPr>
        <w:spacing w:after="0" w:line="18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“Additional Limited Partner” </w:t>
      </w:r>
      <w:r>
        <w:rPr>
          <w:rFonts w:ascii="Times New Roman" w:cs="Times New Roman" w:eastAsia="Times New Roman" w:hAnsi="Times New Roman"/>
          <w:sz w:val="18"/>
          <w:szCs w:val="18"/>
          <w:color w:val="auto"/>
        </w:rPr>
        <w:t>means a Person admitted to the Partnership as a Limited Partner pursuant to Section 10.4 and who is shown as such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books and records of the Partnership.</w:t>
      </w:r>
    </w:p>
    <w:p>
      <w:pPr>
        <w:spacing w:after="0" w:line="15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Capital Account” </w:t>
      </w:r>
      <w:r>
        <w:rPr>
          <w:rFonts w:ascii="Times New Roman" w:cs="Times New Roman" w:eastAsia="Times New Roman" w:hAnsi="Times New Roman"/>
          <w:sz w:val="18"/>
          <w:szCs w:val="18"/>
          <w:color w:val="auto"/>
        </w:rPr>
        <w:t>means the Capital Account maintained for each Partner as of the end of each fiscal year of the Partnership, (a)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any amounts that such Partner is obligated to restore under the standards set by Treasury Regulation Section 1.704-1(b)(2)(ii)(c) (or is deemed obligated to restore under Treasury Regulation Sections 1.704-2(g) and 1.704-2(i)(5)) and (b) decreased by (i) the amount of all losses and deductions that, as of the end of such fiscal year, are reasonably expected to be allocated to such Partner in subsequent years under Sections 704(e)(2) and 706(d) of the Code and Treasury</w:t>
      </w:r>
    </w:p>
    <w:p>
      <w:pPr>
        <w:sectPr>
          <w:pgSz w:w="11900" w:h="16913" w:orient="portrait"/>
          <w:cols w:equalWidth="0" w:num="1">
            <w:col w:w="11420"/>
          </w:cols>
          <w:pgMar w:left="240" w:top="337" w:right="239" w:bottom="0" w:gutter="0" w:footer="0" w:header="0"/>
        </w:sectPr>
      </w:pPr>
    </w:p>
    <w:bookmarkStart w:id="10" w:name="page11"/>
    <w:bookmarkEnd w:id="10"/>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Regulation Section 1.751-1(b)(2)(ii), and (ii) the amount of all distributions that, as of the end of such fiscal year, are reasonably expected to be made to such Partner in subsequent years in accordance with the terms of this Agreement or otherwise to the extent they exceed offsetting increases to such Partner’s Capital Account that are reasonably expected to occur during (or prior to) the year in which such distributions are reasonably expected to be made (other than increases as a result of a minimum gain chargeback pursuant to Section 6.1(d)(i) or 6.1(d)(ii)). The foregoing definition of Adjusted Capital Account is intended to comply with the provisions of Treasury Regulation Section 1.704-1(b)(2)(ii)(d) and shall be interpreted consistently therewith. The </w:t>
      </w:r>
      <w:r>
        <w:rPr>
          <w:rFonts w:ascii="Times New Roman" w:cs="Times New Roman" w:eastAsia="Times New Roman" w:hAnsi="Times New Roman"/>
          <w:sz w:val="18"/>
          <w:szCs w:val="18"/>
          <w:i w:val="1"/>
          <w:iCs w:val="1"/>
          <w:color w:val="auto"/>
        </w:rPr>
        <w:t>“Adjusted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Capital Account” </w:t>
      </w:r>
      <w:r>
        <w:rPr>
          <w:rFonts w:ascii="Times New Roman" w:cs="Times New Roman" w:eastAsia="Times New Roman" w:hAnsi="Times New Roman"/>
          <w:sz w:val="18"/>
          <w:szCs w:val="18"/>
          <w:color w:val="auto"/>
        </w:rPr>
        <w:t>of a Partner in respect of a General Partner Interest, a Common Unit, a Series A Preferred Unit or an Incentive Distribution Right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specified interest in the Partnership shall be the amount which such Adjusted Capital Account would be if such General Partner Interest, Common Unit, Series A Preferred Unit, Incentive Distribution Right or other interest in the Partnership were the only interest in the Partnership held by a Partner from and after the date on which such General Partner Interest, Common Unit, Series A Preferred Unit, Incentive Distribution Right or other interest was first issued.</w:t>
      </w:r>
    </w:p>
    <w:p>
      <w:pPr>
        <w:spacing w:after="0" w:line="18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“Adjusted Percentage Interest” </w:t>
      </w:r>
      <w:r>
        <w:rPr>
          <w:rFonts w:ascii="Times New Roman" w:cs="Times New Roman" w:eastAsia="Times New Roman" w:hAnsi="Times New Roman"/>
          <w:sz w:val="18"/>
          <w:szCs w:val="18"/>
          <w:color w:val="auto"/>
        </w:rPr>
        <w:t>means as of any date of determination (a) as to any Unitholder or Assignee holding Units, the product obtained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multiplying (i) 98% less the percentage applicable to subclause (b) below by (ii) the quotient obtained by dividing (A) the number of Units held by such Unitholder or Assignee by (B) the total number of all Outstanding Units and (b) as to the holders of additional Partnership Securities issued by the Partnership in accordance with Section 5.6, the percentage established as a part of such issuance. In calculating the number of Units in subclauses (A) and (B) above, the applicable number of Units shall include Outstanding Common Units and the Common Units that would be issued if all Series A Preferred Units were converted to Common Units on such date of determination. The Adjusted Percentage Interest with respect to an Incentive Distribution Right shall at all times be zero, and the Adjusted Percentage Interest with respect to a Series A Preferred Unit shall only be defined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by reference to the Adjusted Percentage Interest attributable to the Common Units into which such Series A Preferred Unit would be converted if conversion took place on such date of determination.</w:t>
      </w:r>
    </w:p>
    <w:p>
      <w:pPr>
        <w:spacing w:after="0" w:line="16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“Adjusted Property” </w:t>
      </w:r>
      <w:r>
        <w:rPr>
          <w:rFonts w:ascii="Times New Roman" w:cs="Times New Roman" w:eastAsia="Times New Roman" w:hAnsi="Times New Roman"/>
          <w:sz w:val="18"/>
          <w:szCs w:val="18"/>
          <w:color w:val="auto"/>
        </w:rPr>
        <w:t>means any property the Carrying Value of which has been adjusted pursuant to Section 5.5(d)(i) or 5.5(d)(ii). Once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Property is deemed contributed to a new partnership in exchange for an interest in the new partnership, followed by a deemed liquidation of the Partnership for federal income tax purposes upon a termination of the Partnership pursuant to Section 708(b)(1)(B) of the Code, such property shall thereafter constitute a Contributed Property until the Carrying Value of such property is subsequently adjusted pursuant to Section 5.5(d)(i) or 5.5(d)(ii).</w:t>
      </w:r>
    </w:p>
    <w:p>
      <w:pPr>
        <w:spacing w:after="0" w:line="180"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means, with respect to any Person, any other Person that directly or indirectly through one or more intermediaries controls, is controlled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or is under common control with, the Person in question. As used herein, the term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xml:space="preserve"> means the possession, direct or indirect, of the power to direct or cause the direction of the management and policies of a Person, whether through ownership of voting securities, by contract or otherwise.</w:t>
      </w:r>
    </w:p>
    <w:p>
      <w:pPr>
        <w:spacing w:after="0" w:line="174" w:lineRule="exact"/>
        <w:rPr>
          <w:sz w:val="20"/>
          <w:szCs w:val="20"/>
          <w:color w:val="auto"/>
        </w:rPr>
      </w:pPr>
    </w:p>
    <w:p>
      <w:pPr>
        <w:ind w:right="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“Aggregate Remaining Net Positive Adjustments” </w:t>
      </w:r>
      <w:r>
        <w:rPr>
          <w:rFonts w:ascii="Times New Roman" w:cs="Times New Roman" w:eastAsia="Times New Roman" w:hAnsi="Times New Roman"/>
          <w:sz w:val="18"/>
          <w:szCs w:val="18"/>
          <w:color w:val="auto"/>
        </w:rPr>
        <w:t>means, as of the end of any taxable period, the sum of the Remaining Net Positive Adjustments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the Partners.</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“Agreed Allocation” </w:t>
      </w:r>
      <w:r>
        <w:rPr>
          <w:rFonts w:ascii="Times New Roman" w:cs="Times New Roman" w:eastAsia="Times New Roman" w:hAnsi="Times New Roman"/>
          <w:sz w:val="18"/>
          <w:szCs w:val="18"/>
          <w:color w:val="auto"/>
        </w:rPr>
        <w:t>means any allocation, other than a Required Allocation, of an item of income, gain, loss or deduction pursuant to the provisions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Section 6.1, including, without limitation, a Curative Allocation (if appropriate to the context in which the term </w:t>
      </w:r>
      <w:r>
        <w:rPr>
          <w:rFonts w:ascii="Times New Roman" w:cs="Times New Roman" w:eastAsia="Times New Roman" w:hAnsi="Times New Roman"/>
          <w:sz w:val="18"/>
          <w:szCs w:val="18"/>
          <w:i w:val="1"/>
          <w:iCs w:val="1"/>
          <w:color w:val="auto"/>
        </w:rPr>
        <w:t>“Agreed Allocation”</w:t>
      </w:r>
      <w:r>
        <w:rPr>
          <w:rFonts w:ascii="Times New Roman" w:cs="Times New Roman" w:eastAsia="Times New Roman" w:hAnsi="Times New Roman"/>
          <w:sz w:val="18"/>
          <w:szCs w:val="18"/>
          <w:color w:val="auto"/>
        </w:rPr>
        <w:t xml:space="preserve"> is used).</w:t>
      </w:r>
    </w:p>
    <w:p>
      <w:pPr>
        <w:spacing w:after="0" w:line="1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“Agreed Value” </w:t>
      </w:r>
      <w:r>
        <w:rPr>
          <w:rFonts w:ascii="Times New Roman" w:cs="Times New Roman" w:eastAsia="Times New Roman" w:hAnsi="Times New Roman"/>
          <w:sz w:val="18"/>
          <w:szCs w:val="18"/>
          <w:color w:val="auto"/>
        </w:rPr>
        <w:t>of any Contributed Property means the fair market value of such property or other consideration at the time of contribution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General Partner using such reasonable method of valuation as it may adopt. The General Partner shall, in its discretion, use such method as it deems reasonable and appropriate to allocate the aggregate Agreed Value of Contributed Properties contributed to the Partnership in a single or integrated transaction among each separate property on a basis proportional to the fair market value of each Contributed Property.</w:t>
      </w:r>
    </w:p>
    <w:p>
      <w:pPr>
        <w:spacing w:after="0" w:line="180" w:lineRule="exact"/>
        <w:rPr>
          <w:sz w:val="20"/>
          <w:szCs w:val="20"/>
          <w:color w:val="auto"/>
        </w:rPr>
      </w:pPr>
    </w:p>
    <w:p>
      <w:pPr>
        <w:ind w:right="6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“Agreement” </w:t>
      </w:r>
      <w:r>
        <w:rPr>
          <w:rFonts w:ascii="Times New Roman" w:cs="Times New Roman" w:eastAsia="Times New Roman" w:hAnsi="Times New Roman"/>
          <w:sz w:val="18"/>
          <w:szCs w:val="18"/>
          <w:color w:val="auto"/>
        </w:rPr>
        <w:t>means this Fifth Amended and Restated Agreement of Limited Partnership of Plains All American Pipeline, L.P., as it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supplemented or restated from time to time.</w:t>
      </w:r>
    </w:p>
    <w:p>
      <w:pPr>
        <w:spacing w:after="0" w:line="158" w:lineRule="exact"/>
        <w:rPr>
          <w:sz w:val="20"/>
          <w:szCs w:val="20"/>
          <w:color w:val="auto"/>
        </w:rPr>
      </w:pPr>
    </w:p>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“Assignee” </w:t>
      </w:r>
      <w:r>
        <w:rPr>
          <w:rFonts w:ascii="Times New Roman" w:cs="Times New Roman" w:eastAsia="Times New Roman" w:hAnsi="Times New Roman"/>
          <w:sz w:val="18"/>
          <w:szCs w:val="18"/>
          <w:color w:val="auto"/>
        </w:rPr>
        <w:t>means a Non-citizen Assignee or a Person to whom one or more Limited Partner Interests have been transferred in a manner permitted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this Agreement and who has executed and delivered a Transfer Application as required by this Agreement, but who has not been admitted as a Substituted Limited Partner.</w:t>
      </w:r>
    </w:p>
    <w:p>
      <w:pPr>
        <w:spacing w:after="0" w:line="174"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“Associate” </w:t>
      </w:r>
      <w:r>
        <w:rPr>
          <w:rFonts w:ascii="Times New Roman" w:cs="Times New Roman" w:eastAsia="Times New Roman" w:hAnsi="Times New Roman"/>
          <w:sz w:val="18"/>
          <w:szCs w:val="18"/>
          <w:color w:val="auto"/>
        </w:rPr>
        <w:t>means, when used to indicate a relationship with any Person, (a) any corporation or organization of which such Person is a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or partner or is, directly or indirectly, the owner of 20% or more of any class of voting stock or other voting interest; (b) any trust or other estate in which such Person has at least a 20% beneficial interest or as to which such Person serves as trustee or in a similar fiduciary capacity; and (c) any relative or spouse of</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Person, or any relative of such spouse, who has the same principal residence as such Person.</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“Available Cash” </w:t>
      </w:r>
      <w:r>
        <w:rPr>
          <w:rFonts w:ascii="Times New Roman" w:cs="Times New Roman" w:eastAsia="Times New Roman" w:hAnsi="Times New Roman"/>
          <w:sz w:val="18"/>
          <w:szCs w:val="18"/>
          <w:color w:val="auto"/>
        </w:rPr>
        <w:t>means, with respect to any Quarter ending prior to the Liquidation Date,</w:t>
      </w:r>
    </w:p>
    <w:p>
      <w:pPr>
        <w:spacing w:after="0" w:line="227" w:lineRule="exact"/>
        <w:rPr>
          <w:sz w:val="20"/>
          <w:szCs w:val="20"/>
          <w:color w:val="auto"/>
        </w:rPr>
      </w:pPr>
    </w:p>
    <w:p>
      <w:pPr>
        <w:ind w:right="340" w:firstLine="656"/>
        <w:spacing w:after="0" w:line="266" w:lineRule="auto"/>
        <w:tabs>
          <w:tab w:leader="none" w:pos="134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all cash and cash equivalents of the Partnership Group on hand at the end of such Quarter, and (ii) all additional cash and cash equivalents of the Partnership Group on hand on the date of determination of Available Cash with respect to such Quarter resulting from Working Capital Borrowings made subsequent to the end of such Quarter, less</w:t>
      </w:r>
    </w:p>
    <w:p>
      <w:pPr>
        <w:spacing w:after="0" w:line="176" w:lineRule="exact"/>
        <w:rPr>
          <w:rFonts w:ascii="Times New Roman" w:cs="Times New Roman" w:eastAsia="Times New Roman" w:hAnsi="Times New Roman"/>
          <w:sz w:val="18"/>
          <w:szCs w:val="18"/>
          <w:color w:val="auto"/>
        </w:rPr>
      </w:pPr>
    </w:p>
    <w:p>
      <w:pPr>
        <w:ind w:firstLine="656"/>
        <w:spacing w:after="0" w:line="255" w:lineRule="auto"/>
        <w:tabs>
          <w:tab w:leader="none" w:pos="13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reserves that is necessary or appropriate in the reasonable discretion of the General Partner to (i) provide for the proper conduct of the business of the Partnership Group (including reserves for future capital expenditures and for anticipated future credit needs of the Partnership Group) subsequent to such Quarter, (ii) comply with applicable law or any loan agreement, security agreement, mortgage, debt instrument or other agreement or obligation to which any Group Member is a party or by which it is bound or its assets are subject or (iii) provide funds for distributions under Section 5.14(b)(i), 6.4 or 6.5 in respect of any one or more of the next four Quarters; provided, however, that the General Partner may not establish cash reserves pursuant to (iii) above if the effect of such reserves would be that the Partnership is unable to distribute the Minimum Quarterly Distribution on all Common Units, with respect to such Quarter; and, provided further, that disbursements made by a Group Member or cash reserves established, increased or</w:t>
      </w:r>
    </w:p>
    <w:p>
      <w:pPr>
        <w:sectPr>
          <w:pgSz w:w="11900" w:h="16906" w:orient="portrait"/>
          <w:cols w:equalWidth="0" w:num="1">
            <w:col w:w="11420"/>
          </w:cols>
          <w:pgMar w:left="240" w:top="121" w:right="239" w:bottom="0" w:gutter="0" w:footer="0" w:header="0"/>
        </w:sectPr>
      </w:pPr>
    </w:p>
    <w:bookmarkStart w:id="11" w:name="page12"/>
    <w:bookmarkEnd w:id="11"/>
    <w:p>
      <w:pPr>
        <w:spacing w:after="0" w:line="9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reduced after the end of such Quarter but on or before the date of determination of Available Cash with respect to such Quarter shall be deemed to have been made, established, increased or reduced, for purposes of determining Available Cash, within such Quarter if the General Partner so determines.</w:t>
      </w:r>
    </w:p>
    <w:p>
      <w:pPr>
        <w:spacing w:after="0" w:line="160"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color w:val="auto"/>
        </w:rPr>
        <w:t xml:space="preserve">Notwithstanding the foregoing, </w:t>
      </w:r>
      <w:r>
        <w:rPr>
          <w:rFonts w:ascii="Times New Roman" w:cs="Times New Roman" w:eastAsia="Times New Roman" w:hAnsi="Times New Roman"/>
          <w:sz w:val="18"/>
          <w:szCs w:val="18"/>
          <w:i w:val="1"/>
          <w:iCs w:val="1"/>
          <w:color w:val="auto"/>
        </w:rPr>
        <w:t>“Available Cash”</w:t>
      </w:r>
      <w:r>
        <w:rPr>
          <w:rFonts w:ascii="Times New Roman" w:cs="Times New Roman" w:eastAsia="Times New Roman" w:hAnsi="Times New Roman"/>
          <w:sz w:val="18"/>
          <w:szCs w:val="18"/>
          <w:color w:val="auto"/>
        </w:rPr>
        <w:t xml:space="preserve"> with respect to the Quarter in which the Liquidation Date occurs and any subsequent Quarter shall equal zero.</w:t>
      </w:r>
    </w:p>
    <w:p>
      <w:pPr>
        <w:spacing w:after="0" w:line="158" w:lineRule="exact"/>
        <w:rPr>
          <w:sz w:val="20"/>
          <w:szCs w:val="20"/>
          <w:color w:val="auto"/>
        </w:rPr>
      </w:pPr>
    </w:p>
    <w:p>
      <w:pPr>
        <w:ind w:right="5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means the Board of Directors (or the comparable governing body of any successor to the General Partner) of Plains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American GP LLC.</w:t>
      </w:r>
    </w:p>
    <w:p>
      <w:pPr>
        <w:spacing w:after="0" w:line="158" w:lineRule="exact"/>
        <w:rPr>
          <w:sz w:val="20"/>
          <w:szCs w:val="20"/>
          <w:color w:val="auto"/>
        </w:rPr>
      </w:pPr>
    </w:p>
    <w:p>
      <w:pPr>
        <w:jc w:val="both"/>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“Book Basis Derivative Items” </w:t>
      </w:r>
      <w:r>
        <w:rPr>
          <w:rFonts w:ascii="Times New Roman" w:cs="Times New Roman" w:eastAsia="Times New Roman" w:hAnsi="Times New Roman"/>
          <w:sz w:val="18"/>
          <w:szCs w:val="18"/>
          <w:color w:val="auto"/>
        </w:rPr>
        <w:t>means any item of income, deduction, gain or loss included in the determination of Net Income or Net Loss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computed with reference to the Carrying Value of an Adjusted Property (e.g., depreciation, depletion, or gain or loss with respect to an Adjusted Property).</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 xml:space="preserve">“Book-Down Event” </w:t>
      </w:r>
      <w:r>
        <w:rPr>
          <w:rFonts w:ascii="Times New Roman" w:cs="Times New Roman" w:eastAsia="Times New Roman" w:hAnsi="Times New Roman"/>
          <w:sz w:val="18"/>
          <w:szCs w:val="18"/>
          <w:color w:val="auto"/>
        </w:rPr>
        <w:t>means an event which triggers a negative adjustment to the Capital Accounts of the Partners pursuant to Section 5.5(d).</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“Book-Tax Disparity” </w:t>
      </w:r>
      <w:r>
        <w:rPr>
          <w:rFonts w:ascii="Times New Roman" w:cs="Times New Roman" w:eastAsia="Times New Roman" w:hAnsi="Times New Roman"/>
          <w:sz w:val="18"/>
          <w:szCs w:val="18"/>
          <w:color w:val="auto"/>
        </w:rPr>
        <w:t>means with respect to any item of Contributed Property or Adjusted Property, as of the date of any determination,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Carrying Value of such Contributed Property or Adjusted Property and the adjusted basis thereof for federal income tax purposes as of such date. A Partner’s share of the Partnership’s Book-Tax Disparities in all of its Contributed Property and Adjusted Property will be reflected by the difference between such Partner’s Capital Account balance as maintained pursuant to Section 5.5</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and the hypothetical balance of such Partner’s Capital Account computed as if it had been maintained strictly in accordance with federal income tax accounting principles.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“Book-Up Event” </w:t>
      </w:r>
      <w:r>
        <w:rPr>
          <w:rFonts w:ascii="Times New Roman" w:cs="Times New Roman" w:eastAsia="Times New Roman" w:hAnsi="Times New Roman"/>
          <w:sz w:val="18"/>
          <w:szCs w:val="18"/>
          <w:color w:val="auto"/>
        </w:rPr>
        <w:t>means an event which triggers a positive adjustment to the Capital Accounts of the Partners pursuant to Section 5.5(d).</w:t>
      </w:r>
    </w:p>
    <w:p>
      <w:pPr>
        <w:spacing w:after="0" w:line="225" w:lineRule="exact"/>
        <w:rPr>
          <w:sz w:val="20"/>
          <w:szCs w:val="20"/>
          <w:color w:val="auto"/>
        </w:rPr>
      </w:pPr>
    </w:p>
    <w:p>
      <w:pPr>
        <w:jc w:val="both"/>
        <w:ind w:right="5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“BP Acquisition Closing Date” </w:t>
      </w:r>
      <w:r>
        <w:rPr>
          <w:rFonts w:ascii="Times New Roman" w:cs="Times New Roman" w:eastAsia="Times New Roman" w:hAnsi="Times New Roman"/>
          <w:sz w:val="18"/>
          <w:szCs w:val="18"/>
          <w:color w:val="auto"/>
        </w:rPr>
        <w:t>means the date on which the transactions contemplated by that certain Share Purchase Agreement, dated as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2011, between Amoco Canada International Holdings B.V. and Plains Midstream Canada ULC (a subsidiary of the Partnership) (as such agreement may be amended from time to time), have been consummated substantially as contemplated thereunder.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“BP Incremental IDR Reduction Date” </w:t>
      </w:r>
      <w:r>
        <w:rPr>
          <w:rFonts w:ascii="Times New Roman" w:cs="Times New Roman" w:eastAsia="Times New Roman" w:hAnsi="Times New Roman"/>
          <w:sz w:val="18"/>
          <w:szCs w:val="18"/>
          <w:color w:val="auto"/>
        </w:rPr>
        <w:t>has the meaning assigned to such term in Section 6.4(e).</w:t>
      </w:r>
    </w:p>
    <w:p>
      <w:pPr>
        <w:spacing w:after="0" w:line="225"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Monday through Friday of each week, except that a legal holiday recognized as such by the government of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America or the states of New York or Texas shall not be regarded as a Business Day.</w:t>
      </w:r>
    </w:p>
    <w:p>
      <w:pPr>
        <w:spacing w:after="0" w:line="158"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“Capital Account” </w:t>
      </w:r>
      <w:r>
        <w:rPr>
          <w:rFonts w:ascii="Times New Roman" w:cs="Times New Roman" w:eastAsia="Times New Roman" w:hAnsi="Times New Roman"/>
          <w:sz w:val="18"/>
          <w:szCs w:val="18"/>
          <w:color w:val="auto"/>
        </w:rPr>
        <w:t>means the capital account maintained for a Partner pursuant to Section 5.5. The</w:t>
      </w:r>
      <w:r>
        <w:rPr>
          <w:rFonts w:ascii="Times New Roman" w:cs="Times New Roman" w:eastAsia="Times New Roman" w:hAnsi="Times New Roman"/>
          <w:sz w:val="18"/>
          <w:szCs w:val="18"/>
          <w:i w:val="1"/>
          <w:iCs w:val="1"/>
          <w:color w:val="auto"/>
        </w:rPr>
        <w:t xml:space="preserve"> “Capital Account” </w:t>
      </w:r>
      <w:r>
        <w:rPr>
          <w:rFonts w:ascii="Times New Roman" w:cs="Times New Roman" w:eastAsia="Times New Roman" w:hAnsi="Times New Roman"/>
          <w:sz w:val="18"/>
          <w:szCs w:val="18"/>
          <w:color w:val="auto"/>
        </w:rPr>
        <w:t>of a Partner in respect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General Partner Interest, a Common Unit, a Series A Preferred Unit, an Incentive Distribution Right or any other Partnership Interest shall be the amount which such Capital Account would be if such General Partner Interest, Common Unit, Series A Preferred Unit, Incentive Distribution Right or other Partnership Interest were the only interest in the Partnership held by a Partner from and after the date on which such General Partner Interest, Common Unit, Series A Preferred Unit, Incentive Distribution Right or other Partnership Interest was first issued.</w:t>
      </w:r>
    </w:p>
    <w:p>
      <w:pPr>
        <w:spacing w:after="0" w:line="180" w:lineRule="exact"/>
        <w:rPr>
          <w:sz w:val="20"/>
          <w:szCs w:val="20"/>
          <w:color w:val="auto"/>
        </w:rPr>
      </w:pPr>
    </w:p>
    <w:p>
      <w:pPr>
        <w:ind w:right="7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“Capital Contribution” </w:t>
      </w:r>
      <w:r>
        <w:rPr>
          <w:rFonts w:ascii="Times New Roman" w:cs="Times New Roman" w:eastAsia="Times New Roman" w:hAnsi="Times New Roman"/>
          <w:sz w:val="18"/>
          <w:szCs w:val="18"/>
          <w:color w:val="auto"/>
        </w:rPr>
        <w:t>means any cash, cash equivalents or the Net Agreed Value of Contributed Property that a Partner contributes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pursuant to this Agreement or the Contribution and Conveyance Agreement.</w:t>
      </w:r>
    </w:p>
    <w:p>
      <w:pPr>
        <w:spacing w:after="0" w:line="15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“Capital Improvement” </w:t>
      </w:r>
      <w:r>
        <w:rPr>
          <w:rFonts w:ascii="Times New Roman" w:cs="Times New Roman" w:eastAsia="Times New Roman" w:hAnsi="Times New Roman"/>
          <w:sz w:val="18"/>
          <w:szCs w:val="18"/>
          <w:color w:val="auto"/>
        </w:rPr>
        <w:t>means any (a) addition or improvement to the capital assets owned by any Group Member or (b) acquisition of existing,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construction of new, capital assets (including, without limitation, pipeline systems, terminalling and storage facilities and related assets), in each case made to increase the operating capacity or revenues of the Partnership Group from the operating capacity or revenues of the Partnership Group existing immediately prior to such addition, improvement, acquisition or construction.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“Capital Surplus” </w:t>
      </w:r>
      <w:r>
        <w:rPr>
          <w:rFonts w:ascii="Times New Roman" w:cs="Times New Roman" w:eastAsia="Times New Roman" w:hAnsi="Times New Roman"/>
          <w:sz w:val="18"/>
          <w:szCs w:val="18"/>
          <w:color w:val="auto"/>
        </w:rPr>
        <w:t>has the meaning assigned to such term in Section 6.3(a).</w:t>
      </w:r>
    </w:p>
    <w:p>
      <w:pPr>
        <w:spacing w:after="0" w:line="225"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“Carrying Value” </w:t>
      </w:r>
      <w:r>
        <w:rPr>
          <w:rFonts w:ascii="Times New Roman" w:cs="Times New Roman" w:eastAsia="Times New Roman" w:hAnsi="Times New Roman"/>
          <w:sz w:val="18"/>
          <w:szCs w:val="18"/>
          <w:color w:val="auto"/>
        </w:rPr>
        <w:t>means (a) with respect to a Contributed Property, the Agreed Value of such property reduced (but not below zero) by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amortization and cost recovery deductions charged to the Partners’ and Assignees’ Capital Accounts in respect of such Contributed Property, and (b) with respect to any other Partnership property, the adjusted basis of such property for federal income tax purposes, all as of the time of determination. The Carrying Value of any property shall be adjusted from time to time in accordance with Sections 5.5(d)(i) and 5.5(d)(ii) and to reflect changes, additions or other adjustments to the Carrying</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for dispositions and acquisitions of Partnership properties, as deemed appropriate by the General Partner.</w:t>
      </w:r>
    </w:p>
    <w:p>
      <w:pPr>
        <w:spacing w:after="0" w:line="223"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“Cause” </w:t>
      </w:r>
      <w:r>
        <w:rPr>
          <w:rFonts w:ascii="Times New Roman" w:cs="Times New Roman" w:eastAsia="Times New Roman" w:hAnsi="Times New Roman"/>
          <w:sz w:val="18"/>
          <w:szCs w:val="18"/>
          <w:color w:val="auto"/>
        </w:rPr>
        <w:t>means a court of competent jurisdiction has entered a final, non-appealable judgment finding the General Partner liable for actual fraud,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gross negligence or willful or wanton misconduct in its capacity as general partner of the Partnership.</w:t>
      </w:r>
    </w:p>
    <w:p>
      <w:pPr>
        <w:spacing w:after="0" w:line="158"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“Certificate” </w:t>
      </w:r>
      <w:r>
        <w:rPr>
          <w:rFonts w:ascii="Times New Roman" w:cs="Times New Roman" w:eastAsia="Times New Roman" w:hAnsi="Times New Roman"/>
          <w:sz w:val="18"/>
          <w:szCs w:val="18"/>
          <w:color w:val="auto"/>
        </w:rPr>
        <w:t>means a certificate (i) substantially in the form of Exhibit A to this Agreement with respect to the Common Units, or Exhibit B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respect to the Series A Preferred Units, (ii) issued in global form in accordance with the rules and regulations of the Depositary or (iii) in such other form as may be adopted by the General Partner in its discretion, issued by the Partnership evidencing ownership of one or more Common Units or a certificate, in such form as may be adopted by the General Partner in its discretion, issued by the Partnership evidencing ownership of one or more other Partnership Securities.</w:t>
      </w:r>
    </w:p>
    <w:p>
      <w:pPr>
        <w:spacing w:after="0" w:line="180"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“Certificate of Limited Partnership” </w:t>
      </w:r>
      <w:r>
        <w:rPr>
          <w:rFonts w:ascii="Times New Roman" w:cs="Times New Roman" w:eastAsia="Times New Roman" w:hAnsi="Times New Roman"/>
          <w:sz w:val="18"/>
          <w:szCs w:val="18"/>
          <w:color w:val="auto"/>
        </w:rPr>
        <w:t>means the Certificate of Limited Partnership of the Partnership filed with the Secretary of State of the State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Delaware as referenced in Section 2.1, as such Certificate of Limited Partnership may be amended, supplemented or restated from time to time.</w:t>
      </w:r>
    </w:p>
    <w:p>
      <w:pPr>
        <w:sectPr>
          <w:pgSz w:w="11900" w:h="16935" w:orient="portrait"/>
          <w:cols w:equalWidth="0" w:num="1">
            <w:col w:w="11420"/>
          </w:cols>
          <w:pgMar w:left="240" w:top="121" w:right="239" w:bottom="0" w:gutter="0" w:footer="0" w:header="0"/>
        </w:sectPr>
      </w:pPr>
    </w:p>
    <w:bookmarkStart w:id="12" w:name="page13"/>
    <w:bookmarkEnd w:id="12"/>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“Citizenship Certification” </w:t>
      </w:r>
      <w:r>
        <w:rPr>
          <w:rFonts w:ascii="Times New Roman" w:cs="Times New Roman" w:eastAsia="Times New Roman" w:hAnsi="Times New Roman"/>
          <w:sz w:val="18"/>
          <w:szCs w:val="18"/>
          <w:color w:val="auto"/>
        </w:rPr>
        <w:t>means a properly completed certificate in such form as may be specified by the General Partner by which an Assignee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Limited Partner certifies that he (and if he is a nominee holding for the account of another Person, that to the best of his knowledge such other Person) is an Eligible Citizen.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“Claim” </w:t>
      </w:r>
      <w:r>
        <w:rPr>
          <w:rFonts w:ascii="Times New Roman" w:cs="Times New Roman" w:eastAsia="Times New Roman" w:hAnsi="Times New Roman"/>
          <w:sz w:val="18"/>
          <w:szCs w:val="18"/>
          <w:color w:val="auto"/>
        </w:rPr>
        <w:t>has the meaning assigned to such term in Section 7.12(c).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“Closing Date” </w:t>
      </w:r>
      <w:r>
        <w:rPr>
          <w:rFonts w:ascii="Times New Roman" w:cs="Times New Roman" w:eastAsia="Times New Roman" w:hAnsi="Times New Roman"/>
          <w:sz w:val="18"/>
          <w:szCs w:val="18"/>
          <w:color w:val="auto"/>
        </w:rPr>
        <w:t>means November 23, 1998.</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“Closing Price” </w:t>
      </w:r>
      <w:r>
        <w:rPr>
          <w:rFonts w:ascii="Times New Roman" w:cs="Times New Roman" w:eastAsia="Times New Roman" w:hAnsi="Times New Roman"/>
          <w:sz w:val="18"/>
          <w:szCs w:val="18"/>
          <w:color w:val="auto"/>
        </w:rPr>
        <w:t>has the meaning assigned to such term in Section 15.1(a).</w:t>
      </w:r>
    </w:p>
    <w:p>
      <w:pPr>
        <w:spacing w:after="0" w:line="225"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“Code” </w:t>
      </w:r>
      <w:r>
        <w:rPr>
          <w:rFonts w:ascii="Times New Roman" w:cs="Times New Roman" w:eastAsia="Times New Roman" w:hAnsi="Times New Roman"/>
          <w:sz w:val="18"/>
          <w:szCs w:val="18"/>
          <w:color w:val="auto"/>
        </w:rPr>
        <w:t>means the Internal Revenue Code of 1986, as amended and in effect from time to time. Any reference herein to a specific section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sections of the Code shall be deemed to include a reference to any corresponding provision of successor law.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“Combined Interest” </w:t>
      </w:r>
      <w:r>
        <w:rPr>
          <w:rFonts w:ascii="Times New Roman" w:cs="Times New Roman" w:eastAsia="Times New Roman" w:hAnsi="Times New Roman"/>
          <w:sz w:val="18"/>
          <w:szCs w:val="18"/>
          <w:color w:val="auto"/>
        </w:rPr>
        <w:t>has the meaning assigned to such term in Section 11.3(a).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“Commission” </w:t>
      </w:r>
      <w:r>
        <w:rPr>
          <w:rFonts w:ascii="Times New Roman" w:cs="Times New Roman" w:eastAsia="Times New Roman" w:hAnsi="Times New Roman"/>
          <w:sz w:val="18"/>
          <w:szCs w:val="18"/>
          <w:color w:val="auto"/>
        </w:rPr>
        <w:t>means the United States Securities and Exchange Commission.</w:t>
      </w:r>
    </w:p>
    <w:p>
      <w:pPr>
        <w:spacing w:after="0" w:line="225"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“Common Unit” </w:t>
      </w:r>
      <w:r>
        <w:rPr>
          <w:rFonts w:ascii="Times New Roman" w:cs="Times New Roman" w:eastAsia="Times New Roman" w:hAnsi="Times New Roman"/>
          <w:sz w:val="18"/>
          <w:szCs w:val="18"/>
          <w:color w:val="auto"/>
        </w:rPr>
        <w:t>means a Partnership Security representing a fractional part of the Partnership Interests of all Limited Partners and Assignees and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General Partner (exclusive of its interest as a holder of the General Partner Interest and Incentive Distribution Rights, as applicable) and having the rights and obligations specified with respect to Common Units in this Agreement. The term “Common Unit” does not include a Series A Preferred Unit prior to its conversion into a Common Unit pursuant to the terms hereof.</w:t>
      </w:r>
    </w:p>
    <w:p>
      <w:pPr>
        <w:spacing w:after="0" w:line="180" w:lineRule="exact"/>
        <w:rPr>
          <w:sz w:val="20"/>
          <w:szCs w:val="20"/>
          <w:color w:val="auto"/>
        </w:rPr>
      </w:pPr>
    </w:p>
    <w:p>
      <w:pPr>
        <w:ind w:right="3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“Conflicts Committee” </w:t>
      </w:r>
      <w:r>
        <w:rPr>
          <w:rFonts w:ascii="Times New Roman" w:cs="Times New Roman" w:eastAsia="Times New Roman" w:hAnsi="Times New Roman"/>
          <w:sz w:val="18"/>
          <w:szCs w:val="18"/>
          <w:color w:val="auto"/>
        </w:rPr>
        <w:t>means a committee of the Board of Directors (or the applicable governing body of any successor to the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composed entirely of two or more</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directors who are neither security holders, officers nor employees of the General Partner nor officers, directors or employees of any Affiliate of the General Partner.</w:t>
      </w:r>
    </w:p>
    <w:p>
      <w:pPr>
        <w:spacing w:after="0" w:line="16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“Contributed Property” </w:t>
      </w:r>
      <w:r>
        <w:rPr>
          <w:rFonts w:ascii="Times New Roman" w:cs="Times New Roman" w:eastAsia="Times New Roman" w:hAnsi="Times New Roman"/>
          <w:sz w:val="18"/>
          <w:szCs w:val="18"/>
          <w:color w:val="auto"/>
        </w:rPr>
        <w:t>means each property or other asset, in such form as may be permitted by the Delaware Act, but excluding cash, contributed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Partnership (or deemed contributed to a new partnership on termination of the Partnership pursuant to Section 708 of the Code). Once the Carrying Value of a Contributed Property is adjusted pursuant to Section 5.5(d), such property shall no longer constitute a Contributed Property, but shall be deemed an Adjusted Property.</w:t>
      </w:r>
    </w:p>
    <w:p>
      <w:pPr>
        <w:spacing w:after="0" w:line="18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“Contribution and Conveyance Agreement” </w:t>
      </w:r>
      <w:r>
        <w:rPr>
          <w:rFonts w:ascii="Times New Roman" w:cs="Times New Roman" w:eastAsia="Times New Roman" w:hAnsi="Times New Roman"/>
          <w:sz w:val="18"/>
          <w:szCs w:val="18"/>
          <w:color w:val="auto"/>
        </w:rPr>
        <w:t>means that certain Contribution, Conveyance and Assumption Agreement, dated as of the Closing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the 2001 Predecessor General Partner, the Plains Midstream Subsidiaries, the Partnership, the Operating Partnerships and certain other parties, together with the additional conveyance documents and instruments contemplated or referenced thereunder.</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“Curative Allocation” </w:t>
      </w:r>
      <w:r>
        <w:rPr>
          <w:rFonts w:ascii="Times New Roman" w:cs="Times New Roman" w:eastAsia="Times New Roman" w:hAnsi="Times New Roman"/>
          <w:sz w:val="18"/>
          <w:szCs w:val="18"/>
          <w:color w:val="auto"/>
        </w:rPr>
        <w:t>means any allocation of an item of income, gain, deduction, loss or credit pursuant to the provisions of Section 6.1(d)(xi).</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“Current Market Price” </w:t>
      </w:r>
      <w:r>
        <w:rPr>
          <w:rFonts w:ascii="Times New Roman" w:cs="Times New Roman" w:eastAsia="Times New Roman" w:hAnsi="Times New Roman"/>
          <w:sz w:val="18"/>
          <w:szCs w:val="18"/>
          <w:color w:val="auto"/>
        </w:rPr>
        <w:t>has the meaning assigned to such term in Section 15.1(a).</w:t>
      </w:r>
    </w:p>
    <w:p>
      <w:pPr>
        <w:spacing w:after="0" w:line="225" w:lineRule="exact"/>
        <w:rPr>
          <w:sz w:val="20"/>
          <w:szCs w:val="20"/>
          <w:color w:val="auto"/>
        </w:rPr>
      </w:pPr>
    </w:p>
    <w:p>
      <w:pPr>
        <w:ind w:right="2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“Delaware Act” </w:t>
      </w:r>
      <w:r>
        <w:rPr>
          <w:rFonts w:ascii="Times New Roman" w:cs="Times New Roman" w:eastAsia="Times New Roman" w:hAnsi="Times New Roman"/>
          <w:sz w:val="18"/>
          <w:szCs w:val="18"/>
          <w:color w:val="auto"/>
        </w:rPr>
        <w:t>means the Delaware Revised Uniform Limited Partnership Act, 6 Del C. § 17-101, et seq., as amended, supplemented or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time to time, and any successor to such statute.</w:t>
      </w:r>
    </w:p>
    <w:p>
      <w:pPr>
        <w:spacing w:after="0" w:line="158"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“Departing Partner” </w:t>
      </w:r>
      <w:r>
        <w:rPr>
          <w:rFonts w:ascii="Times New Roman" w:cs="Times New Roman" w:eastAsia="Times New Roman" w:hAnsi="Times New Roman"/>
          <w:sz w:val="18"/>
          <w:szCs w:val="18"/>
          <w:color w:val="auto"/>
        </w:rPr>
        <w:t>means a former General Partner from and after the effective date of any withdrawal or removal of such former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Section 11.1 or 11.2.</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“Depositary” </w:t>
      </w:r>
      <w:r>
        <w:rPr>
          <w:rFonts w:ascii="Times New Roman" w:cs="Times New Roman" w:eastAsia="Times New Roman" w:hAnsi="Times New Roman"/>
          <w:sz w:val="18"/>
          <w:szCs w:val="18"/>
          <w:color w:val="auto"/>
        </w:rPr>
        <w:t>means, with respect to any Units issued in global form, The Depository Trust Company and its successors and permitted assigns.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“Director Designation Agreement” </w:t>
      </w:r>
      <w:r>
        <w:rPr>
          <w:rFonts w:ascii="Times New Roman" w:cs="Times New Roman" w:eastAsia="Times New Roman" w:hAnsi="Times New Roman"/>
          <w:sz w:val="18"/>
          <w:szCs w:val="18"/>
          <w:color w:val="auto"/>
        </w:rPr>
        <w:t>has the meaning assigned to such term in the Series A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“Disposed of Adjusted Property” </w:t>
      </w:r>
      <w:r>
        <w:rPr>
          <w:rFonts w:ascii="Times New Roman" w:cs="Times New Roman" w:eastAsia="Times New Roman" w:hAnsi="Times New Roman"/>
          <w:sz w:val="18"/>
          <w:szCs w:val="18"/>
          <w:color w:val="auto"/>
        </w:rPr>
        <w:t>has the meaning assigned to such term in Section 6.1(d)(xii)(B).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“Economic Risk of Loss” </w:t>
      </w:r>
      <w:r>
        <w:rPr>
          <w:rFonts w:ascii="Times New Roman" w:cs="Times New Roman" w:eastAsia="Times New Roman" w:hAnsi="Times New Roman"/>
          <w:sz w:val="18"/>
          <w:szCs w:val="18"/>
          <w:color w:val="auto"/>
        </w:rPr>
        <w:t>has the meaning set forth in Treasury Regulation Section 1.752-2(a).</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“Eligible Citizen” </w:t>
      </w:r>
      <w:r>
        <w:rPr>
          <w:rFonts w:ascii="Times New Roman" w:cs="Times New Roman" w:eastAsia="Times New Roman" w:hAnsi="Times New Roman"/>
          <w:sz w:val="18"/>
          <w:szCs w:val="18"/>
          <w:color w:val="auto"/>
        </w:rPr>
        <w:t>means a Person qualified to own interests in real property in jurisdictions in which any Group Member does business or proposes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do business from time to time, and whose status as a Limited Partner or Assignee does not or would not subject such Group Member to a significant risk of cancellation or forfeiture of any of its properties or interest therein.</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“Event of Withdrawal” </w:t>
      </w:r>
      <w:r>
        <w:rPr>
          <w:rFonts w:ascii="Times New Roman" w:cs="Times New Roman" w:eastAsia="Times New Roman" w:hAnsi="Times New Roman"/>
          <w:sz w:val="18"/>
          <w:szCs w:val="18"/>
          <w:color w:val="auto"/>
        </w:rPr>
        <w:t>has the meaning assigned to such term in Section 11.1(a).</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Excess Additional Book Basis</w:t>
      </w:r>
      <w:r>
        <w:rPr>
          <w:rFonts w:ascii="Times New Roman" w:cs="Times New Roman" w:eastAsia="Times New Roman" w:hAnsi="Times New Roman"/>
          <w:sz w:val="18"/>
          <w:szCs w:val="18"/>
          <w:color w:val="auto"/>
        </w:rPr>
        <w:t>” has the meaning assigned to such term under “Additional Book Basis Derivative Items” in this Section 1.1.</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“Existing Owner” </w:t>
      </w:r>
      <w:r>
        <w:rPr>
          <w:rFonts w:ascii="Times New Roman" w:cs="Times New Roman" w:eastAsia="Times New Roman" w:hAnsi="Times New Roman"/>
          <w:sz w:val="18"/>
          <w:szCs w:val="18"/>
          <w:color w:val="auto"/>
        </w:rPr>
        <w:t>means a record holder of a limited partnership interest in Plains AAP as of the Series A Issuance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“First Liquidation Target Amount” </w:t>
      </w:r>
      <w:r>
        <w:rPr>
          <w:rFonts w:ascii="Times New Roman" w:cs="Times New Roman" w:eastAsia="Times New Roman" w:hAnsi="Times New Roman"/>
          <w:sz w:val="18"/>
          <w:szCs w:val="18"/>
          <w:color w:val="auto"/>
        </w:rPr>
        <w:t>has the meaning assigned to such term in Section 6.1(c)(i)(C).</w:t>
      </w:r>
    </w:p>
    <w:p>
      <w:pPr>
        <w:sectPr>
          <w:pgSz w:w="11900" w:h="16838" w:orient="portrait"/>
          <w:cols w:equalWidth="0" w:num="1">
            <w:col w:w="11380"/>
          </w:cols>
          <w:pgMar w:left="240" w:top="335" w:right="279" w:bottom="0" w:gutter="0" w:footer="0" w:header="0"/>
        </w:sectPr>
      </w:pPr>
    </w:p>
    <w:bookmarkStart w:id="13" w:name="page14"/>
    <w:bookmarkEnd w:id="13"/>
    <w:p>
      <w:pPr>
        <w:ind w:right="18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“First Target Distribution” </w:t>
      </w:r>
      <w:r>
        <w:rPr>
          <w:rFonts w:ascii="Times New Roman" w:cs="Times New Roman" w:eastAsia="Times New Roman" w:hAnsi="Times New Roman"/>
          <w:sz w:val="18"/>
          <w:szCs w:val="18"/>
          <w:color w:val="auto"/>
        </w:rPr>
        <w:t>means $0.2475 per Unit per Quarter (or, with respect to the period commencing on the Closing Date and ending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1998, it means the product of $0.2475 multiplied by a fraction of which the numerator is the number of days in such period, and of which the denominator is 91), subject to adjustment in accordance with Sections 6.6 and 6.9.</w:t>
      </w:r>
    </w:p>
    <w:p>
      <w:pPr>
        <w:spacing w:after="0" w:line="174"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Partner” </w:t>
      </w:r>
      <w:r>
        <w:rPr>
          <w:rFonts w:ascii="Times New Roman" w:cs="Times New Roman" w:eastAsia="Times New Roman" w:hAnsi="Times New Roman"/>
          <w:sz w:val="18"/>
          <w:szCs w:val="18"/>
          <w:color w:val="auto"/>
        </w:rPr>
        <w:t>means PAA GP LLC, as the successor to the 2007 Predecessor General Partner, its successors and permitted assigns as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of the Partnership and, if the context otherwise requires, its predecessor in interest.</w:t>
      </w:r>
    </w:p>
    <w:p>
      <w:pPr>
        <w:spacing w:after="0" w:line="158"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Partner Interest” </w:t>
      </w:r>
      <w:r>
        <w:rPr>
          <w:rFonts w:ascii="Times New Roman" w:cs="Times New Roman" w:eastAsia="Times New Roman" w:hAnsi="Times New Roman"/>
          <w:sz w:val="18"/>
          <w:szCs w:val="18"/>
          <w:color w:val="auto"/>
        </w:rPr>
        <w:t>means the ownership interest of the General Partner in the Partnership (in its capacity as a general partner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to any Limited Partner Interest held by it) which may be evidenced by Partnership Securities or a combination thereof or interest therein, and includes any and all benefits to which the General Partner is entitled as provided in this Agreement, together with all obligations of the General Partner to comply with the terms and provisions of this Agreement.</w:t>
      </w:r>
    </w:p>
    <w:p>
      <w:pPr>
        <w:spacing w:after="0" w:line="180"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“GP Restructuring Agreement” </w:t>
      </w:r>
      <w:r>
        <w:rPr>
          <w:rFonts w:ascii="Times New Roman" w:cs="Times New Roman" w:eastAsia="Times New Roman" w:hAnsi="Times New Roman"/>
          <w:sz w:val="18"/>
          <w:szCs w:val="18"/>
          <w:color w:val="auto"/>
        </w:rPr>
        <w:t>means the Contribution, Assignment and Amendment Agreement, dated as of June 27, 2001, among the Partnership,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Operating Partnerships, the 2007 Predecessor General Partner, the Operating General Partner and Plains All American GP LLC.</w:t>
      </w:r>
    </w:p>
    <w:p>
      <w:pPr>
        <w:spacing w:after="0" w:line="15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“Group” </w:t>
      </w:r>
      <w:r>
        <w:rPr>
          <w:rFonts w:ascii="Times New Roman" w:cs="Times New Roman" w:eastAsia="Times New Roman" w:hAnsi="Times New Roman"/>
          <w:sz w:val="18"/>
          <w:szCs w:val="18"/>
          <w:color w:val="auto"/>
        </w:rPr>
        <w:t>means a Person that with or through any of its Affiliates or Associates has any agreement, arrangement or understanding for the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acquiring, holding, voting (except voting pursuant to a revocable proxy or consent given to such Person in response to a proxy or consent solicitation made to 10 or more Persons) or disposing of any Partnership Securities with any other Person that beneficially owns, or whose Affiliates or Associates beneficially own, directly or indirectly, Partnership Securities.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“Group Member” </w:t>
      </w:r>
      <w:r>
        <w:rPr>
          <w:rFonts w:ascii="Times New Roman" w:cs="Times New Roman" w:eastAsia="Times New Roman" w:hAnsi="Times New Roman"/>
          <w:sz w:val="18"/>
          <w:szCs w:val="18"/>
          <w:color w:val="auto"/>
        </w:rPr>
        <w:t>means a member of the Partnership Group.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“Holder” </w:t>
      </w:r>
      <w:r>
        <w:rPr>
          <w:rFonts w:ascii="Times New Roman" w:cs="Times New Roman" w:eastAsia="Times New Roman" w:hAnsi="Times New Roman"/>
          <w:sz w:val="18"/>
          <w:szCs w:val="18"/>
          <w:color w:val="auto"/>
        </w:rPr>
        <w:t>as used in Section 7.12, has the meaning assigned to such term in Section 7.12(a).</w:t>
      </w:r>
    </w:p>
    <w:p>
      <w:pPr>
        <w:spacing w:after="0" w:line="225" w:lineRule="exact"/>
        <w:rPr>
          <w:sz w:val="20"/>
          <w:szCs w:val="20"/>
          <w:color w:val="auto"/>
        </w:rPr>
      </w:pPr>
    </w:p>
    <w:p>
      <w:pPr>
        <w:jc w:val="both"/>
        <w:ind w:right="44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“Incentive Distribution Right” </w:t>
      </w:r>
      <w:r>
        <w:rPr>
          <w:rFonts w:ascii="Times New Roman" w:cs="Times New Roman" w:eastAsia="Times New Roman" w:hAnsi="Times New Roman"/>
          <w:sz w:val="18"/>
          <w:szCs w:val="18"/>
          <w:color w:val="auto"/>
        </w:rPr>
        <w:t>means a non-voting Limited Partner Interest that confers upon the holder thereof only the rights and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provided in this Agreement with respect to Incentive Distribution Rights (and no other rights otherwise available to or other obligations of a holder of a Partnership Interest). Notwithstanding anything in this Agreement to the contrary, the holder of an Incentive Distribution Right shall not be entitled to vote such</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 Distribution Right on any Partnership matter except as may otherwise be required by law.</w:t>
      </w:r>
    </w:p>
    <w:p>
      <w:pPr>
        <w:spacing w:after="0" w:line="223"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“Incentive Distributions” </w:t>
      </w:r>
      <w:r>
        <w:rPr>
          <w:rFonts w:ascii="Times New Roman" w:cs="Times New Roman" w:eastAsia="Times New Roman" w:hAnsi="Times New Roman"/>
          <w:sz w:val="18"/>
          <w:szCs w:val="18"/>
          <w:color w:val="auto"/>
        </w:rPr>
        <w:t>means any amount of cash distributed to the holders of the Incentive Distribution Rights pursuant to Section 6.4(a)(ii),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(iii) and (iv).</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“Indemnified Persons” </w:t>
      </w:r>
      <w:r>
        <w:rPr>
          <w:rFonts w:ascii="Times New Roman" w:cs="Times New Roman" w:eastAsia="Times New Roman" w:hAnsi="Times New Roman"/>
          <w:sz w:val="18"/>
          <w:szCs w:val="18"/>
          <w:color w:val="auto"/>
        </w:rPr>
        <w:t>has the meaning assigned to such term in Section 7.12(c).</w:t>
      </w:r>
    </w:p>
    <w:p>
      <w:pPr>
        <w:spacing w:after="0" w:line="225"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“Indemnitee” </w:t>
      </w:r>
      <w:r>
        <w:rPr>
          <w:rFonts w:ascii="Times New Roman" w:cs="Times New Roman" w:eastAsia="Times New Roman" w:hAnsi="Times New Roman"/>
          <w:sz w:val="18"/>
          <w:szCs w:val="18"/>
          <w:color w:val="auto"/>
        </w:rPr>
        <w:t>means (a) the General Partner, (b) any Departing Partner, (c) any Person who is or was an Affiliate of the General Partner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Departing Partner, (d) any Person who is or was a member, partner, officer, director, employee, agent or trustee of any Group Member, the General Partner, the Operating General Partner or any Departing Partner or any Affiliate of any Group Member, the General Partner, the Operating General Partner or any Departing Partner, and (e) any Person who is or was serving at the request of the General Partner or any Departing Partner or any Affiliate of the General Partner or any Departing Partner as an officer, director, employee, member, partner, agent, fiduciary or trustee of another Person; provided, that a Person shall not be an Indemnitee by reason of providing, on a fee-for-services basis, trustee, fiduciary or custodial services.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Common Units” </w:t>
      </w:r>
      <w:r>
        <w:rPr>
          <w:rFonts w:ascii="Times New Roman" w:cs="Times New Roman" w:eastAsia="Times New Roman" w:hAnsi="Times New Roman"/>
          <w:sz w:val="18"/>
          <w:szCs w:val="18"/>
          <w:color w:val="auto"/>
        </w:rPr>
        <w:t>means the Common Units sold in the Initial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Distribution Period” </w:t>
      </w:r>
      <w:r>
        <w:rPr>
          <w:rFonts w:ascii="Times New Roman" w:cs="Times New Roman" w:eastAsia="Times New Roman" w:hAnsi="Times New Roman"/>
          <w:sz w:val="18"/>
          <w:szCs w:val="18"/>
          <w:color w:val="auto"/>
        </w:rPr>
        <w:t>has the meaning assigned such term in Section 5.14(b)(i)(A).</w:t>
      </w:r>
    </w:p>
    <w:p>
      <w:pPr>
        <w:spacing w:after="0" w:line="225" w:lineRule="exact"/>
        <w:rPr>
          <w:sz w:val="20"/>
          <w:szCs w:val="20"/>
          <w:color w:val="auto"/>
        </w:rPr>
      </w:pPr>
    </w:p>
    <w:p>
      <w:pPr>
        <w:ind w:right="2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“Initial Limited Partners” </w:t>
      </w:r>
      <w:r>
        <w:rPr>
          <w:rFonts w:ascii="Times New Roman" w:cs="Times New Roman" w:eastAsia="Times New Roman" w:hAnsi="Times New Roman"/>
          <w:sz w:val="18"/>
          <w:szCs w:val="18"/>
          <w:color w:val="auto"/>
        </w:rPr>
        <w:t>means the 2001 Predecessor General Partner (with respect to the Common Units and the Incentive Distribution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by it pursuant to Section 5.2) and the Underwriters, in each case upon being admitted to the Partnership in accordance with Section 10.1.</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“Initial Offering” </w:t>
      </w:r>
      <w:r>
        <w:rPr>
          <w:rFonts w:ascii="Times New Roman" w:cs="Times New Roman" w:eastAsia="Times New Roman" w:hAnsi="Times New Roman"/>
          <w:sz w:val="18"/>
          <w:szCs w:val="18"/>
          <w:color w:val="auto"/>
        </w:rPr>
        <w:t>means the initial offering and sale of Common Units to the public, as described in the Registration Statement.</w:t>
      </w:r>
    </w:p>
    <w:p>
      <w:pPr>
        <w:spacing w:after="0" w:line="225"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“Initial Unit Price” </w:t>
      </w:r>
      <w:r>
        <w:rPr>
          <w:rFonts w:ascii="Times New Roman" w:cs="Times New Roman" w:eastAsia="Times New Roman" w:hAnsi="Times New Roman"/>
          <w:sz w:val="18"/>
          <w:szCs w:val="18"/>
          <w:color w:val="auto"/>
        </w:rPr>
        <w:t>means (a) $20.00 or (b) with respect to any other class or series of Units, the price per Unit at which such class or series of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initially sold by the Partnership, as determined by the General Partner, in each case adjusted as the General Partner determines to be appropriate to give effect to any distribution, subdivision or combination of Units; provided, with respect to Common Units, upon the Split Date each such price shall be reduced by one-half to give effect to the 2012 Unit Split.</w:t>
      </w:r>
    </w:p>
    <w:p>
      <w:pPr>
        <w:spacing w:after="0" w:line="180"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“Interim Capital Transactions” </w:t>
      </w:r>
      <w:r>
        <w:rPr>
          <w:rFonts w:ascii="Times New Roman" w:cs="Times New Roman" w:eastAsia="Times New Roman" w:hAnsi="Times New Roman"/>
          <w:sz w:val="18"/>
          <w:szCs w:val="18"/>
          <w:color w:val="auto"/>
        </w:rPr>
        <w:t>means the following transactions if they occur prior to the Liquidation Date: (a) borrowings, refinancings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refundings of indebtedness and sales of debt securities (other than Working Capital Borrowings and other than for items purchased on open account in the ordinary course of business) by any Group Member; (b) sales of equity interests by any Group Member (other than the Common Units sold to the Underwriters pursuant to the exercise of their Over-Allotment Option); and (c) sales or other voluntary or involuntary dispositions of any assets of any Group Member other than (i) sales or other dispositions of inventory, accounts receivable and other assets in the ordinary course of business, and (ii) sales or other dispositions of assets as part of normal retirements or replacements.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“Issue Price” </w:t>
      </w:r>
      <w:r>
        <w:rPr>
          <w:rFonts w:ascii="Times New Roman" w:cs="Times New Roman" w:eastAsia="Times New Roman" w:hAnsi="Times New Roman"/>
          <w:sz w:val="18"/>
          <w:szCs w:val="18"/>
          <w:color w:val="auto"/>
        </w:rPr>
        <w:t>means the price at which a Unit is purchased from the Partnership, after taking into account any sales commission or underwriting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discount charged to the Partnership.</w:t>
      </w:r>
    </w:p>
    <w:p>
      <w:pPr>
        <w:sectPr>
          <w:pgSz w:w="11900" w:h="16838" w:orient="portrait"/>
          <w:cols w:equalWidth="0" w:num="1">
            <w:col w:w="11400"/>
          </w:cols>
          <w:pgMar w:left="240" w:top="119" w:right="259" w:bottom="0" w:gutter="0" w:footer="0" w:header="0"/>
        </w:sectPr>
      </w:pPr>
    </w:p>
    <w:bookmarkStart w:id="14" w:name="page15"/>
    <w:bookmarkEnd w:id="14"/>
    <w:p>
      <w:pPr>
        <w:ind w:right="5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“Junior Interests” </w:t>
      </w:r>
      <w:r>
        <w:rPr>
          <w:rFonts w:ascii="Times New Roman" w:cs="Times New Roman" w:eastAsia="Times New Roman" w:hAnsi="Times New Roman"/>
          <w:sz w:val="18"/>
          <w:szCs w:val="18"/>
          <w:color w:val="auto"/>
        </w:rPr>
        <w:t>means any class or series of Partnership Securities that, with respect to distributions on such Partnership Securities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distributions upon liquidation of the Partnership, ranks junior to the Series A Preferred Units, including but not limited to Common Units and Incentive Distribution Rights, but excluding any Series A Parity Securities and Series A Senior Securities and excluding the General Partner Interest.</w:t>
      </w:r>
    </w:p>
    <w:p>
      <w:pPr>
        <w:spacing w:after="0" w:line="174" w:lineRule="exact"/>
        <w:rPr>
          <w:sz w:val="20"/>
          <w:szCs w:val="20"/>
          <w:color w:val="auto"/>
        </w:rPr>
      </w:pPr>
    </w:p>
    <w:p>
      <w:pPr>
        <w:ind w:right="6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“Limited Partner” </w:t>
      </w:r>
      <w:r>
        <w:rPr>
          <w:rFonts w:ascii="Times New Roman" w:cs="Times New Roman" w:eastAsia="Times New Roman" w:hAnsi="Times New Roman"/>
          <w:sz w:val="17"/>
          <w:szCs w:val="17"/>
          <w:color w:val="auto"/>
        </w:rPr>
        <w:t>means, unless the context otherwise requires, (a) the Organizational Limited Partner prior to its withdrawal from the Partnership,</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each Initial Limited Partner, each Substituted Limited Partner, each Additional Limited Partner and any Partner upon the change of its status from General Partner to Limited Partner pursuant to Section 11.3 or (b) solely for purposes of Articles V, VI, VII and IX and Sections 12.3 and 12.4, each Assignee; provided, however, that when the term </w:t>
      </w:r>
      <w:r>
        <w:rPr>
          <w:rFonts w:ascii="Times New Roman" w:cs="Times New Roman" w:eastAsia="Times New Roman" w:hAnsi="Times New Roman"/>
          <w:sz w:val="17"/>
          <w:szCs w:val="17"/>
          <w:i w:val="1"/>
          <w:iCs w:val="1"/>
          <w:color w:val="auto"/>
        </w:rPr>
        <w:t>“Limited Partner”</w:t>
      </w:r>
      <w:r>
        <w:rPr>
          <w:rFonts w:ascii="Times New Roman" w:cs="Times New Roman" w:eastAsia="Times New Roman" w:hAnsi="Times New Roman"/>
          <w:sz w:val="17"/>
          <w:szCs w:val="17"/>
          <w:color w:val="auto"/>
        </w:rPr>
        <w:t xml:space="preserve"> is used herein in the context of any vote or other approval, including without limitation Articles XIII and XIV, such term shall not, solely for such purpose, include any holder of an Incentive Distribution Right except as may otherwise be required by law.</w:t>
      </w:r>
    </w:p>
    <w:p>
      <w:pPr>
        <w:spacing w:after="0" w:line="168"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“Limited Partner Interest” </w:t>
      </w:r>
      <w:r>
        <w:rPr>
          <w:rFonts w:ascii="Times New Roman" w:cs="Times New Roman" w:eastAsia="Times New Roman" w:hAnsi="Times New Roman"/>
          <w:sz w:val="18"/>
          <w:szCs w:val="18"/>
          <w:color w:val="auto"/>
        </w:rPr>
        <w:t>means the ownership interest of a Limited Partner or Assignee in the Partnership, which may be evidenced by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Units, Series A Preferred Units, Incentive Distribution Rights or other Partnership Securities or a combination thereof or interest therein, and includes any and all benefits to which such Limited Partner or Assignee is entitled as provided in this Agreement, together with all obligations of such Limited Partner or Assignee to comply with the terms and provisions of this Agreement; provided, however, that when the term </w:t>
      </w:r>
      <w:r>
        <w:rPr>
          <w:rFonts w:ascii="Times New Roman" w:cs="Times New Roman" w:eastAsia="Times New Roman" w:hAnsi="Times New Roman"/>
          <w:sz w:val="18"/>
          <w:szCs w:val="18"/>
          <w:i w:val="1"/>
          <w:iCs w:val="1"/>
          <w:color w:val="auto"/>
        </w:rPr>
        <w:t>“Limited Partner Interest”</w:t>
      </w:r>
      <w:r>
        <w:rPr>
          <w:rFonts w:ascii="Times New Roman" w:cs="Times New Roman" w:eastAsia="Times New Roman" w:hAnsi="Times New Roman"/>
          <w:sz w:val="18"/>
          <w:szCs w:val="18"/>
          <w:color w:val="auto"/>
        </w:rPr>
        <w:t xml:space="preserve"> is used herein in the context of any vote or other approval, including without limitation Articles XIII and XIV, such term shall not, solely for such purpose, include any holder of an Incentive Distribution Right except as may otherwise be required by law.</w:t>
      </w:r>
    </w:p>
    <w:p>
      <w:pPr>
        <w:spacing w:after="0" w:line="183"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“Liquidation Date” </w:t>
      </w:r>
      <w:r>
        <w:rPr>
          <w:rFonts w:ascii="Times New Roman" w:cs="Times New Roman" w:eastAsia="Times New Roman" w:hAnsi="Times New Roman"/>
          <w:sz w:val="18"/>
          <w:szCs w:val="18"/>
          <w:color w:val="auto"/>
        </w:rPr>
        <w:t>means (a) in the case of an event giving rise to the dissolution of the Partnership of the type described in clauses (a) and (b)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sentence of Section 12.2, the date on which the applicable time period during which the holders of Outstanding Units have the right to elect to reconstitute the Partnership and continue its business has expired without such an election being made, and (b) in the case of any other event giving rise to the dissolution of the Partnership, the date on which such event occurs.</w:t>
      </w:r>
    </w:p>
    <w:p>
      <w:pPr>
        <w:spacing w:after="0" w:line="180"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“Liquidator” </w:t>
      </w:r>
      <w:r>
        <w:rPr>
          <w:rFonts w:ascii="Times New Roman" w:cs="Times New Roman" w:eastAsia="Times New Roman" w:hAnsi="Times New Roman"/>
          <w:sz w:val="18"/>
          <w:szCs w:val="18"/>
          <w:color w:val="auto"/>
        </w:rPr>
        <w:t>means one or more Persons selected by the General Partner to perform the functions described in Section 12.3 as liquidating trustee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within the meaning of the Delaware Act.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“Lower Tier Partnership” </w:t>
      </w:r>
      <w:r>
        <w:rPr>
          <w:rFonts w:ascii="Times New Roman" w:cs="Times New Roman" w:eastAsia="Times New Roman" w:hAnsi="Times New Roman"/>
          <w:sz w:val="18"/>
          <w:szCs w:val="18"/>
          <w:color w:val="auto"/>
        </w:rPr>
        <w:t>has the meaning assigned to such term in Section 6.1(d)(xii)(D).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“Merger Agreement” </w:t>
      </w:r>
      <w:r>
        <w:rPr>
          <w:rFonts w:ascii="Times New Roman" w:cs="Times New Roman" w:eastAsia="Times New Roman" w:hAnsi="Times New Roman"/>
          <w:sz w:val="18"/>
          <w:szCs w:val="18"/>
          <w:color w:val="auto"/>
        </w:rPr>
        <w:t>has the meaning assigned to such term in Section 14.1.</w:t>
      </w:r>
    </w:p>
    <w:p>
      <w:pPr>
        <w:spacing w:after="0" w:line="225"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“Minimum Quarterly Distribution” </w:t>
      </w:r>
      <w:r>
        <w:rPr>
          <w:rFonts w:ascii="Times New Roman" w:cs="Times New Roman" w:eastAsia="Times New Roman" w:hAnsi="Times New Roman"/>
          <w:sz w:val="18"/>
          <w:szCs w:val="18"/>
          <w:color w:val="auto"/>
        </w:rPr>
        <w:t>means $0.225 per Unit per Quarter (or, with respect to the period commencing on the Closing Date and 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December 31, 1998, it means the</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product of $0.225 multiplied by a fraction of which the numerator is equal to the number of days in such period and of which the denominator is 91), subject to adjustment in accordance with Sections 6.6 and 6.9.</w:t>
      </w:r>
    </w:p>
    <w:p>
      <w:pPr>
        <w:spacing w:after="0" w:line="160" w:lineRule="exact"/>
        <w:rPr>
          <w:sz w:val="20"/>
          <w:szCs w:val="20"/>
          <w:color w:val="auto"/>
        </w:rPr>
      </w:pPr>
    </w:p>
    <w:p>
      <w:pPr>
        <w:ind w:right="1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“National Securities Exchange” </w:t>
      </w:r>
      <w:r>
        <w:rPr>
          <w:rFonts w:ascii="Times New Roman" w:cs="Times New Roman" w:eastAsia="Times New Roman" w:hAnsi="Times New Roman"/>
          <w:sz w:val="18"/>
          <w:szCs w:val="18"/>
          <w:color w:val="auto"/>
        </w:rPr>
        <w:t>means an exchange registered with the Commission under Section 6(a) of the Securities Exchange Act of 1934,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amended, supplemented or restated from time to time, and any successor to such statute, or the Nasdaq Stock Market or any successor thereto.</w:t>
      </w:r>
    </w:p>
    <w:p>
      <w:pPr>
        <w:spacing w:after="0" w:line="158"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Agreed Value” </w:t>
      </w:r>
      <w:r>
        <w:rPr>
          <w:rFonts w:ascii="Times New Roman" w:cs="Times New Roman" w:eastAsia="Times New Roman" w:hAnsi="Times New Roman"/>
          <w:sz w:val="18"/>
          <w:szCs w:val="18"/>
          <w:color w:val="auto"/>
        </w:rPr>
        <w:t>means, (a) in the case of any Contributed Property, the Agreed Value of such property reduced by any liabilities either assumed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Partnership upon such contribution or to which such property is subject when contributed, and (b) in the case of any property distributed to a Partner or Assignee by the Partnership, the Partnership’s Carrying Value of such property (as adjusted pursuant to Section 5.5(d)(ii)) at the time such property is distributed, reduced by any indebtedness either assumed by such Partner or Assignee upon such distribution or to which such property is subject at the time of distribution, in either case, as determined under Section 752 of the Code.</w:t>
      </w:r>
    </w:p>
    <w:p>
      <w:pPr>
        <w:spacing w:after="0" w:line="180" w:lineRule="exact"/>
        <w:rPr>
          <w:sz w:val="20"/>
          <w:szCs w:val="20"/>
          <w:color w:val="auto"/>
        </w:rPr>
      </w:pPr>
    </w:p>
    <w:p>
      <w:pPr>
        <w:ind w:right="10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means, for any taxable year, the excess, if any, of the Partnership’s items of income and gain (other than those items taken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 in the computation of Net Termination Gain or Net Termination Loss) for such taxable year over the Partnership’s items of loss and deduction (other than those items taken into account in the computation of Net Termination Gain or Net Termination Loss) for such taxable year. The items included in the calculation of Net Income shall be determined in accordance with Section 5.5(b) and shall not include any items specially allocated under Section 6.1(d); provided that the determination of the items that have been specially allocated under Section 6.1(d) shall be made as if Section 6.1(d)(xii) were not in this Agreement.</w:t>
      </w:r>
    </w:p>
    <w:p>
      <w:pPr>
        <w:spacing w:after="0" w:line="183" w:lineRule="exact"/>
        <w:rPr>
          <w:sz w:val="20"/>
          <w:szCs w:val="20"/>
          <w:color w:val="auto"/>
        </w:rPr>
      </w:pPr>
    </w:p>
    <w:p>
      <w:pPr>
        <w:ind w:right="20"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“Net Loss” </w:t>
      </w:r>
      <w:r>
        <w:rPr>
          <w:rFonts w:ascii="Times New Roman" w:cs="Times New Roman" w:eastAsia="Times New Roman" w:hAnsi="Times New Roman"/>
          <w:sz w:val="17"/>
          <w:szCs w:val="17"/>
          <w:color w:val="auto"/>
        </w:rPr>
        <w:t>means, for any taxable year, the excess, if any, of the Partnership’s items of loss and deduction (other than those items taken into account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computation of Net Termination Gain or Net Termination Loss) for such taxable year over the Partnership’s items of income and gain (other than those items taken into account in the computation of Net Termination Gain or Net Termination Loss) for such taxable year. The items included in the calculation of Net Loss shall be determined in accordance with Section 5.5(b) and shall not include any items specially allocated under Section 6.1(d); provided that the determination of the items that have been specially allocated under Section 6.1(d) shall be made as if Section 6.1(d)(xii) were not in this Agreement.</w:t>
      </w:r>
    </w:p>
    <w:p>
      <w:pPr>
        <w:spacing w:after="0" w:line="168" w:lineRule="exact"/>
        <w:rPr>
          <w:sz w:val="20"/>
          <w:szCs w:val="20"/>
          <w:color w:val="auto"/>
        </w:rPr>
      </w:pPr>
    </w:p>
    <w:p>
      <w:pPr>
        <w:ind w:right="8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Positive Adjustments” </w:t>
      </w:r>
      <w:r>
        <w:rPr>
          <w:rFonts w:ascii="Times New Roman" w:cs="Times New Roman" w:eastAsia="Times New Roman" w:hAnsi="Times New Roman"/>
          <w:sz w:val="18"/>
          <w:szCs w:val="18"/>
          <w:color w:val="auto"/>
        </w:rPr>
        <w:t>means, with respect to any Partner, the excess, if any, of the total positive adjustments over the total negative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adjustments made to the Capital Account of such Partner pursuant to Book-Up Events and Book-Down Events.</w:t>
      </w:r>
    </w:p>
    <w:p>
      <w:pPr>
        <w:spacing w:after="0" w:line="158"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Termination Gain” </w:t>
      </w:r>
      <w:r>
        <w:rPr>
          <w:rFonts w:ascii="Times New Roman" w:cs="Times New Roman" w:eastAsia="Times New Roman" w:hAnsi="Times New Roman"/>
          <w:sz w:val="18"/>
          <w:szCs w:val="18"/>
          <w:color w:val="auto"/>
        </w:rPr>
        <w:t>means, for any taxable year, the sum, if positive, of all items of income, gain, loss or deduction recognized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(a) after the Liquidation Date or (b) upon the sale, exchange or other disposition of all or substantially all of the assets of the Partnership Group, taken as a whole, in a single transaction or a series of related transactions (excluding any disposition to a member of the Partnership Group). The items included in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determination of Net Termination Gain shall be determined in accordance with Section 5.5(b) and shall not include any items of income, gain or loss specially allocated under Section 6.1(d).</w:t>
      </w:r>
    </w:p>
    <w:p>
      <w:pPr>
        <w:sectPr>
          <w:pgSz w:w="11900" w:h="16838" w:orient="portrait"/>
          <w:cols w:equalWidth="0" w:num="1">
            <w:col w:w="11400"/>
          </w:cols>
          <w:pgMar w:left="240" w:top="119" w:right="259" w:bottom="0" w:gutter="0" w:footer="0" w:header="0"/>
        </w:sectPr>
      </w:pPr>
    </w:p>
    <w:bookmarkStart w:id="15" w:name="page16"/>
    <w:bookmarkEnd w:id="15"/>
    <w:p>
      <w:pPr>
        <w:ind w:right="10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“Net Termination Loss” </w:t>
      </w:r>
      <w:r>
        <w:rPr>
          <w:rFonts w:ascii="Times New Roman" w:cs="Times New Roman" w:eastAsia="Times New Roman" w:hAnsi="Times New Roman"/>
          <w:sz w:val="18"/>
          <w:szCs w:val="18"/>
          <w:color w:val="auto"/>
        </w:rPr>
        <w:t>means, for any taxable year, the sum, if negative, of all items of income, gain, loss or deduction recognized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(a) after the Liquidation Date or (b) upon the sale, exchange or other disposition of all or substantially all of the assets of the Partnership Group, taken as a whole, in a single transaction or a series of related transactions (excluding any disposition to a member of the Partnership Group). The items included in the determination of Net Termination Loss shall be determined in accordance with Section 5.5(b) and shall not include any items of income, gain or loss specially allocated under Section 6.1(d).</w:t>
      </w:r>
    </w:p>
    <w:p>
      <w:pPr>
        <w:spacing w:after="0" w:line="180"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“Non-citizen Assignee” </w:t>
      </w:r>
      <w:r>
        <w:rPr>
          <w:rFonts w:ascii="Times New Roman" w:cs="Times New Roman" w:eastAsia="Times New Roman" w:hAnsi="Times New Roman"/>
          <w:sz w:val="18"/>
          <w:szCs w:val="18"/>
          <w:color w:val="auto"/>
        </w:rPr>
        <w:t>means a Person whom the General Partner has determined in its discretion does not constitute an Eligible Citizen and as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whose Partnership Interest the General Partner has become the Substituted Limited Partner, pursuant to Section 4.9.</w:t>
      </w:r>
    </w:p>
    <w:p>
      <w:pPr>
        <w:spacing w:after="0" w:line="158"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“Nonrecourse Built-in Gain” </w:t>
      </w:r>
      <w:r>
        <w:rPr>
          <w:rFonts w:ascii="Times New Roman" w:cs="Times New Roman" w:eastAsia="Times New Roman" w:hAnsi="Times New Roman"/>
          <w:sz w:val="18"/>
          <w:szCs w:val="18"/>
          <w:color w:val="auto"/>
        </w:rPr>
        <w:t>means with respect to any Contributed Properties or Adjusted Properties that are subject to a mortgage or pledge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securing a Nonrecourse Liability, the amount of any taxable gain that would be allocated to the Partners pursuant to Sections 6.2(b)(i)(A), 6.2(b)(ii)(A) and 6.2(b)(iii) if such properties were disposed of in a taxable transaction in full satisfaction of such liabilities and for no other consideration.</w:t>
      </w:r>
    </w:p>
    <w:p>
      <w:pPr>
        <w:spacing w:after="0" w:line="174"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“Nonrecourse Deductions” </w:t>
      </w:r>
      <w:r>
        <w:rPr>
          <w:rFonts w:ascii="Times New Roman" w:cs="Times New Roman" w:eastAsia="Times New Roman" w:hAnsi="Times New Roman"/>
          <w:sz w:val="18"/>
          <w:szCs w:val="18"/>
          <w:color w:val="auto"/>
        </w:rPr>
        <w:t>means any and all items of loss, deduction or expenditures (described in Section 705(a)(2)(B) of the Code) that,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principles of Treasury Regulation Section 1.704-2(b), are attributable to a Nonrecourse Liability.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“Nonrecourse Liability” </w:t>
      </w:r>
      <w:r>
        <w:rPr>
          <w:rFonts w:ascii="Times New Roman" w:cs="Times New Roman" w:eastAsia="Times New Roman" w:hAnsi="Times New Roman"/>
          <w:sz w:val="18"/>
          <w:szCs w:val="18"/>
          <w:color w:val="auto"/>
        </w:rPr>
        <w:t>has the meaning set forth in Treasury Regulation Section 1.752-1(a)(2).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“Notice of Election to Purchase” </w:t>
      </w:r>
      <w:r>
        <w:rPr>
          <w:rFonts w:ascii="Times New Roman" w:cs="Times New Roman" w:eastAsia="Times New Roman" w:hAnsi="Times New Roman"/>
          <w:sz w:val="18"/>
          <w:szCs w:val="18"/>
          <w:color w:val="auto"/>
        </w:rPr>
        <w:t>has the meaning assigned to such term in Section 15.1(b).</w:t>
      </w:r>
    </w:p>
    <w:p>
      <w:pPr>
        <w:spacing w:after="0" w:line="225" w:lineRule="exact"/>
        <w:rPr>
          <w:sz w:val="20"/>
          <w:szCs w:val="20"/>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“Omnibus Agreement” </w:t>
      </w:r>
      <w:r>
        <w:rPr>
          <w:rFonts w:ascii="Times New Roman" w:cs="Times New Roman" w:eastAsia="Times New Roman" w:hAnsi="Times New Roman"/>
          <w:sz w:val="18"/>
          <w:szCs w:val="18"/>
          <w:color w:val="auto"/>
        </w:rPr>
        <w:t>means that Omnibus Agreement, dated as of the Closing Date, among Plains Resources Inc., the 2001 Predecessor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the Partnership and each Operating Partnership.</w:t>
      </w:r>
    </w:p>
    <w:p>
      <w:pPr>
        <w:spacing w:after="0" w:line="158" w:lineRule="exact"/>
        <w:rPr>
          <w:sz w:val="20"/>
          <w:szCs w:val="20"/>
          <w:color w:val="auto"/>
        </w:rPr>
      </w:pPr>
    </w:p>
    <w:p>
      <w:pPr>
        <w:ind w:right="2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Expenditures” </w:t>
      </w:r>
      <w:r>
        <w:rPr>
          <w:rFonts w:ascii="Times New Roman" w:cs="Times New Roman" w:eastAsia="Times New Roman" w:hAnsi="Times New Roman"/>
          <w:sz w:val="18"/>
          <w:szCs w:val="18"/>
          <w:color w:val="auto"/>
        </w:rPr>
        <w:t>means all Partnership Group expenditures, including, but not limited to, taxes, reimbursements of the General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service payments, and capital expenditures, subject to the following:</w:t>
      </w:r>
    </w:p>
    <w:p>
      <w:pPr>
        <w:spacing w:after="0" w:line="160" w:lineRule="exact"/>
        <w:rPr>
          <w:sz w:val="20"/>
          <w:szCs w:val="20"/>
          <w:color w:val="auto"/>
        </w:rPr>
      </w:pPr>
    </w:p>
    <w:p>
      <w:pPr>
        <w:ind w:left="1300" w:hanging="644"/>
        <w:spacing w:after="0"/>
        <w:tabs>
          <w:tab w:leader="none" w:pos="130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(including prepayments) of principal of and premium on indebtedness shall not be an Operating Expenditure if the payment is</w:t>
      </w:r>
    </w:p>
    <w:p>
      <w:pPr>
        <w:spacing w:after="0" w:line="27" w:lineRule="exact"/>
        <w:rPr>
          <w:rFonts w:ascii="Times New Roman" w:cs="Times New Roman" w:eastAsia="Times New Roman" w:hAnsi="Times New Roman"/>
          <w:sz w:val="18"/>
          <w:szCs w:val="18"/>
          <w:color w:val="auto"/>
        </w:rPr>
      </w:pPr>
    </w:p>
    <w:p>
      <w:pPr>
        <w:jc w:val="both"/>
        <w:ind w:right="320" w:firstLine="8"/>
        <w:spacing w:after="0" w:line="254"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in connection with the sale or other disposition of assets or (ii) made in connection with the refinancing or refunding of indebtedness with the proceeds from new indebtedness or from the sale of equity interests. For purposes of the foregoing, at the election and in the reasonable discretion of the General Partner, any payment of principal or premium shall be deemed to be refunded or refinanced by any indebtedness incurred or to be incurred by the Partnership Group within 180 days before or after such payment to the extent of the principal amount of such indebtedness.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66" w:lineRule="auto"/>
        <w:tabs>
          <w:tab w:leader="none" w:pos="130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Expenditures shall not include (i) capital expenditures made for Acquisitions or for Capital Improvements, (ii) payment of transaction expenses relating to Interim Capital Transactions or (iii) distributions to Partners. Where capital expenditures are made in part for Acquisitions or for Capital Improvements and in part for other purposes, the General Partner’s good faith allocation between the amounts paid for each shall be conclusive.</w:t>
      </w:r>
    </w:p>
    <w:p>
      <w:pPr>
        <w:spacing w:after="0" w:line="174"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General Partner” </w:t>
      </w:r>
      <w:r>
        <w:rPr>
          <w:rFonts w:ascii="Times New Roman" w:cs="Times New Roman" w:eastAsia="Times New Roman" w:hAnsi="Times New Roman"/>
          <w:sz w:val="18"/>
          <w:szCs w:val="18"/>
          <w:color w:val="auto"/>
        </w:rPr>
        <w:t>means Plains Marketing GP Inc., a Texas corporation and wholly owned subsidiary of the Partnership,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successors and permitted assigns as the general partner of the Operating Partnerships.</w:t>
      </w:r>
    </w:p>
    <w:p>
      <w:pPr>
        <w:spacing w:after="0" w:line="158"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Partnerships” </w:t>
      </w:r>
      <w:r>
        <w:rPr>
          <w:rFonts w:ascii="Times New Roman" w:cs="Times New Roman" w:eastAsia="Times New Roman" w:hAnsi="Times New Roman"/>
          <w:sz w:val="18"/>
          <w:szCs w:val="18"/>
          <w:color w:val="auto"/>
        </w:rPr>
        <w:t>means Plains Marketing, L.P., a Texas limited partnership, Plains Pipeline, L.P., a Texas limited partnership, and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Persons that are either disregarded as separate from the Partnership or treated as partnerships for federal income tax purposes that are majority-owned by the Partnership and controlled by the Partnership (whether by direct or indirect ownership of the general partner of such Person or otherwise) and established or acquired for the purpose of conducting the business of the Partnership.</w:t>
      </w:r>
    </w:p>
    <w:p>
      <w:pPr>
        <w:spacing w:after="0" w:line="180"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Partnership Agreements” </w:t>
      </w:r>
      <w:r>
        <w:rPr>
          <w:rFonts w:ascii="Times New Roman" w:cs="Times New Roman" w:eastAsia="Times New Roman" w:hAnsi="Times New Roman"/>
          <w:sz w:val="18"/>
          <w:szCs w:val="18"/>
          <w:color w:val="auto"/>
        </w:rPr>
        <w:t>means the agreements of limited partnership of any Operating Partnerships that are limited partnerships,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limited liability company agreements of any Operating Partnerships that are limited liability companies that are treated as partnerships for federal income tax purposes, as such may be amended, supplemented or restated from time to time.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 xml:space="preserve">“Operating Surplus” </w:t>
      </w:r>
      <w:r>
        <w:rPr>
          <w:rFonts w:ascii="Times New Roman" w:cs="Times New Roman" w:eastAsia="Times New Roman" w:hAnsi="Times New Roman"/>
          <w:sz w:val="18"/>
          <w:szCs w:val="18"/>
          <w:color w:val="auto"/>
        </w:rPr>
        <w:t>means, with respect to any period ending prior to the Liquidation Date, on a cumulative basis and without duplication,</w:t>
      </w:r>
    </w:p>
    <w:p>
      <w:pPr>
        <w:spacing w:after="0" w:line="227" w:lineRule="exact"/>
        <w:rPr>
          <w:sz w:val="20"/>
          <w:szCs w:val="20"/>
          <w:color w:val="auto"/>
        </w:rPr>
      </w:pPr>
    </w:p>
    <w:p>
      <w:pPr>
        <w:ind w:right="120" w:firstLine="656"/>
        <w:spacing w:after="0" w:line="261" w:lineRule="auto"/>
        <w:tabs>
          <w:tab w:leader="none" w:pos="12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$25 million plus all cash and cash equivalents of the Partnership Group on hand as of the close of business on the Closing Date, (ii) all cash receipts of the Partnership Group for the period beginning on the Closing Date and ending with the last day of such period, other than cash receipts from Interim Capital Transactions (except to the extent specified in Section 6.5) and (iii) all cash receipts of the Partnership Group after the end of such period but on or before the date of determination of Operating Surplus with respect to such period resulting from Working Capital Borrowings, less</w:t>
      </w:r>
    </w:p>
    <w:p>
      <w:pPr>
        <w:spacing w:after="0" w:line="180" w:lineRule="exact"/>
        <w:rPr>
          <w:rFonts w:ascii="Times New Roman" w:cs="Times New Roman" w:eastAsia="Times New Roman" w:hAnsi="Times New Roman"/>
          <w:sz w:val="18"/>
          <w:szCs w:val="18"/>
          <w:color w:val="auto"/>
        </w:rPr>
      </w:pPr>
    </w:p>
    <w:p>
      <w:pPr>
        <w:ind w:right="20" w:firstLine="656"/>
        <w:spacing w:after="0" w:line="256" w:lineRule="auto"/>
        <w:tabs>
          <w:tab w:leader="none" w:pos="13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Operating Expenditures for the period beginning on the Closing Date and ending with the last day of such period and (ii) the amount of cash reserves that is necessary or advisable in the reasonable discretion of the General Partner to provide funds for future Operating Expenditures; provided, however, that disbursements made (including contributions to a Group Member or disbursements on behalf of a Group Member) or cash reserves established, increased or reduced after the end of such period but on or before the date of determination of Available Cash with respect to such period shall be deemed to have been made, established, increased or reduced, for purposes of determining Operating Surplus, within such period if the General Partner so determines.</w:t>
      </w:r>
    </w:p>
    <w:p>
      <w:pPr>
        <w:spacing w:after="0" w:line="186"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Notwithstanding the foregoing, </w:t>
      </w:r>
      <w:r>
        <w:rPr>
          <w:rFonts w:ascii="Times New Roman" w:cs="Times New Roman" w:eastAsia="Times New Roman" w:hAnsi="Times New Roman"/>
          <w:sz w:val="18"/>
          <w:szCs w:val="18"/>
          <w:i w:val="1"/>
          <w:iCs w:val="1"/>
          <w:color w:val="auto"/>
        </w:rPr>
        <w:t>“Operating Surplus”</w:t>
      </w:r>
      <w:r>
        <w:rPr>
          <w:rFonts w:ascii="Times New Roman" w:cs="Times New Roman" w:eastAsia="Times New Roman" w:hAnsi="Times New Roman"/>
          <w:sz w:val="18"/>
          <w:szCs w:val="18"/>
          <w:color w:val="auto"/>
        </w:rPr>
        <w:t xml:space="preserve"> with respect to the Quarter in which the Liquidation Date occurs and any subsequent Quarter shall equal zero.</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5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“Opinion of Counsel” </w:t>
      </w:r>
      <w:r>
        <w:rPr>
          <w:rFonts w:ascii="Times New Roman" w:cs="Times New Roman" w:eastAsia="Times New Roman" w:hAnsi="Times New Roman"/>
          <w:sz w:val="18"/>
          <w:szCs w:val="18"/>
          <w:color w:val="auto"/>
        </w:rPr>
        <w:t>means a written opinion of counsel (who may be regular counsel to the Partnership or the General Partner or any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Affiliates) acceptable to the General Partner in its reasonable discretion.</w:t>
      </w:r>
    </w:p>
    <w:p>
      <w:pPr>
        <w:sectPr>
          <w:pgSz w:w="11900" w:h="16838" w:orient="portrait"/>
          <w:cols w:equalWidth="0" w:num="1">
            <w:col w:w="11400"/>
          </w:cols>
          <w:pgMar w:left="240" w:top="119" w:right="259" w:bottom="0" w:gutter="0" w:footer="0" w:header="0"/>
        </w:sectPr>
      </w:pPr>
    </w:p>
    <w:bookmarkStart w:id="16" w:name="page17"/>
    <w:bookmarkEnd w:id="16"/>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“Organizational Limited Partner” </w:t>
      </w:r>
      <w:r>
        <w:rPr>
          <w:rFonts w:ascii="Times New Roman" w:cs="Times New Roman" w:eastAsia="Times New Roman" w:hAnsi="Times New Roman"/>
          <w:sz w:val="18"/>
          <w:szCs w:val="18"/>
          <w:color w:val="auto"/>
        </w:rPr>
        <w:t>means Michael R. Patterson in his capacity as the organizational limited partner of the Partnership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“Outstanding” </w:t>
      </w:r>
      <w:r>
        <w:rPr>
          <w:rFonts w:ascii="Times New Roman" w:cs="Times New Roman" w:eastAsia="Times New Roman" w:hAnsi="Times New Roman"/>
          <w:sz w:val="18"/>
          <w:szCs w:val="18"/>
          <w:color w:val="auto"/>
        </w:rPr>
        <w:t>means, with respect to Partnership Securities, all Partnership Securities that are issued by the Partnership and reflected as outstanding</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Partnership’s books and records as of the date of determination; provided, however, that if at any time any Person or Group (other than the General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 or its Affiliates) beneficially owns 20% or more of any Outstanding Partnership Securities of any class then Outstanding, all Partnership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owned by such Person or Group shall not be voted on any matter and shall not be considered to be Outstanding when sending notices of a meeting of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to vote on any matter (unless otherwise required by law), calculating required votes, determining the presence of a quorum or for other similar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purposes under this Agreement, except that Common Units so owned shall be considered to be Outstanding for purposes of Section 5.14(b)(iv)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11.1(b)(iv) (such Common Units shall not, however, be treated as a separate class of Partnership Securities for purposes of this Agreement); provided,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that the foregoing limitation shall not apply to (i) any Person or Group who acquired 20% or more of any Outstanding Partnership Securities of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then Outstanding directly from the General Partner or its Affiliates; (ii) any Person or Group who acquired 20% or more of any Outstanding Partnership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of any class then Outstanding directly or indirectly from a Person or Group described in clause (i) provided that the General Partner shall have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notified such Person or Group in writing that such limitation shall not apply; (iii) the initial Series A Purchasers (but not their permitted assigns) with respect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their ownership (beneficially or of record) of the Series A Preferred Units, Series A PIK Preferred Units or Series A Conversion Units; or (iv) any Series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Unitholder in connection with any vote, consent or approval of the Series A Unitholders as a separate class.</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“Over-Allotment Option” </w:t>
      </w:r>
      <w:r>
        <w:rPr>
          <w:rFonts w:ascii="Times New Roman" w:cs="Times New Roman" w:eastAsia="Times New Roman" w:hAnsi="Times New Roman"/>
          <w:sz w:val="18"/>
          <w:szCs w:val="18"/>
          <w:color w:val="auto"/>
        </w:rPr>
        <w:t>means the over-allotment option granted to the Underwriters by the Partnership pursuant to the Underwriting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“Parity Units” </w:t>
      </w:r>
      <w:r>
        <w:rPr>
          <w:rFonts w:ascii="Times New Roman" w:cs="Times New Roman" w:eastAsia="Times New Roman" w:hAnsi="Times New Roman"/>
          <w:sz w:val="18"/>
          <w:szCs w:val="18"/>
          <w:color w:val="auto"/>
        </w:rPr>
        <w:t>means Common Units and all other Units having rights to distributions or in liquidation ranking on a parity with the Common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 Nonrecourse Debt” </w:t>
      </w:r>
      <w:r>
        <w:rPr>
          <w:rFonts w:ascii="Times New Roman" w:cs="Times New Roman" w:eastAsia="Times New Roman" w:hAnsi="Times New Roman"/>
          <w:sz w:val="18"/>
          <w:szCs w:val="18"/>
          <w:color w:val="auto"/>
        </w:rPr>
        <w:t>has the meaning set forth in Treasury Regulation Section 1.704-2(b)(4).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 Nonrecourse Debt Minimum Gain” </w:t>
      </w:r>
      <w:r>
        <w:rPr>
          <w:rFonts w:ascii="Times New Roman" w:cs="Times New Roman" w:eastAsia="Times New Roman" w:hAnsi="Times New Roman"/>
          <w:sz w:val="18"/>
          <w:szCs w:val="18"/>
          <w:color w:val="auto"/>
        </w:rPr>
        <w:t>has the meaning set forth in Treasury Regulation Section 1.704-2(i)(2).</w:t>
      </w:r>
    </w:p>
    <w:p>
      <w:pPr>
        <w:spacing w:after="0" w:line="225" w:lineRule="exact"/>
        <w:rPr>
          <w:sz w:val="20"/>
          <w:szCs w:val="20"/>
          <w:color w:val="auto"/>
        </w:rPr>
      </w:pPr>
    </w:p>
    <w:p>
      <w:pPr>
        <w:ind w:right="1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“Partner Nonrecourse Deductions” </w:t>
      </w:r>
      <w:r>
        <w:rPr>
          <w:rFonts w:ascii="Times New Roman" w:cs="Times New Roman" w:eastAsia="Times New Roman" w:hAnsi="Times New Roman"/>
          <w:sz w:val="18"/>
          <w:szCs w:val="18"/>
          <w:color w:val="auto"/>
        </w:rPr>
        <w:t>means any and all items of loss, deduction or expenditure (including, without limitation, any expenditure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Section 705(a)(2)(B) of the Code) that, in accordance with the principles of Treasury Regulation Section 1.704-2(i), are attributable to a Partner Nonrecourse Debt.</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 </w:t>
      </w:r>
      <w:r>
        <w:rPr>
          <w:rFonts w:ascii="Times New Roman" w:cs="Times New Roman" w:eastAsia="Times New Roman" w:hAnsi="Times New Roman"/>
          <w:sz w:val="18"/>
          <w:szCs w:val="18"/>
          <w:color w:val="auto"/>
        </w:rPr>
        <w:t>means the General Partner and the Limited Partners.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“Partnership” </w:t>
      </w:r>
      <w:r>
        <w:rPr>
          <w:rFonts w:ascii="Times New Roman" w:cs="Times New Roman" w:eastAsia="Times New Roman" w:hAnsi="Times New Roman"/>
          <w:sz w:val="18"/>
          <w:szCs w:val="18"/>
          <w:color w:val="auto"/>
        </w:rPr>
        <w:t>means Plains All American Pipeline, L.P., a Delaware limited partnership, and any successors thereto.</w:t>
      </w:r>
    </w:p>
    <w:p>
      <w:pPr>
        <w:spacing w:after="0" w:line="225" w:lineRule="exact"/>
        <w:rPr>
          <w:sz w:val="20"/>
          <w:szCs w:val="20"/>
          <w:color w:val="auto"/>
        </w:rPr>
      </w:pPr>
    </w:p>
    <w:p>
      <w:pPr>
        <w:ind w:right="4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“Partnership Group” </w:t>
      </w:r>
      <w:r>
        <w:rPr>
          <w:rFonts w:ascii="Times New Roman" w:cs="Times New Roman" w:eastAsia="Times New Roman" w:hAnsi="Times New Roman"/>
          <w:sz w:val="18"/>
          <w:szCs w:val="18"/>
          <w:color w:val="auto"/>
        </w:rPr>
        <w:t>means the Partnership, the Operating Partnerships and any Subsidiary of any such entity, including the Operating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treated as a single consolidated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“Partnership Interest” </w:t>
      </w:r>
      <w:r>
        <w:rPr>
          <w:rFonts w:ascii="Times New Roman" w:cs="Times New Roman" w:eastAsia="Times New Roman" w:hAnsi="Times New Roman"/>
          <w:sz w:val="18"/>
          <w:szCs w:val="18"/>
          <w:color w:val="auto"/>
        </w:rPr>
        <w:t>means an interest in the Partnership, which shall include the General Partner Interest and Limited Partner Interests.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“Partnership Minimum Gain” </w:t>
      </w:r>
      <w:r>
        <w:rPr>
          <w:rFonts w:ascii="Times New Roman" w:cs="Times New Roman" w:eastAsia="Times New Roman" w:hAnsi="Times New Roman"/>
          <w:sz w:val="18"/>
          <w:szCs w:val="18"/>
          <w:color w:val="auto"/>
        </w:rPr>
        <w:t>means that amount determined in accordance with the principles of Treasury Regulation Section 1.704-2(d).</w:t>
      </w:r>
    </w:p>
    <w:p>
      <w:pPr>
        <w:spacing w:after="0" w:line="225" w:lineRule="exact"/>
        <w:rPr>
          <w:sz w:val="20"/>
          <w:szCs w:val="20"/>
          <w:color w:val="auto"/>
        </w:rPr>
      </w:pPr>
    </w:p>
    <w:p>
      <w:pPr>
        <w:ind w:right="22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“Partnership Security” </w:t>
      </w:r>
      <w:r>
        <w:rPr>
          <w:rFonts w:ascii="Times New Roman" w:cs="Times New Roman" w:eastAsia="Times New Roman" w:hAnsi="Times New Roman"/>
          <w:sz w:val="18"/>
          <w:szCs w:val="18"/>
          <w:color w:val="auto"/>
        </w:rPr>
        <w:t>means any class or series of equity interest in the Partnership (but excluding any options, rights, warrants and appreciation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relating to an equity interest in the Partnership), including without limitation, Common Units, Series A Preferred Units and Incentive Distribution Rights.</w:t>
      </w:r>
    </w:p>
    <w:p>
      <w:pPr>
        <w:spacing w:after="0" w:line="174" w:lineRule="exact"/>
        <w:rPr>
          <w:sz w:val="20"/>
          <w:szCs w:val="20"/>
          <w:color w:val="auto"/>
        </w:rPr>
      </w:pPr>
    </w:p>
    <w:p>
      <w:pPr>
        <w:ind w:right="6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Partnership Restructuring Event</w:t>
      </w:r>
      <w:r>
        <w:rPr>
          <w:rFonts w:ascii="Times New Roman" w:cs="Times New Roman" w:eastAsia="Times New Roman" w:hAnsi="Times New Roman"/>
          <w:sz w:val="18"/>
          <w:szCs w:val="18"/>
          <w:color w:val="auto"/>
        </w:rPr>
        <w:t>” means any restructuring, simplification or similar transaction or series of transactions that modifies, eliminates or otherwise restructures the General Partner Interest, the Incentive Distribution Rights or the equity interests of the General Partner or its Affiliates, provided that the principal parties thereto are the Partnership, the Existing Owners, the Series A Purchasers and/or their respective Affiliates.</w:t>
      </w:r>
    </w:p>
    <w:p>
      <w:pPr>
        <w:spacing w:after="0" w:line="174" w:lineRule="exact"/>
        <w:rPr>
          <w:sz w:val="20"/>
          <w:szCs w:val="20"/>
          <w:color w:val="auto"/>
        </w:rPr>
      </w:pPr>
    </w:p>
    <w:p>
      <w:pPr>
        <w:ind w:right="3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“Per Unit Capital Amount</w:t>
      </w:r>
      <w:r>
        <w:rPr>
          <w:rFonts w:ascii="Times New Roman" w:cs="Times New Roman" w:eastAsia="Times New Roman" w:hAnsi="Times New Roman"/>
          <w:sz w:val="18"/>
          <w:szCs w:val="18"/>
          <w:color w:val="auto"/>
        </w:rPr>
        <w:t>” means, as of any date of determination, the Capital Account, stated on a per Unit basis, underlying any class of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held by a Person who holds Units other than the General Partner.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“Per Unit Floor Amounts” </w:t>
      </w:r>
      <w:r>
        <w:rPr>
          <w:rFonts w:ascii="Times New Roman" w:cs="Times New Roman" w:eastAsia="Times New Roman" w:hAnsi="Times New Roman"/>
          <w:sz w:val="18"/>
          <w:szCs w:val="18"/>
          <w:color w:val="auto"/>
        </w:rPr>
        <w:t>shall have the meaning given such term in the definition of the term Series A IDR Floor Amount.</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 xml:space="preserve">“Percentage Interest” </w:t>
      </w:r>
      <w:r>
        <w:rPr>
          <w:rFonts w:ascii="Times New Roman" w:cs="Times New Roman" w:eastAsia="Times New Roman" w:hAnsi="Times New Roman"/>
          <w:sz w:val="18"/>
          <w:szCs w:val="18"/>
          <w:color w:val="auto"/>
        </w:rPr>
        <w:t>means as of any date of determination (a) as to the General Partner, (with respect to its General Partner Interest) 2% and</w:t>
      </w:r>
    </w:p>
    <w:p>
      <w:pPr>
        <w:spacing w:after="0" w:line="29" w:lineRule="exact"/>
        <w:rPr>
          <w:sz w:val="20"/>
          <w:szCs w:val="20"/>
          <w:color w:val="auto"/>
        </w:rPr>
      </w:pPr>
    </w:p>
    <w:p>
      <w:pPr>
        <w:ind w:firstLine="8"/>
        <w:spacing w:after="0" w:line="252"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Unitholder (other than in respect of Series A Preferred Units) or Assignee holding Units (other than in respect of Series A Preferred Units), the product obtained by multiplying (i) 98% less the percentage applicable to paragraph (c) by (ii) the quotient obtained by dividing (A) the number of Units held by such Unitholder (other than in respect of Series A Preferred Units) or Assignee by (B) the total number of all Outstanding Units (other than in respect of Series A Preferred Units) and (c) as to the holders of additional Partnership Securities issued by the Partnership in accordance with Section 5.6, the percentage established as a part of such issuance. The Percentage Interest with respect to an Incentive Distribution Right and a Series A Preferred Unit shall at all times be zero.</w:t>
      </w:r>
    </w:p>
    <w:p>
      <w:pPr>
        <w:spacing w:after="0" w:line="188"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 individual or a corporation, limited liability company, partnership, joint venture, trust, unincorporated organization,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agency or political subdivision thereof or other entity.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Plains AAP</w:t>
      </w:r>
      <w:r>
        <w:rPr>
          <w:rFonts w:ascii="Times New Roman" w:cs="Times New Roman" w:eastAsia="Times New Roman" w:hAnsi="Times New Roman"/>
          <w:sz w:val="18"/>
          <w:szCs w:val="18"/>
          <w:color w:val="auto"/>
        </w:rPr>
        <w:t>” means Plains AAP, L.P., a Delaware limited partnership.</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“Plains All American GP LLC” </w:t>
      </w:r>
      <w:r>
        <w:rPr>
          <w:rFonts w:ascii="Times New Roman" w:cs="Times New Roman" w:eastAsia="Times New Roman" w:hAnsi="Times New Roman"/>
          <w:sz w:val="18"/>
          <w:szCs w:val="18"/>
          <w:color w:val="auto"/>
        </w:rPr>
        <w:t>means Plains All American GP LLC, a Delaware limited liability company.</w:t>
      </w:r>
    </w:p>
    <w:p>
      <w:pPr>
        <w:sectPr>
          <w:pgSz w:w="11900" w:h="16838" w:orient="portrait"/>
          <w:cols w:equalWidth="0" w:num="1">
            <w:col w:w="11420"/>
          </w:cols>
          <w:pgMar w:left="240" w:top="119" w:right="239" w:bottom="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PNG Merger</w:t>
      </w:r>
      <w:r>
        <w:rPr>
          <w:rFonts w:ascii="Times New Roman" w:cs="Times New Roman" w:eastAsia="Times New Roman" w:hAnsi="Times New Roman"/>
          <w:sz w:val="18"/>
          <w:szCs w:val="18"/>
          <w:color w:val="auto"/>
        </w:rPr>
        <w:t>” means the consummation of the transactions contemplated by the PNG Merger Agreement.</w:t>
      </w:r>
    </w:p>
    <w:p>
      <w:pPr>
        <w:spacing w:after="0" w:line="225" w:lineRule="exact"/>
        <w:rPr>
          <w:sz w:val="20"/>
          <w:szCs w:val="20"/>
          <w:color w:val="auto"/>
        </w:rPr>
      </w:pPr>
    </w:p>
    <w:p>
      <w:pPr>
        <w:ind w:right="4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“PNG Merger Agreement” </w:t>
      </w:r>
      <w:r>
        <w:rPr>
          <w:rFonts w:ascii="Times New Roman" w:cs="Times New Roman" w:eastAsia="Times New Roman" w:hAnsi="Times New Roman"/>
          <w:sz w:val="18"/>
          <w:szCs w:val="18"/>
          <w:color w:val="auto"/>
        </w:rPr>
        <w:t>means that certain Agreement and Plan of Merger by and among the Partnership, PAA Acquisition Company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PNGS GP LLC and PAA Natural Gas Storage, L.P., dated as of October 21, 2013.</w:t>
      </w:r>
    </w:p>
    <w:p>
      <w:pPr>
        <w:spacing w:after="0" w:line="158" w:lineRule="exact"/>
        <w:rPr>
          <w:sz w:val="20"/>
          <w:szCs w:val="20"/>
          <w:color w:val="auto"/>
        </w:rPr>
      </w:pPr>
    </w:p>
    <w:p>
      <w:pPr>
        <w:ind w:right="5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“PNG Merger Effective Date” </w:t>
      </w:r>
      <w:r>
        <w:rPr>
          <w:rFonts w:ascii="Times New Roman" w:cs="Times New Roman" w:eastAsia="Times New Roman" w:hAnsi="Times New Roman"/>
          <w:sz w:val="18"/>
          <w:szCs w:val="18"/>
          <w:color w:val="auto"/>
        </w:rPr>
        <w:t>means the date on which the transactions contemplated by the PNG Merger Agreement have been substantially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consummated as contemplated thereunder.</w:t>
      </w:r>
    </w:p>
    <w:p>
      <w:pPr>
        <w:spacing w:after="0" w:line="158" w:lineRule="exact"/>
        <w:rPr>
          <w:sz w:val="20"/>
          <w:szCs w:val="20"/>
          <w:color w:val="auto"/>
        </w:rPr>
      </w:pPr>
    </w:p>
    <w:p>
      <w:pPr>
        <w:ind w:right="80"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means (a) when modifying Units or any class thereof, apportioned equally among all designated Units in accordance with their relative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Interests, (b) when modifying Partners and Assignees, apportioned among all Partners and Assignees in accordance with their relative Percentage Interests, (c) when modifying Series A Preferred Unitholders, apportioned equally among all Series A Preferred Unitholders in accordance with the relative number or percentage of Series A Preferred Units held by each such Series A Preferred Unitholder and (d) when modifying holders of Incentive Distribution Rights, apportioned equally among all holders of Incentive Distribution Rights in accordance with the relative number of Incentive Distribution Rights held by each such holder.</w:t>
      </w:r>
    </w:p>
    <w:p>
      <w:pPr>
        <w:spacing w:after="0" w:line="183" w:lineRule="exact"/>
        <w:rPr>
          <w:sz w:val="20"/>
          <w:szCs w:val="20"/>
          <w:color w:val="auto"/>
        </w:rPr>
      </w:pPr>
    </w:p>
    <w:p>
      <w:pPr>
        <w:ind w:right="2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“Purchase Date” </w:t>
      </w:r>
      <w:r>
        <w:rPr>
          <w:rFonts w:ascii="Times New Roman" w:cs="Times New Roman" w:eastAsia="Times New Roman" w:hAnsi="Times New Roman"/>
          <w:sz w:val="18"/>
          <w:szCs w:val="18"/>
          <w:color w:val="auto"/>
        </w:rPr>
        <w:t>means the date determined by the General Partner as the date for purchase of all Outstanding Units of a certain class (other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owned by the General Partner and its Affiliates) pursuant to Article XV.</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“Quarter” </w:t>
      </w:r>
      <w:r>
        <w:rPr>
          <w:rFonts w:ascii="Times New Roman" w:cs="Times New Roman" w:eastAsia="Times New Roman" w:hAnsi="Times New Roman"/>
          <w:sz w:val="18"/>
          <w:szCs w:val="18"/>
          <w:color w:val="auto"/>
        </w:rPr>
        <w:t>means, unless the context requires otherwise, a fiscal quarter of the Partnership.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 xml:space="preserve">“Recapture Income” </w:t>
      </w:r>
      <w:r>
        <w:rPr>
          <w:rFonts w:ascii="Times New Roman" w:cs="Times New Roman" w:eastAsia="Times New Roman" w:hAnsi="Times New Roman"/>
          <w:sz w:val="18"/>
          <w:szCs w:val="18"/>
          <w:color w:val="auto"/>
        </w:rPr>
        <w:t>means any gain recognized by the Partnership (computed without regard to any adjustment required by Section 734 or</w:t>
      </w:r>
    </w:p>
    <w:p>
      <w:pPr>
        <w:spacing w:after="0" w:line="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Section 743 of the Code) upon the disposition of any property or asset of the Partnership, which gain is characterized as ordinary income because it represents the recapture of deductions previously taken with respect to such property or asset.</w:t>
      </w:r>
    </w:p>
    <w:p>
      <w:pPr>
        <w:spacing w:after="0" w:line="178"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“Record Date” </w:t>
      </w:r>
      <w:r>
        <w:rPr>
          <w:rFonts w:ascii="Times New Roman" w:cs="Times New Roman" w:eastAsia="Times New Roman" w:hAnsi="Times New Roman"/>
          <w:sz w:val="18"/>
          <w:szCs w:val="18"/>
          <w:color w:val="auto"/>
        </w:rPr>
        <w:t>means the date established by the General Partner for determining (a) the identity of the Record Holders entitled to notice of,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180"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“Record Holder” </w:t>
      </w:r>
      <w:r>
        <w:rPr>
          <w:rFonts w:ascii="Times New Roman" w:cs="Times New Roman" w:eastAsia="Times New Roman" w:hAnsi="Times New Roman"/>
          <w:sz w:val="18"/>
          <w:szCs w:val="18"/>
          <w:color w:val="auto"/>
        </w:rPr>
        <w:t>means the Person in whose name a Common Unit is registered on the books of the Transfer Agent as of the opening of business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particular Business Day, or with respect to other Partnership Securities, the Person in whose name any such other Partnership Security is registered on the books which the General Partner has caused to be kept as of the opening of business on such Business Day.</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right="3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“Redeemable Interests” </w:t>
      </w:r>
      <w:r>
        <w:rPr>
          <w:rFonts w:ascii="Times New Roman" w:cs="Times New Roman" w:eastAsia="Times New Roman" w:hAnsi="Times New Roman"/>
          <w:sz w:val="18"/>
          <w:szCs w:val="18"/>
          <w:color w:val="auto"/>
        </w:rPr>
        <w:t>means any Partnership Interests for which a redemption notice has been given, and has not been withdrawn,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4.10.</w:t>
      </w:r>
    </w:p>
    <w:p>
      <w:pPr>
        <w:spacing w:after="0" w:line="158" w:lineRule="exact"/>
        <w:rPr>
          <w:sz w:val="20"/>
          <w:szCs w:val="20"/>
          <w:color w:val="auto"/>
        </w:rPr>
      </w:pPr>
    </w:p>
    <w:p>
      <w:pPr>
        <w:ind w:right="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“Registration Statement” </w:t>
      </w:r>
      <w:r>
        <w:rPr>
          <w:rFonts w:ascii="Times New Roman" w:cs="Times New Roman" w:eastAsia="Times New Roman" w:hAnsi="Times New Roman"/>
          <w:sz w:val="18"/>
          <w:szCs w:val="18"/>
          <w:color w:val="auto"/>
        </w:rPr>
        <w:t>means the Registration Statement on Form S-1 (Registration No. 333-64107) as it has been or as it may be amended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supplemented from time to time, filed by the Partnership with the Commission under the Securities Act to register the offering and sale of the Common Units in the Initial Offering.</w:t>
      </w:r>
    </w:p>
    <w:p>
      <w:pPr>
        <w:spacing w:after="0" w:line="174"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“Remaining Net Positive Adjustments” </w:t>
      </w:r>
      <w:r>
        <w:rPr>
          <w:rFonts w:ascii="Times New Roman" w:cs="Times New Roman" w:eastAsia="Times New Roman" w:hAnsi="Times New Roman"/>
          <w:sz w:val="18"/>
          <w:szCs w:val="18"/>
          <w:color w:val="auto"/>
        </w:rPr>
        <w:t>means as of the end of any taxable period, (i) with respect to the Unitholders, the excess of (a) the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Positive Adjustments of the Unitholders as of the end of such period over (b) the sum of those Partners’ Share of Additional Book Basis Derivative Items for each prior taxable period, (ii) with respect to the General Partner (as holder of the General Partner Interest), the excess of (a) the Net Positive Adjustments of the General Partner as of the end of such period over (b) the sum of the General Partner’s Share of Additional Book Basis Derivative Items with respect to the General Partner Interest for each prior taxable period, and (iii) with respect to the holders of Incentive Distribution Rights, the excess of (a) the Net Positive Adjustments of the holders of Incentive Distribution Rights as of the end of such period over (b) the sum of the Share of Additional Book Basis Derivative Items of the holders of the Incentive Distribution Rights for each prior taxable period.</w:t>
      </w:r>
    </w:p>
    <w:p>
      <w:pPr>
        <w:spacing w:after="0" w:line="183" w:lineRule="exact"/>
        <w:rPr>
          <w:sz w:val="20"/>
          <w:szCs w:val="20"/>
          <w:color w:val="auto"/>
        </w:rPr>
      </w:pPr>
    </w:p>
    <w:p>
      <w:pPr>
        <w:ind w:right="1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“Required Allocations” </w:t>
      </w:r>
      <w:r>
        <w:rPr>
          <w:rFonts w:ascii="Times New Roman" w:cs="Times New Roman" w:eastAsia="Times New Roman" w:hAnsi="Times New Roman"/>
          <w:sz w:val="18"/>
          <w:szCs w:val="18"/>
          <w:color w:val="auto"/>
        </w:rPr>
        <w:t>means (a) any limitation imposed on any allocation of Net Losses or Net Termination Losses under Section 6.1(b) or 6.1(c)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(ii) and (b) any allocation of an item of income, gain, loss or deduction pursuant to Section 6.1(d)(i), 6.1(d)(ii), 6.1(d)(iv), 6.1(d)(vii) or 6.1(d)(ix).</w:t>
      </w:r>
    </w:p>
    <w:p>
      <w:pPr>
        <w:spacing w:after="0" w:line="158" w:lineRule="exact"/>
        <w:rPr>
          <w:sz w:val="20"/>
          <w:szCs w:val="20"/>
          <w:color w:val="auto"/>
        </w:rPr>
      </w:pPr>
    </w:p>
    <w:p>
      <w:pPr>
        <w:ind w:right="3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“Residual Gain”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“Residual Loss” </w:t>
      </w:r>
      <w:r>
        <w:rPr>
          <w:rFonts w:ascii="Times New Roman" w:cs="Times New Roman" w:eastAsia="Times New Roman" w:hAnsi="Times New Roman"/>
          <w:sz w:val="18"/>
          <w:szCs w:val="18"/>
          <w:color w:val="auto"/>
        </w:rPr>
        <w:t>means any item of gain or loss; as the case may be, of the Partnership recognized for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purposes resulting from a sale, exchange or other disposition of a Contributed Property or Adjusted Property, to the extent such item of gain or loss is not allocated pursuant to Section 6.2(b)(i)(A) or 6.2(b)(ii)(A), respectively, to eliminate Book-Tax Disparities.</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“Restricted Business” </w:t>
      </w:r>
      <w:r>
        <w:rPr>
          <w:rFonts w:ascii="Times New Roman" w:cs="Times New Roman" w:eastAsia="Times New Roman" w:hAnsi="Times New Roman"/>
          <w:sz w:val="18"/>
          <w:szCs w:val="18"/>
          <w:color w:val="auto"/>
        </w:rPr>
        <w:t>has the meaning assigned to such term in the Omnibus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“Second Liquidation Target Amount” </w:t>
      </w:r>
      <w:r>
        <w:rPr>
          <w:rFonts w:ascii="Times New Roman" w:cs="Times New Roman" w:eastAsia="Times New Roman" w:hAnsi="Times New Roman"/>
          <w:sz w:val="18"/>
          <w:szCs w:val="18"/>
          <w:color w:val="auto"/>
        </w:rPr>
        <w:t>has the meaning assigned to such term in Section 6.1(c)(i)(D).</w:t>
      </w:r>
    </w:p>
    <w:p>
      <w:pPr>
        <w:spacing w:after="0" w:line="225" w:lineRule="exact"/>
        <w:rPr>
          <w:sz w:val="20"/>
          <w:szCs w:val="20"/>
          <w:color w:val="auto"/>
        </w:rPr>
      </w:pPr>
    </w:p>
    <w:p>
      <w:pPr>
        <w:jc w:val="both"/>
        <w:ind w:right="2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“Second Target Distribution” </w:t>
      </w:r>
      <w:r>
        <w:rPr>
          <w:rFonts w:ascii="Times New Roman" w:cs="Times New Roman" w:eastAsia="Times New Roman" w:hAnsi="Times New Roman"/>
          <w:sz w:val="18"/>
          <w:szCs w:val="18"/>
          <w:color w:val="auto"/>
        </w:rPr>
        <w:t>means $0.3375 per Unit per Quarter (or, with respect to the period commencing on the Closing Date and ending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1998, it means the product of $0.3375 multiplied by a fraction of which the numerator is equal to the number of days in such period and of which the denominator is 91), subject to adjustment in accordance with Sections 6.6 and 6.9.</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 supplemented or restated from time to time and any successor to such statute.</w:t>
      </w:r>
    </w:p>
    <w:p>
      <w:pPr>
        <w:spacing w:after="0" w:line="225"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“Series A Cash COC Conversion Premium</w:t>
      </w:r>
      <w:r>
        <w:rPr>
          <w:rFonts w:ascii="Times New Roman" w:cs="Times New Roman" w:eastAsia="Times New Roman" w:hAnsi="Times New Roman"/>
          <w:sz w:val="18"/>
          <w:szCs w:val="18"/>
          <w:color w:val="auto"/>
        </w:rPr>
        <w:t>” means (i) on or prior to the first anniversary of the Series A Issuance Date, 115%, (ii) after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Series A Issuance Date but on or prior to the second anniversary of the Series A Issuance Date, 110%, (iii) after the</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19" w:right="259" w:bottom="32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second anniversary of the Series A Issuance Date but on or prior to the third anniversary of the Series A Issuance Date, 105%, and (iv) thereafter, 101%.</w:t>
      </w:r>
    </w:p>
    <w:p>
      <w:pPr>
        <w:spacing w:after="0" w:line="22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Cash COC Event</w:t>
      </w:r>
      <w:r>
        <w:rPr>
          <w:rFonts w:ascii="Times New Roman" w:cs="Times New Roman" w:eastAsia="Times New Roman" w:hAnsi="Times New Roman"/>
          <w:sz w:val="18"/>
          <w:szCs w:val="18"/>
          <w:color w:val="auto"/>
        </w:rPr>
        <w:t>” means a Series A Change of Control of the Partnership that involves a payment of consideration directly to the Common Unitholders, and more than 90% of such consideration is cash.</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Change of Control</w:t>
      </w:r>
      <w:r>
        <w:rPr>
          <w:rFonts w:ascii="Times New Roman" w:cs="Times New Roman" w:eastAsia="Times New Roman" w:hAnsi="Times New Roman"/>
          <w:sz w:val="18"/>
          <w:szCs w:val="18"/>
          <w:color w:val="auto"/>
        </w:rPr>
        <w:t>” means:</w:t>
      </w:r>
    </w:p>
    <w:p>
      <w:pPr>
        <w:spacing w:after="0" w:line="227" w:lineRule="exact"/>
        <w:rPr>
          <w:sz w:val="20"/>
          <w:szCs w:val="20"/>
          <w:color w:val="auto"/>
        </w:rPr>
      </w:pPr>
    </w:p>
    <w:p>
      <w:pPr>
        <w:ind w:right="140" w:firstLine="656"/>
        <w:spacing w:after="0" w:line="266" w:lineRule="auto"/>
        <w:tabs>
          <w:tab w:leader="none" w:pos="12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directly or indirectly, of more than 50% of the equity interests of the General Partner by a person or group that is not an Existing Owner, an initial Series A Purchaser or their respective Affiliates, if such acquisition gives such Person or Group the right to elect more than half of the members of the Board of Directors; or</w:t>
      </w:r>
    </w:p>
    <w:p>
      <w:pPr>
        <w:spacing w:after="0" w:line="176" w:lineRule="exact"/>
        <w:rPr>
          <w:rFonts w:ascii="Times New Roman" w:cs="Times New Roman" w:eastAsia="Times New Roman" w:hAnsi="Times New Roman"/>
          <w:sz w:val="18"/>
          <w:szCs w:val="18"/>
          <w:color w:val="auto"/>
        </w:rPr>
      </w:pPr>
    </w:p>
    <w:p>
      <w:pPr>
        <w:ind w:right="20" w:firstLine="656"/>
        <w:spacing w:after="0" w:line="282" w:lineRule="auto"/>
        <w:tabs>
          <w:tab w:leader="none" w:pos="13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lease, transfer, conveyance or other disposition, in one or a series of related transactions, of all or substantially all of the assets of the Partnership and its subsidiaries, taken as a whole; or</w:t>
      </w:r>
    </w:p>
    <w:p>
      <w:pPr>
        <w:spacing w:after="0" w:line="161" w:lineRule="exact"/>
        <w:rPr>
          <w:rFonts w:ascii="Times New Roman" w:cs="Times New Roman" w:eastAsia="Times New Roman" w:hAnsi="Times New Roman"/>
          <w:sz w:val="18"/>
          <w:szCs w:val="18"/>
          <w:color w:val="auto"/>
        </w:rPr>
      </w:pPr>
    </w:p>
    <w:p>
      <w:pPr>
        <w:ind w:right="40" w:firstLine="656"/>
        <w:spacing w:after="0" w:line="282" w:lineRule="auto"/>
        <w:tabs>
          <w:tab w:leader="none" w:pos="130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the General Partner by the Limited Partners of the Partnership, except for cases in which any successor General Partner is an Affiliate of any of the Existing Owners, the initial Series A Purchasers or their respective Affiliates;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for the sake of clarity, no Partnership Restructuring Event shall constitute a Series A Change of Control.</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Date</w:t>
      </w:r>
      <w:r>
        <w:rPr>
          <w:rFonts w:ascii="Times New Roman" w:cs="Times New Roman" w:eastAsia="Times New Roman" w:hAnsi="Times New Roman"/>
          <w:sz w:val="18"/>
          <w:szCs w:val="18"/>
          <w:color w:val="auto"/>
        </w:rPr>
        <w:t>” has the meaning assigned to such term in Section 5.14(b)(vi)(D).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Notice</w:t>
      </w:r>
      <w:r>
        <w:rPr>
          <w:rFonts w:ascii="Times New Roman" w:cs="Times New Roman" w:eastAsia="Times New Roman" w:hAnsi="Times New Roman"/>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Notice Date</w:t>
      </w:r>
      <w:r>
        <w:rPr>
          <w:rFonts w:ascii="Times New Roman" w:cs="Times New Roman" w:eastAsia="Times New Roman" w:hAnsi="Times New Roman"/>
          <w:sz w:val="18"/>
          <w:szCs w:val="18"/>
          <w:color w:val="auto"/>
        </w:rPr>
        <w:t>” has the meaning assigned to such term in Section 5.14(b)(vi)(C).</w:t>
      </w:r>
    </w:p>
    <w:p>
      <w:pPr>
        <w:spacing w:after="0" w:line="225" w:lineRule="exact"/>
        <w:rPr>
          <w:sz w:val="20"/>
          <w:szCs w:val="20"/>
          <w:color w:val="auto"/>
        </w:rPr>
      </w:pPr>
    </w:p>
    <w:p>
      <w:pPr>
        <w:ind w:right="2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Rate</w:t>
      </w:r>
      <w:r>
        <w:rPr>
          <w:rFonts w:ascii="Times New Roman" w:cs="Times New Roman" w:eastAsia="Times New Roman" w:hAnsi="Times New Roman"/>
          <w:sz w:val="18"/>
          <w:szCs w:val="18"/>
          <w:color w:val="auto"/>
        </w:rPr>
        <w:t>” means the number of Common Units issuable upon the conversion of each Series A Preferred Unit, which shall be 1.0 unless and until such rate is adjusted as set forth in Section 5.14(b)(vi)(E).</w:t>
      </w:r>
    </w:p>
    <w:p>
      <w:pPr>
        <w:spacing w:after="0" w:line="158"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Conversion Unit</w:t>
      </w:r>
      <w:r>
        <w:rPr>
          <w:rFonts w:ascii="Times New Roman" w:cs="Times New Roman" w:eastAsia="Times New Roman" w:hAnsi="Times New Roman"/>
          <w:sz w:val="18"/>
          <w:szCs w:val="18"/>
          <w:color w:val="auto"/>
        </w:rPr>
        <w:t>” means a Common Unit issued upon conversion of a Series A Preferred Unit pursuant to Section 5.14(b)(vi). Immediately upon such issuance, each Series A Conversion Unit shall be considered a Common Unit for all purposes hereunder.</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Converting Unitholder</w:t>
      </w:r>
      <w:r>
        <w:rPr>
          <w:rFonts w:ascii="Times New Roman" w:cs="Times New Roman" w:eastAsia="Times New Roman" w:hAnsi="Times New Roman"/>
          <w:sz w:val="18"/>
          <w:szCs w:val="18"/>
          <w:color w:val="auto"/>
        </w:rPr>
        <w:t>” means a Person entitled to receive Common Units upon conversion of any Series A Preferred Units.</w:t>
      </w:r>
    </w:p>
    <w:p>
      <w:pPr>
        <w:spacing w:after="0" w:line="225" w:lineRule="exact"/>
        <w:rPr>
          <w:sz w:val="20"/>
          <w:szCs w:val="20"/>
          <w:color w:val="auto"/>
        </w:rPr>
      </w:pPr>
    </w:p>
    <w:p>
      <w:pPr>
        <w:ind w:right="140" w:firstLine="689"/>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Distribution Amount</w:t>
      </w:r>
      <w:r>
        <w:rPr>
          <w:rFonts w:ascii="Times New Roman" w:cs="Times New Roman" w:eastAsia="Times New Roman" w:hAnsi="Times New Roman"/>
          <w:sz w:val="18"/>
          <w:szCs w:val="18"/>
          <w:color w:val="auto"/>
        </w:rPr>
        <w:t>” means, subject to adjustment in accordance with Section 5.14(b)(ix), an amount per Quarter per Series A Preferred Unit equal to $0.525, which amount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be paid in additional Series A Preferred Units, cash or a combination thereof during the Initial Distribution Period as provided in Section 5.14(b)(1)(A).</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Distribution Payment Date</w:t>
      </w:r>
      <w:r>
        <w:rPr>
          <w:rFonts w:ascii="Times New Roman" w:cs="Times New Roman" w:eastAsia="Times New Roman" w:hAnsi="Times New Roman"/>
          <w:sz w:val="18"/>
          <w:szCs w:val="18"/>
          <w:color w:val="auto"/>
        </w:rPr>
        <w:t>” has the meaning assigned to such term in Section 5.14(b)(i)(A).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Forced Conversion Notice</w:t>
      </w:r>
      <w:r>
        <w:rPr>
          <w:rFonts w:ascii="Times New Roman" w:cs="Times New Roman" w:eastAsia="Times New Roman" w:hAnsi="Times New Roman"/>
          <w:sz w:val="18"/>
          <w:szCs w:val="18"/>
          <w:color w:val="auto"/>
        </w:rPr>
        <w:t>” has the meaning assigned to such term in Section 5.14(b)(vi)(C).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Forced Conversion Notice Date</w:t>
      </w:r>
      <w:r>
        <w:rPr>
          <w:rFonts w:ascii="Times New Roman" w:cs="Times New Roman" w:eastAsia="Times New Roman" w:hAnsi="Times New Roman"/>
          <w:sz w:val="18"/>
          <w:szCs w:val="18"/>
          <w:color w:val="auto"/>
        </w:rPr>
        <w:t>” has the meaning assigned to such term in Section 5.14(b)(vi)(C).</w:t>
      </w:r>
    </w:p>
    <w:p>
      <w:pPr>
        <w:spacing w:after="0" w:line="1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“Series A GP Distribution Amount” </w:t>
      </w:r>
      <w:r>
        <w:rPr>
          <w:rFonts w:ascii="Times New Roman" w:cs="Times New Roman" w:eastAsia="Times New Roman" w:hAnsi="Times New Roman"/>
          <w:sz w:val="18"/>
          <w:szCs w:val="18"/>
          <w:color w:val="auto"/>
        </w:rPr>
        <w:t>means an amount equal to 2/98</w:t>
      </w:r>
      <w:r>
        <w:rPr>
          <w:rFonts w:ascii="Times New Roman" w:cs="Times New Roman" w:eastAsia="Times New Roman" w:hAnsi="Times New Roman"/>
          <w:sz w:val="23"/>
          <w:szCs w:val="23"/>
          <w:color w:val="auto"/>
          <w:vertAlign w:val="superscript"/>
        </w:rPr>
        <w:t>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each Series A Distribution Amount, or the portion thereof, that is paid in</w:t>
      </w:r>
    </w:p>
    <w:p>
      <w:pPr>
        <w:spacing w:after="0"/>
        <w:rPr>
          <w:sz w:val="20"/>
          <w:szCs w:val="20"/>
          <w:color w:val="auto"/>
        </w:rPr>
      </w:pPr>
      <w:r>
        <w:rPr>
          <w:rFonts w:ascii="Times New Roman" w:cs="Times New Roman" w:eastAsia="Times New Roman" w:hAnsi="Times New Roman"/>
          <w:sz w:val="18"/>
          <w:szCs w:val="18"/>
          <w:color w:val="auto"/>
        </w:rPr>
        <w:t>cash.</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“Series A IDR Floor Amount” </w:t>
      </w:r>
      <w:r>
        <w:rPr>
          <w:rFonts w:ascii="Times New Roman" w:cs="Times New Roman" w:eastAsia="Times New Roman" w:hAnsi="Times New Roman"/>
          <w:sz w:val="18"/>
          <w:szCs w:val="18"/>
          <w:color w:val="auto"/>
        </w:rPr>
        <w:t>means the amount that would be distributed with respect to a given Quarter (prior to giving effect to</w:t>
      </w:r>
    </w:p>
    <w:p>
      <w:pPr>
        <w:spacing w:after="0" w:line="2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Section 6.4(g) hereof) to the holder(s) of the Incentive Distribution Rights pursuant to Sections 6.4(a)(ii)-(iv) by virtue of the distribution payable with respect to such Quarter on a single Common Unit pursuant to Section 6.4(a), but only to the extent such Common Unit distribution does not exceed $0.70 per Common Unit (the $0.70 per Common Unit and resulting $0.37904 per Unit referenced below being the “Per Unit Floor Amounts”); it being understood that for the sake of clarity the Series A IDR Floor Amount shall be expressed on a per Unit basis and may not exceed $0.37904 per Unit (which is the Incentive Distribution Right payment amount associated with the payment under Section 6.4(a) of a Common Unit distribution of $0.70 on a single Common Unit); provided, further that such Per Unit Floor Amounts shall be subject to adjustment in accordance with Sections 6.6 and 6.9.</w:t>
      </w:r>
    </w:p>
    <w:p>
      <w:pPr>
        <w:spacing w:after="0" w:line="188" w:lineRule="exact"/>
        <w:rPr>
          <w:sz w:val="20"/>
          <w:szCs w:val="20"/>
          <w:color w:val="auto"/>
        </w:rPr>
      </w:pPr>
    </w:p>
    <w:p>
      <w:pPr>
        <w:ind w:right="16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“Series A IDR Reduction Amount” </w:t>
      </w:r>
      <w:r>
        <w:rPr>
          <w:rFonts w:ascii="Times New Roman" w:cs="Times New Roman" w:eastAsia="Times New Roman" w:hAnsi="Times New Roman"/>
          <w:sz w:val="18"/>
          <w:szCs w:val="18"/>
          <w:color w:val="auto"/>
        </w:rPr>
        <w:t>means, with respect to a given Quarter (and commencing with the first Quarter with respect to which a payment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made on the Series A IDR Reduction Commencement Date), an amount equal to the product of (a) the total number of Series A Conversion Units Outstanding as of the Record Date for such Quarter and (b) the Series A IDR Floor Amount.</w:t>
      </w:r>
    </w:p>
    <w:p>
      <w:pPr>
        <w:spacing w:after="0" w:line="174"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“Series A IDR Reduction Commencement Date” </w:t>
      </w:r>
      <w:r>
        <w:rPr>
          <w:rFonts w:ascii="Times New Roman" w:cs="Times New Roman" w:eastAsia="Times New Roman" w:hAnsi="Times New Roman"/>
          <w:sz w:val="18"/>
          <w:szCs w:val="18"/>
          <w:color w:val="auto"/>
        </w:rPr>
        <w:t>means the first Quarterly payment date on which distributions with respect to a Series A Conversion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 are made pursuant to Section 6.4(a).</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Issuance Date</w:t>
      </w:r>
      <w:r>
        <w:rPr>
          <w:rFonts w:ascii="Times New Roman" w:cs="Times New Roman" w:eastAsia="Times New Roman" w:hAnsi="Times New Roman"/>
          <w:sz w:val="18"/>
          <w:szCs w:val="18"/>
          <w:color w:val="auto"/>
        </w:rPr>
        <w:t>” means January 28, 2016.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Issue Price</w:t>
      </w:r>
      <w:r>
        <w:rPr>
          <w:rFonts w:ascii="Times New Roman" w:cs="Times New Roman" w:eastAsia="Times New Roman" w:hAnsi="Times New Roman"/>
          <w:sz w:val="18"/>
          <w:szCs w:val="18"/>
          <w:color w:val="auto"/>
        </w:rPr>
        <w:t>” means $26.25 per Series A Preferred Unit.</w:t>
      </w:r>
    </w:p>
    <w:p>
      <w:pPr>
        <w:spacing w:after="0" w:line="225" w:lineRule="exact"/>
        <w:rPr>
          <w:sz w:val="20"/>
          <w:szCs w:val="20"/>
          <w:color w:val="auto"/>
        </w:rPr>
      </w:pPr>
    </w:p>
    <w:p>
      <w:pPr>
        <w:ind w:right="10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Liquidation Value</w:t>
      </w:r>
      <w:r>
        <w:rPr>
          <w:rFonts w:ascii="Times New Roman" w:cs="Times New Roman" w:eastAsia="Times New Roman" w:hAnsi="Times New Roman"/>
          <w:sz w:val="18"/>
          <w:szCs w:val="18"/>
          <w:color w:val="auto"/>
        </w:rPr>
        <w:t>” means, with respect to each Series A Preferred Unit Outstanding as of the date of such determination, an amount equal to the sum of (i) the Series A Issue Price, plus (ii) all Series A Unpaid Cash Distributions and any accrued and unpaid Series A PIK Preferred Units, plus (iii) all accrued but unpaid distributions on such Series A Preferred Unit with respect to the Quarter in which the liquidation occurs.</w:t>
      </w:r>
    </w:p>
    <w:p>
      <w:pPr>
        <w:sectPr>
          <w:pgSz w:w="11900" w:h="16838" w:orient="portrait"/>
          <w:cols w:equalWidth="0" w:num="1">
            <w:col w:w="11420"/>
          </w:cols>
          <w:pgMar w:left="240" w:top="121" w:right="239" w:bottom="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Parity Equivalent Units</w:t>
      </w:r>
      <w:r>
        <w:rPr>
          <w:rFonts w:ascii="Times New Roman" w:cs="Times New Roman" w:eastAsia="Times New Roman" w:hAnsi="Times New Roman"/>
          <w:sz w:val="18"/>
          <w:szCs w:val="18"/>
          <w:color w:val="auto"/>
        </w:rPr>
        <w:t>” has the meaning assigned to such term in Section 5.14(b)(iv).</w:t>
      </w:r>
    </w:p>
    <w:p>
      <w:pPr>
        <w:spacing w:after="0" w:line="225" w:lineRule="exact"/>
        <w:rPr>
          <w:sz w:val="20"/>
          <w:szCs w:val="20"/>
          <w:color w:val="auto"/>
        </w:rPr>
      </w:pPr>
    </w:p>
    <w:p>
      <w:pPr>
        <w:ind w:right="44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Parity Securities</w:t>
      </w:r>
      <w:r>
        <w:rPr>
          <w:rFonts w:ascii="Times New Roman" w:cs="Times New Roman" w:eastAsia="Times New Roman" w:hAnsi="Times New Roman"/>
          <w:sz w:val="18"/>
          <w:szCs w:val="18"/>
          <w:color w:val="auto"/>
        </w:rPr>
        <w:t>” means any class or series of Partnership Interests that, with respect to distributions on such Partnership Interests or distributions upon liquidation of the Partnership, ranks pari passu with the Series A Preferred Units, but excluding the General Partner Interest.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“Series A PIK Units” </w:t>
      </w:r>
      <w:r>
        <w:rPr>
          <w:rFonts w:ascii="Times New Roman" w:cs="Times New Roman" w:eastAsia="Times New Roman" w:hAnsi="Times New Roman"/>
          <w:sz w:val="18"/>
          <w:szCs w:val="18"/>
          <w:color w:val="auto"/>
        </w:rPr>
        <w:t>means any Series A Preferred Units issued pursuant to a Series A Quarterly Distribution in accordance with Section 5.14(b)(i)</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“Series A PIK Payment Date” </w:t>
      </w:r>
      <w:r>
        <w:rPr>
          <w:rFonts w:ascii="Times New Roman" w:cs="Times New Roman" w:eastAsia="Times New Roman" w:hAnsi="Times New Roman"/>
          <w:sz w:val="18"/>
          <w:szCs w:val="18"/>
          <w:color w:val="auto"/>
        </w:rPr>
        <w:t>has the meaning assigned to such term in Section 5.14(b)(i)(E).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Preferred Unitholder</w:t>
      </w:r>
      <w:r>
        <w:rPr>
          <w:rFonts w:ascii="Times New Roman" w:cs="Times New Roman" w:eastAsia="Times New Roman" w:hAnsi="Times New Roman"/>
          <w:sz w:val="18"/>
          <w:szCs w:val="18"/>
          <w:color w:val="auto"/>
        </w:rPr>
        <w:t>” means a Record Holder of Series A Preferred Units.</w:t>
      </w:r>
    </w:p>
    <w:p>
      <w:pPr>
        <w:spacing w:after="0" w:line="22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Preferred Units</w:t>
      </w:r>
      <w:r>
        <w:rPr>
          <w:rFonts w:ascii="Times New Roman" w:cs="Times New Roman" w:eastAsia="Times New Roman" w:hAnsi="Times New Roman"/>
          <w:sz w:val="18"/>
          <w:szCs w:val="18"/>
          <w:color w:val="auto"/>
        </w:rPr>
        <w:t>” has the meaning assigned to such term in Section 5.14(a).</w:t>
      </w:r>
    </w:p>
    <w:p>
      <w:pPr>
        <w:spacing w:after="0" w:line="225" w:lineRule="exact"/>
        <w:rPr>
          <w:sz w:val="20"/>
          <w:szCs w:val="20"/>
          <w:color w:val="auto"/>
        </w:rPr>
      </w:pPr>
    </w:p>
    <w:p>
      <w:pPr>
        <w:ind w:right="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Purchase Agreement</w:t>
      </w:r>
      <w:r>
        <w:rPr>
          <w:rFonts w:ascii="Times New Roman" w:cs="Times New Roman" w:eastAsia="Times New Roman" w:hAnsi="Times New Roman"/>
          <w:sz w:val="18"/>
          <w:szCs w:val="18"/>
          <w:color w:val="auto"/>
        </w:rPr>
        <w:t>” means the Series A Preferred Unit Purchase Agreement, dated as of January 12, 2016, by and among the Partnership and the Series A Purchasers, as amended.</w:t>
      </w:r>
    </w:p>
    <w:p>
      <w:pPr>
        <w:spacing w:after="0" w:line="158"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Purchasers</w:t>
      </w:r>
      <w:r>
        <w:rPr>
          <w:rFonts w:ascii="Times New Roman" w:cs="Times New Roman" w:eastAsia="Times New Roman" w:hAnsi="Times New Roman"/>
          <w:sz w:val="18"/>
          <w:szCs w:val="18"/>
          <w:color w:val="auto"/>
        </w:rPr>
        <w:t>” means those Persons set forth on Schedule A to the Series A Purchase Agreement, and their permitted assigns in accordance with the Series A Purchase Agreement and this Agreement.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Quarterly Distribution</w:t>
      </w:r>
      <w:r>
        <w:rPr>
          <w:rFonts w:ascii="Times New Roman" w:cs="Times New Roman" w:eastAsia="Times New Roman" w:hAnsi="Times New Roman"/>
          <w:sz w:val="18"/>
          <w:szCs w:val="18"/>
          <w:color w:val="auto"/>
        </w:rPr>
        <w:t>” has the meaning assigned to such term in Section 5.14(b)(i)(A).</w:t>
      </w:r>
    </w:p>
    <w:p>
      <w:pPr>
        <w:spacing w:after="0" w:line="225" w:lineRule="exact"/>
        <w:rPr>
          <w:sz w:val="20"/>
          <w:szCs w:val="20"/>
          <w:color w:val="auto"/>
        </w:rPr>
      </w:pPr>
    </w:p>
    <w:p>
      <w:pPr>
        <w:ind w:right="6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Required Voting Percentage</w:t>
      </w:r>
      <w:r>
        <w:rPr>
          <w:rFonts w:ascii="Times New Roman" w:cs="Times New Roman" w:eastAsia="Times New Roman" w:hAnsi="Times New Roman"/>
          <w:sz w:val="18"/>
          <w:szCs w:val="18"/>
          <w:color w:val="auto"/>
        </w:rPr>
        <w:t>” means 75% or more of the Outstanding Series A Preferred Units, voting separately as a class based upon one vote per Series A Preferred Unit.</w:t>
      </w:r>
    </w:p>
    <w:p>
      <w:pPr>
        <w:spacing w:after="0" w:line="158" w:lineRule="exact"/>
        <w:rPr>
          <w:sz w:val="20"/>
          <w:szCs w:val="20"/>
          <w:color w:val="auto"/>
        </w:rPr>
      </w:pPr>
    </w:p>
    <w:p>
      <w:pPr>
        <w:ind w:right="480"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Reset Amount</w:t>
      </w:r>
      <w:r>
        <w:rPr>
          <w:rFonts w:ascii="Times New Roman" w:cs="Times New Roman" w:eastAsia="Times New Roman" w:hAnsi="Times New Roman"/>
          <w:sz w:val="18"/>
          <w:szCs w:val="18"/>
          <w:color w:val="auto"/>
        </w:rPr>
        <w:t>” means a cash amount per Series A Preferred Unit equal to the amount that would be payable per Quarter if a Series A Preferred Unit accrued interest on the face amount thereof at an annualized rate equal to then applicable rate for ten year U.S. Treasury Securities, as determined by the General Partner, plus 5.85%.</w:t>
      </w:r>
    </w:p>
    <w:p>
      <w:pPr>
        <w:spacing w:after="0" w:line="174"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Senior Securities</w:t>
      </w:r>
      <w:r>
        <w:rPr>
          <w:rFonts w:ascii="Times New Roman" w:cs="Times New Roman" w:eastAsia="Times New Roman" w:hAnsi="Times New Roman"/>
          <w:sz w:val="18"/>
          <w:szCs w:val="18"/>
          <w:color w:val="auto"/>
        </w:rPr>
        <w:t>” means any class or series of Partnership Interests that, with respect to distributions on such Partnership Interests or distributions upon liquidation of the Partnership, ranks senior to the Series A Preferred Units, but excluding the General Partner Interest.</w:t>
      </w:r>
    </w:p>
    <w:p>
      <w:pPr>
        <w:spacing w:after="0" w:line="158" w:lineRule="exact"/>
        <w:rPr>
          <w:sz w:val="20"/>
          <w:szCs w:val="20"/>
          <w:color w:val="auto"/>
        </w:rPr>
      </w:pPr>
    </w:p>
    <w:p>
      <w:pPr>
        <w:ind w:right="80"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Trigger Event</w:t>
      </w:r>
      <w:r>
        <w:rPr>
          <w:rFonts w:ascii="Times New Roman" w:cs="Times New Roman" w:eastAsia="Times New Roman" w:hAnsi="Times New Roman"/>
          <w:sz w:val="18"/>
          <w:szCs w:val="18"/>
          <w:color w:val="auto"/>
        </w:rPr>
        <w:t>” means any time at which distributions payable on the Series A Preferred Units have not been declared and paid in full with respect to three full Quarters, without regard as to whether such Quarters are consecutive.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Series A Unpaid Cash Distributions</w:t>
      </w:r>
      <w:r>
        <w:rPr>
          <w:rFonts w:ascii="Times New Roman" w:cs="Times New Roman" w:eastAsia="Times New Roman" w:hAnsi="Times New Roman"/>
          <w:sz w:val="18"/>
          <w:szCs w:val="18"/>
          <w:color w:val="auto"/>
        </w:rPr>
        <w:t>” has the meaning assigned to such term in Section 5.14(b)(i)(B).</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“Share of Additional Book Basis Derivative Items” </w:t>
      </w:r>
      <w:r>
        <w:rPr>
          <w:rFonts w:ascii="Times New Roman" w:cs="Times New Roman" w:eastAsia="Times New Roman" w:hAnsi="Times New Roman"/>
          <w:sz w:val="18"/>
          <w:szCs w:val="18"/>
          <w:color w:val="auto"/>
        </w:rPr>
        <w:t>means in connection with any allocation of Additional Book Basis Derivative Items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taxable period, (i) with respect to the Unitholders, the amount that bears the same ratio to such Additional Book Basis Derivative Items as the Unitholders’ Remaining Net Positive Adjustments as of the end of such period bears to the Aggregate Remaining Net Positive Adjustments as of that time, (ii) with respect to the General Partner (as holder of the General Partner Interest), the amount that bears the same ratio to such additional Book Basis Derivative Items as the General Partner’s Remaining Net Positive Adjustments as of the end of such period bears to the Aggregate Remaining Net Positive Adjustment as of that time, and (iii) with respect to the Partners holding Incentive Distribution Rights, the amount that bears the same ratio to such Additional Book Basis Derivative Items as the Remaining Net Positive Adjustments of the Partners holding the Incentive Distribution Rights as of the end of such period bears to the Aggregate Remaining Net Positive Adjustments as of that time.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“Special Approval” </w:t>
      </w:r>
      <w:r>
        <w:rPr>
          <w:rFonts w:ascii="Times New Roman" w:cs="Times New Roman" w:eastAsia="Times New Roman" w:hAnsi="Times New Roman"/>
          <w:sz w:val="18"/>
          <w:szCs w:val="18"/>
          <w:color w:val="auto"/>
        </w:rPr>
        <w:t>means approval by a majority of the members of the Conflicts Committee.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“Split Date” </w:t>
      </w:r>
      <w:r>
        <w:rPr>
          <w:rFonts w:ascii="Times New Roman" w:cs="Times New Roman" w:eastAsia="Times New Roman" w:hAnsi="Times New Roman"/>
          <w:sz w:val="18"/>
          <w:szCs w:val="18"/>
          <w:color w:val="auto"/>
        </w:rPr>
        <w:t>means October 1, 2012.</w:t>
      </w:r>
    </w:p>
    <w:p>
      <w:pPr>
        <w:spacing w:after="0" w:line="22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with respect to any Person, (a) a corporation of which more than 50% of the voting power of shares entitled (without regard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occurrence of any contingency) to vote in the election of directors or other governing body of such corporation is owned, directly or indirectly, at the date of determination, by such Person, by one or more Subsidiaries of such Person or a combination thereof, (b) a partnership (whether general or limited) in which such Person or a Subsidiary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of such Person, or a combination thereof, or (c) any other Person (other than a corporation or a partnership) in which such Person, one or more Subsidiaries of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Substantially Equivalent Unit</w:t>
      </w:r>
      <w:r>
        <w:rPr>
          <w:rFonts w:ascii="Times New Roman" w:cs="Times New Roman" w:eastAsia="Times New Roman" w:hAnsi="Times New Roman"/>
          <w:sz w:val="18"/>
          <w:szCs w:val="18"/>
          <w:color w:val="auto"/>
        </w:rPr>
        <w:t>” has the meaning assigned to such term in Section 5.14(b)(vii)(B)(2).</w:t>
      </w:r>
    </w:p>
    <w:p>
      <w:pPr>
        <w:spacing w:after="0" w:line="225" w:lineRule="exact"/>
        <w:rPr>
          <w:sz w:val="20"/>
          <w:szCs w:val="20"/>
          <w:color w:val="auto"/>
        </w:rPr>
      </w:pPr>
    </w:p>
    <w:p>
      <w:pPr>
        <w:ind w:right="10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“Substituted Limited Partner” </w:t>
      </w:r>
      <w:r>
        <w:rPr>
          <w:rFonts w:ascii="Times New Roman" w:cs="Times New Roman" w:eastAsia="Times New Roman" w:hAnsi="Times New Roman"/>
          <w:sz w:val="18"/>
          <w:szCs w:val="18"/>
          <w:color w:val="auto"/>
        </w:rPr>
        <w:t>means a Person who is admitted as a Limited Partner to the Partnership pursuant to Section 10.2 in place of and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the rights of a Limited Partner and who is shown as a Limited Partner on the books and records of the Partnership.</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“Surviving Business Entity” </w:t>
      </w:r>
      <w:r>
        <w:rPr>
          <w:rFonts w:ascii="Times New Roman" w:cs="Times New Roman" w:eastAsia="Times New Roman" w:hAnsi="Times New Roman"/>
          <w:sz w:val="18"/>
          <w:szCs w:val="18"/>
          <w:color w:val="auto"/>
        </w:rPr>
        <w:t>has the meaning assigned to such term in Section 14.2(b).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“Trading Day” </w:t>
      </w:r>
      <w:r>
        <w:rPr>
          <w:rFonts w:ascii="Times New Roman" w:cs="Times New Roman" w:eastAsia="Times New Roman" w:hAnsi="Times New Roman"/>
          <w:sz w:val="18"/>
          <w:szCs w:val="18"/>
          <w:color w:val="auto"/>
        </w:rPr>
        <w:t>has the meaning assigned to such term in Section 15.1(a).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“Transfer” </w:t>
      </w:r>
      <w:r>
        <w:rPr>
          <w:rFonts w:ascii="Times New Roman" w:cs="Times New Roman" w:eastAsia="Times New Roman" w:hAnsi="Times New Roman"/>
          <w:sz w:val="18"/>
          <w:szCs w:val="18"/>
          <w:color w:val="auto"/>
        </w:rPr>
        <w:t>has the meaning assigned to such term in Section 4.4(a).</w:t>
      </w:r>
    </w:p>
    <w:p>
      <w:pPr>
        <w:sectPr>
          <w:pgSz w:w="11900" w:h="16838" w:orient="portrait"/>
          <w:cols w:equalWidth="0" w:num="1">
            <w:col w:w="11400"/>
          </w:cols>
          <w:pgMar w:left="240" w:top="578" w:right="259" w:bottom="0" w:gutter="0" w:footer="0" w:header="0"/>
        </w:sectPr>
      </w:pPr>
    </w:p>
    <w:bookmarkStart w:id="20" w:name="page21"/>
    <w:bookmarkEnd w:id="20"/>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 Agent” </w:t>
      </w:r>
      <w:r>
        <w:rPr>
          <w:rFonts w:ascii="Times New Roman" w:cs="Times New Roman" w:eastAsia="Times New Roman" w:hAnsi="Times New Roman"/>
          <w:sz w:val="18"/>
          <w:szCs w:val="18"/>
          <w:color w:val="auto"/>
        </w:rPr>
        <w:t>means such bank, trust company or other Person (including the General Partner or one of its Affiliates) as shall be appointed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to time by the Partnership to act as registrar and transfer agent for the Common Units or other class of Partnership Securities; provided that if no Transfer Agent is specifically designated for any class of Partnership Securities, the General Partner shall act in such capacity.</w:t>
      </w:r>
    </w:p>
    <w:p>
      <w:pPr>
        <w:spacing w:after="0" w:line="174" w:lineRule="exact"/>
        <w:rPr>
          <w:sz w:val="20"/>
          <w:szCs w:val="20"/>
          <w:color w:val="auto"/>
        </w:rPr>
      </w:pPr>
    </w:p>
    <w:p>
      <w:pPr>
        <w:ind w:right="54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“Transfer Application” </w:t>
      </w:r>
      <w:r>
        <w:rPr>
          <w:rFonts w:ascii="Times New Roman" w:cs="Times New Roman" w:eastAsia="Times New Roman" w:hAnsi="Times New Roman"/>
          <w:sz w:val="18"/>
          <w:szCs w:val="18"/>
          <w:color w:val="auto"/>
        </w:rPr>
        <w:t>means an application and agreement for transfer of Units in the form set forth on the back of a Certificate or in a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substantially to the same effect in a separate instrument.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“Underwriter” </w:t>
      </w:r>
      <w:r>
        <w:rPr>
          <w:rFonts w:ascii="Times New Roman" w:cs="Times New Roman" w:eastAsia="Times New Roman" w:hAnsi="Times New Roman"/>
          <w:sz w:val="18"/>
          <w:szCs w:val="18"/>
          <w:color w:val="auto"/>
        </w:rPr>
        <w:t>means each Person named as an underwriter in Schedule I to the Underwriting Agreement who purchases Common Units pursuant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5" w:lineRule="exact"/>
        <w:rPr>
          <w:sz w:val="20"/>
          <w:szCs w:val="20"/>
          <w:color w:val="auto"/>
        </w:rPr>
      </w:pPr>
    </w:p>
    <w:p>
      <w:pPr>
        <w:ind w:right="4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“Underwriting Agreement” </w:t>
      </w:r>
      <w:r>
        <w:rPr>
          <w:rFonts w:ascii="Times New Roman" w:cs="Times New Roman" w:eastAsia="Times New Roman" w:hAnsi="Times New Roman"/>
          <w:sz w:val="18"/>
          <w:szCs w:val="18"/>
          <w:color w:val="auto"/>
        </w:rPr>
        <w:t>means the Underwriting Agreement dated November 17, 1998 among the Underwriters, the Partnership and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providing for the purchase of Common Units by such Underwriters.</w:t>
      </w:r>
    </w:p>
    <w:p>
      <w:pPr>
        <w:spacing w:after="0" w:line="158" w:lineRule="exact"/>
        <w:rPr>
          <w:sz w:val="20"/>
          <w:szCs w:val="20"/>
          <w:color w:val="auto"/>
        </w:rPr>
      </w:pPr>
    </w:p>
    <w:p>
      <w:pPr>
        <w:ind w:right="4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“Unit” </w:t>
      </w:r>
      <w:r>
        <w:rPr>
          <w:rFonts w:ascii="Times New Roman" w:cs="Times New Roman" w:eastAsia="Times New Roman" w:hAnsi="Times New Roman"/>
          <w:sz w:val="18"/>
          <w:szCs w:val="18"/>
          <w:color w:val="auto"/>
        </w:rPr>
        <w:t>means a Partnership Security that is designated as a</w:t>
      </w:r>
      <w:r>
        <w:rPr>
          <w:rFonts w:ascii="Times New Roman" w:cs="Times New Roman" w:eastAsia="Times New Roman" w:hAnsi="Times New Roman"/>
          <w:sz w:val="18"/>
          <w:szCs w:val="18"/>
          <w:i w:val="1"/>
          <w:iCs w:val="1"/>
          <w:color w:val="auto"/>
        </w:rPr>
        <w:t xml:space="preserve"> “Unit” </w:t>
      </w:r>
      <w:r>
        <w:rPr>
          <w:rFonts w:ascii="Times New Roman" w:cs="Times New Roman" w:eastAsia="Times New Roman" w:hAnsi="Times New Roman"/>
          <w:sz w:val="18"/>
          <w:szCs w:val="18"/>
          <w:color w:val="auto"/>
        </w:rPr>
        <w:t>and shall include Common Units and Series A Preferred Units but shall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(i) a General Partner Interest or (ii) Incentive Distribution Rights.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“Unitholders” </w:t>
      </w:r>
      <w:r>
        <w:rPr>
          <w:rFonts w:ascii="Times New Roman" w:cs="Times New Roman" w:eastAsia="Times New Roman" w:hAnsi="Times New Roman"/>
          <w:sz w:val="18"/>
          <w:szCs w:val="18"/>
          <w:color w:val="auto"/>
        </w:rPr>
        <w:t>means the holders of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“Unit Majority” </w:t>
      </w:r>
      <w:r>
        <w:rPr>
          <w:rFonts w:ascii="Times New Roman" w:cs="Times New Roman" w:eastAsia="Times New Roman" w:hAnsi="Times New Roman"/>
          <w:sz w:val="18"/>
          <w:szCs w:val="18"/>
          <w:color w:val="auto"/>
        </w:rPr>
        <w:t>means at least a majority of the Outstanding Common Units, including the Series A Preferred Units as described in Section 5.14(b)</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(iii)(A).</w:t>
      </w:r>
    </w:p>
    <w:p>
      <w:pPr>
        <w:spacing w:after="0" w:line="2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“Unpaid MQD” </w:t>
      </w:r>
      <w:r>
        <w:rPr>
          <w:rFonts w:ascii="Times New Roman" w:cs="Times New Roman" w:eastAsia="Times New Roman" w:hAnsi="Times New Roman"/>
          <w:sz w:val="18"/>
          <w:szCs w:val="18"/>
          <w:color w:val="auto"/>
        </w:rPr>
        <w:t>has the meaning assigned to such term in Section 6.1(c)(i)(B).</w:t>
      </w:r>
    </w:p>
    <w:p>
      <w:pPr>
        <w:spacing w:after="0" w:line="225" w:lineRule="exact"/>
        <w:rPr>
          <w:sz w:val="20"/>
          <w:szCs w:val="20"/>
          <w:color w:val="auto"/>
        </w:rPr>
      </w:pPr>
    </w:p>
    <w:p>
      <w:pPr>
        <w:ind w:right="20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“Unrealized Gain” </w:t>
      </w:r>
      <w:r>
        <w:rPr>
          <w:rFonts w:ascii="Times New Roman" w:cs="Times New Roman" w:eastAsia="Times New Roman" w:hAnsi="Times New Roman"/>
          <w:sz w:val="18"/>
          <w:szCs w:val="18"/>
          <w:color w:val="auto"/>
        </w:rPr>
        <w:t>attributable to any item of Partnership property means, as of any date of determination, the excess, if any, of (a) the fair 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such property as of such date (as determined under Section 5.5(d)) over (b) the Carrying Value of such property as of such date (prior to any adjustment to be made pursuant to Section 5.5(d) as of such date).</w:t>
      </w:r>
    </w:p>
    <w:p>
      <w:pPr>
        <w:spacing w:after="0" w:line="174" w:lineRule="exact"/>
        <w:rPr>
          <w:sz w:val="20"/>
          <w:szCs w:val="20"/>
          <w:color w:val="auto"/>
        </w:rPr>
      </w:pPr>
    </w:p>
    <w:p>
      <w:pPr>
        <w:ind w:right="240"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“Unrealized Loss” </w:t>
      </w:r>
      <w:r>
        <w:rPr>
          <w:rFonts w:ascii="Times New Roman" w:cs="Times New Roman" w:eastAsia="Times New Roman" w:hAnsi="Times New Roman"/>
          <w:sz w:val="18"/>
          <w:szCs w:val="18"/>
          <w:color w:val="auto"/>
        </w:rPr>
        <w:t>attributable to any item of Partnership property means, as of any date of determination, the excess, if any, of (a) the Carrying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 of such property as of such date (prior to any adjustment to be made pursuant to Section 5.5(d) as of such date) over (b) the fair market value of such property as of such date (as determined under Section 5.5(d)).</w:t>
      </w:r>
    </w:p>
    <w:p>
      <w:pPr>
        <w:spacing w:after="0" w:line="174"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“Unrecovered Capital” </w:t>
      </w:r>
      <w:r>
        <w:rPr>
          <w:rFonts w:ascii="Times New Roman" w:cs="Times New Roman" w:eastAsia="Times New Roman" w:hAnsi="Times New Roman"/>
          <w:sz w:val="18"/>
          <w:szCs w:val="18"/>
          <w:color w:val="auto"/>
        </w:rPr>
        <w:t>means at any time, with respect to a Unit, the Initial Unit Price less the sum of all distributions constituting Capital Surplus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theretofore made in respect of an Initial Common Unit and any distributions of cash (or the Net Agreed Value of any distributions in kind) in connection with the dissolution and liquidation of the Partnership theretofore made in respect of an Initial Common Unit, adjusted as the General Partner determines to be appropriate to give effect to any distribution, subdivision or combination of such Units; provided, with respect to Common Units, upon the Split Date such value shall be reduced by one-half to give effect to the 2012 Unit Split.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“U.S. GAAP” </w:t>
      </w:r>
      <w:r>
        <w:rPr>
          <w:rFonts w:ascii="Times New Roman" w:cs="Times New Roman" w:eastAsia="Times New Roman" w:hAnsi="Times New Roman"/>
          <w:sz w:val="18"/>
          <w:szCs w:val="18"/>
          <w:color w:val="auto"/>
        </w:rPr>
        <w:t>means United States Generally Accepted Accounting Principles consistently applied.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“Withdrawal Opinion of Counsel” </w:t>
      </w:r>
      <w:r>
        <w:rPr>
          <w:rFonts w:ascii="Times New Roman" w:cs="Times New Roman" w:eastAsia="Times New Roman" w:hAnsi="Times New Roman"/>
          <w:sz w:val="18"/>
          <w:szCs w:val="18"/>
          <w:color w:val="auto"/>
        </w:rPr>
        <w:t>has the meaning assigned to such term in Section 11.1(b).</w:t>
      </w:r>
    </w:p>
    <w:p>
      <w:pPr>
        <w:spacing w:after="0" w:line="225" w:lineRule="exact"/>
        <w:rPr>
          <w:sz w:val="20"/>
          <w:szCs w:val="20"/>
          <w:color w:val="auto"/>
        </w:rPr>
      </w:pPr>
    </w:p>
    <w:p>
      <w:pPr>
        <w:ind w:right="1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“Working Capital Borrowings” </w:t>
      </w:r>
      <w:r>
        <w:rPr>
          <w:rFonts w:ascii="Times New Roman" w:cs="Times New Roman" w:eastAsia="Times New Roman" w:hAnsi="Times New Roman"/>
          <w:sz w:val="18"/>
          <w:szCs w:val="18"/>
          <w:color w:val="auto"/>
        </w:rPr>
        <w:t>means borrowings exclusively for working capital purposes made pursuant to a credit facility or other arrangement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requiring all such borrowings thereunder to be reduced to a relatively small amount each year for an economically meaningful period of time.</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7"/>
          <w:szCs w:val="17"/>
          <w:i w:val="1"/>
          <w:iCs w:val="1"/>
          <w:color w:val="auto"/>
        </w:rPr>
        <w:t>Construction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and (c) the term </w:t>
      </w:r>
      <w:r>
        <w:rPr>
          <w:rFonts w:ascii="Times New Roman" w:cs="Times New Roman" w:eastAsia="Times New Roman" w:hAnsi="Times New Roman"/>
          <w:sz w:val="18"/>
          <w:szCs w:val="18"/>
          <w:i w:val="1"/>
          <w:iCs w:val="1"/>
          <w:color w:val="auto"/>
        </w:rPr>
        <w:t>“include”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“includes”</w:t>
      </w:r>
      <w:r>
        <w:rPr>
          <w:rFonts w:ascii="Times New Roman" w:cs="Times New Roman" w:eastAsia="Times New Roman" w:hAnsi="Times New Roman"/>
          <w:sz w:val="18"/>
          <w:szCs w:val="18"/>
          <w:color w:val="auto"/>
        </w:rPr>
        <w:t xml:space="preserve"> means includes, without limitation, and </w:t>
      </w:r>
      <w:r>
        <w:rPr>
          <w:rFonts w:ascii="Times New Roman" w:cs="Times New Roman" w:eastAsia="Times New Roman" w:hAnsi="Times New Roman"/>
          <w:sz w:val="18"/>
          <w:szCs w:val="18"/>
          <w:i w:val="1"/>
          <w:iCs w:val="1"/>
          <w:color w:val="auto"/>
        </w:rPr>
        <w:t>“including”</w:t>
      </w:r>
      <w:r>
        <w:rPr>
          <w:rFonts w:ascii="Times New Roman" w:cs="Times New Roman" w:eastAsia="Times New Roman" w:hAnsi="Times New Roman"/>
          <w:sz w:val="18"/>
          <w:szCs w:val="18"/>
          <w:color w:val="auto"/>
        </w:rPr>
        <w:t xml:space="preserve"> means including, without limitation.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ORGANIZATION</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2.1</w:t>
      </w:r>
      <w:r>
        <w:rPr>
          <w:sz w:val="20"/>
          <w:szCs w:val="20"/>
          <w:color w:val="auto"/>
        </w:rPr>
        <w:tab/>
      </w:r>
      <w:r>
        <w:rPr>
          <w:rFonts w:ascii="Times New Roman" w:cs="Times New Roman" w:eastAsia="Times New Roman" w:hAnsi="Times New Roman"/>
          <w:sz w:val="17"/>
          <w:szCs w:val="17"/>
          <w:i w:val="1"/>
          <w:iCs w:val="1"/>
          <w:color w:val="auto"/>
        </w:rPr>
        <w:t>Formation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The 2001 Predecessor General Partner and the Organizational Limited Partner have previously formed the Partnership as a limited partnership pursuant to the provisions of the Delaware Act. This amendment and restatement shall become effective on the date of this Agreement. Except as expressly provided to the contrary in this Agreement, the rights, duties (including fiduciary duties), liabilities and obligations of the Partners and the administration, dissolution and termination of the Partnership shall be governed by the Delaware Act. All Partnership Interests shall constitute personal property of the owner thereof for all purposes and a Partner has no interest in specific Partnership property.</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2.2</w:t>
      </w:r>
      <w:r>
        <w:rPr>
          <w:sz w:val="20"/>
          <w:szCs w:val="20"/>
          <w:color w:val="auto"/>
        </w:rPr>
        <w:tab/>
      </w:r>
      <w:r>
        <w:rPr>
          <w:rFonts w:ascii="Times New Roman" w:cs="Times New Roman" w:eastAsia="Times New Roman" w:hAnsi="Times New Roman"/>
          <w:sz w:val="17"/>
          <w:szCs w:val="17"/>
          <w:i w:val="1"/>
          <w:iCs w:val="1"/>
          <w:color w:val="auto"/>
        </w:rPr>
        <w:t>Name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The name of the Partnership shall be “Plains All American Pipeline, L.P.” The Partnership’s business may be conducted under any other name or names deemed necessary or appropriate by the General Partner in its sole discretion, including the name of the General Partner. The words “Limited Partnership,” “L.P.,” “Ltd.” or similar words or letters shall be included in the Partnership’s name where necessary for the purpose of complying with the laws</w:t>
      </w:r>
    </w:p>
    <w:p>
      <w:pPr>
        <w:sectPr>
          <w:pgSz w:w="11900" w:h="16937" w:orient="portrait"/>
          <w:cols w:equalWidth="0" w:num="1">
            <w:col w:w="11420"/>
          </w:cols>
          <w:pgMar w:left="240" w:top="337" w:right="239" w:bottom="0" w:gutter="0" w:footer="0" w:header="0"/>
        </w:sectPr>
      </w:pPr>
    </w:p>
    <w:bookmarkStart w:id="21" w:name="page22"/>
    <w:bookmarkEnd w:id="21"/>
    <w:p>
      <w:pPr>
        <w:ind w:right="120"/>
        <w:spacing w:after="0" w:line="282" w:lineRule="auto"/>
        <w:rPr>
          <w:sz w:val="20"/>
          <w:szCs w:val="20"/>
          <w:color w:val="auto"/>
        </w:rPr>
      </w:pPr>
      <w:r>
        <w:rPr>
          <w:rFonts w:ascii="Times New Roman" w:cs="Times New Roman" w:eastAsia="Times New Roman" w:hAnsi="Times New Roman"/>
          <w:sz w:val="18"/>
          <w:szCs w:val="18"/>
          <w:color w:val="auto"/>
        </w:rPr>
        <w:t>of any jurisdiction that so requires. The General Partner in its discretion may change the name of the Partnership at any time and from time to time and shall notify the Limited Partners of such change in the next regular communication to the Limited Partners.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2.3</w:t>
      </w:r>
      <w:r>
        <w:rPr>
          <w:sz w:val="20"/>
          <w:szCs w:val="20"/>
          <w:color w:val="auto"/>
        </w:rPr>
        <w:tab/>
      </w:r>
      <w:r>
        <w:rPr>
          <w:rFonts w:ascii="Times New Roman" w:cs="Times New Roman" w:eastAsia="Times New Roman" w:hAnsi="Times New Roman"/>
          <w:sz w:val="17"/>
          <w:szCs w:val="17"/>
          <w:i w:val="1"/>
          <w:iCs w:val="1"/>
          <w:color w:val="auto"/>
        </w:rPr>
        <w:t>Registered Office; Registered Agent; Principal Office; Other Offices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Unless and until changed by the General Partner, the registered office of the Partnership in the State of Delaware shall be located at 2711 Centerville Road, Suite 400, Wilmington, Delaware 19808, and the registered agent for service of process on the Partnership in the State of Delaware at such registered office shall be The Corporation Service Company. The principal office of the Partnership shall be located at 333 Clay Street, Suite 1600, Houston, Texas 77002 or such other place as the General Partner may from time to time designate by notice to the Limited Partners. The Partnership may maintain offices at such other place or places within or outside the State of Delaware as the General Partner deems necessary or appropriate. The address of the General Partner shall be 333 Clay Street, Suite 1600, Houston, Texas 77002 or such other place as the General Partner may from time to time designate by notice to the Limited Partners.</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2.4</w:t>
      </w:r>
      <w:r>
        <w:rPr>
          <w:sz w:val="20"/>
          <w:szCs w:val="20"/>
          <w:color w:val="auto"/>
        </w:rPr>
        <w:tab/>
      </w:r>
      <w:r>
        <w:rPr>
          <w:rFonts w:ascii="Times New Roman" w:cs="Times New Roman" w:eastAsia="Times New Roman" w:hAnsi="Times New Roman"/>
          <w:sz w:val="17"/>
          <w:szCs w:val="17"/>
          <w:i w:val="1"/>
          <w:iCs w:val="1"/>
          <w:color w:val="auto"/>
        </w:rPr>
        <w:t>Purpose and Business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60" w:firstLine="648"/>
        <w:spacing w:after="0" w:line="252" w:lineRule="auto"/>
        <w:rPr>
          <w:sz w:val="20"/>
          <w:szCs w:val="20"/>
          <w:color w:val="auto"/>
        </w:rPr>
      </w:pPr>
      <w:r>
        <w:rPr>
          <w:rFonts w:ascii="Times New Roman" w:cs="Times New Roman" w:eastAsia="Times New Roman" w:hAnsi="Times New Roman"/>
          <w:sz w:val="18"/>
          <w:szCs w:val="18"/>
          <w:color w:val="auto"/>
        </w:rPr>
        <w:t>The Purpose and nature of the business to be conducted by the Partnership shall be to (a) serve as a partner of either or both of the Operating Partnerships and, in connection therewith, to exercise, on behalf of the Partnership, all the rights and powers held by the Partnership as a partner of an Operating Partnership pursuant to the Operating Partnership Agreement for such Operating Partnership or otherwise, (b) serve as the sole stockholder of the Operating General Partner and in connection therewith, to exercise on behalf of the Partnership all the rights and powers held by the Partnership as the sole stockholder of the Operating General Partner, (c) engage directly in, or enter into or form any corporation, partnership, joint venture, limited liability company or other arrangement to engage indirectly in, any business activity that the Operating Partnerships are permitted to engage in by the Operating Partnership Agreements and, in connection therewith, to exercise all of the rights and powers conferred upon the Partnership pursuant to the agreements relating to such business activity, (d) engage directly in, or enter into or form any corporation, partnership, joint venture, limited liability company or other arrangement to engage indirectly in, any business activity that is approved by the General Partner and which lawfully may be conducted by a limited partnership organized pursuant to the Delaware Act and, in connection therewith, to exercise all of the rights and powers conferred upon the Partnership pursuant to the agreements relating to such business activity; provided, however, that the General Partner reasonably determines, as of the date of the acquisition or commencement of such activity, that such activity (i) generates “qualifying income” (as such term is defined pursuant to Section 7704 of the Code) or (ii) enhances the operations of an activity of any Group Member or a Partnership activity that generates qualifying income, and (e) do anything necessary or appropriate to the foregoing, including the making of capital contributions or loans to a Group Member. The General Partner has no obligation or duty to the Partnership, the Limited Partners, or the Assignees to propose or approve, and in its discretion may decline to propose or approve, the conduct by the Partnership of any business.</w:t>
      </w:r>
    </w:p>
    <w:p>
      <w:pPr>
        <w:spacing w:after="0" w:line="19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2.5</w:t>
      </w:r>
      <w:r>
        <w:rPr>
          <w:sz w:val="20"/>
          <w:szCs w:val="20"/>
          <w:color w:val="auto"/>
        </w:rPr>
        <w:tab/>
      </w:r>
      <w:r>
        <w:rPr>
          <w:rFonts w:ascii="Times New Roman" w:cs="Times New Roman" w:eastAsia="Times New Roman" w:hAnsi="Times New Roman"/>
          <w:sz w:val="17"/>
          <w:szCs w:val="17"/>
          <w:i w:val="1"/>
          <w:iCs w:val="1"/>
          <w:color w:val="auto"/>
        </w:rPr>
        <w:t>Powers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Partnership shall be empowered to do any and all acts and things necessary, appropriate, proper, advisable, incidental to or convenient for the furtherance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accomplishment of the purposes and business described in Section 2.4 and for the protection and benefit of the Partnership.</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2.6</w:t>
      </w:r>
      <w:r>
        <w:rPr>
          <w:sz w:val="20"/>
          <w:szCs w:val="20"/>
          <w:color w:val="auto"/>
        </w:rPr>
        <w:tab/>
      </w:r>
      <w:r>
        <w:rPr>
          <w:rFonts w:ascii="Times New Roman" w:cs="Times New Roman" w:eastAsia="Times New Roman" w:hAnsi="Times New Roman"/>
          <w:sz w:val="17"/>
          <w:szCs w:val="17"/>
          <w:i w:val="1"/>
          <w:iCs w:val="1"/>
          <w:color w:val="auto"/>
        </w:rPr>
        <w:t>Power of Attorney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61" w:lineRule="auto"/>
        <w:tabs>
          <w:tab w:leader="none" w:pos="194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Limited Partner and each Assignee hereby constitutes and appoints the General Partner and, if a Liquidator shall have been selected pursuant to Section 12.3, the Liquidator (and any successor to the Liquidator by merger, transfer, assignment, election or otherwise), and each of their authorized officers and attorneys-in-fact, as the case may be, with full power of substitution, as his true and lawful agent and attorney-in-fact, with full power and authority in his name, place and stead, to:</w:t>
      </w:r>
    </w:p>
    <w:p>
      <w:pPr>
        <w:spacing w:after="0" w:line="180" w:lineRule="exact"/>
        <w:rPr>
          <w:rFonts w:ascii="Times New Roman" w:cs="Times New Roman" w:eastAsia="Times New Roman" w:hAnsi="Times New Roman"/>
          <w:sz w:val="18"/>
          <w:szCs w:val="18"/>
          <w:color w:val="auto"/>
        </w:rPr>
      </w:pPr>
    </w:p>
    <w:p>
      <w:pPr>
        <w:ind w:left="1300" w:right="40" w:firstLine="653"/>
        <w:spacing w:after="0" w:line="253" w:lineRule="auto"/>
        <w:tabs>
          <w:tab w:leader="none" w:pos="261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swear to, acknowledge, deliver, file and record in the appropriate public offices (A) all certificates, documents and other instruments (including this Agreement and the Certificate of Limited Partnership and all amendments or restatements hereof or thereof) that the General Partner or the Liquidator deems necessary or appropriate to form, qualify or continue the existence or qualification of the Partnership as a limited partnership (or a partnership in which the limited partners have limited liability) in the State of Delaware and in all other jurisdictions in which the Partnership may conduct business or own property; (B) all certificates, documents and other instruments that the General Partner or the Liquidator deems necessary or appropriate to reflect, in accordance with its terms, any amendment, change, modification or restatement of this Agreement; (C) all certificates, documents and other instruments (including conveyances and a certificate of cancellation) that the General Partner or the Liquidator deems necessary or appropriate to reflect the dissolution and liquidation of the Partnership pursuant to the terms of this Agreement; (D) all certificates, documents and other instruments relating to the admission, withdrawal, removal or substitution of any Partner pursuant to, or other events described in, Article IV, X, XI or XII; (E) all certificates, documents and other instruments relating to the determination of the rights, preferences and privileges of any class or series of Partnership Securities issued pursuant to Section 5.6; and (F) all certificates, documents and other instruments (including agreements and a certificate of merger) relating to a merger or consolidation of the Partnership pursuant to Article XIV; and</w:t>
      </w:r>
    </w:p>
    <w:p>
      <w:pPr>
        <w:spacing w:after="0" w:line="188" w:lineRule="exact"/>
        <w:rPr>
          <w:rFonts w:ascii="Times New Roman" w:cs="Times New Roman" w:eastAsia="Times New Roman" w:hAnsi="Times New Roman"/>
          <w:sz w:val="18"/>
          <w:szCs w:val="18"/>
          <w:color w:val="auto"/>
        </w:rPr>
      </w:pPr>
    </w:p>
    <w:p>
      <w:pPr>
        <w:ind w:left="1300" w:right="140" w:firstLine="653"/>
        <w:spacing w:after="0" w:line="255" w:lineRule="auto"/>
        <w:tabs>
          <w:tab w:leader="none" w:pos="262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swear to, acknowledge, deliver, file and record all ballots, consents, approvals, waivers, certificates, documents and other instruments necessary or appropriate, in the discretion of the General Partner or the Liquidator, to make, evidence, give, confirm or ratify any vote, consent, approval, agreement or other action that is made or given by the Partners hereunder or is consistent with the terms of this Agreement or is necessary or appropriate, in the discretion of the General Partner or the Liquidator, to effectuate the terms or intent of this Agreement; provided, that when required by Section 13.3 or any other provision of this Agreement that establishes a percentage of the Limited Partners or of the Limited Partners of any class or series required to take any action, the General Partner and the Liquidator may exercise the power of attorney</w:t>
      </w:r>
    </w:p>
    <w:p>
      <w:pPr>
        <w:sectPr>
          <w:pgSz w:w="11900" w:h="16838" w:orient="portrait"/>
          <w:cols w:equalWidth="0" w:num="1">
            <w:col w:w="11420"/>
          </w:cols>
          <w:pgMar w:left="240" w:top="121" w:right="239" w:bottom="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spacing w:after="0" w:line="282" w:lineRule="auto"/>
        <w:rPr>
          <w:sz w:val="20"/>
          <w:szCs w:val="20"/>
          <w:color w:val="auto"/>
        </w:rPr>
      </w:pPr>
      <w:r>
        <w:rPr>
          <w:rFonts w:ascii="Times New Roman" w:cs="Times New Roman" w:eastAsia="Times New Roman" w:hAnsi="Times New Roman"/>
          <w:sz w:val="18"/>
          <w:szCs w:val="18"/>
          <w:color w:val="auto"/>
        </w:rPr>
        <w:t>made in this Section 2.6(a)(ii) only after the necessary vote, consent or approval of the Limited Partners or of the Limited Partners of such class or series, as applicable.</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Nothing contained in this Section 2.6(a) shall be construed as authorizing the General Partner to amend this Agreement except in accordance with Article XIII or as may be otherwise expressly provided for in this Agreement.</w:t>
      </w:r>
    </w:p>
    <w:p>
      <w:pPr>
        <w:spacing w:after="0" w:line="162" w:lineRule="exact"/>
        <w:rPr>
          <w:sz w:val="20"/>
          <w:szCs w:val="20"/>
          <w:color w:val="auto"/>
        </w:rPr>
      </w:pPr>
    </w:p>
    <w:p>
      <w:pPr>
        <w:ind w:firstLine="1305"/>
        <w:spacing w:after="0" w:line="254" w:lineRule="auto"/>
        <w:tabs>
          <w:tab w:leader="none" w:pos="195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power of attorney is hereby declared to be irrevocable and a power coupled with an interest, and it shall survive and, to the maximum extent permitted by law, not be affected by the subsequent death, incompetency, disability, incapacity, dissolution, bankruptcy or termination of any Limited Partner or Assignee and the transfer of all or any portion of such Limited Partner’s or Assignee’s Partnership Interest and shall extend to such Limited Partner’s or Assignee’s heirs, successors, assigns and personal representatives. Each such Limited Partner or Assignee hereby agrees to be bound by any representation made by the General Partner or the Liquidator acting in good faith pursuant to such power of attorney; and each such Limited Partner or Assignee, to the maximum extent permitted by law, hereby waives any and all defenses that may be available to contest, negate or disaffirm the action of the General Partner or the Liquidator taken in good faith under such power of attorney. Each Limited Partner or Assignee shall execute and deliver to the General Partner or the Liquidator, within 15 days after receipt of the request therefor, such further designation, powers of attorney and other instruments as the General Partner or the Liquidator deems necessary to effectuate this Agreement and the purposes of the Partnership.</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2.7</w:t>
      </w:r>
      <w:r>
        <w:rPr>
          <w:sz w:val="20"/>
          <w:szCs w:val="20"/>
          <w:color w:val="auto"/>
        </w:rPr>
        <w:tab/>
      </w:r>
      <w:r>
        <w:rPr>
          <w:rFonts w:ascii="Times New Roman" w:cs="Times New Roman" w:eastAsia="Times New Roman" w:hAnsi="Times New Roman"/>
          <w:sz w:val="16"/>
          <w:szCs w:val="16"/>
          <w:i w:val="1"/>
          <w:iCs w:val="1"/>
          <w:color w:val="auto"/>
        </w:rPr>
        <w:t>Term</w:t>
      </w:r>
      <w:r>
        <w:rPr>
          <w:rFonts w:ascii="Times New Roman" w:cs="Times New Roman" w:eastAsia="Times New Roman" w:hAnsi="Times New Roman"/>
          <w:sz w:val="16"/>
          <w:szCs w:val="16"/>
          <w:color w:val="auto"/>
        </w:rPr>
        <w:t>.</w:t>
      </w:r>
    </w:p>
    <w:p>
      <w:pPr>
        <w:spacing w:after="0" w:line="227"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term of the Partnership commenced upon the filing of the Certificate of Limited Partnership in accordance with the Delaware Act and shall continue in existence until the close of Partnership business on December 31, 2088 or until the earlier dissolution of the Partnership in accordance with the provisions of Article XII. The existence of the Partnership as a separate legal entity shall continue until the cancellation of the Certificate of Limited Partnership as provided in the Delaware Act.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2.8</w:t>
      </w:r>
      <w:r>
        <w:rPr>
          <w:sz w:val="20"/>
          <w:szCs w:val="20"/>
          <w:color w:val="auto"/>
        </w:rPr>
        <w:tab/>
      </w:r>
      <w:r>
        <w:rPr>
          <w:rFonts w:ascii="Times New Roman" w:cs="Times New Roman" w:eastAsia="Times New Roman" w:hAnsi="Times New Roman"/>
          <w:sz w:val="17"/>
          <w:szCs w:val="17"/>
          <w:i w:val="1"/>
          <w:iCs w:val="1"/>
          <w:color w:val="auto"/>
        </w:rPr>
        <w:t>Title to Partnership Assets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Title to Partnership assets, whether real, personal or mixed and whether tangible or intangible, shall be deemed to be owned by the Partnership as an entity, and no Partner or Assignee,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General Partner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provided, however, that the General Partner shall use reasonable efforts to cause record title to such assets (other than those assets in respect of which the General Partner determines that the expense and difficulty of conveyancing makes transfer of</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record title to the Partnership impracticable) to be vested in the Partnership as soon as reasonably practicable; provided, further,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General Partner. All Partnership assets shall be recorded as the property of the Partnership in its books and records, irrespective of the name in which record title to such Partnership assets is held.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RIGHTS OF LIMITED PARTNERS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3.1</w:t>
      </w:r>
      <w:r>
        <w:rPr>
          <w:sz w:val="20"/>
          <w:szCs w:val="20"/>
          <w:color w:val="auto"/>
        </w:rPr>
        <w:tab/>
      </w:r>
      <w:r>
        <w:rPr>
          <w:rFonts w:ascii="Times New Roman" w:cs="Times New Roman" w:eastAsia="Times New Roman" w:hAnsi="Times New Roman"/>
          <w:sz w:val="17"/>
          <w:szCs w:val="17"/>
          <w:i w:val="1"/>
          <w:iCs w:val="1"/>
          <w:color w:val="auto"/>
        </w:rPr>
        <w:t>Limitation of Liability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Limited Partners and the Assignees shall have no liability under this Agreement except as expressly provided in this Agreement or the Delaware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3.2</w:t>
      </w:r>
      <w:r>
        <w:rPr>
          <w:sz w:val="20"/>
          <w:szCs w:val="20"/>
          <w:color w:val="auto"/>
        </w:rPr>
        <w:tab/>
      </w:r>
      <w:r>
        <w:rPr>
          <w:rFonts w:ascii="Times New Roman" w:cs="Times New Roman" w:eastAsia="Times New Roman" w:hAnsi="Times New Roman"/>
          <w:sz w:val="17"/>
          <w:szCs w:val="17"/>
          <w:i w:val="1"/>
          <w:iCs w:val="1"/>
          <w:color w:val="auto"/>
        </w:rPr>
        <w:t>Management of Business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No Limited Partner or Assignee, in its capacity as such, shall participate in the operation, management or control (within the meaning of the Delaware Act) of the Partnership’s business, transact any business in the Partnership’s name or have the power to sign documents for or otherwise bind the Partnership. Any action taken by any Affiliate of the General Partner or any officer, director, employee, member, general partner, agent or trustee of the General Partner or any of its Affiliates, or any officer, director, employee, member, general partner, agent or trustee of a Group Member, in its capacity as such, shall not be deemed to be participation in the control of the business of the Partnership by a limited partner of the Partnership (within the meaning of Section 17-303(a) of the Delaware Act) and shall not affect, impair or eliminate the limitations on the liability of the Limited Partners or Assignees under this Agreement.</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3.3</w:t>
      </w:r>
      <w:r>
        <w:rPr>
          <w:sz w:val="20"/>
          <w:szCs w:val="20"/>
          <w:color w:val="auto"/>
        </w:rPr>
        <w:tab/>
      </w:r>
      <w:r>
        <w:rPr>
          <w:rFonts w:ascii="Times New Roman" w:cs="Times New Roman" w:eastAsia="Times New Roman" w:hAnsi="Times New Roman"/>
          <w:sz w:val="17"/>
          <w:szCs w:val="17"/>
          <w:i w:val="1"/>
          <w:iCs w:val="1"/>
          <w:color w:val="auto"/>
        </w:rPr>
        <w:t>Outside Activities of the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of Section 7.5 and the Omnibus Agreement, which shall continue to be applicable to the Persons referred to therein, regardless of whether such Persons shall also be Limited Partners or Assignees, any Limited Partner or Assignee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or Assignees shall have any rights by virtue of this Agreement in any business ventures of any Limited Partner or Assignee.</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3.4</w:t>
      </w:r>
      <w:r>
        <w:rPr>
          <w:sz w:val="20"/>
          <w:szCs w:val="20"/>
          <w:color w:val="auto"/>
        </w:rPr>
        <w:tab/>
      </w:r>
      <w:r>
        <w:rPr>
          <w:rFonts w:ascii="Times New Roman" w:cs="Times New Roman" w:eastAsia="Times New Roman" w:hAnsi="Times New Roman"/>
          <w:sz w:val="17"/>
          <w:szCs w:val="17"/>
          <w:i w:val="1"/>
          <w:iCs w:val="1"/>
          <w:color w:val="auto"/>
        </w:rPr>
        <w:t>Rights of Limited Partners</w:t>
      </w:r>
      <w:r>
        <w:rPr>
          <w:rFonts w:ascii="Times New Roman" w:cs="Times New Roman" w:eastAsia="Times New Roman" w:hAnsi="Times New Roman"/>
          <w:sz w:val="17"/>
          <w:szCs w:val="17"/>
          <w:color w:val="auto"/>
        </w:rPr>
        <w:t>.</w:t>
      </w:r>
    </w:p>
    <w:p>
      <w:pPr>
        <w:sectPr>
          <w:pgSz w:w="11900" w:h="16838" w:orient="portrait"/>
          <w:cols w:equalWidth="0" w:num="1">
            <w:col w:w="11420"/>
          </w:cols>
          <w:pgMar w:left="240" w:top="121" w:right="239" w:bottom="38" w:gutter="0" w:footer="0" w:header="0"/>
        </w:sectPr>
      </w:pPr>
    </w:p>
    <w:bookmarkStart w:id="23" w:name="page24"/>
    <w:bookmarkEnd w:id="23"/>
    <w:p>
      <w:pPr>
        <w:spacing w:after="0" w:line="32" w:lineRule="exact"/>
        <w:rPr>
          <w:sz w:val="20"/>
          <w:szCs w:val="20"/>
          <w:color w:val="auto"/>
        </w:rPr>
      </w:pPr>
    </w:p>
    <w:p>
      <w:pPr>
        <w:ind w:right="60" w:firstLine="1305"/>
        <w:spacing w:after="0" w:line="266" w:lineRule="auto"/>
        <w:tabs>
          <w:tab w:leader="none" w:pos="194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other rights provided by this Agreement or by applicable law, and except as limited by Section 3.4(b), each Limited Partner shall have the right, for a purpose reasonably related to such Limited Partner’s interest as a limited partner in the Partnership, upon reasonable written demand and at such Limited Partner’s own expense: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true and full information regarding the status of the business and financial condition of the Partnership;</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becoming available, to obtain a copy of the Partnership’s federal, state and local income tax returns for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year;</w:t>
      </w:r>
    </w:p>
    <w:p>
      <w:pPr>
        <w:spacing w:after="0" w:line="206"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furnished to him a current list of the name and last known business, residence or mailing address of each Partner;</w:t>
      </w:r>
    </w:p>
    <w:p>
      <w:pPr>
        <w:spacing w:after="0" w:line="225" w:lineRule="exact"/>
        <w:rPr>
          <w:rFonts w:ascii="Times New Roman" w:cs="Times New Roman" w:eastAsia="Times New Roman" w:hAnsi="Times New Roman"/>
          <w:sz w:val="18"/>
          <w:szCs w:val="18"/>
          <w:color w:val="auto"/>
        </w:rPr>
      </w:pPr>
    </w:p>
    <w:p>
      <w:pPr>
        <w:ind w:left="1300" w:right="60" w:firstLine="653"/>
        <w:spacing w:after="0" w:line="266" w:lineRule="auto"/>
        <w:tabs>
          <w:tab w:leader="none" w:pos="261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furnished to him a copy of this Agreement and the Certificate of Limited Partnership and all amendments thereto, together with a copy of the executed copies of all powers of attorney pursuant to which this Agreement, the Certificate of Limited Partnership and all amendments thereto have been executed;</w:t>
      </w:r>
    </w:p>
    <w:p>
      <w:pPr>
        <w:spacing w:after="0" w:line="176" w:lineRule="exact"/>
        <w:rPr>
          <w:rFonts w:ascii="Times New Roman" w:cs="Times New Roman" w:eastAsia="Times New Roman" w:hAnsi="Times New Roman"/>
          <w:sz w:val="18"/>
          <w:szCs w:val="18"/>
          <w:color w:val="auto"/>
        </w:rPr>
      </w:pPr>
    </w:p>
    <w:p>
      <w:pPr>
        <w:jc w:val="both"/>
        <w:ind w:left="1300" w:right="80" w:firstLine="653"/>
        <w:spacing w:after="0" w:line="266" w:lineRule="auto"/>
        <w:tabs>
          <w:tab w:leader="none" w:pos="26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true and full information regarding the amount of cash and a description and statement of the Net Agreed Value of any other Capital Contribution by each Partner and which each Partner has agreed to contribute in the future, and the date on which each became a Partner; and</w:t>
      </w:r>
    </w:p>
    <w:p>
      <w:pPr>
        <w:spacing w:after="0" w:line="17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such other information regarding the affairs of the Partnership as is just and reasonable.</w:t>
      </w:r>
    </w:p>
    <w:p>
      <w:pPr>
        <w:spacing w:after="0" w:line="225" w:lineRule="exact"/>
        <w:rPr>
          <w:rFonts w:ascii="Times New Roman" w:cs="Times New Roman" w:eastAsia="Times New Roman" w:hAnsi="Times New Roman"/>
          <w:sz w:val="18"/>
          <w:szCs w:val="18"/>
          <w:color w:val="auto"/>
        </w:rPr>
      </w:pPr>
    </w:p>
    <w:p>
      <w:pPr>
        <w:ind w:right="220" w:firstLine="1305"/>
        <w:spacing w:after="0" w:line="258" w:lineRule="auto"/>
        <w:tabs>
          <w:tab w:leader="none" w:pos="1952"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keep confidential from the Limited Partners and Assignees, for such period of time as the General Partner deems reasonable, (i) any information that the General Partner reasonably believes to be in the nature of trade secrets or (ii) other information the disclosure of which the General Partner in good faith believes (A) is not in the best interests of the Partnership Group, (B) could damage the Partnership Group or (C) that any Group Member is required by law or by agreement with any third party to keep confidential (other than agreements with Affiliates of the Partnership the primary purpose of which is to circumvent the obligations set forth in this Section 3.4).</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CERTIFICATES; RECORD HOLDERS; TRANSFER OF PARTNERSHIP INTERESTS; REDEMPTION OF PARTNERSHIP INTERESTS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4.1</w:t>
      </w:r>
      <w:r>
        <w:rPr>
          <w:sz w:val="20"/>
          <w:szCs w:val="20"/>
          <w:color w:val="auto"/>
        </w:rPr>
        <w:tab/>
      </w:r>
      <w:r>
        <w:rPr>
          <w:rFonts w:ascii="Times New Roman" w:cs="Times New Roman" w:eastAsia="Times New Roman" w:hAnsi="Times New Roman"/>
          <w:sz w:val="17"/>
          <w:szCs w:val="17"/>
          <w:i w:val="1"/>
          <w:iCs w:val="1"/>
          <w:color w:val="auto"/>
        </w:rPr>
        <w:t>Certificates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Upon the Partnership’s issuance of Common Units to any Person, the Partnership shall issue one or more Certificates in the name of such Person evidencing the number of such Units being so issued. In addition, (a) upon the General Partner’s request, the Partnership shall issue to it one or more Certificates in the name of the General Partner evidencing its interests in the Partnership and (b) upon the request of any Person owning Incentive Distribution Rights or any other Partnership Securities other than Common Units, the Partnership shall issue to such Person one or more certificates evidencing such Incentive Distribution Rights or other Partnership Securities other than Common Units. Certificates shall be executed on behalf of the Partnership by the Chairman of the Board, President or any Executive Vice President or Vice President and the Secretary or any Assistant Secretary of Plains All American GP LLC. No Common Unit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Certificate shall be valid for any purpose until it has been countersigned by the Transfer Agent; provided, however, that if the General Partner elects to issue Common Units in global form, the Common Unit Certificates shall be valid upon receipt of a certificate from the Transfer Agent certifying that the Common Units have been duly registered in accordance with the directions of the Partnership and the Underwriters. Notwithstanding the foregoing provisions regarding Certificates, the appropriate officers of Plains All American GP LLC on behalf of the Partnership may provide that some or all Common Units may be uncertificated; however, Certificates will be provided to any Unitholder upon such Unitholder’s request.</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4.2</w:t>
      </w:r>
      <w:r>
        <w:rPr>
          <w:sz w:val="20"/>
          <w:szCs w:val="20"/>
          <w:color w:val="auto"/>
        </w:rPr>
        <w:tab/>
      </w:r>
      <w:r>
        <w:rPr>
          <w:rFonts w:ascii="Times New Roman" w:cs="Times New Roman" w:eastAsia="Times New Roman" w:hAnsi="Times New Roman"/>
          <w:sz w:val="17"/>
          <w:szCs w:val="17"/>
          <w:i w:val="1"/>
          <w:iCs w:val="1"/>
          <w:color w:val="auto"/>
        </w:rPr>
        <w:t>Mutilated, Destroyed, Lost or Stolen Certificates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305"/>
        <w:spacing w:after="0" w:line="266" w:lineRule="auto"/>
        <w:tabs>
          <w:tab w:leader="none" w:pos="194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mutilated Certificate is surrendered to the Transfer Agent, the appropriate officers of Plains All American GP LLC on behalf of the Partnership shall execute, and the Transfer Agent shall countersign and deliver in exchange therefor, a new Certificate, or shall deliver other evidence of the issuance of uncertificated Units, evidencing the same number and type of Partnership Securities as the Certificate so surrendered.</w:t>
      </w:r>
    </w:p>
    <w:p>
      <w:pPr>
        <w:spacing w:after="0" w:line="176" w:lineRule="exact"/>
        <w:rPr>
          <w:rFonts w:ascii="Times New Roman" w:cs="Times New Roman" w:eastAsia="Times New Roman" w:hAnsi="Times New Roman"/>
          <w:sz w:val="18"/>
          <w:szCs w:val="18"/>
          <w:color w:val="auto"/>
        </w:rPr>
      </w:pPr>
    </w:p>
    <w:p>
      <w:pPr>
        <w:ind w:right="120" w:firstLine="1305"/>
        <w:spacing w:after="0" w:line="266" w:lineRule="auto"/>
        <w:tabs>
          <w:tab w:leader="none" w:pos="19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 officers of Plains All American GP LLC on behalf of the Partnership shall execute and deliver, and the Transfer Agent shall countersign a new Certificate, or shall deliver other evidence of the issuance of uncertificated Units, in place of any Certificate previously issued if the Record Holder of the Certificate:</w:t>
      </w:r>
    </w:p>
    <w:p>
      <w:pPr>
        <w:spacing w:after="0" w:line="176" w:lineRule="exact"/>
        <w:rPr>
          <w:rFonts w:ascii="Times New Roman" w:cs="Times New Roman" w:eastAsia="Times New Roman" w:hAnsi="Times New Roman"/>
          <w:sz w:val="18"/>
          <w:szCs w:val="18"/>
          <w:color w:val="auto"/>
        </w:rPr>
      </w:pPr>
    </w:p>
    <w:p>
      <w:pPr>
        <w:ind w:left="1300" w:right="280" w:firstLine="653"/>
        <w:spacing w:after="0" w:line="282" w:lineRule="auto"/>
        <w:tabs>
          <w:tab w:leader="none" w:pos="261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proof by affidavit, in form and substance satisfactory to the Partnership, that a previously issued Certificate has been lost, destroyed or stolen;</w:t>
      </w:r>
    </w:p>
    <w:p>
      <w:pPr>
        <w:spacing w:after="0" w:line="161" w:lineRule="exact"/>
        <w:rPr>
          <w:rFonts w:ascii="Times New Roman" w:cs="Times New Roman" w:eastAsia="Times New Roman" w:hAnsi="Times New Roman"/>
          <w:sz w:val="18"/>
          <w:szCs w:val="18"/>
          <w:color w:val="auto"/>
        </w:rPr>
      </w:pPr>
    </w:p>
    <w:p>
      <w:pPr>
        <w:ind w:left="1300" w:right="20" w:firstLine="653"/>
        <w:spacing w:after="0" w:line="282" w:lineRule="auto"/>
        <w:tabs>
          <w:tab w:leader="none" w:pos="262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requests the issuance of a new Certificate, or other evidence of the issuance of uncertificated Units, before the Partnership has notice that the Certificate has been acquired by a purchaser for value in good faith and without notice of an adverse claim;</w:t>
      </w:r>
    </w:p>
    <w:p>
      <w:pPr>
        <w:spacing w:after="0" w:line="161" w:lineRule="exact"/>
        <w:rPr>
          <w:rFonts w:ascii="Times New Roman" w:cs="Times New Roman" w:eastAsia="Times New Roman" w:hAnsi="Times New Roman"/>
          <w:sz w:val="18"/>
          <w:szCs w:val="18"/>
          <w:color w:val="auto"/>
        </w:rPr>
      </w:pPr>
    </w:p>
    <w:p>
      <w:pPr>
        <w:ind w:left="1300" w:right="160" w:firstLine="653"/>
        <w:spacing w:after="0" w:line="261" w:lineRule="auto"/>
        <w:tabs>
          <w:tab w:leader="none" w:pos="26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Partnership, delivers to the Partnership a bond, in form and substance satisfactory to the Partnership, with surety or sureties and with fixed or open penalty as the Partnership may reasonably direct, in its sole discretion, to indemnify the Partnership, the Partners, the General Partner and the Transfer Agent against any claim that may be made on account of the alleged loss, destruction or theft of the Certificate; and</w:t>
      </w:r>
    </w:p>
    <w:p>
      <w:pPr>
        <w:spacing w:after="0" w:line="18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any other reasonable requirements imposed by the Partnership.</w:t>
      </w:r>
    </w:p>
    <w:p>
      <w:pPr>
        <w:sectPr>
          <w:pgSz w:w="11900" w:h="16870" w:orient="portrait"/>
          <w:cols w:equalWidth="0" w:num="1">
            <w:col w:w="11420"/>
          </w:cols>
          <w:pgMar w:left="240" w:top="121" w:right="239" w:bottom="0" w:gutter="0" w:footer="0" w:header="0"/>
        </w:sectPr>
      </w:pPr>
    </w:p>
    <w:bookmarkStart w:id="24" w:name="page25"/>
    <w:bookmarkEnd w:id="24"/>
    <w:p>
      <w:pPr>
        <w:spacing w:after="0" w:line="70" w:lineRule="exact"/>
        <w:rPr>
          <w:sz w:val="20"/>
          <w:szCs w:val="20"/>
          <w:color w:val="auto"/>
        </w:rPr>
      </w:pPr>
    </w:p>
    <w:p>
      <w:pPr>
        <w:ind w:right="360" w:firstLine="648"/>
        <w:spacing w:after="0" w:line="261" w:lineRule="auto"/>
        <w:rPr>
          <w:sz w:val="20"/>
          <w:szCs w:val="20"/>
          <w:color w:val="auto"/>
        </w:rPr>
      </w:pPr>
      <w:r>
        <w:rPr>
          <w:rFonts w:ascii="Times New Roman" w:cs="Times New Roman" w:eastAsia="Times New Roman" w:hAnsi="Times New Roman"/>
          <w:sz w:val="18"/>
          <w:szCs w:val="18"/>
          <w:color w:val="auto"/>
        </w:rPr>
        <w:t>If a Limited Partner or Assignee fails to notify the Partnership within a reasonable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 or other evidence of the issuance of uncertificated Units.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1305"/>
        <w:spacing w:after="0" w:line="266" w:lineRule="auto"/>
        <w:tabs>
          <w:tab w:leader="none" w:pos="1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to the issuance of any new Certificate, or other evidence of the issuance of uncertificated Units, under this Section 4.2,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4.3</w:t>
      </w:r>
      <w:r>
        <w:rPr>
          <w:sz w:val="20"/>
          <w:szCs w:val="20"/>
          <w:color w:val="auto"/>
        </w:rPr>
        <w:tab/>
      </w:r>
      <w:r>
        <w:rPr>
          <w:rFonts w:ascii="Times New Roman" w:cs="Times New Roman" w:eastAsia="Times New Roman" w:hAnsi="Times New Roman"/>
          <w:sz w:val="17"/>
          <w:szCs w:val="17"/>
          <w:i w:val="1"/>
          <w:iCs w:val="1"/>
          <w:color w:val="auto"/>
        </w:rPr>
        <w:t>Record Holders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Partnership shall be entitled to recognize the Record Holder as the Partner or Assignee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for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 (a) shall be the Partner or Assignee (as the case may be) of record and beneficially, (b) must execute and deliver a Transfer Application and (c) shall be bound by this Agreement and shall have the rights and obligations of a Partner or Assignee (as the case may be) hereunder and as, and to the extent, provided for herein.</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4.4</w:t>
      </w:r>
      <w:r>
        <w:rPr>
          <w:sz w:val="20"/>
          <w:szCs w:val="20"/>
          <w:color w:val="auto"/>
        </w:rPr>
        <w:tab/>
      </w:r>
      <w:r>
        <w:rPr>
          <w:rFonts w:ascii="Times New Roman" w:cs="Times New Roman" w:eastAsia="Times New Roman" w:hAnsi="Times New Roman"/>
          <w:sz w:val="17"/>
          <w:szCs w:val="17"/>
          <w:i w:val="1"/>
          <w:iCs w:val="1"/>
          <w:color w:val="auto"/>
        </w:rPr>
        <w:t>Transfer Generally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940" w:hanging="635"/>
        <w:spacing w:after="0"/>
        <w:tabs>
          <w:tab w:leader="none" w:pos="19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“transfer,” when used in this Agreement with respect to a Partnership Interest, shall be deemed to refer to a transaction</w:t>
      </w:r>
    </w:p>
    <w:p>
      <w:pPr>
        <w:spacing w:after="0" w:line="27" w:lineRule="exact"/>
        <w:rPr>
          <w:rFonts w:ascii="Times New Roman" w:cs="Times New Roman" w:eastAsia="Times New Roman" w:hAnsi="Times New Roman"/>
          <w:sz w:val="18"/>
          <w:szCs w:val="18"/>
          <w:color w:val="auto"/>
        </w:rPr>
      </w:pPr>
    </w:p>
    <w:p>
      <w:pPr>
        <w:ind w:right="40" w:firstLine="8"/>
        <w:spacing w:after="0" w:line="254" w:lineRule="auto"/>
        <w:tabs>
          <w:tab w:leader="none" w:pos="2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which the General Partner assigns its General Partner Interest to another Person who becomes the General Partner,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or an Assignee, and includes a sale, assignment, gift, exchange or any other disposition by law or otherwise, including any transfer upon foreclosure of any pledge, encumbrance, hypothecation or mortgage.</w:t>
      </w:r>
    </w:p>
    <w:p>
      <w:pPr>
        <w:spacing w:after="0" w:line="185" w:lineRule="exact"/>
        <w:rPr>
          <w:rFonts w:ascii="Times New Roman" w:cs="Times New Roman" w:eastAsia="Times New Roman" w:hAnsi="Times New Roman"/>
          <w:sz w:val="18"/>
          <w:szCs w:val="18"/>
          <w:color w:val="auto"/>
        </w:rPr>
      </w:pPr>
    </w:p>
    <w:p>
      <w:pPr>
        <w:ind w:right="40" w:firstLine="1305"/>
        <w:spacing w:after="0" w:line="282" w:lineRule="auto"/>
        <w:tabs>
          <w:tab w:leader="none" w:pos="1952"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Partnership Interest shall be transferred, in whole or in part, except in accordance with the terms and conditions set forth in this Article IV. Any transfer or purported transfer of a Partnership Interest not made in accordance with this Article IV shall be null and void.</w:t>
      </w:r>
    </w:p>
    <w:p>
      <w:pPr>
        <w:spacing w:after="0" w:line="161" w:lineRule="exact"/>
        <w:rPr>
          <w:rFonts w:ascii="Times New Roman" w:cs="Times New Roman" w:eastAsia="Times New Roman" w:hAnsi="Times New Roman"/>
          <w:sz w:val="18"/>
          <w:szCs w:val="18"/>
          <w:color w:val="auto"/>
        </w:rPr>
      </w:pPr>
    </w:p>
    <w:p>
      <w:pPr>
        <w:ind w:right="40" w:firstLine="1305"/>
        <w:spacing w:after="0" w:line="266" w:lineRule="auto"/>
        <w:tabs>
          <w:tab w:leader="none" w:pos="195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Agreement shall be construed to prevent a disposition by any stockholder, member, partner or owner of the General Partner of any or all of the issued and outstanding stock, membership interests, partnership interests or other ownership interests, as applicable, of the General Partner.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4.5</w:t>
      </w:r>
      <w:r>
        <w:rPr>
          <w:sz w:val="20"/>
          <w:szCs w:val="20"/>
          <w:color w:val="auto"/>
        </w:rPr>
        <w:tab/>
      </w:r>
      <w:r>
        <w:rPr>
          <w:rFonts w:ascii="Times New Roman" w:cs="Times New Roman" w:eastAsia="Times New Roman" w:hAnsi="Times New Roman"/>
          <w:sz w:val="17"/>
          <w:szCs w:val="17"/>
          <w:i w:val="1"/>
          <w:iCs w:val="1"/>
          <w:color w:val="auto"/>
        </w:rPr>
        <w:t>Registration and Transfer of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1305"/>
        <w:spacing w:after="0" w:line="254" w:lineRule="auto"/>
        <w:tabs>
          <w:tab w:leader="none" w:pos="194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Plains All American GP LLC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or shall deliver other evidence of the issuance of uncertificated Units, evidencing the same aggregate number and type of Limited Partner Interests as was evidenced by the Certificate so surrendered.</w:t>
      </w:r>
    </w:p>
    <w:p>
      <w:pPr>
        <w:spacing w:after="0" w:line="189" w:lineRule="exact"/>
        <w:rPr>
          <w:rFonts w:ascii="Times New Roman" w:cs="Times New Roman" w:eastAsia="Times New Roman" w:hAnsi="Times New Roman"/>
          <w:sz w:val="18"/>
          <w:szCs w:val="18"/>
          <w:color w:val="auto"/>
        </w:rPr>
      </w:pPr>
    </w:p>
    <w:p>
      <w:pPr>
        <w:ind w:firstLine="1305"/>
        <w:spacing w:after="0" w:line="256" w:lineRule="auto"/>
        <w:tabs>
          <w:tab w:leader="none" w:pos="195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4.9, the Partnership shall not recognize any transfer of Limited Partner Interests until the Certificates evidencing such Limited Partner Interests, or other evidence of the issuance of uncertificated Units, are surrendered for registration of transfer and such Certificates, or other evidence of the issuance of uncertificated Units, are accompanied by a Transfer Application duly executed by the transferee (or the transferee’s attorney-in-fact duly authorized in writing). No charge shall be imposed by the Partnership for such transfer; provided, that as a condition to the issuance of any new Certificate, or other evidence of the issuance of uncertificated Units, under this Section 4.5, the Partnership may require the payment of a sum sufficient to cover any tax or other governmental charge that may be imposed with respect thereto.</w:t>
      </w:r>
    </w:p>
    <w:p>
      <w:pPr>
        <w:spacing w:after="0" w:line="187" w:lineRule="exact"/>
        <w:rPr>
          <w:rFonts w:ascii="Times New Roman" w:cs="Times New Roman" w:eastAsia="Times New Roman" w:hAnsi="Times New Roman"/>
          <w:sz w:val="18"/>
          <w:szCs w:val="18"/>
          <w:color w:val="auto"/>
        </w:rPr>
      </w:pPr>
    </w:p>
    <w:p>
      <w:pPr>
        <w:ind w:right="260" w:firstLine="1305"/>
        <w:spacing w:after="0" w:line="266" w:lineRule="auto"/>
        <w:tabs>
          <w:tab w:leader="none" w:pos="1955"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Partner Interests may be transferred only in the manner described in this Section 4.5 or, with respect to the Series A Preferred Units, subject to 5.14(b)(viii). The transfer of any Limited Partner Interests and the admission of any new Limited Partner shall not constitute an amendment to this Agreement.</w:t>
      </w:r>
    </w:p>
    <w:p>
      <w:pPr>
        <w:spacing w:after="0" w:line="176" w:lineRule="exact"/>
        <w:rPr>
          <w:rFonts w:ascii="Times New Roman" w:cs="Times New Roman" w:eastAsia="Times New Roman" w:hAnsi="Times New Roman"/>
          <w:sz w:val="18"/>
          <w:szCs w:val="18"/>
          <w:color w:val="auto"/>
        </w:rPr>
      </w:pPr>
    </w:p>
    <w:p>
      <w:pPr>
        <w:ind w:right="20" w:firstLine="1305"/>
        <w:spacing w:after="0" w:line="266" w:lineRule="auto"/>
        <w:tabs>
          <w:tab w:leader="none" w:pos="1952"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admitted as a Substituted Limited Partner pursuant to Section 10.2, the Record Holder of a Limited Partner Interest shall be an Assignee in respect of such Limited Partner Interest. Limited Partners may include custodians, nominees or any other individual or entity in its own or any representative capacity.</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transferee of a Limited Partner Interest who has completed and delivered a Transfer Application shall be deemed to have</w:t>
      </w:r>
    </w:p>
    <w:p>
      <w:pPr>
        <w:spacing w:after="0" w:line="27" w:lineRule="exact"/>
        <w:rPr>
          <w:rFonts w:ascii="Times New Roman" w:cs="Times New Roman" w:eastAsia="Times New Roman" w:hAnsi="Times New Roman"/>
          <w:sz w:val="18"/>
          <w:szCs w:val="18"/>
          <w:color w:val="auto"/>
        </w:rPr>
      </w:pPr>
    </w:p>
    <w:p>
      <w:pPr>
        <w:jc w:val="both"/>
        <w:ind w:right="200" w:firstLine="8"/>
        <w:spacing w:after="0" w:line="255" w:lineRule="auto"/>
        <w:tabs>
          <w:tab w:leader="none" w:pos="2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requested admission as a Substituted Limited Partner, (ii) agreed to comply with and be bound by and to have executed this Agreement, (iii) represented and warranted that such transferee has the right, power and authority and, if an individual, the capacity to enter into this Agreement, (iv) granted the powers of attorney set forth in this Agreement and (v) given the consents and approvals and made the waivers contained in this Agreement.</w:t>
      </w:r>
    </w:p>
    <w:p>
      <w:pPr>
        <w:sectPr>
          <w:pgSz w:w="11900" w:h="16909" w:orient="portrait"/>
          <w:cols w:equalWidth="0" w:num="1">
            <w:col w:w="11420"/>
          </w:cols>
          <w:pgMar w:left="240" w:top="337" w:right="239" w:bottom="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firstLine="1305"/>
        <w:spacing w:after="0" w:line="282" w:lineRule="auto"/>
        <w:tabs>
          <w:tab w:leader="none" w:pos="194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its Affiliates shall have the right at any time to transfer their Common Units (whether issued upon conversion of subordinated units or otherwise) to one or more Persons.</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4.6</w:t>
      </w:r>
      <w:r>
        <w:rPr>
          <w:sz w:val="20"/>
          <w:szCs w:val="20"/>
          <w:color w:val="auto"/>
        </w:rPr>
        <w:tab/>
      </w:r>
      <w:r>
        <w:rPr>
          <w:rFonts w:ascii="Times New Roman" w:cs="Times New Roman" w:eastAsia="Times New Roman" w:hAnsi="Times New Roman"/>
          <w:sz w:val="17"/>
          <w:szCs w:val="17"/>
          <w:i w:val="1"/>
          <w:iCs w:val="1"/>
          <w:color w:val="auto"/>
        </w:rPr>
        <w:t>Transfer of the General Partner’s General Partner Interest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1940" w:hanging="635"/>
        <w:spacing w:after="0"/>
        <w:tabs>
          <w:tab w:leader="none" w:pos="19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4.6(b), the General Partner may transfer all or any part of its General Partner Interest without Unitholder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approval.</w:t>
      </w:r>
    </w:p>
    <w:p>
      <w:pPr>
        <w:spacing w:after="0" w:line="207" w:lineRule="exact"/>
        <w:rPr>
          <w:sz w:val="20"/>
          <w:szCs w:val="20"/>
          <w:color w:val="auto"/>
        </w:rPr>
      </w:pPr>
    </w:p>
    <w:p>
      <w:pPr>
        <w:ind w:right="40" w:firstLine="1305"/>
        <w:spacing w:after="0" w:line="254" w:lineRule="auto"/>
        <w:tabs>
          <w:tab w:leader="none" w:pos="1952"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of the Operating Partnerships or cause the Partnership or the Operating Partnerships to be treated as an association taxable as a corporation or otherwise to be taxed as an entity for federal income tax purposes (to the extent not already so treated or taxed) and</w:t>
      </w:r>
    </w:p>
    <w:p>
      <w:pPr>
        <w:spacing w:after="0" w:line="3" w:lineRule="exact"/>
        <w:rPr>
          <w:rFonts w:ascii="Times New Roman" w:cs="Times New Roman" w:eastAsia="Times New Roman" w:hAnsi="Times New Roman"/>
          <w:sz w:val="18"/>
          <w:szCs w:val="18"/>
          <w:color w:val="auto"/>
        </w:rPr>
      </w:pPr>
    </w:p>
    <w:p>
      <w:pPr>
        <w:ind w:firstLine="8"/>
        <w:spacing w:after="0" w:line="254" w:lineRule="auto"/>
        <w:tabs>
          <w:tab w:leader="none" w:pos="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transferee also agrees to purchase all (or the appropriate portion thereof, if applicable) of the partnership interest of the General Partner as the general partner or managing member of each other Group Member, if applicable. In the case of a transfer pursuant to and in compliance with this Section 4.6, the transferee or successor (as the case may be) shall, subject to compliance with the terms of Section 10.3, be admitted to the Partnership as a General Partner immediately prior to the transfer of the Partnership Interest, and the business of the Partnership shall continue without dissolution.</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4.7</w:t>
      </w:r>
      <w:r>
        <w:rPr>
          <w:sz w:val="20"/>
          <w:szCs w:val="20"/>
          <w:color w:val="auto"/>
        </w:rPr>
        <w:tab/>
      </w:r>
      <w:r>
        <w:rPr>
          <w:rFonts w:ascii="Times New Roman" w:cs="Times New Roman" w:eastAsia="Times New Roman" w:hAnsi="Times New Roman"/>
          <w:sz w:val="17"/>
          <w:szCs w:val="17"/>
          <w:i w:val="1"/>
          <w:iCs w:val="1"/>
          <w:color w:val="auto"/>
        </w:rPr>
        <w:t>Transfer of Incentive Distribution Rights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General Partner or any other holder of Incentive Distribution Rights may transfer any or all of its Incentive Distribution Rights without Unitholder approval. Notwithstanding anything herein to the contrary, no transfer of Incentive Distribution Rights to another Person shall be permitted unless the transferee agrees to be bound by the provisions of this Agreement. The General Partner shall have the authority (but shall not be required) to adopt such reasonable restrictions on the transfer of Incentive Distribution Rights and requirements for registering the transfer of Incentive Distribution Rights as the General Partner, in its sole discretion, shall determine are necessary or appropriate.</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4.8</w:t>
      </w:r>
      <w:r>
        <w:rPr>
          <w:sz w:val="20"/>
          <w:szCs w:val="20"/>
          <w:color w:val="auto"/>
        </w:rPr>
        <w:tab/>
      </w:r>
      <w:r>
        <w:rPr>
          <w:rFonts w:ascii="Times New Roman" w:cs="Times New Roman" w:eastAsia="Times New Roman" w:hAnsi="Times New Roman"/>
          <w:sz w:val="17"/>
          <w:szCs w:val="17"/>
          <w:i w:val="1"/>
          <w:iCs w:val="1"/>
          <w:color w:val="auto"/>
        </w:rPr>
        <w:t>Restrictions on Transfers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80" w:firstLine="1305"/>
        <w:spacing w:after="0" w:line="256" w:lineRule="auto"/>
        <w:tabs>
          <w:tab w:leader="none" w:pos="194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4.8(c) below, but notwithstanding the other provisions of this Article IV, no transfer of any Partnership Interests shall be made if such transfer would (i) violate the then applicable federal or state securities laws or rules and regulations of the Commission, any state securities commission or any other governmental authority with jurisdiction over such transfer, (ii) terminate the existence or qualification of the Partnership or either Operating Partnership under the laws of the jurisdiction of its formation, or (iii) cause the Partnership or either Operating Partnership to be treated as an association taxable as a corporation or otherwise to be taxed as an entity for federal income tax purposes (to the extent not already so treated or taxed).</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5" w:lineRule="auto"/>
        <w:tabs>
          <w:tab w:leader="none" w:pos="19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impose restrictions on the transfer of Partnership Interests if a subsequent Opinion of Counsel determines that such restrictions are necessary to avoid a significant risk of the Partnership becoming taxable as a corporation or otherwise to be taxed as an entity for federal income tax purposes. The restrictions may be imposed by making such amendments to this Agreement as the General Partner may determine to be necessary or appropriate to impose such restrictions; provided, however, that any amendment that the General Partner believes, in the exercise of its reasonable discretion, could result in the delisting or suspension of trading of any class of Limited Partner Interests on the principal National Securities Exchange on which such class of Limited Partner Interests is then traded must be approved, prior to such amendment being effected, by the holders of at least a majority of the Outstanding Limited Partner Interests of such class.</w:t>
      </w:r>
    </w:p>
    <w:p>
      <w:pPr>
        <w:spacing w:after="0" w:line="189" w:lineRule="exact"/>
        <w:rPr>
          <w:rFonts w:ascii="Times New Roman" w:cs="Times New Roman" w:eastAsia="Times New Roman" w:hAnsi="Times New Roman"/>
          <w:sz w:val="18"/>
          <w:szCs w:val="18"/>
          <w:color w:val="auto"/>
        </w:rPr>
      </w:pPr>
    </w:p>
    <w:p>
      <w:pPr>
        <w:ind w:right="240" w:firstLine="1305"/>
        <w:spacing w:after="0" w:line="313" w:lineRule="auto"/>
        <w:tabs>
          <w:tab w:leader="none" w:pos="19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Nothing contained in this Article IV, or elsewhere in this Agreement, shall preclude the settlement of any transactions involving Partnership Interests entered into through the facilities of any National Securities Exchange on which such Partnership Interests are listed for trading.</w:t>
      </w:r>
    </w:p>
    <w:p>
      <w:pPr>
        <w:spacing w:after="0" w:line="13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4.9</w:t>
      </w:r>
      <w:r>
        <w:rPr>
          <w:sz w:val="20"/>
          <w:szCs w:val="20"/>
          <w:color w:val="auto"/>
        </w:rPr>
        <w:tab/>
      </w:r>
      <w:r>
        <w:rPr>
          <w:rFonts w:ascii="Times New Roman" w:cs="Times New Roman" w:eastAsia="Times New Roman" w:hAnsi="Times New Roman"/>
          <w:sz w:val="17"/>
          <w:szCs w:val="17"/>
          <w:i w:val="1"/>
          <w:iCs w:val="1"/>
          <w:color w:val="auto"/>
        </w:rPr>
        <w:t>Citizenship Certificates; Non-citizen Assignees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3" w:lineRule="auto"/>
        <w:tabs>
          <w:tab w:leader="none" w:pos="194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Group Member is or becomes subject to any federal, state or local law or regulation that, in the reasonable determination of the General Partner, creates a substantial risk of cancellation or forfeiture of any property in which the Group Member has an interest based on the nationality, citizenship or other related status of a Limited Partner or Assignee, the General Partner may request any Limited Partner or Assignee to furnish to the General Partner, within 30 days after receipt of such request, an executed Citizenship Certification or such other information concerning his nationality, citizenship or other related status (or, if the Limited Partner or Assignee is a nominee holding for the account of another Person, the nationality, citizenship or other related status of such Person) as the General Partner may request. If a Limited Partner or Assignee fails to furnish to the General Partner within the aforementioned 30-day period such Citizenship Certification or other requested information or if upon receipt of such Citizenship Certification or other requested information the General Partner determines, with the advice of counsel, that a Limited Partner or Assignee is not an Eligible Citizen, the Partnership Interests owned by such Limited Partner or Assignee shall be subject to redemption in accordance with the provisions of Section 4.10. In addition, the General Partner may require that the status of any such Partner or Assignee be changed to that of a Non-citizen Assignee and, thereupon, the General Partner shall be substituted for such Non-citizen Assignee as the Limited Partner in respect of his Limited Partner Interests.</w:t>
      </w:r>
    </w:p>
    <w:p>
      <w:pPr>
        <w:spacing w:after="0" w:line="192" w:lineRule="exact"/>
        <w:rPr>
          <w:rFonts w:ascii="Times New Roman" w:cs="Times New Roman" w:eastAsia="Times New Roman" w:hAnsi="Times New Roman"/>
          <w:sz w:val="18"/>
          <w:szCs w:val="18"/>
          <w:color w:val="auto"/>
        </w:rPr>
      </w:pPr>
    </w:p>
    <w:p>
      <w:pPr>
        <w:ind w:right="320" w:firstLine="1305"/>
        <w:spacing w:after="0" w:line="266" w:lineRule="auto"/>
        <w:tabs>
          <w:tab w:leader="none" w:pos="195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in exercising voting rights in respect of Limited Partner Interests held by it on behalf of Non-citizen Assignees, distribute the votes in the same ratios as the votes of Partners (including without limitation the General Partner) in respect of Limited Partner Interests other than those of Non-citizen Assignees are cast, either for, against or abstaining as to the matter.</w:t>
      </w:r>
    </w:p>
    <w:p>
      <w:pPr>
        <w:spacing w:after="0" w:line="176" w:lineRule="exact"/>
        <w:rPr>
          <w:rFonts w:ascii="Times New Roman" w:cs="Times New Roman" w:eastAsia="Times New Roman" w:hAnsi="Times New Roman"/>
          <w:sz w:val="18"/>
          <w:szCs w:val="18"/>
          <w:color w:val="auto"/>
        </w:rPr>
      </w:pPr>
    </w:p>
    <w:p>
      <w:pPr>
        <w:ind w:right="580" w:firstLine="1305"/>
        <w:spacing w:after="0" w:line="282" w:lineRule="auto"/>
        <w:tabs>
          <w:tab w:leader="none" w:pos="19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dissolution of the Partnership, a Non-citizen Assignee shall have no right to receive a distribution in kind pursuant to Section 12.4 but shall be entitled to the cash equivalent thereof, and the Partnership shall provide cash in exchange for an assignment of the</w:t>
      </w:r>
    </w:p>
    <w:p>
      <w:pPr>
        <w:sectPr>
          <w:pgSz w:w="11900" w:h="16838" w:orient="portrait"/>
          <w:cols w:equalWidth="0" w:num="1">
            <w:col w:w="11400"/>
          </w:cols>
          <w:pgMar w:left="240" w:top="337" w:right="259" w:bottom="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Non-citizen Assignee’s share of the distribution in kind. Such payment and assignment shall be treated for Partnership purposes as a purchase by the Partnership from the Non-citizen Assignee of his Limited Partner Interest (representing his right to receive his share of such distribution in kind).</w:t>
      </w:r>
    </w:p>
    <w:p>
      <w:pPr>
        <w:spacing w:after="0" w:line="162" w:lineRule="exact"/>
        <w:rPr>
          <w:sz w:val="20"/>
          <w:szCs w:val="20"/>
          <w:color w:val="auto"/>
        </w:rPr>
      </w:pPr>
    </w:p>
    <w:p>
      <w:pPr>
        <w:ind w:right="20" w:firstLine="1305"/>
        <w:spacing w:after="0" w:line="261" w:lineRule="auto"/>
        <w:tabs>
          <w:tab w:leader="none" w:pos="19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a Non-citizen Assignee can and does certify that such Non-citizen Assignee has become an Eligible Citizen, such Non-citizen Assignee may, upon application to the General Partner, request admission as a Substituted Limited Partner with respect to any Limited Partner Interests of such Non-citizen Assignee not redeemed pursuant to Section 4.10 and upon such Non-Citizen Assignees admission pursuant to Section 10.2, the General Partner shall cease to be deemed to be the Limited Partner in respect of the Non-citizen Assignee’s Limited Partner Interests.</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4.10</w:t>
      </w:r>
      <w:r>
        <w:rPr>
          <w:sz w:val="20"/>
          <w:szCs w:val="20"/>
          <w:color w:val="auto"/>
        </w:rPr>
        <w:tab/>
      </w:r>
      <w:r>
        <w:rPr>
          <w:rFonts w:ascii="Times New Roman" w:cs="Times New Roman" w:eastAsia="Times New Roman" w:hAnsi="Times New Roman"/>
          <w:sz w:val="18"/>
          <w:szCs w:val="18"/>
          <w:i w:val="1"/>
          <w:iCs w:val="1"/>
          <w:color w:val="auto"/>
        </w:rPr>
        <w:t>Redemption of Partnership Interests of Non-citizen Assignees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80" w:firstLine="1305"/>
        <w:spacing w:after="0" w:line="256" w:lineRule="auto"/>
        <w:tabs>
          <w:tab w:leader="none" w:pos="194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 Limited Partner or Assignee fails to furnish a Citizenship Certification or other information requested within the 30-day period specified in Section 4.9(a), or if upon receipt of such Citizenship Certification or other information the General Partner determines, with the advice of counsel, that a Limited Partner or Assignee is not an Eligible Citizen, the Partnership may, unless the Limited Partner or Assignee establishes to the satisfaction of the General Partner that such Limited Partner or Assignee is an Eligible Citizen or has transferred his Partnership Interests to a Person who is an Eligible Citizen and who furnishes a Citizenship Certification to the General Partner prior to the date fixed for redemption as provided below, redeem the Partnership Interest of such Limited Partner or Assignee as follows:</w:t>
      </w:r>
    </w:p>
    <w:p>
      <w:pPr>
        <w:spacing w:after="0" w:line="187" w:lineRule="exact"/>
        <w:rPr>
          <w:rFonts w:ascii="Times New Roman" w:cs="Times New Roman" w:eastAsia="Times New Roman" w:hAnsi="Times New Roman"/>
          <w:sz w:val="18"/>
          <w:szCs w:val="18"/>
          <w:color w:val="auto"/>
        </w:rPr>
      </w:pPr>
    </w:p>
    <w:p>
      <w:pPr>
        <w:ind w:left="1300" w:right="40" w:firstLine="653"/>
        <w:spacing w:after="0" w:line="255" w:lineRule="auto"/>
        <w:tabs>
          <w:tab w:leader="none" w:pos="261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Units and that on and after the date fixed for redemption no further allocations or distributions to which the Limited Partner or Assignee would otherwise be entitled in respect of the Redeemable Interests will accrue or be made.</w:t>
      </w:r>
    </w:p>
    <w:p>
      <w:pPr>
        <w:spacing w:after="0" w:line="189" w:lineRule="exact"/>
        <w:rPr>
          <w:rFonts w:ascii="Times New Roman" w:cs="Times New Roman" w:eastAsia="Times New Roman" w:hAnsi="Times New Roman"/>
          <w:sz w:val="18"/>
          <w:szCs w:val="18"/>
          <w:color w:val="auto"/>
        </w:rPr>
      </w:pPr>
    </w:p>
    <w:p>
      <w:pPr>
        <w:ind w:left="1300" w:firstLine="653"/>
        <w:spacing w:after="0" w:line="258" w:lineRule="auto"/>
        <w:tabs>
          <w:tab w:leader="none" w:pos="262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redemption price for Redeemable Interests shall be an amount equal to the Current Market Price (the date of determination of which shall be the date fixed for redemption) of Limited Partner Interests of the class to be so redeemed multiplied by the number of Limited Partner Interests of each such class included among the Redeemable Interests. The redemption price shall be paid, in the discretion of the General Partner, in cash or by delivery of a promissory note of the Partnership in the principal amount of the redemption price, bearing interest at the rate of 10% annually and payable in three equal</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annual installments of principal together with accrued interest, commencing one year after the redemption date.</w:t>
      </w:r>
    </w:p>
    <w:p>
      <w:pPr>
        <w:spacing w:after="0" w:line="225" w:lineRule="exact"/>
        <w:rPr>
          <w:sz w:val="20"/>
          <w:szCs w:val="20"/>
          <w:color w:val="auto"/>
        </w:rPr>
      </w:pPr>
    </w:p>
    <w:p>
      <w:pPr>
        <w:ind w:left="1300" w:right="40" w:firstLine="653"/>
        <w:spacing w:after="0" w:line="261" w:lineRule="auto"/>
        <w:tabs>
          <w:tab w:leader="none" w:pos="263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surrender by or on behalf of the Limited Partner or Assignee, at the place specified in the notice of redemption, of the Certificate evidencing the Redeemable Interests, duly endorsed in blank or accompanied by an assignment duly executed in blank, or other evidence of the issuance of uncertificated Units, the Limited Partner or Assignee or his duly authorized representative shall be entitled to receive the payment therefor.</w:t>
      </w:r>
    </w:p>
    <w:p>
      <w:pPr>
        <w:spacing w:after="0" w:line="180"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redemption date, Redeemable Interests shall no longer constitute issued and Outstanding Limited Partner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w:t>
      </w:r>
    </w:p>
    <w:p>
      <w:pPr>
        <w:spacing w:after="0" w:line="206" w:lineRule="exact"/>
        <w:rPr>
          <w:rFonts w:ascii="Times New Roman" w:cs="Times New Roman" w:eastAsia="Times New Roman" w:hAnsi="Times New Roman"/>
          <w:sz w:val="18"/>
          <w:szCs w:val="18"/>
          <w:color w:val="auto"/>
        </w:rPr>
      </w:pPr>
    </w:p>
    <w:p>
      <w:pPr>
        <w:ind w:right="220" w:firstLine="1305"/>
        <w:spacing w:after="0" w:line="282" w:lineRule="auto"/>
        <w:tabs>
          <w:tab w:leader="none" w:pos="195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4.10 shall also be applicable to Limited Partner Interests held by a Limited Partner or Assignee as nominee of a Person determined to be other than an Eligible Citizen.</w:t>
      </w:r>
    </w:p>
    <w:p>
      <w:pPr>
        <w:spacing w:after="0" w:line="161" w:lineRule="exact"/>
        <w:rPr>
          <w:rFonts w:ascii="Times New Roman" w:cs="Times New Roman" w:eastAsia="Times New Roman" w:hAnsi="Times New Roman"/>
          <w:sz w:val="18"/>
          <w:szCs w:val="18"/>
          <w:color w:val="auto"/>
        </w:rPr>
      </w:pPr>
    </w:p>
    <w:p>
      <w:pPr>
        <w:ind w:right="80" w:firstLine="1305"/>
        <w:spacing w:after="0" w:line="258" w:lineRule="auto"/>
        <w:tabs>
          <w:tab w:leader="none" w:pos="1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Section 4.10 shall prevent the recipient of a notice of redemption from transferring his Limited Partner Interest before the redemption date if such transfer is otherwise permitted under this Agreement. Upon receipt of notice of such a transfer, the General Partner shall withdraw the notice of redemption, provided the transferee of such Limited Partner Interest certifies to the satisfaction of the General Partner in a Citizenship Certification delivered in connection with the Transfer Application that he is an Eligible Citizen. If the transferee fails to make such certification, such redemption shall be effected from the transferee on the original redemption date.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CAPITAL CONTRIBUTIONS AND ISSUANCE OF PARTNERSHIP INTERESTS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5.1</w:t>
      </w:r>
      <w:r>
        <w:rPr>
          <w:sz w:val="20"/>
          <w:szCs w:val="20"/>
          <w:color w:val="auto"/>
        </w:rPr>
        <w:tab/>
      </w:r>
      <w:r>
        <w:rPr>
          <w:rFonts w:ascii="Times New Roman" w:cs="Times New Roman" w:eastAsia="Times New Roman" w:hAnsi="Times New Roman"/>
          <w:sz w:val="17"/>
          <w:szCs w:val="17"/>
          <w:i w:val="1"/>
          <w:iCs w:val="1"/>
          <w:color w:val="auto"/>
        </w:rPr>
        <w:t>Organizational Contributions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 formation of the Partnership under the Delaware Act, the 2001 Predecessor General Partner made an initial Capital Contribution to the Partnership in the amount of $990.00, for a certain interest in the Partnership and was admitted as the 2001 Predecessor General Partner and as a Limited Partner of the Partnership, and the predecessor in interest to the Organizational Limited Partner made an initial Capital Contribution to the Partnership in the amount of $990.00 for an interest in the Partnership and was admitted as a Limited Partner of the Partnership. As of the Closing Date, the interest of the Organizational Limited Partner was redeemed as provided in the Contribution and Conveyance Agreement; the initial Capital Contributions of each Partner were refunded; and the Organizational Limited Partner ceased to be a Limited Partner of the Partnership.</w:t>
      </w:r>
    </w:p>
    <w:p>
      <w:pPr>
        <w:spacing w:after="0" w:line="18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5.2</w:t>
      </w:r>
      <w:r>
        <w:rPr>
          <w:sz w:val="20"/>
          <w:szCs w:val="20"/>
          <w:color w:val="auto"/>
        </w:rPr>
        <w:tab/>
      </w:r>
      <w:r>
        <w:rPr>
          <w:rFonts w:ascii="Times New Roman" w:cs="Times New Roman" w:eastAsia="Times New Roman" w:hAnsi="Times New Roman"/>
          <w:sz w:val="17"/>
          <w:szCs w:val="17"/>
          <w:i w:val="1"/>
          <w:iCs w:val="1"/>
          <w:color w:val="auto"/>
        </w:rPr>
        <w:t>Contributions by the General Partner and its Affiliates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40" w:firstLine="1305"/>
        <w:spacing w:after="0" w:line="266" w:lineRule="auto"/>
        <w:tabs>
          <w:tab w:leader="none" w:pos="194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and pursuant to the Contribution and Conveyance Agreement, (i) the 2001 Predecessor General Partner contributed to the Partnership, as a Capital Contribution, all but 1.0101% of its general partner interest in Plains Marketing, L.P. and all of its limited partner interest in All American Pipeline, L.P. in exchange for (A) the continuation of</w:t>
      </w:r>
    </w:p>
    <w:p>
      <w:pPr>
        <w:sectPr>
          <w:pgSz w:w="11900" w:h="16838" w:orient="portrait"/>
          <w:cols w:equalWidth="0" w:num="1">
            <w:col w:w="11420"/>
          </w:cols>
          <w:pgMar w:left="240" w:top="121" w:right="239" w:bottom="0" w:gutter="0" w:footer="0" w:header="0"/>
        </w:sectPr>
      </w:pPr>
    </w:p>
    <w:bookmarkStart w:id="27" w:name="page28"/>
    <w:bookmarkEnd w:id="27"/>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General Partner Interest, subject to all of the rights, privileges and duties of the General Partner under this Agreement, (B) 6,974,239 Common Units,</w:t>
      </w:r>
    </w:p>
    <w:p>
      <w:pPr>
        <w:spacing w:after="0" w:line="27" w:lineRule="exact"/>
        <w:rPr>
          <w:sz w:val="20"/>
          <w:szCs w:val="20"/>
          <w:color w:val="auto"/>
        </w:rPr>
      </w:pPr>
    </w:p>
    <w:p>
      <w:pPr>
        <w:ind w:right="260" w:firstLine="8"/>
        <w:spacing w:after="0" w:line="255" w:lineRule="auto"/>
        <w:tabs>
          <w:tab w:leader="none" w:pos="2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9,859,581 subordinated units (which have subsequently converted into Common Units) and (D) the Incentive Distribution Rights and (ii) PAAI LLC, a Delaware limited liability company, contributed to the Partnership, as a Capital Contribution, all of its limited partner interest in Plains Marketing L.P. in exchange for 170,038 subordinated units (which have subsequently converted into Common Units).</w:t>
      </w:r>
    </w:p>
    <w:p>
      <w:pPr>
        <w:spacing w:after="0" w:line="186" w:lineRule="exact"/>
        <w:rPr>
          <w:rFonts w:ascii="Times New Roman" w:cs="Times New Roman" w:eastAsia="Times New Roman" w:hAnsi="Times New Roman"/>
          <w:sz w:val="18"/>
          <w:szCs w:val="18"/>
          <w:color w:val="auto"/>
        </w:rPr>
      </w:pPr>
    </w:p>
    <w:p>
      <w:pPr>
        <w:ind w:right="100" w:firstLine="1305"/>
        <w:spacing w:after="0" w:line="261" w:lineRule="auto"/>
        <w:tabs>
          <w:tab w:leader="none" w:pos="1952"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any additional Limited Partner Interests by the Partnership (other than Series A PIK Units or Series A Conversion Units), the General Partner shall be required to make additional Capital Contributions equal to 2% of any amount contributed to the Partnership by the Limited Partners in exchange for such additional Limited Partner Interests. Except as set forth in the immediately preceding sentence and Article XII, the General Partner shall not be obligated to make any additional Capital Contributions to the Partnership.</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5.3</w:t>
      </w:r>
      <w:r>
        <w:rPr>
          <w:sz w:val="20"/>
          <w:szCs w:val="20"/>
          <w:color w:val="auto"/>
        </w:rPr>
        <w:tab/>
      </w:r>
      <w:r>
        <w:rPr>
          <w:rFonts w:ascii="Times New Roman" w:cs="Times New Roman" w:eastAsia="Times New Roman" w:hAnsi="Times New Roman"/>
          <w:sz w:val="17"/>
          <w:szCs w:val="17"/>
          <w:i w:val="1"/>
          <w:iCs w:val="1"/>
          <w:color w:val="auto"/>
        </w:rPr>
        <w:t>Contributions by Initial Limited Partners and Reimbursement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1305"/>
        <w:spacing w:after="0" w:line="258" w:lineRule="auto"/>
        <w:tabs>
          <w:tab w:leader="none" w:pos="194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Closing Date and pursuant to the Underwriting Agreement, each Underwriter contributed to the Partnership cash in an amount equal to the Issue Price per Initial Common Unit, multiplied by the number of Common Units specified in the Underwriting Agreement to be purchased by such Underwriter at the Closing Date. In exchange for such Capital Contributions by the Underwriters, the Partnership issued Common Units to each Underwriter on whose behalf such Capital Contribution was made in an amount equal to the quotient obtained by dividing (i) the cash contribution to the Partnership by or on behalf of such Underwriter by (ii) the Issue Price per Initial Common Unit.</w:t>
      </w:r>
    </w:p>
    <w:p>
      <w:pPr>
        <w:spacing w:after="0" w:line="183" w:lineRule="exact"/>
        <w:rPr>
          <w:rFonts w:ascii="Times New Roman" w:cs="Times New Roman" w:eastAsia="Times New Roman" w:hAnsi="Times New Roman"/>
          <w:sz w:val="18"/>
          <w:szCs w:val="18"/>
          <w:color w:val="auto"/>
        </w:rPr>
      </w:pPr>
    </w:p>
    <w:p>
      <w:pPr>
        <w:ind w:right="80" w:firstLine="1305"/>
        <w:spacing w:after="0" w:line="266" w:lineRule="auto"/>
        <w:tabs>
          <w:tab w:leader="none" w:pos="1952"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$147,989,500 of the proceeds received by the Partnership from the issuance of Common Units pursuant to Section 5.3(a) were distributed to the 2001 Predecessor General Partner as a reimbursement for certain capital expenditures incurred by the 2001 Predecessor General Partner within two years preceding the Closing Date with respect to Assets contributed to the Partnership Group.</w:t>
      </w:r>
    </w:p>
    <w:p>
      <w:pPr>
        <w:spacing w:after="0" w:line="176" w:lineRule="exact"/>
        <w:rPr>
          <w:rFonts w:ascii="Times New Roman" w:cs="Times New Roman" w:eastAsia="Times New Roman" w:hAnsi="Times New Roman"/>
          <w:sz w:val="18"/>
          <w:szCs w:val="18"/>
          <w:color w:val="auto"/>
        </w:rPr>
      </w:pPr>
    </w:p>
    <w:p>
      <w:pPr>
        <w:ind w:right="180" w:firstLine="1305"/>
        <w:spacing w:after="0" w:line="266" w:lineRule="auto"/>
        <w:tabs>
          <w:tab w:leader="none" w:pos="19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Limited Partner Interests were issued as of or at the Closing Date other than (i) the Common Units issuable pursuant to subparagraph (a) hereof in aggregate number equal to 13,085,000, (ii) the 10,029,619 subordinated units (which have subsequently converted into Common Units) issued to the General Partner or its Affiliates pursuant to Section 5.2 hereof and (iii) the Incentive Distribution Rights.</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5.4</w:t>
      </w:r>
      <w:r>
        <w:rPr>
          <w:sz w:val="20"/>
          <w:szCs w:val="20"/>
          <w:color w:val="auto"/>
        </w:rPr>
        <w:tab/>
      </w:r>
      <w:r>
        <w:rPr>
          <w:rFonts w:ascii="Times New Roman" w:cs="Times New Roman" w:eastAsia="Times New Roman" w:hAnsi="Times New Roman"/>
          <w:sz w:val="17"/>
          <w:szCs w:val="17"/>
          <w:i w:val="1"/>
          <w:iCs w:val="1"/>
          <w:color w:val="auto"/>
        </w:rPr>
        <w:t>Interest and Withdrawal</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 interest shall be paid by the Partnership on Capital Contributions. No Partner or Assignee shall be entitled to the withdrawal or return of its Capital Contribution, except to the extent, if any, that distributions made pursuant to this Agreement or upon termination of the Partnership may be considered as such by law and then only to the extent provided for in this Agreement. Except to the extent expressly provided in this Agreement, no Partner or Assignee shall have priority over any other Partner or Assignee either as to the return of Capital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Contributions or as to profits, losses or distributions. Any such return shall be a compromise to which all Partners and Assignees agree within the meaning of 17-502(b) of the Delaware Act.</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5.5</w:t>
      </w:r>
      <w:r>
        <w:rPr>
          <w:sz w:val="20"/>
          <w:szCs w:val="20"/>
          <w:color w:val="auto"/>
        </w:rPr>
        <w:tab/>
      </w:r>
      <w:r>
        <w:rPr>
          <w:rFonts w:ascii="Times New Roman" w:cs="Times New Roman" w:eastAsia="Times New Roman" w:hAnsi="Times New Roman"/>
          <w:sz w:val="17"/>
          <w:szCs w:val="17"/>
          <w:i w:val="1"/>
          <w:iCs w:val="1"/>
          <w:color w:val="auto"/>
        </w:rPr>
        <w:t>Capital Accounts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2" w:lineRule="auto"/>
        <w:tabs>
          <w:tab w:leader="none" w:pos="1942"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maintain for each Partner (or a beneficial owner of Partnership Interests held by a nominee in any case in which the nominee has furnished the identity of such owner to the Partnership in accordance with Section 6031(c) of the Code or any other method acceptable to the General Partner in its sole discretion) owning a Partnership Interest a separate Capital Account with respect to such Partnership Interest in accordance with the rules of Treasury Regulation Section 1.704-1(b)(2)(iv). Such Capital Account shall be increased by (i) the amount of all Capital Contributions made to the Partnership with respect to such Partnership Interest pursuant to this Agreement and (ii) all items of Partnership income and gain (including, without limitation, income and gain exempt from tax) computed in accordance with Section 5.5(b) and allocated with respect to such Partnership Interest pursuant to Section 6.1, and decreased by (x) the amount of cash or Net Agreed Value of all actual and deemed distributions of cash or property made with respect to such Partnership Interest pursuant to this Agreement and (y) all items of Partnership deduction and loss computed in accordance with Section 5.5(b) and allocated with respect to such Partnership Interest pursuant to Section 6.1. For the avoidance of doubt, the Series A Preferred Units will be treated as a partnership interest in the Partnership that is “convertible equity” within the meaning of Treasury Regulation Section 1.721-2(g)(3), and, therefore, each holder of a Series A Preferred Unit will be treated as a partner in the Partnership. The initial Capital Account balance in respect of each Series A Preferred Unit shall be the Series A Issue Price, as such amount may be adjusted in accordance with the Series A Purchase Agreement for any reduction attributable to the Transaction Fee, as such term is defined in the Series A Purchase Agreement and expenses reimburseable under the Series A Purchase Agreement. The Capital Account balance of each holder of Series A Preferred Units in respect of its Series A Preferred Units shall not be increased or decreased as a result of the accrual and accumulation of an unpaid distribution pursuant to Section 5.14(b)(i)(B) or Section 5.14(b)(i)(C) in respect of such Series A Preferred Units except as otherwise provided in this Agreement.</w:t>
      </w:r>
    </w:p>
    <w:p>
      <w:pPr>
        <w:spacing w:after="0" w:line="19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computing the amount of any item of income, gain, loss or deduction which is to be allocated pursuant to</w:t>
      </w:r>
    </w:p>
    <w:p>
      <w:pPr>
        <w:spacing w:after="0" w:line="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Article VI and is to be reflected in the Partners’ Capital Accounts, the determination, recognition and classification of any such item shall be the same as its determination, recognition and classification for federal income tax purposes (including, without limitation, any method of depreciation, cost recovery or amortization used for that purpose), provided, that:</w:t>
      </w:r>
    </w:p>
    <w:p>
      <w:pPr>
        <w:spacing w:after="0" w:line="186" w:lineRule="exact"/>
        <w:rPr>
          <w:sz w:val="20"/>
          <w:szCs w:val="20"/>
          <w:color w:val="auto"/>
        </w:rPr>
      </w:pPr>
    </w:p>
    <w:p>
      <w:pPr>
        <w:ind w:left="1300" w:right="440" w:firstLine="653"/>
        <w:spacing w:after="0" w:line="266" w:lineRule="auto"/>
        <w:tabs>
          <w:tab w:leader="none" w:pos="261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for purposes of this Section 5.5, the Partnership shall be treated as owning directly its proportionate share (as determined by the General Partner based upon the provisions of the Operating Partnership Agreements) of all property owned by the Operating Partnerships or any other Subsidiary that is classified as a partnership for federal income tax purposes.</w:t>
      </w:r>
    </w:p>
    <w:p>
      <w:pPr>
        <w:spacing w:after="0" w:line="176" w:lineRule="exact"/>
        <w:rPr>
          <w:rFonts w:ascii="Times New Roman" w:cs="Times New Roman" w:eastAsia="Times New Roman" w:hAnsi="Times New Roman"/>
          <w:sz w:val="18"/>
          <w:szCs w:val="18"/>
          <w:color w:val="auto"/>
        </w:rPr>
      </w:pPr>
    </w:p>
    <w:p>
      <w:pPr>
        <w:ind w:left="1300" w:right="220" w:firstLine="653"/>
        <w:spacing w:after="0" w:line="282" w:lineRule="auto"/>
        <w:tabs>
          <w:tab w:leader="none" w:pos="262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other expenses incurred by the Partnership to promote the sale of (or to sell) a Partnership Interest that can neither be deducted nor</w:t>
      </w:r>
    </w:p>
    <w:p>
      <w:pPr>
        <w:sectPr>
          <w:pgSz w:w="11900" w:h="16870" w:orient="portrait"/>
          <w:cols w:equalWidth="0" w:num="1">
            <w:col w:w="11420"/>
          </w:cols>
          <w:pgMar w:left="240" w:top="121" w:right="239" w:bottom="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70" w:orient="portrait"/>
          <w:cols w:equalWidth="0" w:num="1">
            <w:col w:w="11420"/>
          </w:cols>
          <w:pgMar w:left="240" w:top="121" w:right="239" w:bottom="0" w:gutter="0" w:footer="0" w:header="0"/>
          <w:type w:val="continuous"/>
        </w:sectPr>
      </w:pPr>
    </w:p>
    <w:bookmarkStart w:id="28" w:name="page29"/>
    <w:bookmarkEnd w:id="28"/>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260" w:right="160"/>
        <w:spacing w:after="0" w:line="282" w:lineRule="auto"/>
        <w:rPr>
          <w:sz w:val="20"/>
          <w:szCs w:val="20"/>
          <w:color w:val="auto"/>
        </w:rPr>
      </w:pPr>
      <w:r>
        <w:rPr>
          <w:rFonts w:ascii="Times New Roman" w:cs="Times New Roman" w:eastAsia="Times New Roman" w:hAnsi="Times New Roman"/>
          <w:sz w:val="18"/>
          <w:szCs w:val="18"/>
          <w:color w:val="auto"/>
        </w:rPr>
        <w:t>amortized under Section 709 of the Code, if any, shall, for purposes of Capital Account maintenance, be treated as an item of deduction at the time such fees and other expenses are incurred and shall be allocated among the Partners pursuant to Section 6.1.</w:t>
      </w:r>
    </w:p>
    <w:p>
      <w:pPr>
        <w:spacing w:after="0" w:line="162" w:lineRule="exact"/>
        <w:rPr>
          <w:sz w:val="20"/>
          <w:szCs w:val="20"/>
          <w:color w:val="auto"/>
        </w:rPr>
      </w:pPr>
    </w:p>
    <w:p>
      <w:pPr>
        <w:ind w:left="1260" w:firstLine="653"/>
        <w:spacing w:after="0" w:line="255" w:lineRule="auto"/>
        <w:tabs>
          <w:tab w:leader="none" w:pos="259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Treasury Regulation Section 1.704-1(b)(2)(iv)(m), the computation of all items of income, gain, loss and deduction shall be made without regard to any election under Section 754 of the Code which may be made by the Partnership and, as to those items described in Section 705(a)(1)(B) or 705(a)(2)(B) of the Code, without regard to the fact that such items are not includable in gross income or are neither currently deductible nor capitalized for federal income tax purposes. To the extent an adjustment to the adjusted tax basis of any Partnership asset pursuant to Section 734(b) or 743(b) of the Code is required, pursuant to Treasury Regulation Section 1.704-1(b)(2)(iv)(m), to be taken into account in determining Capital Accounts, the amount of such adjustment in the Capital Accounts shall be treated as an item of gain or loss.</w:t>
      </w:r>
    </w:p>
    <w:p>
      <w:pPr>
        <w:spacing w:after="0" w:line="189" w:lineRule="exact"/>
        <w:rPr>
          <w:rFonts w:ascii="Times New Roman" w:cs="Times New Roman" w:eastAsia="Times New Roman" w:hAnsi="Times New Roman"/>
          <w:sz w:val="18"/>
          <w:szCs w:val="18"/>
          <w:color w:val="auto"/>
        </w:rPr>
      </w:pPr>
    </w:p>
    <w:p>
      <w:pPr>
        <w:ind w:left="1260" w:right="80" w:firstLine="653"/>
        <w:spacing w:after="0" w:line="266" w:lineRule="auto"/>
        <w:tabs>
          <w:tab w:leader="none" w:pos="25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gain or loss attributable to the taxable disposition of any Partnership property shall be determined as if the adjusted basis of such property as of such date of disposition were equal in amount to the Partnership’s Carrying Value with respect to such property as of such date.</w:t>
      </w:r>
    </w:p>
    <w:p>
      <w:pPr>
        <w:spacing w:after="0" w:line="176" w:lineRule="exact"/>
        <w:rPr>
          <w:rFonts w:ascii="Times New Roman" w:cs="Times New Roman" w:eastAsia="Times New Roman" w:hAnsi="Times New Roman"/>
          <w:sz w:val="18"/>
          <w:szCs w:val="18"/>
          <w:color w:val="auto"/>
        </w:rPr>
      </w:pPr>
    </w:p>
    <w:p>
      <w:pPr>
        <w:ind w:left="1260" w:right="120" w:firstLine="653"/>
        <w:spacing w:after="0" w:line="254" w:lineRule="auto"/>
        <w:tabs>
          <w:tab w:leader="none" w:pos="256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requirements of Section 704(b) of the Code, any deductions for depreciation, cost recovery or amortization attributable to any Contributed Property shall be determined as if the adjusted basis of such property on the date it was acquired by the Partnership were equal to the Agreed Value of such property. Upon an adjustment pursuant to Section 5.5(d) to the Carrying Value of any Partnership property subject to depreciation, cost recovery or amortization, any further deductions for such depreciation, cost recovery or amortization attributable to such property shall be determined (A) as if the adjusted basis of such property were equal to the Carrying Value of such property immediately following such adjustment and (B) using a rate of depreciation, cost recovery or amortization derived from the same method and useful life (or, if applicable, the remaining useful life) as is applied for federal income tax purposes; provided, however, that, if the asset has a zero adjusted basis for federal income tax purposes, depreciation, cost recovery or amortization deductions shall be determined using any reasonable method that the General Partner may adopt.</w:t>
      </w:r>
    </w:p>
    <w:p>
      <w:pPr>
        <w:spacing w:after="0" w:line="189" w:lineRule="exact"/>
        <w:rPr>
          <w:rFonts w:ascii="Times New Roman" w:cs="Times New Roman" w:eastAsia="Times New Roman" w:hAnsi="Times New Roman"/>
          <w:sz w:val="18"/>
          <w:szCs w:val="18"/>
          <w:color w:val="auto"/>
        </w:rPr>
      </w:pPr>
    </w:p>
    <w:p>
      <w:pPr>
        <w:ind w:left="1260" w:right="100" w:firstLine="653"/>
        <w:spacing w:after="0" w:line="258" w:lineRule="auto"/>
        <w:tabs>
          <w:tab w:leader="none" w:pos="257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Partnership’s adjusted basis in a depreciable or cost recovery property is reduced for federal income tax purposes pursuant to Section 48(q)(1) or 48(q)(3) of the Code, the amount of such reduction shall, solely for purposes hereof, be deemed to be an additional depreciation or cost recovery deduction in the year such property is placed in service and shall be allocated among the Partners pursuant to Section 6.1. Any restoration of such basis pursuant to Section 48(q)(2) of the Code shall, to the extent possible, be allocated in the same manner to the Partners to whom such deemed deduction was allocated.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380" w:firstLine="1305"/>
        <w:spacing w:after="0" w:line="282" w:lineRule="auto"/>
        <w:tabs>
          <w:tab w:leader="none" w:pos="191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transferee of a Partnership Interest shall succeed to a pro rata portion of the Capital Account of the transferor relating to the Partnership Interest so transferred.</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w:t>
      </w:r>
    </w:p>
    <w:p>
      <w:pPr>
        <w:spacing w:after="0" w:line="225" w:lineRule="exact"/>
        <w:rPr>
          <w:sz w:val="20"/>
          <w:szCs w:val="20"/>
          <w:color w:val="auto"/>
        </w:rPr>
      </w:pPr>
    </w:p>
    <w:p>
      <w:pPr>
        <w:ind w:left="1260" w:right="40" w:firstLine="653"/>
        <w:spacing w:after="0" w:line="266" w:lineRule="auto"/>
        <w:tabs>
          <w:tab w:leader="none" w:pos="257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Treasury Regulation Section 1.704-1(b)(2)(iv)(f), on an issuance of additional Partnership Interests for cash or Contributed Property (including a deemed issuance of Series A Preferred Units for cash pursuant to Section 5.14(b)(i)(F)) or the conversion of the General Partner’s Combined Interest to Common Units pursuant to Section 11.3(b), the Capital Accounts of all Partners and the Carrying Value of each Partnership property immediately prior to such issuance shall be adjusted upward or downward to reflect any Unrealized Gain or Unrealized Loss attributable to such Partnership property, as if such Unrealized Gain or Unrealized Loss had been recognized on an actual sale of each such property for an amount equal to its fair market value immediately prior to such issuance and had been allocated to the Partners at such time pursuant to Section 6.1(c) in the same manner as any item of gain or loss actually recognized following an event giving rise to the dissolution of the Partnership would have been allocated. In determining such Unrealized Gain or Unrealized Loss, the aggregate cash amount and fair market value of all Partnership assets (including, without limitation, cash or cash equivalents) immediately prior to the issuance of additional Partnership Interests shall be determined by the General Partner using such reasonable method of valuation as it may adopt; provided, however, that the General Partner, in arriving at such valuation, must take fully into account the fair market value of the Partnership Interests of all Partners at such time and make any adjustments necessary to reflect the difference, if any, between the fair market value of any Series A Preferred Units for which the Conversion Date has not occurred and the aggregate Capital Accounts attributable to such Series A Preferred Units to the extent of any Unrealized Gain or Unrealized Loss that has not been reflected in the Partners’ Capital Accounts previously, consistent with the methodology of Treasury Regulation Section 1.704-1(b)</w:t>
      </w:r>
    </w:p>
    <w:p>
      <w:pPr>
        <w:spacing w:after="0" w:line="9" w:lineRule="exact"/>
        <w:rPr>
          <w:rFonts w:ascii="Times New Roman" w:cs="Times New Roman" w:eastAsia="Times New Roman" w:hAnsi="Times New Roman"/>
          <w:sz w:val="17"/>
          <w:szCs w:val="17"/>
          <w:color w:val="auto"/>
        </w:rPr>
      </w:pPr>
    </w:p>
    <w:p>
      <w:pPr>
        <w:ind w:left="1260" w:right="14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(2)(iv)(h)(2). The General Partner shall allocate such aggregate value among the assets of the Partnership (in such manner as it determines in its discretion to be reasonable) to arrive at a fair market value for individual properties.</w:t>
      </w:r>
    </w:p>
    <w:p>
      <w:pPr>
        <w:spacing w:after="0" w:line="179" w:lineRule="exact"/>
        <w:rPr>
          <w:rFonts w:ascii="Times New Roman" w:cs="Times New Roman" w:eastAsia="Times New Roman" w:hAnsi="Times New Roman"/>
          <w:sz w:val="17"/>
          <w:szCs w:val="17"/>
          <w:color w:val="auto"/>
        </w:rPr>
      </w:pPr>
    </w:p>
    <w:p>
      <w:pPr>
        <w:ind w:left="1260" w:right="20" w:firstLine="653"/>
        <w:spacing w:after="0" w:line="255" w:lineRule="auto"/>
        <w:tabs>
          <w:tab w:leader="none" w:pos="258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Treasury Regulation Section 1.704-1(b)(2)(iv)(f), immediately prior to any actual or deemed distribution to a Partner of any Partnership property (other than a distribution of cash that is not in redemption or retirement of a Partnership Interest), the Capital Accounts of all Partners and the Carrying Value of each Partnership property shall be adjusted upward or downward to reflect any Unrealized Gain or Unrealized Loss attributable to such Partnership property, as if such Unrealized Gain or Unrealized Loss had been recognized on an actual sale of each such property immediately prior to such distribution for an amount equal to its fair market value, and had been allocated to the Partners, at such time, pursuant to Section 6.1(c) in the same manner as any item of gain or loss actually recognized following an event giving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83820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60" w:right="20"/>
        <w:spacing w:after="0" w:line="266" w:lineRule="auto"/>
        <w:rPr>
          <w:sz w:val="20"/>
          <w:szCs w:val="20"/>
          <w:color w:val="auto"/>
        </w:rPr>
      </w:pPr>
      <w:r>
        <w:rPr>
          <w:rFonts w:ascii="Times New Roman" w:cs="Times New Roman" w:eastAsia="Times New Roman" w:hAnsi="Times New Roman"/>
          <w:sz w:val="18"/>
          <w:szCs w:val="18"/>
          <w:color w:val="auto"/>
        </w:rPr>
        <w:t>rise to the dissolution of the Partnership would have been allocated. In determining such Unrealized Gain or Unrealized Loss the aggregate cash amount and fair market value of all Partnership assets (including, without limitation, cash or cash equivalents) immediately prior to a distribution shall (A) in the case of an actual distribution which is not made pursuant to Section 12.4 or in the case of a deemed contribution</w:t>
      </w:r>
    </w:p>
    <w:p>
      <w:pPr>
        <w:sectPr>
          <w:pgSz w:w="11900" w:h="16879" w:orient="portrait"/>
          <w:cols w:equalWidth="0" w:num="1">
            <w:col w:w="11360"/>
          </w:cols>
          <w:pgMar w:left="280" w:top="729" w:right="259" w:bottom="0" w:gutter="0" w:footer="0" w:header="0"/>
        </w:sectPr>
      </w:pPr>
    </w:p>
    <w:bookmarkStart w:id="29" w:name="page30"/>
    <w:bookmarkEnd w:id="29"/>
    <w:p>
      <w:pPr>
        <w:ind w:left="1300"/>
        <w:spacing w:after="0" w:line="266" w:lineRule="auto"/>
        <w:rPr>
          <w:sz w:val="20"/>
          <w:szCs w:val="20"/>
          <w:color w:val="auto"/>
        </w:rPr>
      </w:pPr>
      <w:r>
        <w:rPr>
          <w:rFonts w:ascii="Times New Roman" w:cs="Times New Roman" w:eastAsia="Times New Roman" w:hAnsi="Times New Roman"/>
          <w:sz w:val="18"/>
          <w:szCs w:val="18"/>
          <w:color w:val="auto"/>
        </w:rPr>
        <w:t>and/or distribution occurring as a result of a termination of the Partnership pursuant to Section 708 of the Code, be determined and allocated in the same manner as that provided in Section 5.5(d)(i) or (B) in the case of a liquidating distribution pursuant to Section 12.4, be determined and allocated by the Liquidator using such reasonable method of valuation as it may adopt.</w:t>
      </w:r>
    </w:p>
    <w:p>
      <w:pPr>
        <w:spacing w:after="0" w:line="176" w:lineRule="exact"/>
        <w:rPr>
          <w:sz w:val="20"/>
          <w:szCs w:val="20"/>
          <w:color w:val="auto"/>
        </w:rPr>
      </w:pPr>
    </w:p>
    <w:p>
      <w:pPr>
        <w:ind w:left="1300" w:firstLine="653"/>
        <w:spacing w:after="0" w:line="252" w:lineRule="auto"/>
        <w:tabs>
          <w:tab w:leader="none" w:pos="266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Treasury Regulation Section 1.704-1(b)(2)(iv)(s), immediately after the conversion of a Series A Preferred Unit into Common Units in accordance with Section 5.14(b)(vi), the Capital Account of each Partner and the Carrying Value of each Partnership property shall be adjusted to reflect any Unrealized Gain or Unrealized Loss attributable to such Partnership property, as if such Unrealized Gain or Unrealized Loss had been recognized on an actual sale of each such property for an amount equal to its fair market value immediately after such conversion and (A) first, all Unrealized Gain (if the Capital Account of each such Series A Conversion Unit is less than the Per Unit Capital Account for a then Outstanding Initial Common Unit) or Unrealized Loss (if the Capital Account of each such Series A Conversion Unit is greater than the Per Unit Capital Account for a then Outstanding Initial Common Unit) had been allocated 2% to the General Partner and 98% Pro Rata to each Partner holding Series A Conversion Units received upon such conversion until the Capital Account of each such Series A Conversion Unit is equal to the Per Unit Capital Amount for a then Outstanding Initial Common Unit; and</w:t>
      </w:r>
    </w:p>
    <w:p>
      <w:pPr>
        <w:spacing w:after="0" w:line="7" w:lineRule="exact"/>
        <w:rPr>
          <w:rFonts w:ascii="Times New Roman" w:cs="Times New Roman" w:eastAsia="Times New Roman" w:hAnsi="Times New Roman"/>
          <w:sz w:val="18"/>
          <w:szCs w:val="18"/>
          <w:color w:val="auto"/>
        </w:rPr>
      </w:pPr>
    </w:p>
    <w:p>
      <w:pPr>
        <w:ind w:left="1580" w:hanging="275"/>
        <w:spacing w:after="0"/>
        <w:tabs>
          <w:tab w:leader="none" w:pos="1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any remaining Unrealized Gain or Unrealized Loss had been allocated to the Partners at such time pursuant</w:t>
      </w:r>
    </w:p>
    <w:p>
      <w:pPr>
        <w:spacing w:after="0" w:line="9" w:lineRule="exact"/>
        <w:rPr>
          <w:sz w:val="20"/>
          <w:szCs w:val="20"/>
          <w:color w:val="auto"/>
        </w:rPr>
      </w:pPr>
    </w:p>
    <w:p>
      <w:pPr>
        <w:ind w:left="1300" w:right="160"/>
        <w:spacing w:after="0" w:line="250" w:lineRule="auto"/>
        <w:rPr>
          <w:sz w:val="20"/>
          <w:szCs w:val="20"/>
          <w:color w:val="auto"/>
        </w:rPr>
      </w:pPr>
      <w:r>
        <w:rPr>
          <w:rFonts w:ascii="Times New Roman" w:cs="Times New Roman" w:eastAsia="Times New Roman" w:hAnsi="Times New Roman"/>
          <w:sz w:val="18"/>
          <w:szCs w:val="18"/>
          <w:color w:val="auto"/>
        </w:rPr>
        <w:t xml:space="preserve">to Section 6.1(c) and Section 6.1(d). In determining such Unrealized Gain or Unrealized Loss, the aggregate cash amount and fair market value of all Partnership assets (including, without limitation, cash or cash equivalents) immediately after the conversion of a Series A Preferred Unit shall be determined by the General Partner using such reasonable method of valuation as it may adopt;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General Partner, in arriving at such valuation, must take fully into account the fair market value of the Partnership Interests of all Partners at such time and must make such adjustments to such valuation as required by Treasury Regulation Section 1.704-1(b)(2)(iv)(h)</w:t>
      </w:r>
    </w:p>
    <w:p>
      <w:pPr>
        <w:spacing w:after="0" w:line="2" w:lineRule="exact"/>
        <w:rPr>
          <w:sz w:val="20"/>
          <w:szCs w:val="20"/>
          <w:color w:val="auto"/>
        </w:rPr>
      </w:pPr>
    </w:p>
    <w:p>
      <w:pPr>
        <w:ind w:left="1300"/>
        <w:spacing w:after="0" w:line="252" w:lineRule="auto"/>
        <w:rPr>
          <w:sz w:val="20"/>
          <w:szCs w:val="20"/>
          <w:color w:val="auto"/>
        </w:rPr>
      </w:pPr>
      <w:r>
        <w:rPr>
          <w:rFonts w:ascii="Times New Roman" w:cs="Times New Roman" w:eastAsia="Times New Roman" w:hAnsi="Times New Roman"/>
          <w:sz w:val="18"/>
          <w:szCs w:val="18"/>
          <w:color w:val="auto"/>
        </w:rPr>
        <w:t>(2). The General Partner shall allocate such aggregate value among the assets of the Partnership in such manner as it determines in its discretion to be reasonable. If, after making the allocations of Unrealized Gain and Unrealized Loss as set forth above in this Section 5.5(d) (iii), the Capital Account of each Partner with respect to each Series A Conversion Unit received upon such conversion of the Series A Preferred Unit is less than the Per Unit Capital Amount for a then Outstanding Initial Common Unit, then Capital Account balances shall be reallocated between the Partners holding Common Units (other than Series A Conversion Units) and Partners holding Series A Conversion Units so as to cause the Capital Account of each Partner holding a Series A Conversion Unit to equal, on a per Unit basis with</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respect to each such Series A Conversion Unit, the Per Unit Capital Amount for a then Outstanding Initial Common Unit.</w:t>
      </w:r>
    </w:p>
    <w:p>
      <w:pPr>
        <w:spacing w:after="0" w:line="22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5.6</w:t>
      </w:r>
      <w:r>
        <w:rPr>
          <w:sz w:val="20"/>
          <w:szCs w:val="20"/>
          <w:color w:val="auto"/>
        </w:rPr>
        <w:tab/>
      </w:r>
      <w:r>
        <w:rPr>
          <w:rFonts w:ascii="Times New Roman" w:cs="Times New Roman" w:eastAsia="Times New Roman" w:hAnsi="Times New Roman"/>
          <w:sz w:val="18"/>
          <w:szCs w:val="18"/>
          <w:i w:val="1"/>
          <w:iCs w:val="1"/>
          <w:color w:val="auto"/>
        </w:rPr>
        <w:t>Issuances of Additional Partnership Securities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1305"/>
        <w:spacing w:after="0" w:line="261" w:lineRule="auto"/>
        <w:tabs>
          <w:tab w:leader="none" w:pos="199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5.6(d) below and subject to any approvals required by Section 5.14(b)(iv), the Partnership may issue additional Partnership Securities and options, rights, warrants and appreciation rights relating to the Partnership Securities for any Partnership purpose at any time and from time to time to such Persons for such consideration and on such terms and conditions as shall be established by the General Partner in its sole discretion, all without the approval of any Limited Partners.</w:t>
      </w:r>
    </w:p>
    <w:p>
      <w:pPr>
        <w:spacing w:after="0" w:line="180" w:lineRule="exact"/>
        <w:rPr>
          <w:rFonts w:ascii="Times New Roman" w:cs="Times New Roman" w:eastAsia="Times New Roman" w:hAnsi="Times New Roman"/>
          <w:sz w:val="18"/>
          <w:szCs w:val="18"/>
          <w:color w:val="auto"/>
        </w:rPr>
      </w:pPr>
    </w:p>
    <w:p>
      <w:pPr>
        <w:ind w:right="40" w:firstLine="1305"/>
        <w:spacing w:after="0" w:line="255" w:lineRule="auto"/>
        <w:tabs>
          <w:tab w:leader="none" w:pos="200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additional Partnership Security authorized to be issued by the Partnership pursuant to Section 5.6(a) may be issued in one or more classes, or one or more series of any such classes, with such designations, preferences, rights, powers and duties (which may be senior to existing classes and series of Partnership Securities), as shall be fixed by the General Partner in the exercise of its sole discretion, including (i) the right to share Partnership profits and losses or items thereof; (ii) the right to share in Partnership distributions; (iii) the rights upon dissolution and liquidation of the Partnership; (iv) whether, and the terms and conditions upon which, the Partnership may redeem the Partnership Security; (v) whether such Partnership Security is issued with the privilege of conversion or exchange and, if so, the terms and conditions of such conversion or exchange; (vi) the terms and conditions upon which each Partnership Security will be issued, evidenced by certificates and assigned or transferred; and (vii) the right, if any, of each such Partnership Security to vote on Partnership matters, including matters relating to the relative rights, preferences and privileges of such Partnership Security.</w:t>
      </w:r>
    </w:p>
    <w:p>
      <w:pPr>
        <w:spacing w:after="0" w:line="185"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hereby authorized and directed to take all actions that it deems necessary or appropriate in connection with</w:t>
      </w:r>
    </w:p>
    <w:p>
      <w:pPr>
        <w:spacing w:after="0" w:line="27"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issuance of Partnership Securities and options, rights, warrants and appreciation rights relating to Partnership Securities pursuant to this Section 5.6,</w:t>
      </w:r>
    </w:p>
    <w:p>
      <w:pPr>
        <w:spacing w:after="0" w:line="9" w:lineRule="exact"/>
        <w:rPr>
          <w:rFonts w:ascii="Times New Roman" w:cs="Times New Roman" w:eastAsia="Times New Roman" w:hAnsi="Times New Roman"/>
          <w:sz w:val="18"/>
          <w:szCs w:val="18"/>
          <w:color w:val="auto"/>
        </w:rPr>
      </w:pPr>
    </w:p>
    <w:p>
      <w:pPr>
        <w:ind w:right="40" w:firstLine="8"/>
        <w:spacing w:after="0" w:line="252" w:lineRule="auto"/>
        <w:tabs>
          <w:tab w:leader="none" w:pos="2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the General Partner Interest and Incentive Distribution Rights into Units pursuant to the terms of this Agreement, (iii) the admission of Additional Limited Partners and (iv) all additional issuances of Partnership Securities. The General Partner is further authorized and directed to specify the relative rights, powers and duties of the holders of the Units or other Partnership Securities being so issued. The General Partner shall do all things necessary to comply with the Delaware Act and is authorized and directed to do all things it deems to be necessary or advisable in connection with any future issuance of Partnership Securities or in connection with the conversion of the General Partner Interest and Incentive Distribution Rights into Units pursuant to the terms of this Agreement, including compliance with any statute, rule, regulation or guideline of any federal, state or other governmental agency or any National Securities Exchange on which the Units or other Partnership Securities are listed for trading.</w:t>
      </w:r>
    </w:p>
    <w:p>
      <w:pPr>
        <w:spacing w:after="0" w:line="189" w:lineRule="exact"/>
        <w:rPr>
          <w:rFonts w:ascii="Times New Roman" w:cs="Times New Roman" w:eastAsia="Times New Roman" w:hAnsi="Times New Roman"/>
          <w:sz w:val="18"/>
          <w:szCs w:val="18"/>
          <w:color w:val="auto"/>
        </w:rPr>
      </w:pPr>
    </w:p>
    <w:p>
      <w:pPr>
        <w:ind w:left="2000" w:hanging="695"/>
        <w:spacing w:after="0"/>
        <w:tabs>
          <w:tab w:leader="none" w:pos="200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Units shall be issued by the Partnership.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[Reserved]</w:t>
      </w:r>
    </w:p>
    <w:p>
      <w:pPr>
        <w:spacing w:after="0" w:line="200" w:lineRule="exact"/>
        <w:rPr>
          <w:sz w:val="20"/>
          <w:szCs w:val="20"/>
          <w:color w:val="auto"/>
        </w:rPr>
      </w:pPr>
    </w:p>
    <w:p>
      <w:pPr>
        <w:sectPr>
          <w:pgSz w:w="11900" w:h="16838" w:orient="portrait"/>
          <w:cols w:equalWidth="0" w:num="2">
            <w:col w:w="1460" w:space="540"/>
            <w:col w:w="9400"/>
          </w:cols>
          <w:pgMar w:left="240" w:top="121" w:right="259" w:bottom="0" w:gutter="0" w:footer="0" w:header="0"/>
          <w:type w:val="continuous"/>
        </w:sectPr>
      </w:pP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5.8</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[Reserved]</w:t>
      </w:r>
    </w:p>
    <w:p>
      <w:pPr>
        <w:spacing w:after="0" w:line="200" w:lineRule="exact"/>
        <w:rPr>
          <w:sz w:val="20"/>
          <w:szCs w:val="20"/>
          <w:color w:val="auto"/>
        </w:rPr>
      </w:pPr>
    </w:p>
    <w:p>
      <w:pPr>
        <w:sectPr>
          <w:pgSz w:w="11900" w:h="16838" w:orient="portrait"/>
          <w:cols w:equalWidth="0" w:num="2">
            <w:col w:w="1460" w:space="540"/>
            <w:col w:w="9400"/>
          </w:cols>
          <w:pgMar w:left="240" w:top="121" w:right="259" w:bottom="0" w:gutter="0" w:footer="0" w:header="0"/>
          <w:type w:val="continuous"/>
        </w:sectPr>
      </w:pP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5.9</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Preemptive Right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460" w:space="540"/>
            <w:col w:w="9400"/>
          </w:cols>
          <w:pgMar w:left="240" w:top="121" w:right="259" w:bottom="0" w:gutter="0" w:footer="0" w:header="0"/>
          <w:type w:val="continuous"/>
        </w:sectPr>
      </w:pPr>
    </w:p>
    <w:p>
      <w:pPr>
        <w:spacing w:after="0" w:line="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Except as provided in this Section 5.9 and in Section 5.2, no Person shall have any preemptive, preferential or other similar right with respect to the issuance of any Partnership Security, whether unissued, held in the treasury or hereafter created. The General Partner shall have the right, which it may from time to time assign in whole or in part to any of its Affiliates, to purchase Partnership Securities from the Partnership whenever, and on the same terms that, the Partnership issues Partnership Securities to Persons other than the General Partner and its Affiliates, to the extent necessary to maintain the Percentage Interests of the General Partner and its Affiliates equal to that which existed immediately prior to the issuance of such Partnership Securities.</w:t>
      </w:r>
    </w:p>
    <w:p>
      <w:pPr>
        <w:sectPr>
          <w:pgSz w:w="11900" w:h="16838" w:orient="portrait"/>
          <w:cols w:equalWidth="0" w:num="1">
            <w:col w:w="11400"/>
          </w:cols>
          <w:pgMar w:left="240" w:top="121" w:right="259" w:bottom="0" w:gutter="0" w:footer="0" w:header="0"/>
          <w:type w:val="continuous"/>
        </w:sectPr>
      </w:pPr>
    </w:p>
    <w:bookmarkStart w:id="30" w:name="page31"/>
    <w:bookmarkEnd w:id="30"/>
    <w:p>
      <w:pPr>
        <w:spacing w:after="0" w:line="79"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5.10</w:t>
      </w:r>
      <w:r>
        <w:rPr>
          <w:sz w:val="20"/>
          <w:szCs w:val="20"/>
          <w:color w:val="auto"/>
        </w:rPr>
        <w:tab/>
      </w:r>
      <w:r>
        <w:rPr>
          <w:rFonts w:ascii="Times New Roman" w:cs="Times New Roman" w:eastAsia="Times New Roman" w:hAnsi="Times New Roman"/>
          <w:sz w:val="18"/>
          <w:szCs w:val="18"/>
          <w:i w:val="1"/>
          <w:iCs w:val="1"/>
          <w:color w:val="auto"/>
        </w:rPr>
        <w:t>Splits and Combination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1305"/>
        <w:spacing w:after="0" w:line="258" w:lineRule="auto"/>
        <w:tabs>
          <w:tab w:leader="none" w:pos="19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Sections 5.10(d), 6.6 and 6.9 (dealing with adjustments of distribution levels), the Partnership may make a Pro Rata distribution of Partnership Securities to all Record Holders or may effect a subdivision or combination of Partnership Securities so long as, after any such event, each Partner shall have the same Percentage Interest in the Partnership as before such event, and any amounts calculated on a per Unit basis or stated as a number of Units (including the number of additional Parity Units that may be issued pursuant to Section 5.6(d) without a Unitholder vote) are proportionately adjusted retroactive to the beginning of the Partnership.</w:t>
      </w:r>
    </w:p>
    <w:p>
      <w:pPr>
        <w:spacing w:after="0" w:line="183" w:lineRule="exact"/>
        <w:rPr>
          <w:rFonts w:ascii="Times New Roman" w:cs="Times New Roman" w:eastAsia="Times New Roman" w:hAnsi="Times New Roman"/>
          <w:sz w:val="18"/>
          <w:szCs w:val="18"/>
          <w:color w:val="auto"/>
        </w:rPr>
      </w:pPr>
    </w:p>
    <w:p>
      <w:pPr>
        <w:ind w:firstLine="1305"/>
        <w:spacing w:after="0" w:line="256" w:lineRule="auto"/>
        <w:tabs>
          <w:tab w:leader="none" w:pos="200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such a distribution, subdivision or combination of Partnership Securities is declared, the General Partner shall select a Record Date as of which the distribution, subdivision or combination shall be effective and shall send notice thereof at least 20 days prior to such Record Date to each Record Holder as of a date not less than 10 days prior to the date of such notice. The General Partner also may cause a firm of independent public accountants selected by it to calculate the number of Partnership Securities to be held by each Record Holder after giving effect to such distribution, subdivision or combination. The General Partner shall be entitled to rely on any certificate provided by such firm as conclusive evidence of the accuracy of such calculation.</w:t>
      </w:r>
    </w:p>
    <w:p>
      <w:pPr>
        <w:spacing w:after="0" w:line="187" w:lineRule="exact"/>
        <w:rPr>
          <w:rFonts w:ascii="Times New Roman" w:cs="Times New Roman" w:eastAsia="Times New Roman" w:hAnsi="Times New Roman"/>
          <w:sz w:val="18"/>
          <w:szCs w:val="18"/>
          <w:color w:val="auto"/>
        </w:rPr>
      </w:pPr>
    </w:p>
    <w:p>
      <w:pPr>
        <w:ind w:right="40" w:firstLine="1305"/>
        <w:spacing w:after="0" w:line="256" w:lineRule="auto"/>
        <w:tabs>
          <w:tab w:leader="none" w:pos="199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such distribution, subdivision or combination, the Partnership may issue Certificates, or other evidence of the issuance of uncertificated Units, to the Record Holders of Partnership Securities as of the applicable Record Date representing the new number of Partnership Securities held by such Record Holders, or the General Partner may adopt such other procedures as it may deem appropriate to reflect such changes. If any such combination results in a smaller total number of Partnership Securities Outstanding, the Partnership shall require, as a condition to the delivery to a Record Holder of such new Certificate, or other evidence of the issuance of uncertificated Units, the surrender of any Certificate, or other evidence of the issuance of uncertificated Units, held by such Record Holder immediately prior to such Record Date.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1305"/>
        <w:spacing w:after="0" w:line="266" w:lineRule="auto"/>
        <w:tabs>
          <w:tab w:leader="none" w:pos="2001"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not issue fractional Units upon any distribution, subdivision or combination of Units. If a distribution, subdivision or combination of Units would result in the issuance of fractional Units but for the provisions of Section 5.6(d) and this Section 5.10(d), each fractional Unit shall be rounded to the nearest whole Unit (and a 0.5 Unit shall be rounded to the next higher Unit).</w:t>
      </w:r>
    </w:p>
    <w:p>
      <w:pPr>
        <w:spacing w:after="0" w:line="174"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5.11</w:t>
      </w:r>
      <w:r>
        <w:rPr>
          <w:sz w:val="20"/>
          <w:szCs w:val="20"/>
          <w:color w:val="auto"/>
        </w:rPr>
        <w:tab/>
      </w:r>
      <w:r>
        <w:rPr>
          <w:rFonts w:ascii="Times New Roman" w:cs="Times New Roman" w:eastAsia="Times New Roman" w:hAnsi="Times New Roman"/>
          <w:sz w:val="17"/>
          <w:szCs w:val="17"/>
          <w:i w:val="1"/>
          <w:iCs w:val="1"/>
          <w:color w:val="auto"/>
        </w:rPr>
        <w:t>Fully Paid and Non-Assessable Nature of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All Limited Partner Interests issued pursuant to, and in accordance with the requirements of, this Article V shall be fully paid and non-assessable Limited Partner Interests in the Partnership, except as such non-assessability may be affected by Section 17-607 of the Delaware Act.</w:t>
      </w:r>
    </w:p>
    <w:p>
      <w:pPr>
        <w:sectPr>
          <w:pgSz w:w="11900" w:h="16917" w:orient="portrait"/>
          <w:cols w:equalWidth="0" w:num="1">
            <w:col w:w="11420"/>
          </w:cols>
          <w:pgMar w:left="240" w:top="119" w:right="239" w:bottom="0" w:gutter="0" w:footer="0" w:header="0"/>
        </w:sectPr>
      </w:pP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5.12</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[Reserved]</w:t>
      </w:r>
    </w:p>
    <w:p>
      <w:pPr>
        <w:spacing w:after="0" w:line="200" w:lineRule="exact"/>
        <w:rPr>
          <w:sz w:val="20"/>
          <w:szCs w:val="20"/>
          <w:color w:val="auto"/>
        </w:rPr>
      </w:pPr>
    </w:p>
    <w:p>
      <w:pPr>
        <w:sectPr>
          <w:pgSz w:w="11900" w:h="16917" w:orient="portrait"/>
          <w:cols w:equalWidth="0" w:num="2">
            <w:col w:w="1560" w:space="440"/>
            <w:col w:w="9420"/>
          </w:cols>
          <w:pgMar w:left="240" w:top="119" w:right="239" w:bottom="0" w:gutter="0" w:footer="0" w:header="0"/>
          <w:type w:val="continuous"/>
        </w:sectPr>
      </w:pP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5.13</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[Reserved]</w:t>
      </w:r>
    </w:p>
    <w:p>
      <w:pPr>
        <w:spacing w:after="0" w:line="200" w:lineRule="exact"/>
        <w:rPr>
          <w:sz w:val="20"/>
          <w:szCs w:val="20"/>
          <w:color w:val="auto"/>
        </w:rPr>
      </w:pPr>
    </w:p>
    <w:p>
      <w:pPr>
        <w:sectPr>
          <w:pgSz w:w="11900" w:h="16917" w:orient="portrait"/>
          <w:cols w:equalWidth="0" w:num="2">
            <w:col w:w="1560" w:space="440"/>
            <w:col w:w="9420"/>
          </w:cols>
          <w:pgMar w:left="240" w:top="119" w:right="239" w:bottom="0" w:gutter="0" w:footer="0" w:header="0"/>
          <w:type w:val="continuous"/>
        </w:sectPr>
      </w:pP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Section 5.14</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Establishment of Series A Preferred Units.</w:t>
      </w:r>
    </w:p>
    <w:p>
      <w:pPr>
        <w:spacing w:after="0" w:line="202" w:lineRule="exact"/>
        <w:rPr>
          <w:sz w:val="20"/>
          <w:szCs w:val="20"/>
          <w:color w:val="auto"/>
        </w:rPr>
      </w:pPr>
    </w:p>
    <w:p>
      <w:pPr>
        <w:sectPr>
          <w:pgSz w:w="11900" w:h="16917" w:orient="portrait"/>
          <w:cols w:equalWidth="0" w:num="2">
            <w:col w:w="1560" w:space="440"/>
            <w:col w:w="9420"/>
          </w:cols>
          <w:pgMar w:left="240" w:top="119" w:right="239" w:bottom="0" w:gutter="0" w:footer="0" w:header="0"/>
          <w:type w:val="continuous"/>
        </w:sectPr>
      </w:pPr>
    </w:p>
    <w:p>
      <w:pPr>
        <w:spacing w:after="0" w:line="35" w:lineRule="exact"/>
        <w:rPr>
          <w:sz w:val="20"/>
          <w:szCs w:val="20"/>
          <w:color w:val="auto"/>
        </w:rPr>
      </w:pPr>
    </w:p>
    <w:p>
      <w:pPr>
        <w:ind w:right="80" w:firstLine="1305"/>
        <w:spacing w:after="0" w:line="257" w:lineRule="auto"/>
        <w:tabs>
          <w:tab w:leader="none" w:pos="19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Partnership hereby designates and creates a series of Units to be designated as “Series A Convertible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Units” (such Series A Convertible Preferred Units, together with any Series A PIK Units, the “</w:t>
      </w:r>
      <w:r>
        <w:rPr>
          <w:rFonts w:ascii="Times New Roman" w:cs="Times New Roman" w:eastAsia="Times New Roman" w:hAnsi="Times New Roman"/>
          <w:sz w:val="18"/>
          <w:szCs w:val="18"/>
          <w:i w:val="1"/>
          <w:iCs w:val="1"/>
          <w:color w:val="auto"/>
        </w:rPr>
        <w:t>Series A Preferred Units</w:t>
      </w:r>
      <w:r>
        <w:rPr>
          <w:rFonts w:ascii="Times New Roman" w:cs="Times New Roman" w:eastAsia="Times New Roman" w:hAnsi="Times New Roman"/>
          <w:sz w:val="18"/>
          <w:szCs w:val="18"/>
          <w:color w:val="auto"/>
        </w:rPr>
        <w:t>”), having the same rights, preferences and privileges, and subject to the same duties and obligations, as the Common Units, except as set forth in this Section 5.14 and in Sections 5.5, 6.1 and 12.4. However, in the event of any conflict between the rights, preferences, privileges, duties and obligations of the Common Units as generally set forth in this Agreement and the provisions of this Section 5.14 and Sections 5.5, 6.1 and 12.4 that specifically set forth the rights, preferences, privileges, duties and obligations of the Series A Preferred Units, such specific provisions shall control.</w:t>
      </w:r>
    </w:p>
    <w:p>
      <w:pPr>
        <w:spacing w:after="0" w:line="182" w:lineRule="exact"/>
        <w:rPr>
          <w:rFonts w:ascii="Times New Roman" w:cs="Times New Roman" w:eastAsia="Times New Roman" w:hAnsi="Times New Roman"/>
          <w:sz w:val="18"/>
          <w:szCs w:val="18"/>
          <w:color w:val="auto"/>
        </w:rPr>
      </w:pPr>
    </w:p>
    <w:p>
      <w:pPr>
        <w:ind w:firstLine="1305"/>
        <w:spacing w:after="0" w:line="284" w:lineRule="auto"/>
        <w:tabs>
          <w:tab w:leader="none" w:pos="200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Rights of Series A Preferred Units</w:t>
      </w:r>
      <w:r>
        <w:rPr>
          <w:rFonts w:ascii="Times New Roman" w:cs="Times New Roman" w:eastAsia="Times New Roman" w:hAnsi="Times New Roman"/>
          <w:sz w:val="18"/>
          <w:szCs w:val="18"/>
          <w:color w:val="auto"/>
        </w:rPr>
        <w:t>. The Series A Preferred Units shall have the following rights, preferences and privileges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Preferred Unitholders shall be subject to the following duties and obligations:</w:t>
      </w:r>
    </w:p>
    <w:p>
      <w:pPr>
        <w:spacing w:after="0" w:line="158" w:lineRule="exact"/>
        <w:rPr>
          <w:rFonts w:ascii="Times New Roman" w:cs="Times New Roman" w:eastAsia="Times New Roman" w:hAnsi="Times New Roman"/>
          <w:sz w:val="18"/>
          <w:szCs w:val="18"/>
          <w:color w:val="auto"/>
        </w:rPr>
      </w:pPr>
    </w:p>
    <w:p>
      <w:pPr>
        <w:ind w:left="2660" w:hanging="707"/>
        <w:spacing w:after="0"/>
        <w:tabs>
          <w:tab w:leader="none" w:pos="266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960" w:right="100" w:firstLine="641"/>
        <w:spacing w:after="0" w:line="255" w:lineRule="auto"/>
        <w:tabs>
          <w:tab w:leader="none" w:pos="3308" w:val="left"/>
        </w:tabs>
        <w:numPr>
          <w:ilvl w:val="2"/>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with the Quarter ending on March 31, 2016, the holders of the Series A Preferred Units as of an applicable Record Date shall be entitled to receive cumulative distributions (each, a “</w:t>
      </w:r>
      <w:r>
        <w:rPr>
          <w:rFonts w:ascii="Times New Roman" w:cs="Times New Roman" w:eastAsia="Times New Roman" w:hAnsi="Times New Roman"/>
          <w:sz w:val="18"/>
          <w:szCs w:val="18"/>
          <w:i w:val="1"/>
          <w:iCs w:val="1"/>
          <w:color w:val="auto"/>
        </w:rPr>
        <w:t>Series A Quarterly Distribution</w:t>
      </w:r>
      <w:r>
        <w:rPr>
          <w:rFonts w:ascii="Times New Roman" w:cs="Times New Roman" w:eastAsia="Times New Roman" w:hAnsi="Times New Roman"/>
          <w:sz w:val="18"/>
          <w:szCs w:val="18"/>
          <w:color w:val="auto"/>
        </w:rPr>
        <w:t>”), prior to any other distributions made in respect of any other Partnership Interests pursuant to Section 6.4 or Section 6.5, in the amount set forth in this Section 5.14(b)(i)(A) in respect of each Outstanding Series A Preferred Unit. With respect to any Quarter (or portion thereof for which a Series A Quarterly Distribution is due) ending on or prior to December 31, 2017 (the “</w:t>
      </w:r>
      <w:r>
        <w:rPr>
          <w:rFonts w:ascii="Times New Roman" w:cs="Times New Roman" w:eastAsia="Times New Roman" w:hAnsi="Times New Roman"/>
          <w:sz w:val="18"/>
          <w:szCs w:val="18"/>
          <w:i w:val="1"/>
          <w:iCs w:val="1"/>
          <w:color w:val="auto"/>
        </w:rPr>
        <w:t>Initial Distribution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Period</w:t>
      </w:r>
      <w:r>
        <w:rPr>
          <w:rFonts w:ascii="Times New Roman" w:cs="Times New Roman" w:eastAsia="Times New Roman" w:hAnsi="Times New Roman"/>
          <w:sz w:val="18"/>
          <w:szCs w:val="18"/>
          <w:color w:val="auto"/>
        </w:rPr>
        <w:t>”), such Series A Quarterly Distribution may be paid, in the sole discretion of the General Partner, in Series A PIK Units,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or in a combination of Series A PIK Units and cash. For any Quarter ending after the Initial Distribution Period, all Series A Quarterly Distributions shall be paid in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right="60"/>
        <w:spacing w:after="0" w:line="270" w:lineRule="auto"/>
        <w:rPr>
          <w:sz w:val="20"/>
          <w:szCs w:val="20"/>
          <w:color w:val="auto"/>
        </w:rPr>
      </w:pPr>
      <w:r>
        <w:rPr>
          <w:rFonts w:ascii="Times New Roman" w:cs="Times New Roman" w:eastAsia="Times New Roman" w:hAnsi="Times New Roman"/>
          <w:sz w:val="17"/>
          <w:szCs w:val="17"/>
          <w:color w:val="auto"/>
        </w:rPr>
        <w:t xml:space="preserve">cash. The Series A Distribution Amount for the Quarter ending March 31, 2016 shall be pro rated for the period commencing on the Series A Issuance Date and ending on, and including, March 31, 2016. If during the Initial Distribution Period the General Partner elects to pay all or any portion of a Series A Quarterly Distribution in Series A PIK Units, the number of Series A PIK Units to be issued in connection with such Series A Quarterly Distribution shall equal the quotient of (A) the applicable Series A Distribution Amount (or portion thereof to be paid in Series A PIK Units) divided by (B) the Series A Issue Price;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instead of issuing any fractional Series A PIK Unit, the Partnership shall round the number of Series A PIK Units issued to each Series A Preferred Unitholder down to the nearest whole Series A PIK Unit and pay cash in lieu of any resulting fractional unit (with the amount of such cash payment being based on the value of such fractional Series A PIK Unit, which shall in turn be based on the value of a comparable fraction of the number of Series A Conversion Units into which such Series A PIK Unit would be convertible at the applicable Series A Conversion Rate on the Record Date for such Series A Quarterly Distribution). All such</w:t>
      </w:r>
    </w:p>
    <w:p>
      <w:pPr>
        <w:sectPr>
          <w:pgSz w:w="11900" w:h="16917" w:orient="portrait"/>
          <w:cols w:equalWidth="0" w:num="1">
            <w:col w:w="11420"/>
          </w:cols>
          <w:pgMar w:left="240" w:top="119" w:right="239" w:bottom="0" w:gutter="0" w:footer="0" w:header="0"/>
          <w:type w:val="continuous"/>
        </w:sectPr>
      </w:pPr>
    </w:p>
    <w:bookmarkStart w:id="31" w:name="page32"/>
    <w:bookmarkEnd w:id="31"/>
    <w:p>
      <w:pPr>
        <w:ind w:left="760" w:right="80"/>
        <w:spacing w:after="0" w:line="254" w:lineRule="auto"/>
        <w:rPr>
          <w:sz w:val="20"/>
          <w:szCs w:val="20"/>
          <w:color w:val="auto"/>
        </w:rPr>
      </w:pPr>
      <w:r>
        <w:rPr>
          <w:rFonts w:ascii="Times New Roman" w:cs="Times New Roman" w:eastAsia="Times New Roman" w:hAnsi="Times New Roman"/>
          <w:sz w:val="18"/>
          <w:szCs w:val="18"/>
          <w:color w:val="auto"/>
        </w:rPr>
        <w:t>distributions shall be paid quarterly within forty-five (45) days after the end of each Quarter (each such payment date, a “</w:t>
      </w:r>
      <w:r>
        <w:rPr>
          <w:rFonts w:ascii="Times New Roman" w:cs="Times New Roman" w:eastAsia="Times New Roman" w:hAnsi="Times New Roman"/>
          <w:sz w:val="18"/>
          <w:szCs w:val="18"/>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Distribution Payment Date</w:t>
      </w:r>
      <w:r>
        <w:rPr>
          <w:rFonts w:ascii="Times New Roman" w:cs="Times New Roman" w:eastAsia="Times New Roman" w:hAnsi="Times New Roman"/>
          <w:sz w:val="18"/>
          <w:szCs w:val="18"/>
          <w:color w:val="auto"/>
        </w:rPr>
        <w:t>”). The Series A Quarterly Distribution on each Outstanding Series A Preferred Unit shall be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sum of (i) the Series A Distribution Amount, and (ii) any unpaid Series A Unpaid Cash Distributions. Upon the payment in cash (but not in kind) of any Series A Distribution Amount, the Partnership shall distribute to the General Partner the corresponding Series A GP Distribution Amount. If the Partnership establishes a Record Date for any distribution to be made by the Partnership on other Partnership Interests pursuant to Sections 6.4 or Section 6.5 in respect of any Quarter, then the Record Date established pursuant to this Section 5.14(b)(i) for a Series A Quarterly Distribution in respect of such Quarter shall be the same Record Date. Unless otherwise expressly provided, references in this Agreement to Series A Preferred Units shall include all Series A PIK Units Outstanding as of any date of such determination.</w:t>
      </w:r>
    </w:p>
    <w:p>
      <w:pPr>
        <w:spacing w:after="0" w:line="191" w:lineRule="exact"/>
        <w:rPr>
          <w:sz w:val="20"/>
          <w:szCs w:val="20"/>
          <w:color w:val="auto"/>
        </w:rPr>
      </w:pPr>
    </w:p>
    <w:p>
      <w:pPr>
        <w:ind w:left="760" w:right="40" w:firstLine="641"/>
        <w:spacing w:after="0" w:line="257" w:lineRule="auto"/>
        <w:tabs>
          <w:tab w:leader="none" w:pos="209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fails to pay in full the Series A Distribution Amount of any Series A Quarterly Distribution in cash or Series A PIK Units when due for any Quarter during the Initial Distribution Period, then the holders entitled to such unpaid Series A Quarterly Distribution shall be entitled to (I) receive such Series A Quarterly Distribution in Series A PIK Units,</w:t>
      </w:r>
    </w:p>
    <w:p>
      <w:pPr>
        <w:spacing w:after="0" w:line="1" w:lineRule="exact"/>
        <w:rPr>
          <w:rFonts w:ascii="Times New Roman" w:cs="Times New Roman" w:eastAsia="Times New Roman" w:hAnsi="Times New Roman"/>
          <w:sz w:val="18"/>
          <w:szCs w:val="18"/>
          <w:color w:val="auto"/>
        </w:rPr>
      </w:pPr>
    </w:p>
    <w:p>
      <w:pPr>
        <w:ind w:left="760" w:right="280" w:hanging="7"/>
        <w:spacing w:after="0" w:line="253" w:lineRule="auto"/>
        <w:tabs>
          <w:tab w:leader="none" w:pos="104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Series A Quarterly Distributions in subsequent Quarters on such unpaid Series A PIK Units, (III) receive the liquidiation preference in accordance with Section 5.14(b)(xiii) in respect of such unpaid Series A PIK Units, and (IV) all other rights under this Agreement as if such unpaid Series A PIK Units had in fact been distributed on the date due. If the Partnership fails to pay in full the Series A Distribution Amount of any Series A Quarterly Distribution in cash when due for any Quarter following the Initial</w:t>
      </w:r>
    </w:p>
    <w:p>
      <w:pPr>
        <w:spacing w:after="0" w:line="18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20"/>
        <w:spacing w:after="0" w:line="256" w:lineRule="auto"/>
        <w:rPr>
          <w:sz w:val="20"/>
          <w:szCs w:val="20"/>
          <w:color w:val="auto"/>
        </w:rPr>
      </w:pPr>
      <w:r>
        <w:rPr>
          <w:rFonts w:ascii="Times New Roman" w:cs="Times New Roman" w:eastAsia="Times New Roman" w:hAnsi="Times New Roman"/>
          <w:sz w:val="18"/>
          <w:szCs w:val="18"/>
          <w:color w:val="auto"/>
        </w:rPr>
        <w:t>Distribution Period, then from and after the first date of such failure and continuing until such failure is cured by payment in full in cash of all such arrearages, (y) the amount of such unpaid cash distributions (“</w:t>
      </w:r>
      <w:r>
        <w:rPr>
          <w:rFonts w:ascii="Times New Roman" w:cs="Times New Roman" w:eastAsia="Times New Roman" w:hAnsi="Times New Roman"/>
          <w:sz w:val="18"/>
          <w:szCs w:val="18"/>
          <w:i w:val="1"/>
          <w:iCs w:val="1"/>
          <w:color w:val="auto"/>
        </w:rPr>
        <w:t>Series A Unpaid Cash Distributions</w:t>
      </w:r>
      <w:r>
        <w:rPr>
          <w:rFonts w:ascii="Times New Roman" w:cs="Times New Roman" w:eastAsia="Times New Roman" w:hAnsi="Times New Roman"/>
          <w:sz w:val="18"/>
          <w:szCs w:val="18"/>
          <w:color w:val="auto"/>
        </w:rPr>
        <w:t>”) unless and until paid will accrue and accumulate from and including the first day of the Quarter immediately following the Quarter in respect of which such payment is due until paid in full and (z) the Partnership shall not be permitted to, and shall not, declare or make any distributions in respect of any Junior Interests (including, for the avoidance of doubt, with respect to the Quarter for which the Partnership first failed to pay in full the Series A Distribution Amount of any Series A Quarterly Distribution in cash when due).</w:t>
      </w:r>
    </w:p>
    <w:p>
      <w:pPr>
        <w:spacing w:after="0" w:line="188" w:lineRule="exact"/>
        <w:rPr>
          <w:sz w:val="20"/>
          <w:szCs w:val="20"/>
          <w:color w:val="auto"/>
        </w:rPr>
      </w:pPr>
    </w:p>
    <w:p>
      <w:pPr>
        <w:ind w:left="760" w:right="80" w:firstLine="641"/>
        <w:spacing w:after="0" w:line="272" w:lineRule="auto"/>
        <w:tabs>
          <w:tab w:leader="none" w:pos="2098"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Series A Distribution Amount (excluding any portion paid in kind) and corresponding Series A GP Distribution Amount to be so distributed in respect of the Series A Preferred Units Outstanding as of the Record Date for a Series A Quarterly Distribution shall be paid out of Available Cash with respect to the applicable Quarter that is deemed to be Operating Surplus prior to making any distribution pursuant to Sections 6.4 or 6.5. To the extent that any portion of a Series A Quarterly Distribution to be paid in cash with respect to any Quarter and corresponding Series A GP Distribution Amount exceeds the amount of Available Cash for such Quarter, an amount of cash equal to the Available Cash for such Quarter will be paid 2% to the General Partner and 98% to the Series A Preferred Unitholders Pro Rata and the balance of such Series A Quarterly Distribution shall be unpaid and shall constitute an arrearage and shall accrue and accumulate as set forth in Section 5.14(b)(i)(B).</w:t>
      </w:r>
    </w:p>
    <w:p>
      <w:pPr>
        <w:spacing w:after="0" w:line="172" w:lineRule="exact"/>
        <w:rPr>
          <w:rFonts w:ascii="Times New Roman" w:cs="Times New Roman" w:eastAsia="Times New Roman" w:hAnsi="Times New Roman"/>
          <w:sz w:val="17"/>
          <w:szCs w:val="17"/>
          <w:color w:val="auto"/>
        </w:rPr>
      </w:pPr>
    </w:p>
    <w:p>
      <w:pPr>
        <w:ind w:left="760" w:right="60" w:firstLine="641"/>
        <w:spacing w:after="0" w:line="255" w:lineRule="auto"/>
        <w:tabs>
          <w:tab w:leader="none" w:pos="2108"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5.14(b)(i) to the contrary, with respect to any Series A Preferred Unit that is converted into a Common Unit, the holder thereof shall not be entitled to a distribution in respect of such Series A Preferred Unit and a distribution in respect of such Common Unit with respect to the same period, but shall be entitled only to the distribution to be paid based upon the class of Units held as of the close of business on the applicable Record Date. For the avoidance of doubt, if a Series A Conversion Date occurs prior to the close of business on a Record Date for payment of a distribution on the Common Units, the applicable holder of Series A Preferred Units shall receive, with respect to any Series A Preferred Units that have converted into Common Units, only the distribution in respect of such Common Units with respect to such period.</w:t>
      </w:r>
    </w:p>
    <w:p>
      <w:pPr>
        <w:spacing w:after="0" w:line="185" w:lineRule="exact"/>
        <w:rPr>
          <w:rFonts w:ascii="Times New Roman" w:cs="Times New Roman" w:eastAsia="Times New Roman" w:hAnsi="Times New Roman"/>
          <w:sz w:val="18"/>
          <w:szCs w:val="18"/>
          <w:color w:val="auto"/>
        </w:rPr>
      </w:pPr>
    </w:p>
    <w:p>
      <w:pPr>
        <w:ind w:left="760" w:firstLine="641"/>
        <w:spacing w:after="0" w:line="272" w:lineRule="auto"/>
        <w:tabs>
          <w:tab w:leader="none" w:pos="2133"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any Series A PIK Units are payable to a Series A Preferred Unitholder pursuant to this Section 5.14, the Partnership shall issue the Series A PIK Units to such holder in accordance with Section 5.14(b)(i)(A) (the date of issuance of such Series A PIK Units, the “</w:t>
      </w:r>
      <w:r>
        <w:rPr>
          <w:rFonts w:ascii="Times New Roman" w:cs="Times New Roman" w:eastAsia="Times New Roman" w:hAnsi="Times New Roman"/>
          <w:sz w:val="17"/>
          <w:szCs w:val="17"/>
          <w:i w:val="1"/>
          <w:iCs w:val="1"/>
          <w:color w:val="auto"/>
        </w:rPr>
        <w:t>Series A PIK Payment Date</w:t>
      </w:r>
      <w:r>
        <w:rPr>
          <w:rFonts w:ascii="Times New Roman" w:cs="Times New Roman" w:eastAsia="Times New Roman" w:hAnsi="Times New Roman"/>
          <w:sz w:val="17"/>
          <w:szCs w:val="17"/>
          <w:color w:val="auto"/>
        </w:rPr>
        <w:t>”). On the Series A PIK Payment Date, the Partnership shall have the option to</w:t>
      </w:r>
    </w:p>
    <w:p>
      <w:pPr>
        <w:spacing w:after="0" w:line="1" w:lineRule="exact"/>
        <w:rPr>
          <w:rFonts w:ascii="Times New Roman" w:cs="Times New Roman" w:eastAsia="Times New Roman" w:hAnsi="Times New Roman"/>
          <w:sz w:val="17"/>
          <w:szCs w:val="17"/>
          <w:color w:val="auto"/>
        </w:rPr>
      </w:pPr>
    </w:p>
    <w:p>
      <w:pPr>
        <w:ind w:left="960" w:hanging="207"/>
        <w:spacing w:after="0"/>
        <w:tabs>
          <w:tab w:leader="none" w:pos="9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to such Series A Preferred</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60"/>
        <w:spacing w:after="0" w:line="258" w:lineRule="auto"/>
        <w:rPr>
          <w:sz w:val="20"/>
          <w:szCs w:val="20"/>
          <w:color w:val="auto"/>
        </w:rPr>
      </w:pPr>
      <w:r>
        <w:rPr>
          <w:rFonts w:ascii="Times New Roman" w:cs="Times New Roman" w:eastAsia="Times New Roman" w:hAnsi="Times New Roman"/>
          <w:sz w:val="18"/>
          <w:szCs w:val="18"/>
          <w:color w:val="auto"/>
        </w:rPr>
        <w:t>Unitholder a certificate or certificates for the number of Series A PIK Units to which such Series A Preferred Unitholder shall be entitled, or (ii) make a notation in book entry form in the books of the Partnership, and all such Series A PIK Units shall, when so issued, be duly authorized, validly issued, fully paid and non-assessable Limited Partner Interests, except as such non-assessability may be affected by Section 17-607 or 17-804 of the Delaware Act, and shall be free from preemptive rights and free of any lien, claim, rights or encumbrances, other than those arising under the Delaware Act or this Agreement.</w:t>
      </w:r>
    </w:p>
    <w:p>
      <w:pPr>
        <w:spacing w:after="0" w:line="184" w:lineRule="exact"/>
        <w:rPr>
          <w:sz w:val="20"/>
          <w:szCs w:val="20"/>
          <w:color w:val="auto"/>
        </w:rPr>
      </w:pPr>
    </w:p>
    <w:p>
      <w:pPr>
        <w:ind w:left="760" w:firstLine="641"/>
        <w:spacing w:after="0" w:line="255" w:lineRule="auto"/>
        <w:tabs>
          <w:tab w:leader="none" w:pos="212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maintaining Capital Accounts, if the Partnership issues one or more Series A PIK Units with respect to a Series A Preferred Unit, (i) the Partnership shall be treated as distributing cash 2% to the General Partner and 98% with respect to such Series A Preferred Unit until the amount distributed with respect to such Series A Preferred Unit is equal to portion of the Series A Distribution Amount paid in Series A PIK Units, and (ii) the holder of such Series A Preferred Unit shall be treated as having contributed to the Partnership in exchange for such newly issued Series A PIK Units an amount of cash equal to the portion of the Series A Distribution Amount paid in Series A PIK Units less the amount of any cash distributed by the Partnership in lieu of fractional Series A PIK Units, and the General Partner will be treated as having contributed the cash it is treated as receiving under clause (i) of this Section 5.14(b)(i)(F) in respect of its 2% General Partner Interest.</w:t>
      </w:r>
    </w:p>
    <w:p>
      <w:pPr>
        <w:spacing w:after="0" w:line="185" w:lineRule="exact"/>
        <w:rPr>
          <w:rFonts w:ascii="Times New Roman" w:cs="Times New Roman" w:eastAsia="Times New Roman" w:hAnsi="Times New Roman"/>
          <w:sz w:val="18"/>
          <w:szCs w:val="18"/>
          <w:color w:val="auto"/>
        </w:rPr>
      </w:pPr>
    </w:p>
    <w:p>
      <w:pPr>
        <w:ind w:left="760" w:right="60" w:firstLine="641"/>
        <w:spacing w:after="0" w:line="266" w:lineRule="auto"/>
        <w:tabs>
          <w:tab w:leader="none" w:pos="2108"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Article VI to the contrary, the holders of the Incentive Distribution Rights shall not be entitled to receive distributions or allocations of income or gain that correspond or relate to amounts distributed or allocated to Unitholders in respect of Series A Preferred Units.</w:t>
      </w:r>
    </w:p>
    <w:p>
      <w:pPr>
        <w:sectPr>
          <w:pgSz w:w="11900" w:h="16838" w:orient="portrait"/>
          <w:cols w:equalWidth="0" w:num="1">
            <w:col w:w="10220"/>
          </w:cols>
          <w:pgMar w:left="1440" w:top="119" w:right="239" w:bottom="0" w:gutter="0" w:footer="0" w:header="0"/>
        </w:sectPr>
      </w:pPr>
    </w:p>
    <w:bookmarkStart w:id="32" w:name="page33"/>
    <w:bookmarkEnd w:id="32"/>
    <w:p>
      <w:pPr>
        <w:spacing w:after="0" w:line="65" w:lineRule="exact"/>
        <w:rPr>
          <w:sz w:val="20"/>
          <w:szCs w:val="20"/>
          <w:color w:val="auto"/>
        </w:rPr>
      </w:pPr>
    </w:p>
    <w:p>
      <w:pPr>
        <w:ind w:left="100" w:right="480" w:firstLine="653"/>
        <w:spacing w:after="0" w:line="284" w:lineRule="auto"/>
        <w:tabs>
          <w:tab w:leader="none" w:pos="1463"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the Series A Preferred Units. </w:t>
      </w:r>
      <w:r>
        <w:rPr>
          <w:rFonts w:ascii="Times New Roman" w:cs="Times New Roman" w:eastAsia="Times New Roman" w:hAnsi="Times New Roman"/>
          <w:sz w:val="18"/>
          <w:szCs w:val="18"/>
          <w:color w:val="auto"/>
        </w:rPr>
        <w:t>The Series A Preferred Units (other than the Series A PIK Units)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by the Partnership pursuant to the terms and conditions of the Series A Purchase Agreement.</w:t>
      </w:r>
    </w:p>
    <w:p>
      <w:pPr>
        <w:spacing w:after="0" w:line="158" w:lineRule="exact"/>
        <w:rPr>
          <w:rFonts w:ascii="Times New Roman" w:cs="Times New Roman" w:eastAsia="Times New Roman" w:hAnsi="Times New Roman"/>
          <w:sz w:val="18"/>
          <w:szCs w:val="18"/>
          <w:color w:val="auto"/>
        </w:rPr>
      </w:pPr>
    </w:p>
    <w:p>
      <w:pPr>
        <w:ind w:left="1480" w:hanging="727"/>
        <w:spacing w:after="0"/>
        <w:tabs>
          <w:tab w:leader="none" w:pos="14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60" w:right="100" w:firstLine="641"/>
        <w:spacing w:after="0" w:line="256" w:lineRule="auto"/>
        <w:tabs>
          <w:tab w:leader="none" w:pos="2108"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5.14(b)(iii)(B) below, the Outstanding Series A Preferred Units shall have voting rights that are identical to the voting rights of the Common Units and shall vote with the Common Units as a single class, so that each Outstanding Series A Preferred Unit will be entitled to one vote for each Common Unit into which such Series A Preferred Unit is then convertible at the then applicable Series A Conversion Rate (or, if the Series A Preferred Units are not then convertible, assuming that such Series A Preferred Units are convertible at the then applicable Series A Conversion Rate) on each matter with respect to which each Common Unit is entitled to vote. Each</w:t>
      </w:r>
    </w:p>
    <w:p>
      <w:pPr>
        <w:spacing w:after="0" w:line="18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420"/>
        <w:spacing w:after="0" w:line="281" w:lineRule="auto"/>
        <w:rPr>
          <w:sz w:val="20"/>
          <w:szCs w:val="20"/>
          <w:color w:val="auto"/>
        </w:rPr>
      </w:pPr>
      <w:r>
        <w:rPr>
          <w:rFonts w:ascii="Times New Roman" w:cs="Times New Roman" w:eastAsia="Times New Roman" w:hAnsi="Times New Roman"/>
          <w:sz w:val="17"/>
          <w:szCs w:val="17"/>
          <w:color w:val="auto"/>
        </w:rPr>
        <w:t>reference in this Agreement to a vote of Record Holders of Common Units shall be deemed to be a reference to the holders of Common Units and Series A Preferred Units on an “as if” converted basis, and the definition of “Unit Majority” shall correspondingly be construed to mean at least a majority of the Common Units and the Series A Preferred Units, on an “as if” converted basis, voting together as a single class during any period in which any Series A Preferred Units are Outstanding.</w:t>
      </w:r>
    </w:p>
    <w:p>
      <w:pPr>
        <w:spacing w:after="0" w:line="165" w:lineRule="exact"/>
        <w:rPr>
          <w:sz w:val="20"/>
          <w:szCs w:val="20"/>
          <w:color w:val="auto"/>
        </w:rPr>
      </w:pPr>
    </w:p>
    <w:p>
      <w:pPr>
        <w:ind w:left="760" w:right="100" w:firstLine="641"/>
        <w:spacing w:after="0" w:line="256" w:lineRule="auto"/>
        <w:tabs>
          <w:tab w:leader="none" w:pos="209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in addition to all other requirements imposed by Delaware law, and all other voting rights granted under this Agreement, the affirmative vote of the Record Holders of the Series A Required Voting Percentage, shall be required for any amendment (excluding any amendment of a ministerial or administrative nature) to this Agreement or the Certificate of Limited Partnership (including by merger or otherwise) that is adverse to any of the rights, preferences and privileges of the Series A Preferred Units. Without limiting the generality of the preceding sentence, any action shall be deemed to adversely affect the holders of the Series A Preferred Units if such action would:</w:t>
      </w:r>
    </w:p>
    <w:p>
      <w:pPr>
        <w:spacing w:after="0" w:line="187" w:lineRule="exact"/>
        <w:rPr>
          <w:rFonts w:ascii="Times New Roman" w:cs="Times New Roman" w:eastAsia="Times New Roman" w:hAnsi="Times New Roman"/>
          <w:sz w:val="18"/>
          <w:szCs w:val="18"/>
          <w:color w:val="auto"/>
        </w:rPr>
      </w:pPr>
    </w:p>
    <w:p>
      <w:pPr>
        <w:ind w:left="1400" w:right="80" w:firstLine="649"/>
        <w:spacing w:after="0" w:line="256" w:lineRule="auto"/>
        <w:tabs>
          <w:tab w:leader="none" w:pos="275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Series A Distribution Amount, change the form of payment of distributions on the Series A Preferred Units (other than as contemplated herein), defer the date from which distributions on the Series A Preferred Units will accrue, cancel accrued and unpaid distributions on the Series A Preferred Units or any interest accrued thereon (including any accrued Series A Unpaid Cash Distributions or Series A PIK Units), or change the seniority rights of the Series A Preferred Unitholders as to the payment of distributions in relation to the Unitholders of any other class or series of Units;</w:t>
      </w:r>
    </w:p>
    <w:p>
      <w:pPr>
        <w:spacing w:after="0" w:line="187" w:lineRule="exact"/>
        <w:rPr>
          <w:rFonts w:ascii="Times New Roman" w:cs="Times New Roman" w:eastAsia="Times New Roman" w:hAnsi="Times New Roman"/>
          <w:sz w:val="18"/>
          <w:szCs w:val="18"/>
          <w:color w:val="auto"/>
        </w:rPr>
      </w:pPr>
    </w:p>
    <w:p>
      <w:pPr>
        <w:jc w:val="both"/>
        <w:ind w:left="1400" w:right="280" w:firstLine="649"/>
        <w:spacing w:after="0" w:line="261" w:lineRule="auto"/>
        <w:tabs>
          <w:tab w:leader="none" w:pos="2753"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payable or change the form of payment to the holders of the Series A Preferred Units upon the voluntary or involuntary liquidation, dissolution or winding up, or sale of all or substantially all of the assets, of the Partnership, or change the seniority of the liquidation preferences of the holders of the Series A Preferred Units in relation to the rights upon liquidation of the holders of any other class or series of Units; or</w:t>
      </w:r>
    </w:p>
    <w:p>
      <w:pPr>
        <w:spacing w:after="0" w:line="180" w:lineRule="exact"/>
        <w:rPr>
          <w:rFonts w:ascii="Times New Roman" w:cs="Times New Roman" w:eastAsia="Times New Roman" w:hAnsi="Times New Roman"/>
          <w:sz w:val="18"/>
          <w:szCs w:val="18"/>
          <w:color w:val="auto"/>
        </w:rPr>
      </w:pPr>
    </w:p>
    <w:p>
      <w:pPr>
        <w:ind w:left="2760" w:hanging="711"/>
        <w:spacing w:after="0"/>
        <w:tabs>
          <w:tab w:leader="none" w:pos="27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Series A Preferred Units redeemable or convertible at the option of the Partnership other than</w:t>
      </w:r>
    </w:p>
    <w:p>
      <w:pPr>
        <w:spacing w:after="0" w:line="27" w:lineRule="exact"/>
        <w:rPr>
          <w:rFonts w:ascii="Times New Roman" w:cs="Times New Roman" w:eastAsia="Times New Roman" w:hAnsi="Times New Roman"/>
          <w:sz w:val="18"/>
          <w:szCs w:val="18"/>
          <w:color w:val="auto"/>
        </w:rPr>
      </w:pPr>
    </w:p>
    <w:p>
      <w:pPr>
        <w:ind w:left="1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herein.</w:t>
      </w:r>
    </w:p>
    <w:p>
      <w:pPr>
        <w:spacing w:after="0" w:line="206" w:lineRule="exact"/>
        <w:rPr>
          <w:rFonts w:ascii="Times New Roman" w:cs="Times New Roman" w:eastAsia="Times New Roman" w:hAnsi="Times New Roman"/>
          <w:sz w:val="18"/>
          <w:szCs w:val="18"/>
          <w:color w:val="auto"/>
        </w:rPr>
      </w:pPr>
    </w:p>
    <w:p>
      <w:pPr>
        <w:jc w:val="both"/>
        <w:ind w:left="760" w:right="100" w:firstLine="641"/>
        <w:spacing w:after="0" w:line="266" w:lineRule="auto"/>
        <w:tabs>
          <w:tab w:leader="none" w:pos="209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5.14(b)(iii), except as contemplated by Section 5.14(b) (iii)(A), in no event shall the consent of the Series A Preferred Unitholders, as a separate class, be required in connection with any Partnership Restructuring Event. For</w:t>
      </w:r>
    </w:p>
    <w:p>
      <w:pPr>
        <w:spacing w:after="0" w:line="17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60"/>
        <w:spacing w:after="0" w:line="282" w:lineRule="auto"/>
        <w:rPr>
          <w:sz w:val="20"/>
          <w:szCs w:val="20"/>
          <w:color w:val="auto"/>
        </w:rPr>
      </w:pPr>
      <w:r>
        <w:rPr>
          <w:rFonts w:ascii="Times New Roman" w:cs="Times New Roman" w:eastAsia="Times New Roman" w:hAnsi="Times New Roman"/>
          <w:sz w:val="18"/>
          <w:szCs w:val="18"/>
          <w:color w:val="auto"/>
        </w:rPr>
        <w:t>the avoidance of doubt, the foregoing shall not limit the voting rights of any Series A Preferred Unitholder in connection with the vote of holders of Common Units and Series A Preferred Units together as a single class.</w:t>
      </w:r>
    </w:p>
    <w:p>
      <w:pPr>
        <w:spacing w:after="0" w:line="162" w:lineRule="exact"/>
        <w:rPr>
          <w:sz w:val="20"/>
          <w:szCs w:val="20"/>
          <w:color w:val="auto"/>
        </w:rPr>
      </w:pPr>
    </w:p>
    <w:p>
      <w:pPr>
        <w:ind w:left="760" w:right="40" w:firstLine="641"/>
        <w:spacing w:after="0" w:line="255" w:lineRule="auto"/>
        <w:tabs>
          <w:tab w:leader="none" w:pos="210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occurrence of a Series A Trigger Event, the General Partner shall notify the Series A Preferred Unitholders of the occurrence thereof, whereupon the Series A Preferred Unitholders, acting as a group and by majority vote of the Outstanding Series A Preferred Units, shall have the right, exercisable by the delivery of written notice delivered to the General Partner no later than 15 Business Days’ following the date of the General Partner’s notice to the Series A Preferred Unitholders, to appoint one representative to the Board of Directors in accordance with the Director Designation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upon payment of all Series A Unpaid Cash Distributions, any such representative shall tender his resignation from the Board of Directors immediately upon the request of the Board of Directors and the appointment right contemplated by this Section 5.14(b) (iii)(D) shall cease unless and until a subsequent Series A Trigger Event occurs.</w:t>
      </w:r>
    </w:p>
    <w:p>
      <w:pPr>
        <w:spacing w:after="0" w:line="185" w:lineRule="exact"/>
        <w:rPr>
          <w:rFonts w:ascii="Times New Roman" w:cs="Times New Roman" w:eastAsia="Times New Roman" w:hAnsi="Times New Roman"/>
          <w:sz w:val="18"/>
          <w:szCs w:val="18"/>
          <w:color w:val="auto"/>
        </w:rPr>
      </w:pPr>
    </w:p>
    <w:p>
      <w:pPr>
        <w:ind w:left="760" w:right="120" w:firstLine="641"/>
        <w:spacing w:after="0" w:line="266" w:lineRule="auto"/>
        <w:tabs>
          <w:tab w:leader="none" w:pos="2133"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in addition to all other voting rights granted under this Agreement, the Partnership shall not declare or pay any distribution from Capital Surplus without the affirmative vote of the Record Holders of the Series A Required Voting Percentage.</w:t>
      </w:r>
    </w:p>
    <w:p>
      <w:pPr>
        <w:spacing w:after="0" w:line="174" w:lineRule="exact"/>
        <w:rPr>
          <w:rFonts w:ascii="Times New Roman" w:cs="Times New Roman" w:eastAsia="Times New Roman" w:hAnsi="Times New Roman"/>
          <w:sz w:val="18"/>
          <w:szCs w:val="18"/>
          <w:color w:val="auto"/>
        </w:rPr>
      </w:pPr>
    </w:p>
    <w:p>
      <w:pPr>
        <w:ind w:left="100" w:firstLine="653"/>
        <w:spacing w:after="0" w:line="254" w:lineRule="auto"/>
        <w:tabs>
          <w:tab w:leader="none" w:pos="145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Series A Senior Securities; Series A Parity Securities</w:t>
      </w:r>
      <w:r>
        <w:rPr>
          <w:rFonts w:ascii="Times New Roman" w:cs="Times New Roman" w:eastAsia="Times New Roman" w:hAnsi="Times New Roman"/>
          <w:sz w:val="18"/>
          <w:szCs w:val="18"/>
          <w:color w:val="auto"/>
        </w:rPr>
        <w:t>. Other than issuances contemplated by the Series A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the Partnership shall not, without the affirmative vote of the Series A Required Voting Percentage, issue any (A) Series A Senior Securities (or amend the provisions of any class of Partnership Securities to make such class of Partnership Securities a class of Series A Senior Securities) or (B) Series A Parity Securities (or amend the provisions of any class of Partnership Securities to make such class of Partnership Securities a class of Series A Parity Securities); provided that, without the consent of the holders of Outstanding Series A Preferred Units, the Partnership may issue (1) up to an aggregate $500,000,000 of non-convertible Series A Parity Securities, (2) so long as the aggregate value of the Outstanding Common Units (based on the closing trading price of Common Units on the National Securities Exchange on which the Common Units are then listed or admitted to trading on the trading day immediately preceding such date of issuance) is at least $10,000,000,000, a number of Series A Parity Securities such that, as of the date of the issuance of the Series A Parity</w:t>
      </w:r>
    </w:p>
    <w:p>
      <w:pPr>
        <w:sectPr>
          <w:pgSz w:w="11900" w:h="16904" w:orient="portrait"/>
          <w:cols w:equalWidth="0" w:num="1">
            <w:col w:w="10220"/>
          </w:cols>
          <w:pgMar w:left="1440" w:top="119" w:right="239" w:bottom="0" w:gutter="0" w:footer="0" w:header="0"/>
        </w:sectPr>
      </w:pPr>
    </w:p>
    <w:bookmarkStart w:id="33" w:name="page34"/>
    <w:bookmarkEnd w:id="33"/>
    <w:p>
      <w:pPr>
        <w:ind w:left="100" w:right="100"/>
        <w:spacing w:after="0" w:line="261" w:lineRule="auto"/>
        <w:rPr>
          <w:sz w:val="20"/>
          <w:szCs w:val="20"/>
          <w:color w:val="auto"/>
        </w:rPr>
      </w:pPr>
      <w:r>
        <w:rPr>
          <w:rFonts w:ascii="Times New Roman" w:cs="Times New Roman" w:eastAsia="Times New Roman" w:hAnsi="Times New Roman"/>
          <w:sz w:val="18"/>
          <w:szCs w:val="18"/>
          <w:color w:val="auto"/>
        </w:rPr>
        <w:t>Securities, the aggregate number of Series A Parity Securities, together with the Series A Preferred Units, in each case on an “as if” converted basis (or, if the Series A Parity Securities are not convertible, assuming that such Series A Parity Securities are convertible into a number of Common Units equal to the quotient of (i) the aggregate purchase price for such Series A Parity Securities, divided by (ii) the volume-weighted average price of the Common Units for the thirty (30) Trading Day period ending</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00"/>
        <w:spacing w:after="0" w:line="255" w:lineRule="auto"/>
        <w:rPr>
          <w:sz w:val="20"/>
          <w:szCs w:val="20"/>
          <w:color w:val="auto"/>
        </w:rPr>
      </w:pPr>
      <w:r>
        <w:rPr>
          <w:rFonts w:ascii="Times New Roman" w:cs="Times New Roman" w:eastAsia="Times New Roman" w:hAnsi="Times New Roman"/>
          <w:sz w:val="18"/>
          <w:szCs w:val="18"/>
          <w:color w:val="auto"/>
        </w:rPr>
        <w:t>immediately prior to such issuance (such Common Units, the “</w:t>
      </w:r>
      <w:r>
        <w:rPr>
          <w:rFonts w:ascii="Times New Roman" w:cs="Times New Roman" w:eastAsia="Times New Roman" w:hAnsi="Times New Roman"/>
          <w:sz w:val="18"/>
          <w:szCs w:val="18"/>
          <w:i w:val="1"/>
          <w:iCs w:val="1"/>
          <w:color w:val="auto"/>
        </w:rPr>
        <w:t>Series A Parity Equivalent Units</w:t>
      </w:r>
      <w:r>
        <w:rPr>
          <w:rFonts w:ascii="Times New Roman" w:cs="Times New Roman" w:eastAsia="Times New Roman" w:hAnsi="Times New Roman"/>
          <w:sz w:val="18"/>
          <w:szCs w:val="18"/>
          <w:color w:val="auto"/>
        </w:rPr>
        <w:t>”)), equals no more than 15% of all Outstanding Common Units (including as Outstanding for such purposes, (i) any Common Units issuable in respect of the Series A Preferred Units at the then applicable Series A Conversion Rate (or, if the Series A Preferred Units are not then convertible, assuming that such Series A Preferred Units are convertible at the then applicable Series A Conversion Rate), (ii) any Common Units issuable in respect of Series A Parity Securities at the initial or then applicable conversion rate, as applicable, and (iii) any Series A Parity Equivalent Units), or</w:t>
      </w:r>
    </w:p>
    <w:p>
      <w:pPr>
        <w:spacing w:after="0" w:line="1" w:lineRule="exact"/>
        <w:rPr>
          <w:sz w:val="20"/>
          <w:szCs w:val="20"/>
          <w:color w:val="auto"/>
        </w:rPr>
      </w:pPr>
    </w:p>
    <w:p>
      <w:pPr>
        <w:ind w:left="100" w:right="180" w:firstLine="5"/>
        <w:spacing w:after="0" w:line="254" w:lineRule="auto"/>
        <w:tabs>
          <w:tab w:leader="none" w:pos="3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number of Series A Preferred Units having an aggregate Series A Issue Price of less than $500,000,000 is then Outstanding, such number of Series A Parity Securities as determined by the General Partner; provided, further, that the Partnership may, without the affirmative vote of the holders of Outstanding Series A Preferred Units, issue the Series A PIK Units contemplated by this Agreement and create (by reclassification or otherwise) and issue Junior Securities in an unlimited amount.</w:t>
      </w:r>
    </w:p>
    <w:p>
      <w:pPr>
        <w:spacing w:after="0" w:line="183" w:lineRule="exact"/>
        <w:rPr>
          <w:rFonts w:ascii="Times New Roman" w:cs="Times New Roman" w:eastAsia="Times New Roman" w:hAnsi="Times New Roman"/>
          <w:sz w:val="18"/>
          <w:szCs w:val="18"/>
          <w:color w:val="auto"/>
        </w:rPr>
      </w:pPr>
    </w:p>
    <w:p>
      <w:pPr>
        <w:ind w:left="1460" w:hanging="707"/>
        <w:spacing w:after="0"/>
        <w:tabs>
          <w:tab w:leader="none" w:pos="146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Certificates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60" w:firstLine="641"/>
        <w:spacing w:after="0" w:line="256" w:lineRule="auto"/>
        <w:tabs>
          <w:tab w:leader="none" w:pos="2108"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a Series A Preferred Unitholder, the Series A Preferred Units shall be evidenced by certificates in such form as the Board of Directors may approve and, subject to the satisfaction of any applicable legal, regulatory and contractual requirements, may be assigned or transferred in a manner identical to the assignment and transfer of other Units; unless and until the Board of Directors determines to assign the responsibility to another Person, the General Partner will act as the transfer agent for the Series A Preferred Units. Any certificates evidencing Series A Preferred Units shall be separately identified and shall not bear the same CUSIP number as any certificates evidencing Common Units.</w:t>
      </w:r>
    </w:p>
    <w:p>
      <w:pPr>
        <w:spacing w:after="0" w:line="187" w:lineRule="exact"/>
        <w:rPr>
          <w:rFonts w:ascii="Times New Roman" w:cs="Times New Roman" w:eastAsia="Times New Roman" w:hAnsi="Times New Roman"/>
          <w:sz w:val="18"/>
          <w:szCs w:val="18"/>
          <w:color w:val="auto"/>
        </w:rPr>
      </w:pPr>
    </w:p>
    <w:p>
      <w:pPr>
        <w:ind w:left="2100" w:hanging="699"/>
        <w:spacing w:after="0"/>
        <w:tabs>
          <w:tab w:leader="none" w:pos="2100"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certificate(s) representing the Series A Preferred Units may be imprinted with a legend in substantially the</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form:</w:t>
      </w:r>
    </w:p>
    <w:p>
      <w:pPr>
        <w:spacing w:after="0" w:line="207" w:lineRule="exact"/>
        <w:rPr>
          <w:sz w:val="20"/>
          <w:szCs w:val="20"/>
          <w:color w:val="auto"/>
        </w:rPr>
      </w:pPr>
    </w:p>
    <w:p>
      <w:pPr>
        <w:ind w:left="1400" w:right="100"/>
        <w:spacing w:after="0" w:line="254" w:lineRule="auto"/>
        <w:rPr>
          <w:sz w:val="20"/>
          <w:szCs w:val="20"/>
          <w:color w:val="auto"/>
        </w:rPr>
      </w:pPr>
      <w:r>
        <w:rPr>
          <w:rFonts w:ascii="Times New Roman" w:cs="Times New Roman" w:eastAsia="Times New Roman" w:hAnsi="Times New Roman"/>
          <w:sz w:val="18"/>
          <w:szCs w:val="18"/>
          <w:color w:val="auto"/>
        </w:rPr>
        <w:t>“NEITHER THE OFFER NOR SALE OF THESE SECURITIES HAS BEEN REGISTERED UNDER THE SECURITIES ACT OF 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 REASONABLY SATISFACTORY TO IT THAT SUCH TRANSACTION DOES NOT REQUIRE REGISTRATION UNDER SUCH ACT. THIS SECURITY IS SUBJECT TO CERTAIN RESTRICTIONS ON TRANSFER SET</w:t>
      </w:r>
    </w:p>
    <w:p>
      <w:pPr>
        <w:spacing w:after="0" w:line="18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00" w:right="580"/>
        <w:spacing w:after="0" w:line="266" w:lineRule="auto"/>
        <w:rPr>
          <w:sz w:val="20"/>
          <w:szCs w:val="20"/>
          <w:color w:val="auto"/>
        </w:rPr>
      </w:pPr>
      <w:r>
        <w:rPr>
          <w:rFonts w:ascii="Times New Roman" w:cs="Times New Roman" w:eastAsia="Times New Roman" w:hAnsi="Times New Roman"/>
          <w:sz w:val="18"/>
          <w:szCs w:val="18"/>
          <w:color w:val="auto"/>
        </w:rPr>
        <w:t>FORTH IN THE FIFTH AMENDED AND RESTATED LIMITED PARTNERSHIP AGREEMENT OF THE PARTNERSHIP, DATED AS OF JANUARY 28, 2016, A COPY OF WHICH MAY BE OBTAINED FROM THE PARTNERSHIP AT ITS PRINCIPAL EXECUTIVE OFFICES.”</w:t>
      </w:r>
    </w:p>
    <w:p>
      <w:pPr>
        <w:spacing w:after="0" w:line="174" w:lineRule="exact"/>
        <w:rPr>
          <w:sz w:val="20"/>
          <w:szCs w:val="20"/>
          <w:color w:val="auto"/>
        </w:rPr>
      </w:pPr>
    </w:p>
    <w:p>
      <w:pPr>
        <w:ind w:left="1420" w:hanging="667"/>
        <w:spacing w:after="0"/>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p>
    <w:p>
      <w:pPr>
        <w:spacing w:after="0" w:line="225" w:lineRule="exact"/>
        <w:rPr>
          <w:rFonts w:ascii="Times New Roman" w:cs="Times New Roman" w:eastAsia="Times New Roman" w:hAnsi="Times New Roman"/>
          <w:sz w:val="18"/>
          <w:szCs w:val="18"/>
          <w:color w:val="auto"/>
        </w:rPr>
      </w:pPr>
    </w:p>
    <w:p>
      <w:pPr>
        <w:ind w:left="760" w:firstLine="641"/>
        <w:spacing w:after="0" w:line="252" w:lineRule="auto"/>
        <w:tabs>
          <w:tab w:leader="none" w:pos="207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 the Option of the Series A Preferred Unitholders</w:t>
      </w:r>
      <w:r>
        <w:rPr>
          <w:rFonts w:ascii="Times New Roman" w:cs="Times New Roman" w:eastAsia="Times New Roman" w:hAnsi="Times New Roman"/>
          <w:sz w:val="18"/>
          <w:szCs w:val="18"/>
          <w:color w:val="auto"/>
        </w:rPr>
        <w:t>. Beginning with the earlier of (i) the Business Day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following the Record Date with respect to the Quarter ending on the last day of the Initial Distribution Period, (ii) the second anniversary of the Series A Issuance Date, and (iii) immediately prior to the liquidation, dissolution and winding up of the Partnership under Section 12.4, the Series A Preferred Units owned by any Series A Preferred Unitholder shall be convertible, in whole or in part, at any time and from time to time upon the request of such Series A Preferred Unitholder, but not more than once per Quarter, into a number of Common Units determined by multiplying the number of Series A Preferred Units to be converted by the Series A Conversion Rate; provided, however, that the Partnership shall not be obligated to honor any such conversion request if such conversion request does not involve an underlying value of Common Units of at least $100,000,000 based on the closing trading price of Common Units on the trading day immediately preceding the Series A Conversion Notice Date on the National Securities Exchange on which the Common Units are then listed or admitted to trading (or such lesser amount to the extent such partial exercise covers all of such Series A Preferred Unitholder’s Series A Preferred Units). Immediately upon the effectiveness of any conversion of Series A Preferred Units, all rights of the Series A Converting Unitholder in respect thereof shall cease, including, without limitation, any further accrual of distributions, and such Series A Converting Unitholder thereafter shall be treated for all purposes as the owner of Common Units. Fractional Common Units shall not be issued to any person pursuant to this Section 5.14(b)(vi)(A) (each fractional Common Unit shall be rounded down with the remainder being paid an amount in cash based on the closing trading price of Common Units on the National Securities Exchange on which the Common Units are then listed or admitted to trading on the trading day immediately preceding such date of conversion).</w:t>
      </w:r>
    </w:p>
    <w:p>
      <w:pPr>
        <w:spacing w:after="0" w:line="194" w:lineRule="exact"/>
        <w:rPr>
          <w:rFonts w:ascii="Times New Roman" w:cs="Times New Roman" w:eastAsia="Times New Roman" w:hAnsi="Times New Roman"/>
          <w:sz w:val="18"/>
          <w:szCs w:val="18"/>
          <w:color w:val="auto"/>
        </w:rPr>
      </w:pPr>
    </w:p>
    <w:p>
      <w:pPr>
        <w:ind w:left="760" w:right="100" w:firstLine="641"/>
        <w:spacing w:after="0" w:line="261" w:lineRule="auto"/>
        <w:tabs>
          <w:tab w:leader="none" w:pos="206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 the Option of the Partnership. </w:t>
      </w:r>
      <w:r>
        <w:rPr>
          <w:rFonts w:ascii="Times New Roman" w:cs="Times New Roman" w:eastAsia="Times New Roman" w:hAnsi="Times New Roman"/>
          <w:sz w:val="18"/>
          <w:szCs w:val="18"/>
          <w:color w:val="auto"/>
        </w:rPr>
        <w:t>At any time following the third anniversary of the Series A Issuance Date,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in the General Partner’s sole discretion, shall have the option at any time, but not more than once per Quarter, to convert all or any portion of the Series A Preferred Units then Outstanding into a number of Common Units determined by multiplying the number of Series A Preferred Units to be converted by the Series A Conversion Rate. Fractional Common Units</w:t>
      </w:r>
    </w:p>
    <w:p>
      <w:pPr>
        <w:sectPr>
          <w:pgSz w:w="11900" w:h="16838" w:orient="portrait"/>
          <w:cols w:equalWidth="0" w:num="1">
            <w:col w:w="10220"/>
          </w:cols>
          <w:pgMar w:left="1440" w:top="121" w:right="239" w:bottom="0" w:gutter="0" w:footer="0" w:header="0"/>
        </w:sectPr>
      </w:pPr>
    </w:p>
    <w:p>
      <w:pPr>
        <w:spacing w:after="0" w:line="18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0" w:gutter="0" w:footer="0" w:header="0"/>
          <w:type w:val="continuous"/>
        </w:sectPr>
      </w:pPr>
    </w:p>
    <w:bookmarkStart w:id="34" w:name="page35"/>
    <w:bookmarkEnd w:id="34"/>
    <w:p>
      <w:pPr>
        <w:ind w:left="1960"/>
        <w:spacing w:after="0" w:line="261" w:lineRule="auto"/>
        <w:rPr>
          <w:sz w:val="20"/>
          <w:szCs w:val="20"/>
          <w:color w:val="auto"/>
        </w:rPr>
      </w:pPr>
      <w:r>
        <w:rPr>
          <w:rFonts w:ascii="Times New Roman" w:cs="Times New Roman" w:eastAsia="Times New Roman" w:hAnsi="Times New Roman"/>
          <w:sz w:val="18"/>
          <w:szCs w:val="18"/>
          <w:color w:val="auto"/>
        </w:rPr>
        <w:t>shall not be issued to any person pursuant to this Section 5.14(b)(vi)(B) (each fractional Common Unit shall be rounded down with the remainder being paid an amount in cash based on the closing trading price of Common Units on the National Securities Exchange on which the Common Units are then listed or admitted to trading on the trading day immediately preceding such date of conversion). Notwithstanding the foregoing, in order for the Partnership to exercise such option,</w:t>
      </w:r>
    </w:p>
    <w:p>
      <w:pPr>
        <w:spacing w:after="0" w:line="180" w:lineRule="exact"/>
        <w:rPr>
          <w:sz w:val="20"/>
          <w:szCs w:val="20"/>
          <w:color w:val="auto"/>
        </w:rPr>
      </w:pPr>
    </w:p>
    <w:p>
      <w:pPr>
        <w:ind w:left="2600" w:right="240" w:firstLine="649"/>
        <w:spacing w:after="0" w:line="261" w:lineRule="auto"/>
        <w:tabs>
          <w:tab w:leader="none" w:pos="39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trading price of the Common Units on the National Securities Exchange on which the Common Units are then listed or admitted to trading must be greater than one hundred fifty percent (150%) of the Series A Issue Price for the twenty (20) Trading Day period immediately preceding the date the Company furnishes the Series A Forced Conversion Notice,</w:t>
      </w:r>
    </w:p>
    <w:p>
      <w:pPr>
        <w:spacing w:after="0" w:line="180" w:lineRule="exact"/>
        <w:rPr>
          <w:rFonts w:ascii="Times New Roman" w:cs="Times New Roman" w:eastAsia="Times New Roman" w:hAnsi="Times New Roman"/>
          <w:sz w:val="18"/>
          <w:szCs w:val="18"/>
          <w:color w:val="auto"/>
        </w:rPr>
      </w:pPr>
    </w:p>
    <w:p>
      <w:pPr>
        <w:ind w:left="2600" w:right="100" w:firstLine="649"/>
        <w:spacing w:after="0" w:line="261" w:lineRule="auto"/>
        <w:tabs>
          <w:tab w:leader="none" w:pos="39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daily trading volume of the Common Units on the National Securities Exchange on which the Common Units are then listed or admitted to trading must have exceeded 1,000,000 (as such amount may be adjusted to reflect any Unit split, combination or similar event) for the twenty (20) Trading Day period immediately preceding the date the Company furnishes the Series A Forced Conversion Notice;</w:t>
      </w:r>
    </w:p>
    <w:p>
      <w:pPr>
        <w:spacing w:after="0" w:line="180" w:lineRule="exact"/>
        <w:rPr>
          <w:rFonts w:ascii="Times New Roman" w:cs="Times New Roman" w:eastAsia="Times New Roman" w:hAnsi="Times New Roman"/>
          <w:sz w:val="18"/>
          <w:szCs w:val="18"/>
          <w:color w:val="auto"/>
        </w:rPr>
      </w:pPr>
    </w:p>
    <w:p>
      <w:pPr>
        <w:ind w:left="2600" w:right="400" w:firstLine="649"/>
        <w:spacing w:after="0" w:line="282" w:lineRule="auto"/>
        <w:tabs>
          <w:tab w:leader="none" w:pos="390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must have an effective registration statement on file with the Commission covering resales of the underlying Common Units to be received upon any such conversion, and</w:t>
      </w:r>
    </w:p>
    <w:p>
      <w:pPr>
        <w:spacing w:after="0" w:line="161" w:lineRule="exact"/>
        <w:rPr>
          <w:rFonts w:ascii="Times New Roman" w:cs="Times New Roman" w:eastAsia="Times New Roman" w:hAnsi="Times New Roman"/>
          <w:sz w:val="18"/>
          <w:szCs w:val="18"/>
          <w:color w:val="auto"/>
        </w:rPr>
      </w:pPr>
    </w:p>
    <w:p>
      <w:pPr>
        <w:ind w:left="3900" w:hanging="651"/>
        <w:spacing w:after="0"/>
        <w:tabs>
          <w:tab w:leader="none" w:pos="39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Series A Trigger Event shall have occurred that is continuing;</w:t>
      </w:r>
    </w:p>
    <w:p>
      <w:pPr>
        <w:spacing w:after="0" w:line="223"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each such conversion by the Partnership shall be for an aggregate amount of Series A Preferred Units (including any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Series A PIK Units) involving an underlying value of Common Units of at least $500,000,000 based on the closing trading price of Common Units on the trading day immediately preceding the date of such conversion on the National Securities Exchange on which the Common Units are then listed or admitted to trading (or such lesser amount if such amount includes all then Outstanding Series A Preferred Units) and shall be allocated among the Series A Preferred Unitholders on a Pro Rata basis or on such other basis as may be agreed upon by the Series A Preferred Unitholders.</w:t>
      </w:r>
    </w:p>
    <w:p>
      <w:pPr>
        <w:spacing w:after="0" w:line="18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(C)</w:t>
      </w:r>
    </w:p>
    <w:p>
      <w:pPr>
        <w:spacing w:after="0" w:line="223" w:lineRule="exact"/>
        <w:rPr>
          <w:sz w:val="20"/>
          <w:szCs w:val="20"/>
          <w:color w:val="auto"/>
        </w:rPr>
      </w:pPr>
    </w:p>
    <w:p>
      <w:pPr>
        <w:ind w:left="2600" w:right="20" w:firstLine="649"/>
        <w:spacing w:after="0" w:line="267" w:lineRule="auto"/>
        <w:tabs>
          <w:tab w:leader="none" w:pos="39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 Notice</w:t>
      </w:r>
      <w:r>
        <w:rPr>
          <w:rFonts w:ascii="Times New Roman" w:cs="Times New Roman" w:eastAsia="Times New Roman" w:hAnsi="Times New Roman"/>
          <w:sz w:val="18"/>
          <w:szCs w:val="18"/>
          <w:color w:val="auto"/>
        </w:rPr>
        <w:t>. To convert Series A Preferred Units into Common Units pursuant to Section 5.14(b)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(vi)(A), the Series A Converting Unitholder shall give written notice (a “</w:t>
      </w:r>
      <w:r>
        <w:rPr>
          <w:rFonts w:ascii="Times New Roman" w:cs="Times New Roman" w:eastAsia="Times New Roman" w:hAnsi="Times New Roman"/>
          <w:sz w:val="18"/>
          <w:szCs w:val="18"/>
          <w:i w:val="1"/>
          <w:iCs w:val="1"/>
          <w:color w:val="auto"/>
        </w:rPr>
        <w:t>Series A Conversion Notice</w:t>
      </w:r>
      <w:r>
        <w:rPr>
          <w:rFonts w:ascii="Times New Roman" w:cs="Times New Roman" w:eastAsia="Times New Roman" w:hAnsi="Times New Roman"/>
          <w:sz w:val="18"/>
          <w:szCs w:val="18"/>
          <w:color w:val="auto"/>
        </w:rPr>
        <w:t>”) to the Partnership stating that such Series A Unitholder elects to so convert Series A Preferred Units and shall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2600" w:right="300"/>
        <w:spacing w:after="0" w:line="272" w:lineRule="auto"/>
        <w:rPr>
          <w:sz w:val="20"/>
          <w:szCs w:val="20"/>
          <w:color w:val="auto"/>
        </w:rPr>
      </w:pPr>
      <w:r>
        <w:rPr>
          <w:rFonts w:ascii="Times New Roman" w:cs="Times New Roman" w:eastAsia="Times New Roman" w:hAnsi="Times New Roman"/>
          <w:sz w:val="17"/>
          <w:szCs w:val="17"/>
          <w:color w:val="auto"/>
        </w:rPr>
        <w:t>state or include therein with respect to Series A Preferred Units to be converted pursuant to Section 5.14(b)(vi)(A) the following: (a) the number of Series A Preferred Units to be converted, and (b) if a Certificate has been issued for such Series A Preferred Units, the Certificate(s) evidencing the Series A Preferred Units to be converted and duly endorsed.</w:t>
      </w:r>
    </w:p>
    <w:p>
      <w:pPr>
        <w:spacing w:after="0" w:line="2" w:lineRule="exact"/>
        <w:rPr>
          <w:sz w:val="20"/>
          <w:szCs w:val="20"/>
          <w:color w:val="auto"/>
        </w:rPr>
      </w:pPr>
    </w:p>
    <w:p>
      <w:pPr>
        <w:ind w:left="2600" w:right="200"/>
        <w:spacing w:after="0" w:line="261" w:lineRule="auto"/>
        <w:rPr>
          <w:sz w:val="20"/>
          <w:szCs w:val="20"/>
          <w:color w:val="auto"/>
        </w:rPr>
      </w:pPr>
      <w:r>
        <w:rPr>
          <w:rFonts w:ascii="Times New Roman" w:cs="Times New Roman" w:eastAsia="Times New Roman" w:hAnsi="Times New Roman"/>
          <w:sz w:val="18"/>
          <w:szCs w:val="18"/>
          <w:color w:val="auto"/>
        </w:rPr>
        <w:t>The date any Series A Conversion Notice is received by the Partnership shall be hereinafter be referred to as a “</w:t>
      </w:r>
      <w:r>
        <w:rPr>
          <w:rFonts w:ascii="Times New Roman" w:cs="Times New Roman" w:eastAsia="Times New Roman" w:hAnsi="Times New Roman"/>
          <w:sz w:val="18"/>
          <w:szCs w:val="18"/>
          <w:i w:val="1"/>
          <w:iCs w:val="1"/>
          <w:color w:val="auto"/>
        </w:rPr>
        <w:t>Series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Conversion Notice Date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2600" w:right="180" w:firstLine="649"/>
        <w:spacing w:after="0" w:line="258" w:lineRule="auto"/>
        <w:tabs>
          <w:tab w:leader="none" w:pos="3904"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convert Series A Preferred Units into Common Units pursuant to Section 5.14(b)(vi)(B), the Partnership shall give written notice (a “</w:t>
      </w:r>
      <w:r>
        <w:rPr>
          <w:rFonts w:ascii="Times New Roman" w:cs="Times New Roman" w:eastAsia="Times New Roman" w:hAnsi="Times New Roman"/>
          <w:sz w:val="18"/>
          <w:szCs w:val="18"/>
          <w:i w:val="1"/>
          <w:iCs w:val="1"/>
          <w:color w:val="auto"/>
        </w:rPr>
        <w:t>Series A Forced Conversion Notice</w:t>
      </w:r>
      <w:r>
        <w:rPr>
          <w:rFonts w:ascii="Times New Roman" w:cs="Times New Roman" w:eastAsia="Times New Roman" w:hAnsi="Times New Roman"/>
          <w:sz w:val="18"/>
          <w:szCs w:val="18"/>
          <w:color w:val="auto"/>
        </w:rPr>
        <w:t>,” and the date such notice is received, a “</w:t>
      </w:r>
      <w:r>
        <w:rPr>
          <w:rFonts w:ascii="Times New Roman" w:cs="Times New Roman" w:eastAsia="Times New Roman" w:hAnsi="Times New Roman"/>
          <w:sz w:val="18"/>
          <w:szCs w:val="18"/>
          <w:i w:val="1"/>
          <w:iCs w:val="1"/>
          <w:color w:val="auto"/>
        </w:rPr>
        <w:t>Series A Forced Conversion Notice Date</w:t>
      </w:r>
      <w:r>
        <w:rPr>
          <w:rFonts w:ascii="Times New Roman" w:cs="Times New Roman" w:eastAsia="Times New Roman" w:hAnsi="Times New Roman"/>
          <w:sz w:val="18"/>
          <w:szCs w:val="18"/>
          <w:color w:val="auto"/>
        </w:rPr>
        <w:t>”) to each holder of Series A Preferred Units stating that the Partnership elects to force conversion of such Series A Preferred Units pursuant to Section 5.14(b)(vi)(B). The Series A Conversion Units shall be issued in the name of the Record Holder of such Series A Preferred Units.</w:t>
      </w:r>
    </w:p>
    <w:p>
      <w:pPr>
        <w:spacing w:after="0" w:line="181" w:lineRule="exact"/>
        <w:rPr>
          <w:rFonts w:ascii="Times New Roman" w:cs="Times New Roman" w:eastAsia="Times New Roman" w:hAnsi="Times New Roman"/>
          <w:sz w:val="18"/>
          <w:szCs w:val="18"/>
          <w:color w:val="auto"/>
        </w:rPr>
      </w:pPr>
    </w:p>
    <w:p>
      <w:pPr>
        <w:ind w:left="1960" w:right="120" w:firstLine="641"/>
        <w:spacing w:after="0" w:line="258" w:lineRule="auto"/>
        <w:tabs>
          <w:tab w:leader="none" w:pos="3277"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Timing; Certificates</w:t>
      </w:r>
      <w:r>
        <w:rPr>
          <w:rFonts w:ascii="Times New Roman" w:cs="Times New Roman" w:eastAsia="Times New Roman" w:hAnsi="Times New Roman"/>
          <w:sz w:val="18"/>
          <w:szCs w:val="18"/>
          <w:color w:val="auto"/>
        </w:rPr>
        <w:t>. If a Series A Conversion Notice is delivered by a Series A Unitholder to the Partnership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Section 5.14(b)(vi)(C) or a Series A Forced Conversion Notice is delivered by the Partnership to a Series A Unitholder pursuant to Section 5.14(b)(vi)(C), the Partnership shall issue the Series A Conversion Units no later than seven</w:t>
      </w:r>
    </w:p>
    <w:p>
      <w:pPr>
        <w:spacing w:after="0" w:line="1" w:lineRule="exact"/>
        <w:rPr>
          <w:rFonts w:ascii="Times New Roman" w:cs="Times New Roman" w:eastAsia="Times New Roman" w:hAnsi="Times New Roman"/>
          <w:sz w:val="18"/>
          <w:szCs w:val="18"/>
          <w:color w:val="auto"/>
        </w:rPr>
      </w:pPr>
    </w:p>
    <w:p>
      <w:pPr>
        <w:ind w:left="1960" w:right="20" w:hanging="7"/>
        <w:spacing w:after="0" w:line="251" w:lineRule="auto"/>
        <w:tabs>
          <w:tab w:leader="none" w:pos="221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Series A Conversion Notice Date or the Series A Forced Conversion Notice Date, as the case may be, occurs (any date of issuance of such Common Units, a “</w:t>
      </w:r>
      <w:r>
        <w:rPr>
          <w:rFonts w:ascii="Times New Roman" w:cs="Times New Roman" w:eastAsia="Times New Roman" w:hAnsi="Times New Roman"/>
          <w:sz w:val="18"/>
          <w:szCs w:val="18"/>
          <w:i w:val="1"/>
          <w:iCs w:val="1"/>
          <w:color w:val="auto"/>
        </w:rPr>
        <w:t>Series A Conversion Date</w:t>
      </w:r>
      <w:r>
        <w:rPr>
          <w:rFonts w:ascii="Times New Roman" w:cs="Times New Roman" w:eastAsia="Times New Roman" w:hAnsi="Times New Roman"/>
          <w:sz w:val="18"/>
          <w:szCs w:val="18"/>
          <w:color w:val="auto"/>
        </w:rPr>
        <w:t>”). On the Series A Conversion Date, the Partnership shall issue to such Series A Unitholder (or designated recipient(s)) a Certificate or Certificates for the number of Series A Conversion Units to which such holder shall be entitled. In lieu of delivering physical Certificates representing the Series A Conversion Units issuable upon conversion of Series A Preferred Units, provided the Transfer Agent is participating in the Depository’s Fast Automated Securities Transfer program, upon request of the Series A Unitholder, the Partnership shall use its commercially reasonable efforts to cause its Transfer Agent to electronically transmit the Series A Conversion Units issuable upon conversion or distribution payment to such Series A Unitholder (or designated recipient(s)), by crediting the account of the Series A Unitholder (or designated recipient(s)) prime broker with the Depository through its Deposit Withdrawal Agent Commission system. The parties agree to coordinate with the Depository to accomplish this objective. Upon issuance of Series A Conversion Units to the Series A Converting Unitholder, all rights under the converted Series A Preferred Units shall cease, and such Series A Converting Unitholder shall be treated for all purposes as the Record Holder of such Series A Conversion Units.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960" w:right="140" w:firstLine="641"/>
        <w:spacing w:after="0" w:line="277" w:lineRule="auto"/>
        <w:tabs>
          <w:tab w:leader="none" w:pos="327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Distributions, Combinations, Subdivisions and Reclassifications by the Partnership</w:t>
      </w:r>
      <w:r>
        <w:rPr>
          <w:rFonts w:ascii="Times New Roman" w:cs="Times New Roman" w:eastAsia="Times New Roman" w:hAnsi="Times New Roman"/>
          <w:sz w:val="17"/>
          <w:szCs w:val="17"/>
          <w:color w:val="auto"/>
        </w:rPr>
        <w:t>. If, after the Series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Issuance Date, the Partnership (i) makes a distribution on its Common Units payable in Common Units or another Partnership Interest, (ii) subdivides or splits its outstanding Common Units into a greater number of Common Units, (iii) combines or reclassifies its Common Units into a smaller number of Common Units or (iv) issues by reclassification of its Common Units any Partnership Interests (including any reclassification in connection with a merger, consolidation or business combination in which</w:t>
      </w:r>
    </w:p>
    <w:p>
      <w:pPr>
        <w:sectPr>
          <w:pgSz w:w="11900" w:h="16838" w:orient="portrait"/>
          <w:cols w:equalWidth="0" w:num="1">
            <w:col w:w="11420"/>
          </w:cols>
          <w:pgMar w:left="240" w:top="580" w:right="239" w:bottom="0" w:gutter="0" w:footer="0" w:header="0"/>
        </w:sectPr>
      </w:pPr>
    </w:p>
    <w:bookmarkStart w:id="35" w:name="page36"/>
    <w:bookmarkEnd w:id="35"/>
    <w:p>
      <w:pPr>
        <w:spacing w:after="0" w:line="118" w:lineRule="exact"/>
        <w:rPr>
          <w:sz w:val="20"/>
          <w:szCs w:val="20"/>
          <w:color w:val="auto"/>
        </w:rPr>
      </w:pPr>
    </w:p>
    <w:p>
      <w:pPr>
        <w:ind w:left="1960" w:right="20"/>
        <w:spacing w:after="0" w:line="252" w:lineRule="auto"/>
        <w:rPr>
          <w:sz w:val="20"/>
          <w:szCs w:val="20"/>
          <w:color w:val="auto"/>
        </w:rPr>
      </w:pPr>
      <w:r>
        <w:rPr>
          <w:rFonts w:ascii="Times New Roman" w:cs="Times New Roman" w:eastAsia="Times New Roman" w:hAnsi="Times New Roman"/>
          <w:sz w:val="18"/>
          <w:szCs w:val="18"/>
          <w:color w:val="auto"/>
        </w:rPr>
        <w:t>the Partnership is the surviving Person), in each case other than in connection with a Series A Change of Control (which shall be governed by Section 5.14(b)(vii)), then the Series A Conversion Rate in effect at the time of the Record Date for such distribution or the effective date of such subdivision, split, combination, or reclassification shall be proportionately adjusted so that the conversion of the Series A Preferred Units after such time shall entitle each Series A Unitholder to receive the aggregate number of Common Units (or any Partnership Interests into which such Common Units would have been combined, consolidated, merged or reclassified pursuant to clauses (iii) and (iv) above) that such Series A Unitholder would have been entitled to receive if the Series A Preferred Units had been converted into Common Units immediately prior to such Record Date or effective date, as the case may be, and in the case of a merger, consolidation or business combination in which the Partnership is the surviving Person, the Partnership shall provide effective provisions to ensure that the provisions in this Section 5.14 relating to the Series A Preferred Units shall not be abridged or amended and that the Series A Preferred Units shall thereafter retain the same powers, preferences and relative participating, optional and other special rights, and the qualifications, limitations and restrictions thereon, that the Series A Preferred Units had immediately prior to such transaction or event. An adjustment made pursuant to this Section 5.14(b) (vi)(E) shall become effective immediately after the Record Date in the case of a distribution and shall become effective immediately after the effective date in the case of a subdivision, combination, reclassification (including any reclassification in connection with a merger, consolidation or business combination in which the Partnership is the surviving Person) or split. Such adjustment shall be made successively whenever any event described above shall occur.</w:t>
      </w:r>
    </w:p>
    <w:p>
      <w:pPr>
        <w:spacing w:after="0" w:line="194" w:lineRule="exact"/>
        <w:rPr>
          <w:sz w:val="20"/>
          <w:szCs w:val="20"/>
          <w:color w:val="auto"/>
        </w:rPr>
      </w:pPr>
    </w:p>
    <w:p>
      <w:pPr>
        <w:jc w:val="both"/>
        <w:ind w:left="1960" w:right="240" w:firstLine="641"/>
        <w:spacing w:after="0" w:line="284" w:lineRule="auto"/>
        <w:tabs>
          <w:tab w:leader="none" w:pos="327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Adjustments for Certain Items</w:t>
      </w:r>
      <w:r>
        <w:rPr>
          <w:rFonts w:ascii="Times New Roman" w:cs="Times New Roman" w:eastAsia="Times New Roman" w:hAnsi="Times New Roman"/>
          <w:sz w:val="18"/>
          <w:szCs w:val="18"/>
          <w:color w:val="auto"/>
        </w:rPr>
        <w:t>. Notwithstanding any of the other provisions of this Section 5.14(b)(vi),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adjustment shall be made to the Series A Conversion Rate pursuant to Section 5.14(b)(vi)(E) as a result of any of the following:</w:t>
      </w:r>
    </w:p>
    <w:p>
      <w:pPr>
        <w:spacing w:after="0" w:line="160" w:lineRule="exact"/>
        <w:rPr>
          <w:rFonts w:ascii="Times New Roman" w:cs="Times New Roman" w:eastAsia="Times New Roman" w:hAnsi="Times New Roman"/>
          <w:sz w:val="18"/>
          <w:szCs w:val="18"/>
          <w:color w:val="auto"/>
        </w:rPr>
      </w:pPr>
    </w:p>
    <w:p>
      <w:pPr>
        <w:ind w:left="5620" w:right="260" w:hanging="2371"/>
        <w:spacing w:after="0" w:line="532" w:lineRule="auto"/>
        <w:tabs>
          <w:tab w:leader="none" w:pos="390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Partnership Securities issued in connection with distributions paid in-kind; 54</w:t>
      </w:r>
    </w:p>
    <w:p>
      <w:pPr>
        <w:spacing w:after="0" w:line="200" w:lineRule="exact"/>
        <w:rPr>
          <w:rFonts w:ascii="Times New Roman" w:cs="Times New Roman" w:eastAsia="Times New Roman" w:hAnsi="Times New Roman"/>
          <w:sz w:val="18"/>
          <w:szCs w:val="18"/>
          <w:color w:val="auto"/>
        </w:rPr>
      </w:pPr>
    </w:p>
    <w:p>
      <w:pPr>
        <w:spacing w:after="0" w:line="246" w:lineRule="exact"/>
        <w:rPr>
          <w:rFonts w:ascii="Times New Roman" w:cs="Times New Roman" w:eastAsia="Times New Roman" w:hAnsi="Times New Roman"/>
          <w:sz w:val="18"/>
          <w:szCs w:val="18"/>
          <w:color w:val="auto"/>
        </w:rPr>
      </w:pPr>
    </w:p>
    <w:p>
      <w:pPr>
        <w:ind w:left="2600" w:right="80" w:firstLine="649"/>
        <w:spacing w:after="0" w:line="258" w:lineRule="auto"/>
        <w:tabs>
          <w:tab w:leader="none" w:pos="3904"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Common Units or options, warrants or rights to purchase or receive Common Units or the issuance of Common Units upon the exercise or vesting of any such options, warrants or rights to employees, officers or directors of Plains All American GP LLC or the Partnership and its Subsidiaries in respect of services provided to or for the benefit of the Partnership or its Subsidiaries, under compensation plans and agreements approved in good faith by the General Partner (including any long term incentive plan); or</w:t>
      </w:r>
    </w:p>
    <w:p>
      <w:pPr>
        <w:spacing w:after="0" w:line="183" w:lineRule="exact"/>
        <w:rPr>
          <w:rFonts w:ascii="Times New Roman" w:cs="Times New Roman" w:eastAsia="Times New Roman" w:hAnsi="Times New Roman"/>
          <w:sz w:val="18"/>
          <w:szCs w:val="18"/>
          <w:color w:val="auto"/>
        </w:rPr>
      </w:pPr>
    </w:p>
    <w:p>
      <w:pPr>
        <w:ind w:left="2600" w:right="140" w:firstLine="649"/>
        <w:spacing w:after="0" w:line="270" w:lineRule="auto"/>
        <w:tabs>
          <w:tab w:leader="none" w:pos="3904"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any Common Units as all or part of the consideration to effect (i) the closing of any acquisition by the Partnership of assets or equity interests of a third party in an arm’s-length transaction or (ii) the consummation of a merger, consolidation or other business combination of the Partnership with another entity in which the Partnership survives and the Common Units remain Outstanding to the extent any such transaction set forth in clause</w:t>
      </w:r>
    </w:p>
    <w:p>
      <w:pPr>
        <w:spacing w:after="0" w:line="2" w:lineRule="exact"/>
        <w:rPr>
          <w:rFonts w:ascii="Times New Roman" w:cs="Times New Roman" w:eastAsia="Times New Roman" w:hAnsi="Times New Roman"/>
          <w:sz w:val="17"/>
          <w:szCs w:val="17"/>
          <w:color w:val="auto"/>
        </w:rPr>
      </w:pPr>
    </w:p>
    <w:p>
      <w:pPr>
        <w:ind w:left="2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or (ii) above is validly approved by the vote or consent of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-1891030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8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whenever the issuance of a Partnership Interest or other event would require an adjustment to the Series A Conversion Rate under one or more provisions of this Agreement, only one adjustment shall be made to the Series A Conversion Rate in respect of such issuance or event.</w:t>
      </w:r>
    </w:p>
    <w:p>
      <w:pPr>
        <w:spacing w:after="0" w:line="174" w:lineRule="exact"/>
        <w:rPr>
          <w:sz w:val="20"/>
          <w:szCs w:val="20"/>
          <w:color w:val="auto"/>
        </w:rPr>
      </w:pPr>
    </w:p>
    <w:p>
      <w:pPr>
        <w:ind w:left="2620" w:hanging="667"/>
        <w:spacing w:after="0"/>
        <w:tabs>
          <w:tab w:leader="none" w:pos="26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Series A Change of Control</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1300" w:right="180" w:firstLine="1301"/>
        <w:spacing w:after="0" w:line="268" w:lineRule="auto"/>
        <w:tabs>
          <w:tab w:leader="none" w:pos="3265" w:val="left"/>
        </w:tabs>
        <w:numPr>
          <w:ilvl w:val="2"/>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 5.14(b)(vi)(B), in the event of a Series A Cash COC Event, the Outstanding Series A Preferred Units shall be automatically converted, without requirement of any action of the Series A Preferred Unitholders, into Common Units immediately prior to the closing of the Series A Cash COC Event at a conversion ratio equal to the greater of (1) the then applicable Series A Conversion Rate (or, if the Series A Preferred Units are not then convertible, assuming that such Series A Preferred Units are convertible at the then applicable Series A Conversion Rate) and (2) the quotient of (i) the product of (a) the Series A Issue Price together with accrued but unpaid distributions on the Series A Preferred Units, multiplied by (b) the Series A Cash COC Conversion Premium, divided by (ii) the volume-weighted average price of the Common Units for the thirty (30) consecutive Trading Days ending immediately prior to the date of execution and public announcement of the Series A Cash COC Event;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the ratio contemplated by clause</w:t>
      </w:r>
    </w:p>
    <w:p>
      <w:pPr>
        <w:jc w:val="both"/>
        <w:ind w:left="1300" w:firstLine="5"/>
        <w:spacing w:after="0" w:line="255" w:lineRule="auto"/>
        <w:tabs>
          <w:tab w:leader="none" w:pos="155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shall not exceed a ratio resulting in a value per Series A Preferred Unit (based on the consideration payable to holders of Common Units in such Series A Cash COC Event) equal to (i) 120% of the Series A Issue Price in the case of a Series A Change of Control occurring on or prior to the first anniversary of the Series A Issuance Date, (ii) 130% of</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line="261" w:lineRule="auto"/>
        <w:rPr>
          <w:sz w:val="20"/>
          <w:szCs w:val="20"/>
          <w:color w:val="auto"/>
        </w:rPr>
      </w:pPr>
      <w:r>
        <w:rPr>
          <w:rFonts w:ascii="Times New Roman" w:cs="Times New Roman" w:eastAsia="Times New Roman" w:hAnsi="Times New Roman"/>
          <w:sz w:val="18"/>
          <w:szCs w:val="18"/>
          <w:color w:val="auto"/>
        </w:rPr>
        <w:t>the Series A Issue Price in the case of a Series A Change of 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80" w:lineRule="exact"/>
        <w:rPr>
          <w:sz w:val="20"/>
          <w:szCs w:val="20"/>
          <w:color w:val="auto"/>
        </w:rPr>
      </w:pPr>
    </w:p>
    <w:p>
      <w:pPr>
        <w:ind w:left="1300" w:right="320" w:firstLine="1301"/>
        <w:spacing w:after="0" w:line="254" w:lineRule="auto"/>
        <w:tabs>
          <w:tab w:leader="none" w:pos="325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entry into definitive agreements that provide for a Series A Change of Control (other than a Series A Cash COC Event), if the Partnership has not issued a press release or other widely-disseminated public statement regarding the entry into such definitive agreements, the Partnership shall provide written notice thereof to the Series A Unitholders. Subject to Section 5.14(b)(vi)(B), if a Series A Change of Control (other than a Series A Cash COC Event) occurs, then each Series A Preferred Unitholder, with respect to all but not less than all of its Series A Preferred Units, by notice given to the Partnership within ten</w:t>
      </w:r>
    </w:p>
    <w:p>
      <w:pPr>
        <w:spacing w:after="0" w:line="3" w:lineRule="exact"/>
        <w:rPr>
          <w:rFonts w:ascii="Times New Roman" w:cs="Times New Roman" w:eastAsia="Times New Roman" w:hAnsi="Times New Roman"/>
          <w:sz w:val="18"/>
          <w:szCs w:val="18"/>
          <w:color w:val="auto"/>
        </w:rPr>
      </w:pPr>
    </w:p>
    <w:p>
      <w:pPr>
        <w:ind w:left="1300" w:firstLine="5"/>
        <w:spacing w:after="0" w:line="255" w:lineRule="auto"/>
        <w:tabs>
          <w:tab w:leader="none" w:pos="164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the date the Partnership provides written notice of the execution of definitive agreements that provide for a Series A Change of Control, shall be entitled to elect one of the following (with the understanding that any Series A Preferred Unitholder who fails to timely provide notice of its election to the Partnership shall be deemed to have elected the option set forth in sub-clause (1) below):</w:t>
      </w:r>
    </w:p>
    <w:p>
      <w:pPr>
        <w:spacing w:after="0" w:line="186" w:lineRule="exact"/>
        <w:rPr>
          <w:rFonts w:ascii="Times New Roman" w:cs="Times New Roman" w:eastAsia="Times New Roman" w:hAnsi="Times New Roman"/>
          <w:sz w:val="18"/>
          <w:szCs w:val="18"/>
          <w:color w:val="auto"/>
        </w:rPr>
      </w:pPr>
    </w:p>
    <w:p>
      <w:pPr>
        <w:ind w:left="1960" w:right="120" w:firstLine="1289"/>
        <w:spacing w:after="0" w:line="313" w:lineRule="auto"/>
        <w:tabs>
          <w:tab w:leader="none" w:pos="3912" w:val="left"/>
        </w:tabs>
        <w:numPr>
          <w:ilvl w:val="2"/>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convert all, but not less than all, Outstanding Series A Preferred Units into Common Units, at the then-applicable Series A Conversion Rate, subject to payment of any accrued but unpaid distributions to the date of conversion, in</w:t>
      </w:r>
    </w:p>
    <w:p>
      <w:pPr>
        <w:sectPr>
          <w:pgSz w:w="11900" w:h="16957" w:orient="portrait"/>
          <w:cols w:equalWidth="0" w:num="1">
            <w:col w:w="11420"/>
          </w:cols>
          <w:pgMar w:left="240" w:top="121" w:right="239" w:bottom="0" w:gutter="0" w:footer="0" w:header="0"/>
        </w:sectPr>
      </w:pPr>
    </w:p>
    <w:bookmarkStart w:id="36" w:name="page37"/>
    <w:bookmarkEnd w:id="36"/>
    <w:p>
      <w:pPr>
        <w:ind w:left="760"/>
        <w:spacing w:after="0"/>
        <w:rPr>
          <w:sz w:val="20"/>
          <w:szCs w:val="20"/>
          <w:color w:val="auto"/>
        </w:rPr>
      </w:pPr>
      <w:r>
        <w:rPr>
          <w:rFonts w:ascii="Times New Roman" w:cs="Times New Roman" w:eastAsia="Times New Roman" w:hAnsi="Times New Roman"/>
          <w:sz w:val="18"/>
          <w:szCs w:val="18"/>
          <w:color w:val="auto"/>
        </w:rPr>
        <w:t>accordance with Section 5.14(b)(vi);</w:t>
      </w:r>
    </w:p>
    <w:p>
      <w:pPr>
        <w:spacing w:after="0" w:line="225" w:lineRule="exact"/>
        <w:rPr>
          <w:sz w:val="20"/>
          <w:szCs w:val="20"/>
          <w:color w:val="auto"/>
        </w:rPr>
      </w:pPr>
    </w:p>
    <w:p>
      <w:pPr>
        <w:ind w:left="760" w:firstLine="1289"/>
        <w:spacing w:after="0" w:line="254" w:lineRule="auto"/>
        <w:tabs>
          <w:tab w:leader="none" w:pos="271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will not be the surviving entity of such Series A Change of Control or the Partnership will be the surviving entity but its Common Units will cease to be listed or admitted to trading on a National Securities Exchange, require the Partnership to use its commercially reasonable efforts to deliver or to cause to be delivered to the Series A Preferred Unitholders, in exchange for their Series A Preferred Units upon such Series A Change of Control, a security in the surviving entity that has substantially similar rights, preferences and privileges as the Series A Preferred Units, including, for the avoidance of doubt, the right to distributions equal in amount and timing to those provided in Section 5.14(b)(i) and a conversion rate proportionately adjusted such that the conversion of such security in the surviving entity immediately following the Series A Change of Control would entitle the holder to the number of common securities of such surviving entity (together with a number of common securities of equivalent value to any other assets received by Common Unitholders in such Series A Change of Control) which, if a Series</w:t>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00"/>
        <w:spacing w:after="0" w:line="255" w:lineRule="auto"/>
        <w:rPr>
          <w:sz w:val="20"/>
          <w:szCs w:val="20"/>
          <w:color w:val="auto"/>
        </w:rPr>
      </w:pPr>
      <w:r>
        <w:rPr>
          <w:rFonts w:ascii="Times New Roman" w:cs="Times New Roman" w:eastAsia="Times New Roman" w:hAnsi="Times New Roman"/>
          <w:sz w:val="18"/>
          <w:szCs w:val="18"/>
          <w:color w:val="auto"/>
        </w:rPr>
        <w:t>A Preferred Unit had been converted into Common Units immediately prior to such Series A Change of Control, such holder would have been entitled to receive immediately following such Series A Change of Control (such security in the surviving entity, a “</w:t>
      </w:r>
      <w:r>
        <w:rPr>
          <w:rFonts w:ascii="Times New Roman" w:cs="Times New Roman" w:eastAsia="Times New Roman" w:hAnsi="Times New Roman"/>
          <w:sz w:val="18"/>
          <w:szCs w:val="18"/>
          <w:i w:val="1"/>
          <w:iCs w:val="1"/>
          <w:color w:val="auto"/>
        </w:rPr>
        <w:t>Substantially Equivalent Unit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Partnership is unable to deliver or cause to be delivered Substantially Equivalent Units to any Series A Preferred Unitholder in connection with such Series A Change of Control, each Series A Preferred Unitholder shall be entitled to either (A) require redemption of such Series A Preferred Units in the manner contemplated by sub-clause (4) of this Section 5.14(b)(vii)(B) or (B) convert the Series A Preferred Units held by such Series A Preferred Unitholder immediately prior to such Series A Change of Control into a number of Common Units at a conversion ratio equal to the quotient of:</w:t>
      </w:r>
    </w:p>
    <w:p>
      <w:pPr>
        <w:spacing w:after="0" w:line="185" w:lineRule="exact"/>
        <w:rPr>
          <w:sz w:val="20"/>
          <w:szCs w:val="20"/>
          <w:color w:val="auto"/>
        </w:rPr>
      </w:pPr>
    </w:p>
    <w:p>
      <w:pPr>
        <w:ind w:left="1400" w:right="300" w:firstLine="649"/>
        <w:spacing w:after="0" w:line="258" w:lineRule="auto"/>
        <w:tabs>
          <w:tab w:leader="none" w:pos="268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of (i) 160% multiplied by (ii) the Series A Issue Price, less the Series A Unitholder’s Pro Rata portion of the sum of (A) all cash distributions paid on all Series A Preferred Units on or prior to the date of the Series A Change of Control, and (B) an amount in cash equal to the aggregate of the Series A Quarterly Distribution Amounts paid in Series A PIK Units (based on the value of such Series A PIK Units on the applicable Series A PIK Payment Date) on or before the date of the Series A Change of Control, divided by</w:t>
      </w:r>
    </w:p>
    <w:p>
      <w:pPr>
        <w:spacing w:after="0" w:line="183" w:lineRule="exact"/>
        <w:rPr>
          <w:rFonts w:ascii="Times New Roman" w:cs="Times New Roman" w:eastAsia="Times New Roman" w:hAnsi="Times New Roman"/>
          <w:sz w:val="18"/>
          <w:szCs w:val="18"/>
          <w:color w:val="auto"/>
        </w:rPr>
      </w:pPr>
    </w:p>
    <w:p>
      <w:pPr>
        <w:ind w:left="1400" w:right="20" w:firstLine="649"/>
        <w:spacing w:after="0" w:line="255" w:lineRule="auto"/>
        <w:tabs>
          <w:tab w:leader="none" w:pos="269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95% of the volume-weighted average price of the Common Units for the thirty (30) Trading Day period prior to the closing of the Series A Change of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ratio shall be capped at a value per Series A Preferred Unit equal to (i) 120% of the Series A Issue Price in the case of a Series A Change of Control occurring on or prior to the first anniversary of the Series A Issuance Date, (ii) 130% of the Series A Issue Price in the case of a Series A Change of Control occurring after the first anniversary of the Series A Issuance Date but on or prior to the second anniversary of the Series A Issuance Date, and (iii) 140% of the Series A Issue Price in the case of a Series A Change of Control occurring after the second anniversary of the Series A Issuance Date but on or prior to the third anniversary of the Series A Issuance Date.</w:t>
      </w:r>
    </w:p>
    <w:p>
      <w:pPr>
        <w:spacing w:after="0" w:line="185" w:lineRule="exact"/>
        <w:rPr>
          <w:rFonts w:ascii="Times New Roman" w:cs="Times New Roman" w:eastAsia="Times New Roman" w:hAnsi="Times New Roman"/>
          <w:sz w:val="18"/>
          <w:szCs w:val="18"/>
          <w:color w:val="auto"/>
        </w:rPr>
      </w:pPr>
    </w:p>
    <w:p>
      <w:pPr>
        <w:ind w:left="2060" w:hanging="659"/>
        <w:spacing w:after="0"/>
        <w:tabs>
          <w:tab w:leader="none" w:pos="20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is the surviving entity of such Series A Change of Control, continue to hold Series A Preferred</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Units; or</w:t>
      </w:r>
    </w:p>
    <w:p>
      <w:pPr>
        <w:spacing w:after="0" w:line="20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20" w:firstLine="641"/>
        <w:spacing w:after="0" w:line="252" w:lineRule="auto"/>
        <w:tabs>
          <w:tab w:leader="none" w:pos="2064"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Partnership to redeem the Series A Preferred Units at a price per Series A Preferred Unit equal to 101% of the Series A Issue Price plus accrued and unpaid distributions to the date of such redemption. Any redemption pursuant to this sub-clause (4) shall, in the sole discretion of the General Partner, be paid in cash and/or Common Units. If all or any portion of such redemption is to be paid in Common Units, the Common Units to be issued shall be valued at 95% of the volume-weighted average price of the Common Units for the thirty (30) Trading Day period ending on the fifth Trading Day immediately prior to the Series A Change of Control. No later than three Trading Days prior to the consummation of the related Series A Change of Control, the Partnership shall deliver a written notice to the holders of the Series A Preferred Units stating the date on which the Series A Preferred Units will be redeemed and the Partnership’s computation of the amount of cash or Common Units to be received by the holder upon redemption of such Series A Preferred Units. No later than 10 Business Days following the consummation of such Series A Change of Control, the Partnership shall remit the applicable cash or Common Unit consideration to the holders of then Outstanding Series A Preferred Units. The holders shall deliver to the Partnership any certificates representing the Series A Preferred Units as soon as practicable following the redemption. Holders of the Series A Preferred Units shall retain all of the rights and privileges thereof unless and until the consideration due to them as a result of such redemption shall be paid in full in cash or Common Units, as applicable.</w:t>
      </w:r>
    </w:p>
    <w:p>
      <w:pPr>
        <w:spacing w:after="0" w:line="196" w:lineRule="exact"/>
        <w:rPr>
          <w:rFonts w:ascii="Times New Roman" w:cs="Times New Roman" w:eastAsia="Times New Roman" w:hAnsi="Times New Roman"/>
          <w:sz w:val="18"/>
          <w:szCs w:val="18"/>
          <w:color w:val="auto"/>
        </w:rPr>
      </w:pPr>
    </w:p>
    <w:p>
      <w:pPr>
        <w:ind w:left="780" w:hanging="675"/>
        <w:spacing w:after="0"/>
        <w:tabs>
          <w:tab w:leader="none" w:pos="7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Series A Preferred Unit Transfer Restrictions.</w:t>
      </w:r>
    </w:p>
    <w:p>
      <w:pPr>
        <w:spacing w:after="0" w:line="227" w:lineRule="exact"/>
        <w:rPr>
          <w:rFonts w:ascii="Times New Roman" w:cs="Times New Roman" w:eastAsia="Times New Roman" w:hAnsi="Times New Roman"/>
          <w:sz w:val="18"/>
          <w:szCs w:val="18"/>
          <w:color w:val="auto"/>
        </w:rPr>
      </w:pPr>
    </w:p>
    <w:p>
      <w:pPr>
        <w:ind w:left="100" w:right="200" w:firstLine="653"/>
        <w:spacing w:after="0" w:line="282" w:lineRule="auto"/>
        <w:tabs>
          <w:tab w:leader="none" w:pos="141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5.14(b)(viii), each Series A Purchaser shall be permitted to transfer any Series A Preferred Units owned by such Series A Purchaser to any of its Affiliates or to any other Series A Purchaser.</w:t>
      </w:r>
    </w:p>
    <w:p>
      <w:pPr>
        <w:spacing w:after="0" w:line="161" w:lineRule="exact"/>
        <w:rPr>
          <w:rFonts w:ascii="Times New Roman" w:cs="Times New Roman" w:eastAsia="Times New Roman" w:hAnsi="Times New Roman"/>
          <w:sz w:val="18"/>
          <w:szCs w:val="18"/>
          <w:color w:val="auto"/>
        </w:rPr>
      </w:pPr>
    </w:p>
    <w:p>
      <w:pPr>
        <w:ind w:left="100" w:right="100" w:firstLine="653"/>
        <w:spacing w:after="0" w:line="255" w:lineRule="auto"/>
        <w:tabs>
          <w:tab w:leader="none" w:pos="140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prior written consent of the Partnership, except as specifically provided in this Agreement, each Series A Preferred Unitholder shall not, (a) during the period commencing on the Series A Issuance Date and ending on the first anniversary of the Series A Issuance Date, offer, sell, contract to sell, sell any option or contract to purchase, purchase any option or contract to sell, grant any option, right or warrant to purchase, lend, or otherwise transfer or dispose of, directly or indirectly, any of its Series A Preferred Units,</w:t>
      </w:r>
    </w:p>
    <w:p>
      <w:pPr>
        <w:spacing w:after="0" w:line="2" w:lineRule="exact"/>
        <w:rPr>
          <w:rFonts w:ascii="Times New Roman" w:cs="Times New Roman" w:eastAsia="Times New Roman" w:hAnsi="Times New Roman"/>
          <w:sz w:val="18"/>
          <w:szCs w:val="18"/>
          <w:color w:val="auto"/>
        </w:rPr>
      </w:pPr>
    </w:p>
    <w:p>
      <w:pPr>
        <w:jc w:val="both"/>
        <w:ind w:left="100" w:right="4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 during the period commencing on the Series A Issuance Date and ending on the second anniversary of the Series A Issuance Date, directly or indirectly engage in any short sales or other derivative or hedging transactions with respect to the Series A Preferred Units,</w:t>
      </w:r>
    </w:p>
    <w:p>
      <w:pPr>
        <w:ind w:left="1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transfer any Series A Preferred Units to any non-U.S.</w:t>
      </w:r>
    </w:p>
    <w:p>
      <w:pPr>
        <w:sectPr>
          <w:pgSz w:w="11900" w:h="16838" w:orient="portrait"/>
          <w:cols w:equalWidth="0" w:num="1">
            <w:col w:w="10220"/>
          </w:cols>
          <w:pgMar w:left="1440" w:top="121" w:right="239" w:bottom="0" w:gutter="0" w:footer="0" w:header="0"/>
        </w:sectPr>
      </w:pPr>
    </w:p>
    <w:bookmarkStart w:id="37" w:name="page38"/>
    <w:bookmarkEnd w:id="37"/>
    <w:p>
      <w:pPr>
        <w:ind w:left="44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00"/>
        <w:spacing w:after="0" w:line="253" w:lineRule="auto"/>
        <w:rPr>
          <w:sz w:val="20"/>
          <w:szCs w:val="20"/>
          <w:color w:val="auto"/>
        </w:rPr>
      </w:pPr>
      <w:r>
        <w:rPr>
          <w:rFonts w:ascii="Times New Roman" w:cs="Times New Roman" w:eastAsia="Times New Roman" w:hAnsi="Times New Roman"/>
          <w:sz w:val="18"/>
          <w:szCs w:val="18"/>
          <w:color w:val="auto"/>
        </w:rPr>
        <w:t xml:space="preserve">resident individual, non-U.S. corporation or partnership, or any other non-U.S. entity, including any foreign governmental entity, including by means of any swap or other transaction or arrangement that transfers or that is designed to, or that might reasonably be expected to, result in the transfer to another, in whole or in part, any of the economic consequences of ownership of any Series A Preferred Units, regardless of whether any transaction described in clauses (a) through (c) above is to be settled by delivery of Series A Preferred Units, Common Units or other securities, in cash or otherwise, or (d) effect any transfer of Series A Preferred Units or Series A Conversion Units in a manner that violates the terms of this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such Series A Preferred Unitholder may pledge all or any portion of its Series A Preferred Units to any holders of obligations owed by the Series A Preferred Unitholders, including to the trustee for, or representative of, such holders;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such Series A Preferred Unitholder may transfer any of the Series A Preferred Units purchased hereunder to an Affiliate of such Series A Preferred Unitholder. Notwithstanding the foregoing, any transferee receiving any Series A Preferred Units pursuant to this Section 5.14(b)(viii)(B) shall agree to the restrictions set forth in this Section 5.14(b)(viii)(B).</w:t>
      </w:r>
    </w:p>
    <w:p>
      <w:pPr>
        <w:spacing w:after="0" w:line="193" w:lineRule="exact"/>
        <w:rPr>
          <w:sz w:val="20"/>
          <w:szCs w:val="20"/>
          <w:color w:val="auto"/>
        </w:rPr>
      </w:pPr>
    </w:p>
    <w:p>
      <w:pPr>
        <w:ind w:left="760" w:right="20" w:firstLine="641"/>
        <w:spacing w:after="0" w:line="256" w:lineRule="auto"/>
        <w:tabs>
          <w:tab w:leader="none" w:pos="2067"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first anniversary of the Series A Issuance Date, the Series A Purchasers or their permitted transferees may freely transfer Series A Preferred Units involving an underlying value of Common Units of at least $50,000,000 based on the closing trading price of Common Units on the date immediately preceding the date of such transfer on the National Securities Exchange on which the Common Units are then listed or trading (or such lesser amount if it (i) constitutes the remaining holdings of such Series A Preferred Unitholder or (ii) has been approved by the General Partner, in its sole discretion), subject to compliance with applicable securities laws and this Agreement.</w:t>
      </w:r>
    </w:p>
    <w:p>
      <w:pPr>
        <w:spacing w:after="0" w:line="185" w:lineRule="exact"/>
        <w:rPr>
          <w:rFonts w:ascii="Times New Roman" w:cs="Times New Roman" w:eastAsia="Times New Roman" w:hAnsi="Times New Roman"/>
          <w:sz w:val="18"/>
          <w:szCs w:val="18"/>
          <w:color w:val="auto"/>
        </w:rPr>
      </w:pPr>
    </w:p>
    <w:p>
      <w:pPr>
        <w:ind w:left="1420" w:hanging="667"/>
        <w:spacing w:after="0"/>
        <w:tabs>
          <w:tab w:leader="none" w:pos="14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Series A Distribution Amount Reset; Redemption.</w:t>
      </w:r>
    </w:p>
    <w:p>
      <w:pPr>
        <w:spacing w:after="0" w:line="227" w:lineRule="exact"/>
        <w:rPr>
          <w:rFonts w:ascii="Times New Roman" w:cs="Times New Roman" w:eastAsia="Times New Roman" w:hAnsi="Times New Roman"/>
          <w:sz w:val="18"/>
          <w:szCs w:val="18"/>
          <w:color w:val="auto"/>
        </w:rPr>
      </w:pPr>
    </w:p>
    <w:p>
      <w:pPr>
        <w:jc w:val="both"/>
        <w:ind w:left="760" w:right="60" w:firstLine="641"/>
        <w:spacing w:after="0" w:line="261" w:lineRule="auto"/>
        <w:tabs>
          <w:tab w:leader="none" w:pos="207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of thirty (30) days following (1) the fifth anniversary of the Series A Issuance Date and (2) each subsequent anniversary of the Series A Issuance Date, the Series A Preferred Unitholders, acting by a vote of a majority of the Outstanding Series A Preferred Units, may make a one-time election to reset the Series A Distribution Amount to an amount equal to the Series A Reset Amount.</w:t>
      </w:r>
    </w:p>
    <w:p>
      <w:pPr>
        <w:spacing w:after="0" w:line="180" w:lineRule="exact"/>
        <w:rPr>
          <w:rFonts w:ascii="Times New Roman" w:cs="Times New Roman" w:eastAsia="Times New Roman" w:hAnsi="Times New Roman"/>
          <w:sz w:val="18"/>
          <w:szCs w:val="18"/>
          <w:color w:val="auto"/>
        </w:rPr>
      </w:pPr>
    </w:p>
    <w:p>
      <w:pPr>
        <w:jc w:val="both"/>
        <w:ind w:left="760" w:right="80" w:firstLine="641"/>
        <w:spacing w:after="0" w:line="261" w:lineRule="auto"/>
        <w:tabs>
          <w:tab w:leader="none" w:pos="2067"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Series A Preferred Unitholders elect to reset the Series A Distribution Amount pursuant to Section 5.14(b) (ix)(A), then, at any time following thirty (30) days after the sixth anniversary of the Series A Issuance Date, the Partnership may, at its option, by delivering written notice to the Series A Preferred Unitholders, redeem all or any portion of the Outstanding Series A Preferred Units in exchange for cash, Common</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Units (valued at 95% of the volume-weighted average price of the Common Units for the thirty (30) Trading Day period ending on</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fifth Trading Day immediately prior to the date of such redemption) or a combination thereof at a redemption price equal to</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110% of the Series A Issue Price, plus any accrued and unpaid distributions;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Partnership must have an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effective registration statement on file with the Commission covering resales of the underlying Common Units to be received upon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any such redemption;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any such redemption by the Partnership shall (1) cover an aggregate amount of Series A</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Preferred Units (including any Outstanding Series A PIK Units) with an underlying value of Common Units of at least</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$500,000,000 based on the closing price of Common Units on the trading day immediately preceding the date of such notice on the</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National Securities Exchange on which the Common Units are then listed or admitted to trading (or such lesser amount if such</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amount includes all then Outstanding Series A Preferred Units) and (2) be allocated among the Series A Preferred Unitholders on a</w:t>
      </w:r>
    </w:p>
    <w:p>
      <w:pPr>
        <w:spacing w:after="0" w:line="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 Rata basis or on such other basis as may be agreed upon by the Series A Preferred Unitholders. The Partnership shall have the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option to exercise such redemption right no more than two times in respect of the Outstanding Series A Preferred Units. Such</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written notice shall state the date on which the Series A Preferred Units will be redeemed (such date not to be more than thirty (30)</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days following delivery of such notice) and the Partnership’s computation of the amount of cash or Common Units to be received</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by the holder upon redemption of such Series A Preferred Units. Holders of the Series A Preferred Units shall retain all of the</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rights and privileges thereof unless and until the consideration due to them as a result of such redemption shall be paid in full in</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cash or Common Units, as applicable.</w:t>
      </w:r>
    </w:p>
    <w:p>
      <w:pPr>
        <w:spacing w:after="0" w:line="205" w:lineRule="exact"/>
        <w:rPr>
          <w:sz w:val="20"/>
          <w:szCs w:val="20"/>
          <w:color w:val="auto"/>
        </w:rPr>
      </w:pPr>
    </w:p>
    <w:p>
      <w:pPr>
        <w:jc w:val="both"/>
        <w:ind w:left="100" w:right="60" w:firstLine="653"/>
        <w:spacing w:after="0" w:line="261" w:lineRule="auto"/>
        <w:tabs>
          <w:tab w:leader="none" w:pos="14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Fully Paid and Nonassessable</w:t>
      </w:r>
      <w:r>
        <w:rPr>
          <w:rFonts w:ascii="Times New Roman" w:cs="Times New Roman" w:eastAsia="Times New Roman" w:hAnsi="Times New Roman"/>
          <w:sz w:val="18"/>
          <w:szCs w:val="18"/>
          <w:color w:val="auto"/>
        </w:rPr>
        <w:t>. Any Series A Conversion Unit(s) delivered pursuant to this Section 5.14 shall be validly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issued, fully paid and nonassessable (except as such nonassessability may be affected by matters described in Sections 17-303, 17-607 and 17-804 of the Delaware Act), free and clear of any liens, claims, rights or encumbrances other than those arising under the Delaware Act or this Agreement or created by the holders thereof.</w:t>
      </w:r>
    </w:p>
    <w:p>
      <w:pPr>
        <w:spacing w:after="0" w:line="180" w:lineRule="exact"/>
        <w:rPr>
          <w:rFonts w:ascii="Times New Roman" w:cs="Times New Roman" w:eastAsia="Times New Roman" w:hAnsi="Times New Roman"/>
          <w:sz w:val="18"/>
          <w:szCs w:val="18"/>
          <w:color w:val="auto"/>
        </w:rPr>
      </w:pPr>
    </w:p>
    <w:p>
      <w:pPr>
        <w:ind w:left="100" w:right="80" w:firstLine="653"/>
        <w:spacing w:after="0" w:line="256" w:lineRule="auto"/>
        <w:tabs>
          <w:tab w:leader="none" w:pos="1413"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Partnership Restructuring Event</w:t>
      </w:r>
      <w:r>
        <w:rPr>
          <w:rFonts w:ascii="Times New Roman" w:cs="Times New Roman" w:eastAsia="Times New Roman" w:hAnsi="Times New Roman"/>
          <w:sz w:val="18"/>
          <w:szCs w:val="18"/>
          <w:color w:val="auto"/>
        </w:rPr>
        <w:t>. Subject to Section 5.14(b)(vi)(B), if (A) a Partnership Restructuring Event occurs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Partnership engages in any other recapitalization, reorganization, consolidation, merger, spin-off or other business combination (other than a Series A Change of Control) and (B) (1) the Partnership will not be the surviving entity of such Partnership Restructuring Event or other event or (2) the Partnership will be the surviving entity but its Common Units will cease to be listed or admitted to trading on a National Securities Exchange, the Partnership shall deliver or cause to be delivered to the Series A Preferred Unitholders, in exchange for their Series A Preferred Units upon consummation of such Partnership Restructuring Event or other event, a security in the surviving entity that has substantially similar rights,</w:t>
      </w:r>
    </w:p>
    <w:p>
      <w:pPr>
        <w:spacing w:after="0" w:line="185"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right="160"/>
        <w:spacing w:after="0" w:line="313" w:lineRule="auto"/>
        <w:rPr>
          <w:sz w:val="20"/>
          <w:szCs w:val="20"/>
          <w:color w:val="auto"/>
        </w:rPr>
      </w:pPr>
      <w:r>
        <w:rPr>
          <w:rFonts w:ascii="Times New Roman" w:cs="Times New Roman" w:eastAsia="Times New Roman" w:hAnsi="Times New Roman"/>
          <w:sz w:val="17"/>
          <w:szCs w:val="17"/>
          <w:color w:val="auto"/>
        </w:rPr>
        <w:t>preferences and privileges as the Series A Preferred Units, including, for the avoidance of doubt, the right to distributions equal in amount and timing to those provided in Section 5.14(b)(i) and a conversion rate proportionately adjusted such that the conversion of such security</w:t>
      </w:r>
    </w:p>
    <w:p>
      <w:pPr>
        <w:sectPr>
          <w:pgSz w:w="11900" w:h="16838" w:orient="portrait"/>
          <w:cols w:equalWidth="0" w:num="1">
            <w:col w:w="10200"/>
          </w:cols>
          <w:pgMar w:left="1440" w:top="121" w:right="259" w:bottom="0" w:gutter="0" w:footer="0" w:header="0"/>
        </w:sectPr>
      </w:pPr>
    </w:p>
    <w:bookmarkStart w:id="38" w:name="page39"/>
    <w:bookmarkEnd w:id="38"/>
    <w:p>
      <w:pPr>
        <w:ind w:left="1300" w:right="20"/>
        <w:spacing w:after="0" w:line="258" w:lineRule="auto"/>
        <w:rPr>
          <w:sz w:val="20"/>
          <w:szCs w:val="20"/>
          <w:color w:val="auto"/>
        </w:rPr>
      </w:pPr>
      <w:r>
        <w:rPr>
          <w:rFonts w:ascii="Times New Roman" w:cs="Times New Roman" w:eastAsia="Times New Roman" w:hAnsi="Times New Roman"/>
          <w:sz w:val="18"/>
          <w:szCs w:val="18"/>
          <w:color w:val="auto"/>
        </w:rPr>
        <w:t>in the surviving entity immediately following the Partnership Restructuring Event or such other event would entitle the holder to the number of common securities of such surviving entity (together with a number of common securities of equivalent value to any other assets received by Common Unitholders in such Partnership Restructuring Event or such other event) which, if a Series A Preferred Unit had been converted into Common Units immediately prior to such Partnership Restructuring Event or such other event, such holder would have been entitled to receive immediately following such Partnership Restructuring Event or such other event.</w:t>
      </w:r>
    </w:p>
    <w:p>
      <w:pPr>
        <w:spacing w:after="0" w:line="182" w:lineRule="exact"/>
        <w:rPr>
          <w:sz w:val="20"/>
          <w:szCs w:val="20"/>
          <w:color w:val="auto"/>
        </w:rPr>
      </w:pPr>
    </w:p>
    <w:p>
      <w:pPr>
        <w:ind w:left="1300" w:right="60" w:firstLine="653"/>
        <w:spacing w:after="0" w:line="261" w:lineRule="auto"/>
        <w:tabs>
          <w:tab w:leader="none" w:pos="262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For the avoidance of doubt, the Partnership shall distribute to the holders of Series A Preferred Units copies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notices, materials, annual and quarterly reports, proxy statements, information statements and any other documents distributed generally to the holders of Common Units of the Partnership, at such times and by such method as such documents are distributed to such holders of such Common Units.</w:t>
      </w:r>
    </w:p>
    <w:p>
      <w:pPr>
        <w:spacing w:after="0" w:line="180" w:lineRule="exact"/>
        <w:rPr>
          <w:rFonts w:ascii="Times New Roman" w:cs="Times New Roman" w:eastAsia="Times New Roman" w:hAnsi="Times New Roman"/>
          <w:sz w:val="18"/>
          <w:szCs w:val="18"/>
          <w:color w:val="auto"/>
        </w:rPr>
      </w:pPr>
    </w:p>
    <w:p>
      <w:pPr>
        <w:ind w:left="1300" w:right="80" w:firstLine="653"/>
        <w:spacing w:after="0" w:line="256" w:lineRule="auto"/>
        <w:tabs>
          <w:tab w:leader="none" w:pos="263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Value</w:t>
      </w:r>
      <w:r>
        <w:rPr>
          <w:rFonts w:ascii="Times New Roman" w:cs="Times New Roman" w:eastAsia="Times New Roman" w:hAnsi="Times New Roman"/>
          <w:sz w:val="18"/>
          <w:szCs w:val="18"/>
          <w:color w:val="auto"/>
        </w:rPr>
        <w:t>. In the event of any liquidation, dissolution and winding up of the Partnership under Section 12.4 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 exchange or other disposition of all or substantially all of the assets of the Partnership, either voluntary or involuntary, the Record Holders of the Series A Preferred Units shall be entitled to receive, out of the assets of the Partnership available for distribution to the Partners or any Assignees, prior and in preference to any distribution of any assets of the Partnership to the Record Holders of any other class or series of Partnership Interests, the positive value in each such holder’s Capital Account in respect of such Series A Preferred Units, after taking into account all Capital Account adjustments for the relevant taxable periods, including without limitation those provided for under Section 6.1(d)(x)(C).</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ALLOCATIONS AND DISTRIBUTIONS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6.1</w:t>
      </w:r>
      <w:r>
        <w:rPr>
          <w:sz w:val="20"/>
          <w:szCs w:val="20"/>
          <w:color w:val="auto"/>
        </w:rPr>
        <w:tab/>
      </w:r>
      <w:r>
        <w:rPr>
          <w:rFonts w:ascii="Times New Roman" w:cs="Times New Roman" w:eastAsia="Times New Roman" w:hAnsi="Times New Roman"/>
          <w:sz w:val="17"/>
          <w:szCs w:val="17"/>
          <w:i w:val="1"/>
          <w:iCs w:val="1"/>
          <w:color w:val="auto"/>
        </w:rPr>
        <w:t>Allocations for Capital Account Purposes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For purposes of maintaining the Capital Accounts and in determining the rights of the Partners among themselves, the Partnership’s items of income, gain, loss and deduction (computed in accordance with Section 5.5(b)) shall be allocated among the Partners in each taxable year (or portion thereof) as provided herein below.</w:t>
      </w:r>
    </w:p>
    <w:p>
      <w:pPr>
        <w:spacing w:after="0" w:line="174" w:lineRule="exact"/>
        <w:rPr>
          <w:sz w:val="20"/>
          <w:szCs w:val="20"/>
          <w:color w:val="auto"/>
        </w:rPr>
      </w:pPr>
    </w:p>
    <w:p>
      <w:pPr>
        <w:ind w:left="1940" w:hanging="635"/>
        <w:spacing w:after="0"/>
        <w:tabs>
          <w:tab w:leader="none" w:pos="19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After giving effect to the special allocations set forth in Section 6.1(d), Net Income for each taxable year and all items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income, gain, loss and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deduction taken into account in computing Net Income for such taxable year shall be allocated as follows:</w:t>
      </w:r>
    </w:p>
    <w:p>
      <w:pPr>
        <w:spacing w:after="0" w:line="225" w:lineRule="exact"/>
        <w:rPr>
          <w:sz w:val="20"/>
          <w:szCs w:val="20"/>
          <w:color w:val="auto"/>
        </w:rPr>
      </w:pPr>
    </w:p>
    <w:p>
      <w:pPr>
        <w:ind w:left="1300" w:right="120" w:firstLine="653"/>
        <w:spacing w:after="0" w:line="261" w:lineRule="auto"/>
        <w:tabs>
          <w:tab w:leader="none" w:pos="2618"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100% to the General Partner in an amount equal to the aggregate Net Losses allocated to the General Partner pursuant to Section 6.1(b)(v) for all previous taxable years until the aggregate Net Income allocated to the General Partner pursuant to this Section 6.1(a)(i) for the current taxable year and all previous taxable years is equal to the aggregate Net Losses allocated to the General Partner pursuant to Section 6.1(b)(v) for all previous taxable years;</w:t>
      </w:r>
    </w:p>
    <w:p>
      <w:pPr>
        <w:spacing w:after="0" w:line="180" w:lineRule="exact"/>
        <w:rPr>
          <w:rFonts w:ascii="Times New Roman" w:cs="Times New Roman" w:eastAsia="Times New Roman" w:hAnsi="Times New Roman"/>
          <w:sz w:val="18"/>
          <w:szCs w:val="18"/>
          <w:color w:val="auto"/>
        </w:rPr>
      </w:pPr>
    </w:p>
    <w:p>
      <w:pPr>
        <w:ind w:left="1300" w:right="20" w:firstLine="653"/>
        <w:spacing w:after="0" w:line="258" w:lineRule="auto"/>
        <w:tabs>
          <w:tab w:leader="none" w:pos="262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2% to the General Partner in an amount equal to the aggregate Net Losses allocated to the General Partner pursuant to Section 6.1(b)(ii) and (iii) for all previous taxable years and 98% to the Unitholders, in accordance with their respective Percentage Interests, until the aggregate Net Income allocated to such Partners pursuant to this Section 6.1(a)(ii) for the current taxable year and all previous taxable years is equal to the aggregate Net Losses allocated to such Partners pursuant to Section 6.1(b)(ii) and (iii) for all previous taxable years; and</w:t>
      </w:r>
    </w:p>
    <w:p>
      <w:pPr>
        <w:spacing w:after="0" w:line="183" w:lineRule="exact"/>
        <w:rPr>
          <w:rFonts w:ascii="Times New Roman" w:cs="Times New Roman" w:eastAsia="Times New Roman" w:hAnsi="Times New Roman"/>
          <w:sz w:val="18"/>
          <w:szCs w:val="18"/>
          <w:color w:val="auto"/>
        </w:rPr>
      </w:pPr>
    </w:p>
    <w:p>
      <w:pPr>
        <w:ind w:left="1300" w:right="800" w:firstLine="653"/>
        <w:spacing w:after="0" w:line="282" w:lineRule="auto"/>
        <w:tabs>
          <w:tab w:leader="none" w:pos="2637"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the balance, if any, 100% to the General Partner and the Unitholders in accordance with their respective Percentage Interests.</w:t>
      </w:r>
    </w:p>
    <w:p>
      <w:pPr>
        <w:spacing w:after="0" w:line="159" w:lineRule="exact"/>
        <w:rPr>
          <w:rFonts w:ascii="Times New Roman" w:cs="Times New Roman" w:eastAsia="Times New Roman" w:hAnsi="Times New Roman"/>
          <w:sz w:val="18"/>
          <w:szCs w:val="18"/>
          <w:color w:val="auto"/>
        </w:rPr>
      </w:pPr>
    </w:p>
    <w:p>
      <w:pPr>
        <w:ind w:right="380" w:firstLine="1305"/>
        <w:spacing w:after="0" w:line="284" w:lineRule="auto"/>
        <w:tabs>
          <w:tab w:leader="none" w:pos="195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Losses</w:t>
      </w:r>
      <w:r>
        <w:rPr>
          <w:rFonts w:ascii="Times New Roman" w:cs="Times New Roman" w:eastAsia="Times New Roman" w:hAnsi="Times New Roman"/>
          <w:sz w:val="18"/>
          <w:szCs w:val="18"/>
          <w:color w:val="auto"/>
        </w:rPr>
        <w:t>. After giving effect to the special allocations set forth in Section 6.1(d), Net Losses for each taxable period and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items of income, gain, loss and deduction taken into account in computing Net Losses for such taxable period shall be allocated as follows:</w:t>
      </w:r>
    </w:p>
    <w:p>
      <w:pPr>
        <w:spacing w:after="0" w:line="160" w:lineRule="exact"/>
        <w:rPr>
          <w:rFonts w:ascii="Times New Roman" w:cs="Times New Roman" w:eastAsia="Times New Roman" w:hAnsi="Times New Roman"/>
          <w:sz w:val="18"/>
          <w:szCs w:val="18"/>
          <w:color w:val="auto"/>
        </w:rPr>
      </w:pPr>
    </w:p>
    <w:p>
      <w:pPr>
        <w:ind w:left="1300" w:firstLine="653"/>
        <w:spacing w:after="0" w:line="256" w:lineRule="auto"/>
        <w:tabs>
          <w:tab w:leader="none" w:pos="261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2% to the General Partner and 98% to the Unitholders, in accordance with their respective Percentage Interests, until the aggregate Net Losses allocated pursuant to this Section 6.1(b)(i) for the current taxable year and all previous taxable years is equal to the aggregate Net Income allocated to such Partners pursuant to Section 6.1(a)(iii) for all previous taxable years, provided that the Net Losses shall not be allocated pursuant to this Section 6.1(b)(i) to the extent that such allocation would cause any Unitholder to have a deficit balance in its Adjusted Capital Account at the end of such taxable year (or increase any existing deficit balance in its Adjusted Capital Account);</w:t>
      </w:r>
    </w:p>
    <w:p>
      <w:pPr>
        <w:spacing w:after="0" w:line="187" w:lineRule="exact"/>
        <w:rPr>
          <w:rFonts w:ascii="Times New Roman" w:cs="Times New Roman" w:eastAsia="Times New Roman" w:hAnsi="Times New Roman"/>
          <w:sz w:val="18"/>
          <w:szCs w:val="18"/>
          <w:color w:val="auto"/>
        </w:rPr>
      </w:pPr>
    </w:p>
    <w:p>
      <w:pPr>
        <w:ind w:left="1300" w:right="60" w:firstLine="653"/>
        <w:spacing w:after="0" w:line="261" w:lineRule="auto"/>
        <w:tabs>
          <w:tab w:leader="none" w:pos="262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2% to the General Partner and 98% to the Unitholders in accordance with their respective Percentage Interests; provided, that Net Losses shall not be allocated pursuant to this Section 6.1(b)(ii) to the extent that such allocation would cause any Unitholder to have a deficit balance in its Adjusted Capital Account at the end of such taxable year (or increase any existing deficit balance in its Adjusted Capital Account);</w:t>
      </w:r>
    </w:p>
    <w:p>
      <w:pPr>
        <w:spacing w:after="0" w:line="180" w:lineRule="exact"/>
        <w:rPr>
          <w:rFonts w:ascii="Times New Roman" w:cs="Times New Roman" w:eastAsia="Times New Roman" w:hAnsi="Times New Roman"/>
          <w:sz w:val="18"/>
          <w:szCs w:val="18"/>
          <w:color w:val="auto"/>
        </w:rPr>
      </w:pPr>
    </w:p>
    <w:p>
      <w:pPr>
        <w:ind w:left="1300" w:right="340" w:firstLine="653"/>
        <w:spacing w:after="0" w:line="282" w:lineRule="auto"/>
        <w:tabs>
          <w:tab w:leader="none" w:pos="2637"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2% to the General Partner and 98% to the Unitholders holding Common Units in accordance with the positive balances in their Adjusted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82" w:lineRule="auto"/>
        <w:rPr>
          <w:sz w:val="20"/>
          <w:szCs w:val="20"/>
          <w:color w:val="auto"/>
        </w:rPr>
      </w:pPr>
      <w:r>
        <w:rPr>
          <w:rFonts w:ascii="Times New Roman" w:cs="Times New Roman" w:eastAsia="Times New Roman" w:hAnsi="Times New Roman"/>
          <w:sz w:val="18"/>
          <w:szCs w:val="18"/>
          <w:color w:val="auto"/>
        </w:rPr>
        <w:t>Capital Accounts as such Adjusted Capital Accounts would be determined without regard to any Series A Preferred Units then held by such Unitholders;</w:t>
      </w:r>
    </w:p>
    <w:p>
      <w:pPr>
        <w:sectPr>
          <w:pgSz w:w="11900" w:h="16838" w:orient="portrait"/>
          <w:cols w:equalWidth="0" w:num="1">
            <w:col w:w="11400"/>
          </w:cols>
          <w:pgMar w:left="240" w:top="121" w:right="259" w:bottom="0" w:gutter="0" w:footer="0" w:header="0"/>
        </w:sectPr>
      </w:pPr>
    </w:p>
    <w:bookmarkStart w:id="39" w:name="page40"/>
    <w:bookmarkEnd w:id="39"/>
    <w:p>
      <w:pPr>
        <w:ind w:left="1300" w:right="20" w:firstLine="653"/>
        <w:spacing w:after="0" w:line="282" w:lineRule="auto"/>
        <w:tabs>
          <w:tab w:leader="none" w:pos="261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2% to the General Partner and 98% to the Series A Preferred Unitholders in accordance with the positive balances in their Adjusted Capital Accounts; and</w:t>
      </w:r>
    </w:p>
    <w:p>
      <w:pPr>
        <w:spacing w:after="0" w:line="161"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the balance, if any, 100% to the General Partner.</w:t>
      </w:r>
    </w:p>
    <w:p>
      <w:pPr>
        <w:spacing w:after="0" w:line="223" w:lineRule="exact"/>
        <w:rPr>
          <w:rFonts w:ascii="Times New Roman" w:cs="Times New Roman" w:eastAsia="Times New Roman" w:hAnsi="Times New Roman"/>
          <w:sz w:val="18"/>
          <w:szCs w:val="18"/>
          <w:color w:val="auto"/>
        </w:rPr>
      </w:pPr>
    </w:p>
    <w:p>
      <w:pPr>
        <w:ind w:right="20" w:firstLine="1305"/>
        <w:spacing w:after="0" w:line="257" w:lineRule="auto"/>
        <w:tabs>
          <w:tab w:leader="none" w:pos="195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Termination Gains and Losses</w:t>
      </w:r>
      <w:r>
        <w:rPr>
          <w:rFonts w:ascii="Times New Roman" w:cs="Times New Roman" w:eastAsia="Times New Roman" w:hAnsi="Times New Roman"/>
          <w:sz w:val="18"/>
          <w:szCs w:val="18"/>
          <w:color w:val="auto"/>
        </w:rPr>
        <w:t>. After giving effect to the special allocations set forth in Section 6.1(d), all items of income,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loss and deduction taken into account in computing Net Termination Gain or Net Termination Loss for such taxable period shall be allocated in the same manner as such Net Termination Gain or Net Termination Loss is allocated hereunder. All allocations under this Section 6.1(c) shall be made after Capital Account balances have been adjusted by all other allocations provided under this Section 6.1 and after all distributions of Available Cash provided under Sections 6.4 and 6.5 have been made; provided, however, that solely for purposes of this Section 6.1(c), Capital Accounts shall not be adjusted for distributions made pursuant to Section 12.4.</w:t>
      </w:r>
    </w:p>
    <w:p>
      <w:pPr>
        <w:spacing w:after="0" w:line="184" w:lineRule="exact"/>
        <w:rPr>
          <w:rFonts w:ascii="Times New Roman" w:cs="Times New Roman" w:eastAsia="Times New Roman" w:hAnsi="Times New Roman"/>
          <w:sz w:val="18"/>
          <w:szCs w:val="18"/>
          <w:color w:val="auto"/>
        </w:rPr>
      </w:pPr>
    </w:p>
    <w:p>
      <w:pPr>
        <w:jc w:val="both"/>
        <w:ind w:left="1300" w:right="140" w:firstLine="653"/>
        <w:spacing w:after="0" w:line="261" w:lineRule="auto"/>
        <w:tabs>
          <w:tab w:leader="none" w:pos="261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Net Termination Gain is recognized (or deemed recognized pursuant to Section 5.5(d)), such Net Termination Gain shall be allocated among the General Partner and the Limited Partners in the following manner (and the Capital Accounts of the Partners shall be increased by the amount so allocated in each of the following subclauses, in the order listed, before an allocation is made pursuant to the next succeeding subclause):</w:t>
      </w:r>
    </w:p>
    <w:p>
      <w:pPr>
        <w:spacing w:after="0" w:line="180" w:lineRule="exact"/>
        <w:rPr>
          <w:rFonts w:ascii="Times New Roman" w:cs="Times New Roman" w:eastAsia="Times New Roman" w:hAnsi="Times New Roman"/>
          <w:sz w:val="18"/>
          <w:szCs w:val="18"/>
          <w:color w:val="auto"/>
        </w:rPr>
      </w:pPr>
    </w:p>
    <w:p>
      <w:pPr>
        <w:ind w:left="1960" w:right="180" w:firstLine="641"/>
        <w:spacing w:after="0" w:line="266" w:lineRule="auto"/>
        <w:tabs>
          <w:tab w:leader="none" w:pos="3277"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to each Partner having a deficit balance in its Capital Account, in the proportion that such deficit balance bears to the total deficit balances in the Capital Accounts of all Partners, until each such Partner has been allocated Net Termination Gain equal to any such deficit balance in its Capital Account;</w:t>
      </w:r>
    </w:p>
    <w:p>
      <w:pPr>
        <w:spacing w:after="0" w:line="176" w:lineRule="exact"/>
        <w:rPr>
          <w:rFonts w:ascii="Times New Roman" w:cs="Times New Roman" w:eastAsia="Times New Roman" w:hAnsi="Times New Roman"/>
          <w:sz w:val="18"/>
          <w:szCs w:val="18"/>
          <w:color w:val="auto"/>
        </w:rPr>
      </w:pPr>
    </w:p>
    <w:p>
      <w:pPr>
        <w:ind w:left="1960" w:right="360" w:firstLine="641"/>
        <w:spacing w:after="0" w:line="282" w:lineRule="auto"/>
        <w:tabs>
          <w:tab w:leader="none" w:pos="3267"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2% to the General Partner and 98% to the Series A Preferred Unitholders, Pro Rata, until the Capital Account in respect of each Series A Preferred Unit is equal to the Series A Liquidation Value;</w:t>
      </w:r>
    </w:p>
    <w:p>
      <w:pPr>
        <w:spacing w:after="0" w:line="161" w:lineRule="exact"/>
        <w:rPr>
          <w:rFonts w:ascii="Times New Roman" w:cs="Times New Roman" w:eastAsia="Times New Roman" w:hAnsi="Times New Roman"/>
          <w:sz w:val="18"/>
          <w:szCs w:val="18"/>
          <w:color w:val="auto"/>
        </w:rPr>
      </w:pPr>
    </w:p>
    <w:p>
      <w:pPr>
        <w:ind w:left="1960" w:right="80" w:firstLine="641"/>
        <w:spacing w:after="0" w:line="276" w:lineRule="auto"/>
        <w:tabs>
          <w:tab w:leader="none" w:pos="3267" w:val="left"/>
        </w:tabs>
        <w:numPr>
          <w:ilvl w:val="2"/>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100% to the General Partner and to all Unitholders holding Common Units, in accordance with their respective Percentage Interests, until the Capital Account in respect of each Common Unit then Outstanding is equal to the sum of</w:t>
      </w:r>
    </w:p>
    <w:p>
      <w:pPr>
        <w:ind w:left="1960"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(1) its Unrecovered Capital plus (2) the Minimum Quarterly Distribution for the Quarter during which the Liquidation Date occurs, reduced by any distribution pursuant to Section 6.4(a)(i) with respect to such Common Unit for such Quarter (the amount determined pursuant to this clause (2) is hereinafter defined as the </w:t>
      </w:r>
      <w:r>
        <w:rPr>
          <w:rFonts w:ascii="Times New Roman" w:cs="Times New Roman" w:eastAsia="Times New Roman" w:hAnsi="Times New Roman"/>
          <w:sz w:val="18"/>
          <w:szCs w:val="18"/>
          <w:i w:val="1"/>
          <w:iCs w:val="1"/>
          <w:color w:val="auto"/>
        </w:rPr>
        <w:t>“Unpaid MQD”</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7"/>
          <w:szCs w:val="17"/>
          <w:color w:val="auto"/>
        </w:rPr>
      </w:pPr>
    </w:p>
    <w:p>
      <w:pPr>
        <w:ind w:left="1960" w:right="860" w:firstLine="641"/>
        <w:spacing w:after="0" w:line="282" w:lineRule="auto"/>
        <w:tabs>
          <w:tab w:leader="none" w:pos="3277"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Fourth, 85% to all Unitholders holding Common Units, Pro Rata, 13% to the holders of the Incentive Distribution Rights, Pro Rata,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and 2% to the General Partner until the Capital Account in respect of each Common Unit then Outstanding is equal to the sum of</w:t>
      </w:r>
    </w:p>
    <w:p>
      <w:pPr>
        <w:spacing w:after="0" w:line="27" w:lineRule="exact"/>
        <w:rPr>
          <w:sz w:val="20"/>
          <w:szCs w:val="20"/>
          <w:color w:val="auto"/>
        </w:rPr>
      </w:pPr>
    </w:p>
    <w:p>
      <w:pPr>
        <w:jc w:val="both"/>
        <w:ind w:left="1960" w:right="120" w:hanging="7"/>
        <w:spacing w:after="0" w:line="254" w:lineRule="auto"/>
        <w:tabs>
          <w:tab w:leader="none" w:pos="221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Unrecovered Capital, plus (2) the Unpaid MQD, plus (3) the excess of (aa) the First Target Distribution less the Minimum Quarterly Distribution for each Quarter of the Partnership’s existence over (bb) the cumulative per Common Unit amount of any distributions of Operating Surplus that was distributed pursuant to Section 6.4(a)(ii) (the sum of (1) plus (2) plus (3) is hereinafter defined as the </w:t>
      </w:r>
      <w:r>
        <w:rPr>
          <w:rFonts w:ascii="Times New Roman" w:cs="Times New Roman" w:eastAsia="Times New Roman" w:hAnsi="Times New Roman"/>
          <w:sz w:val="18"/>
          <w:szCs w:val="18"/>
          <w:i w:val="1"/>
          <w:iCs w:val="1"/>
          <w:color w:val="auto"/>
        </w:rPr>
        <w:t>“First Liquidation Target Amount”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1960" w:right="20" w:firstLine="641"/>
        <w:spacing w:after="0" w:line="256" w:lineRule="auto"/>
        <w:tabs>
          <w:tab w:leader="none" w:pos="327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Fifth, 75% to all Unitholders holding Common Units, Pro Rata, 23% to the holders of the Incentive Distribution Rights, Pro Rata, and 2% to the General Partner until the Capital Account in respect of each Common Unit then Outstanding is equal to the sum of (1) the First Liquidation Target Amount, plus (2) the excess of (aa) the Second Target Distribution less the First Target Distribution for each Quarter of the Partnership’s existence over (bb) the cumulative per Common Unit amount of any distributions of Operating Surplus that was distributed pursuant to Section 6.4(a)(iii) (the sum of (1) plus (2) is hereinafter defined as the </w:t>
      </w:r>
      <w:r>
        <w:rPr>
          <w:rFonts w:ascii="Times New Roman" w:cs="Times New Roman" w:eastAsia="Times New Roman" w:hAnsi="Times New Roman"/>
          <w:sz w:val="18"/>
          <w:szCs w:val="18"/>
          <w:i w:val="1"/>
          <w:iCs w:val="1"/>
          <w:color w:val="auto"/>
        </w:rPr>
        <w:t>“Second Liquidation Target Amount”</w:t>
      </w:r>
      <w:r>
        <w:rPr>
          <w:rFonts w:ascii="Times New Roman" w:cs="Times New Roman" w:eastAsia="Times New Roman" w:hAnsi="Times New Roman"/>
          <w:sz w:val="18"/>
          <w:szCs w:val="18"/>
          <w:color w:val="auto"/>
        </w:rPr>
        <w:t>); and</w:t>
      </w:r>
    </w:p>
    <w:p>
      <w:pPr>
        <w:spacing w:after="0" w:line="187" w:lineRule="exact"/>
        <w:rPr>
          <w:rFonts w:ascii="Times New Roman" w:cs="Times New Roman" w:eastAsia="Times New Roman" w:hAnsi="Times New Roman"/>
          <w:sz w:val="18"/>
          <w:szCs w:val="18"/>
          <w:color w:val="auto"/>
        </w:rPr>
      </w:pPr>
    </w:p>
    <w:p>
      <w:pPr>
        <w:ind w:left="1960" w:right="160" w:firstLine="641"/>
        <w:spacing w:after="0" w:line="282" w:lineRule="auto"/>
        <w:tabs>
          <w:tab w:leader="none" w:pos="327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any remaining amount 50% to all Unitholders holding Common Units, Pro Rata, 48% to the holders of the Incentive Distribution Rights, Pro Rata, and 2% to the General Partner.</w:t>
      </w:r>
    </w:p>
    <w:p>
      <w:pPr>
        <w:spacing w:after="0" w:line="162" w:lineRule="exact"/>
        <w:rPr>
          <w:sz w:val="20"/>
          <w:szCs w:val="20"/>
          <w:color w:val="auto"/>
        </w:rPr>
      </w:pPr>
    </w:p>
    <w:p>
      <w:pPr>
        <w:ind w:left="1300" w:right="240" w:firstLine="653"/>
        <w:spacing w:after="0" w:line="282" w:lineRule="auto"/>
        <w:tabs>
          <w:tab w:leader="none" w:pos="2627"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Net Termination Loss is recognized (or deemed recognized pursuant to Section 5.5(d)), such Net Termination Loss shall be allocated among the Partners in the following manner:</w:t>
      </w:r>
    </w:p>
    <w:p>
      <w:pPr>
        <w:spacing w:after="0" w:line="161" w:lineRule="exact"/>
        <w:rPr>
          <w:rFonts w:ascii="Times New Roman" w:cs="Times New Roman" w:eastAsia="Times New Roman" w:hAnsi="Times New Roman"/>
          <w:sz w:val="18"/>
          <w:szCs w:val="18"/>
          <w:color w:val="auto"/>
        </w:rPr>
      </w:pPr>
    </w:p>
    <w:p>
      <w:pPr>
        <w:ind w:left="1960" w:right="160" w:firstLine="641"/>
        <w:spacing w:after="0" w:line="282" w:lineRule="auto"/>
        <w:tabs>
          <w:tab w:leader="none" w:pos="3277"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all Unitholders holding Common Units, Pro Rata, and 2% to the General Partner until the Capital Account in respect of each Common Unit then Outstanding has been reduced to zero;</w:t>
      </w:r>
    </w:p>
    <w:p>
      <w:pPr>
        <w:spacing w:after="0" w:line="161" w:lineRule="exact"/>
        <w:rPr>
          <w:rFonts w:ascii="Times New Roman" w:cs="Times New Roman" w:eastAsia="Times New Roman" w:hAnsi="Times New Roman"/>
          <w:sz w:val="18"/>
          <w:szCs w:val="18"/>
          <w:color w:val="auto"/>
        </w:rPr>
      </w:pPr>
    </w:p>
    <w:p>
      <w:pPr>
        <w:ind w:left="1960" w:right="360" w:firstLine="641"/>
        <w:spacing w:after="0" w:line="282" w:lineRule="auto"/>
        <w:tabs>
          <w:tab w:leader="none" w:pos="3267"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98% to all Series A Preferred Unitholders, Pro Rata, and 2% to the General Partner until the Capital Account in respect of each Series A Preferred Unit then Outstanding has been reduced to zero; and</w:t>
      </w:r>
    </w:p>
    <w:p>
      <w:pPr>
        <w:spacing w:after="0" w:line="161" w:lineRule="exact"/>
        <w:rPr>
          <w:rFonts w:ascii="Times New Roman" w:cs="Times New Roman" w:eastAsia="Times New Roman" w:hAnsi="Times New Roman"/>
          <w:sz w:val="18"/>
          <w:szCs w:val="18"/>
          <w:color w:val="auto"/>
        </w:rPr>
      </w:pPr>
    </w:p>
    <w:p>
      <w:pPr>
        <w:ind w:left="3260" w:hanging="659"/>
        <w:spacing w:after="0"/>
        <w:tabs>
          <w:tab w:leader="none" w:pos="326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Finally, the balance, if any, 100% to the General Partner.</w:t>
      </w:r>
    </w:p>
    <w:p>
      <w:pPr>
        <w:spacing w:after="0" w:line="22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Allocations</w:t>
      </w:r>
      <w:r>
        <w:rPr>
          <w:rFonts w:ascii="Times New Roman" w:cs="Times New Roman" w:eastAsia="Times New Roman" w:hAnsi="Times New Roman"/>
          <w:sz w:val="18"/>
          <w:szCs w:val="18"/>
          <w:color w:val="auto"/>
        </w:rPr>
        <w:t>. Notwithstanding any other provision of this Section 6.1, the following special allocations shall be made for</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taxable period:</w:t>
      </w:r>
    </w:p>
    <w:p>
      <w:pPr>
        <w:spacing w:after="0" w:line="204" w:lineRule="exact"/>
        <w:rPr>
          <w:rFonts w:ascii="Times New Roman" w:cs="Times New Roman" w:eastAsia="Times New Roman" w:hAnsi="Times New Roman"/>
          <w:sz w:val="18"/>
          <w:szCs w:val="18"/>
          <w:color w:val="auto"/>
        </w:rPr>
      </w:pPr>
    </w:p>
    <w:p>
      <w:pPr>
        <w:ind w:left="1300" w:firstLine="653"/>
        <w:spacing w:after="0" w:line="261" w:lineRule="auto"/>
        <w:tabs>
          <w:tab w:leader="none" w:pos="2618"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Partnership Minimum Gain Chargeback</w:t>
      </w:r>
      <w:r>
        <w:rPr>
          <w:rFonts w:ascii="Times New Roman" w:cs="Times New Roman" w:eastAsia="Times New Roman" w:hAnsi="Times New Roman"/>
          <w:sz w:val="18"/>
          <w:szCs w:val="18"/>
          <w:color w:val="auto"/>
        </w:rPr>
        <w:t>. Notwithstanding any other provision of this Section 6.1, if there is a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 in Partnership Minimum Gain during any Partnership taxable period, each Partner shall be allocated items of Partnership income and gain for such period (and, if necessary, subsequent periods) in the manner and amounts provided in Treasury Regulation Sections 1.704-2(f)(6), 1.704-2(g)(2) and 1.704-2(j)(2)(i), or any successor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320" w:gutter="0" w:footer="0" w:header="0"/>
        </w:sectPr>
      </w:pPr>
    </w:p>
    <w:bookmarkStart w:id="40" w:name="page41"/>
    <w:bookmarkEnd w:id="40"/>
    <w:p>
      <w:pPr>
        <w:ind w:left="100" w:right="100"/>
        <w:spacing w:after="0" w:line="258" w:lineRule="auto"/>
        <w:rPr>
          <w:sz w:val="20"/>
          <w:szCs w:val="20"/>
          <w:color w:val="auto"/>
        </w:rPr>
      </w:pPr>
      <w:r>
        <w:rPr>
          <w:rFonts w:ascii="Times New Roman" w:cs="Times New Roman" w:eastAsia="Times New Roman" w:hAnsi="Times New Roman"/>
          <w:sz w:val="18"/>
          <w:szCs w:val="18"/>
          <w:color w:val="auto"/>
        </w:rPr>
        <w:t>provision. For purposes of this Section 6.1(d), each Partner’s Adjusted Capital Account balance shall be determined, and the allocation of income or gain required hereunder shall be effected, prior to the application of any other allocations pursuant to this Section 6.1(d) with respect to such taxable period (other than an allocation pursuant to Sections 6.1(d)(vi) and 6.1(d)(vii)). This Section 6.1(d)(i) is intended to comply with the Partnership Minimum Gain chargeback requirement in Treasury Regulation Section 1.704-2(f) and shall be interpreted consistently therewith.</w:t>
      </w:r>
    </w:p>
    <w:p>
      <w:pPr>
        <w:spacing w:after="0" w:line="182" w:lineRule="exact"/>
        <w:rPr>
          <w:sz w:val="20"/>
          <w:szCs w:val="20"/>
          <w:color w:val="auto"/>
        </w:rPr>
      </w:pPr>
    </w:p>
    <w:p>
      <w:pPr>
        <w:ind w:left="100" w:firstLine="653"/>
        <w:spacing w:after="0" w:line="254" w:lineRule="auto"/>
        <w:tabs>
          <w:tab w:leader="none" w:pos="142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Chargeback of Partner Nonrecourse Debt Minimum Gain</w:t>
      </w:r>
      <w:r>
        <w:rPr>
          <w:rFonts w:ascii="Times New Roman" w:cs="Times New Roman" w:eastAsia="Times New Roman" w:hAnsi="Times New Roman"/>
          <w:sz w:val="18"/>
          <w:szCs w:val="18"/>
          <w:color w:val="auto"/>
        </w:rPr>
        <w:t>. Notwithstanding the other provisions of this Section 6.1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Section 6.1(d)(i)), except as provided in Treasury Regulation Section 1.704-2(i)(4), if there is a net decrease in Partner Nonrecourse Debt Minimum Gain during any Partnership taxable period, any Partner with a share of Partner Nonrecourse Debt Minimum Gain at the beginning of such taxable period shall be allocated items of Partnership income and gain for such period (and, if necessary, subsequent periods) in the manner and amounts provided in Treasury Regulation Sections 1.704-2(i)(4) and 1.704-2(j)(2)(ii), or any successor provisions. For purposes of this Section 6.1(d), each Partner’s Adjusted Capital Account balance shall be determined, and the allocation of income or gain required hereunder shall be effected, prior to the application of any other allocations pursuant to this Section 6.1(d), other than Section 6.1(d)(i) and other than an allocation pursuant to Sections 6.1(d)(vi) and 6.1(d)(vii), with respect to such taxable period. This Section 6.1(d)(ii) is intended to comply with the chargeback of items of income and gain requirement in Treasury Regulation Section 1.704-2(i)(4) and shall be interpreted consistently therewith.</w:t>
      </w:r>
    </w:p>
    <w:p>
      <w:pPr>
        <w:spacing w:after="0" w:line="186" w:lineRule="exact"/>
        <w:rPr>
          <w:rFonts w:ascii="Times New Roman" w:cs="Times New Roman" w:eastAsia="Times New Roman" w:hAnsi="Times New Roman"/>
          <w:sz w:val="18"/>
          <w:szCs w:val="18"/>
          <w:color w:val="auto"/>
        </w:rPr>
      </w:pPr>
    </w:p>
    <w:p>
      <w:pPr>
        <w:ind w:left="1440" w:hanging="687"/>
        <w:spacing w:after="0"/>
        <w:tabs>
          <w:tab w:leader="none" w:pos="14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Priority Allocations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60" w:firstLine="641"/>
        <w:spacing w:after="0" w:line="255" w:lineRule="auto"/>
        <w:tabs>
          <w:tab w:leader="none" w:pos="207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cash or the Net Agreed Value of any property distributed (except cash or property distributed pursuant to Section 12.4 or with respect to Series A Preferred Units) to any Unitholder with respect to its Units for a taxable year is greater (on a per Unit basis) than the amount of cash or the Net Agreed Value of property distributed to the other Unitholders with respect to their Units (on a per Unit basis), then (1) each such Unitholder receiving such greater cash or property distribution shall be allocated gross income in an amount equal to the product of (aa) the amount by which the distribution (on a per Unit basis) to such Unitholder exceeds the distribution (on a per Unit basis) to the Unitholders receiving the smallest distribution and (bb) the number of Units owned by the Unitholder receiving the greater distribution; and (2) the General Partner shall be allocated gross income in an aggregate amount equal to 2/98 of the sum of the amounts allocated in clause (1) above.</w:t>
      </w:r>
    </w:p>
    <w:p>
      <w:pPr>
        <w:spacing w:after="0" w:line="185" w:lineRule="exact"/>
        <w:rPr>
          <w:rFonts w:ascii="Times New Roman" w:cs="Times New Roman" w:eastAsia="Times New Roman" w:hAnsi="Times New Roman"/>
          <w:sz w:val="18"/>
          <w:szCs w:val="18"/>
          <w:color w:val="auto"/>
        </w:rPr>
      </w:pPr>
    </w:p>
    <w:p>
      <w:pPr>
        <w:ind w:left="760" w:right="380" w:firstLine="641"/>
        <w:spacing w:after="0" w:line="282" w:lineRule="auto"/>
        <w:tabs>
          <w:tab w:leader="none" w:pos="2067"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application of Section 6.1(d)(iii)(A), all or any portion of the remaining items of Partnership gross income or gain for the</w:t>
      </w:r>
    </w:p>
    <w:p>
      <w:pPr>
        <w:spacing w:after="0" w:line="16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40"/>
        <w:spacing w:after="0" w:line="261" w:lineRule="auto"/>
        <w:rPr>
          <w:sz w:val="20"/>
          <w:szCs w:val="20"/>
          <w:color w:val="auto"/>
        </w:rPr>
      </w:pPr>
      <w:r>
        <w:rPr>
          <w:rFonts w:ascii="Times New Roman" w:cs="Times New Roman" w:eastAsia="Times New Roman" w:hAnsi="Times New Roman"/>
          <w:sz w:val="18"/>
          <w:szCs w:val="18"/>
          <w:color w:val="auto"/>
        </w:rPr>
        <w:t>taxable period, if any, shall be allocated 100% to the holders of Incentive Distribution Rights, Pro Rata, until the aggregate amount of such items allocated to the holders of Incentive Distribution Rights pursuant to this paragraph 6.1(d)(iii)(B) for the current taxable year and all previous taxable years is equal to the cumulative amount of all Incentive Distributions made to the holders of Incentive Distribution Rights from the Closing Date to a date 45 days after the end of the current taxable year.</w:t>
      </w:r>
    </w:p>
    <w:p>
      <w:pPr>
        <w:spacing w:after="0" w:line="178" w:lineRule="exact"/>
        <w:rPr>
          <w:sz w:val="20"/>
          <w:szCs w:val="20"/>
          <w:color w:val="auto"/>
        </w:rPr>
      </w:pPr>
    </w:p>
    <w:p>
      <w:pPr>
        <w:ind w:left="100" w:right="100" w:firstLine="653"/>
        <w:spacing w:after="0" w:line="257" w:lineRule="auto"/>
        <w:tabs>
          <w:tab w:leader="none" w:pos="141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Qualified Income Offset</w:t>
      </w:r>
      <w:r>
        <w:rPr>
          <w:rFonts w:ascii="Times New Roman" w:cs="Times New Roman" w:eastAsia="Times New Roman" w:hAnsi="Times New Roman"/>
          <w:sz w:val="18"/>
          <w:szCs w:val="18"/>
          <w:color w:val="auto"/>
        </w:rPr>
        <w:t>. In the event any Partner unexpectedly receives any adjustments, allocations or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Treasury Regulation Sections 1.704-1(b)(2)(ii)(d)(4), 1.704-1(b)(2)(ii)(d)(5), or 1.704-1(b)(2)(ii)(d)(6), items of Partnership income and gain shall be specially allocated to such Partner in an amount and manner sufficient to eliminate, to the extent required by the Treasury Regulations promulgated under Section 704(b) of the Code, the deficit balance, if any, in its Adjusted Capital Account created by such adjustments, allocations or distributions as quickly as possible unless such deficit balance is otherwise eliminated pursuant to Section 6.1(d)(i) or (ii).</w:t>
      </w:r>
    </w:p>
    <w:p>
      <w:pPr>
        <w:spacing w:after="0" w:line="182" w:lineRule="exact"/>
        <w:rPr>
          <w:rFonts w:ascii="Times New Roman" w:cs="Times New Roman" w:eastAsia="Times New Roman" w:hAnsi="Times New Roman"/>
          <w:sz w:val="18"/>
          <w:szCs w:val="18"/>
          <w:color w:val="auto"/>
        </w:rPr>
      </w:pPr>
    </w:p>
    <w:p>
      <w:pPr>
        <w:ind w:left="100" w:right="60" w:firstLine="653"/>
        <w:spacing w:after="0" w:line="256" w:lineRule="auto"/>
        <w:tabs>
          <w:tab w:leader="none" w:pos="140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Gross Income Allocations</w:t>
      </w:r>
      <w:r>
        <w:rPr>
          <w:rFonts w:ascii="Times New Roman" w:cs="Times New Roman" w:eastAsia="Times New Roman" w:hAnsi="Times New Roman"/>
          <w:sz w:val="18"/>
          <w:szCs w:val="18"/>
          <w:color w:val="auto"/>
        </w:rPr>
        <w:t>. In the event any Partner has a deficit balance in its Capital Account at the end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Partnership taxable period in excess of the sum of (A) the amount such Partner is required to restore pursuant to the provisions of this Agreement and (B) the amount such Partner is deemed obligated to restore pursuant to Treasury Regulation Sections 1.704-2(g) and 1.704-2(i)(5), such Partner shall be specially allocated items of Partnership gross income and gain in the amount of such excess as quickly as possible; provided, that an allocation pursuant to this Section 6.1(d)(v) shall be made only if and to the extent that such Partner would have a deficit balance in its Capital Account as adjusted after all other allocations provided for in this Section 6.1 have been tentatively made as if this Section 6.1(d)(v) were not in this Agreement.</w:t>
      </w:r>
    </w:p>
    <w:p>
      <w:pPr>
        <w:spacing w:after="0" w:line="183" w:lineRule="exact"/>
        <w:rPr>
          <w:rFonts w:ascii="Times New Roman" w:cs="Times New Roman" w:eastAsia="Times New Roman" w:hAnsi="Times New Roman"/>
          <w:sz w:val="18"/>
          <w:szCs w:val="18"/>
          <w:color w:val="auto"/>
        </w:rPr>
      </w:pPr>
    </w:p>
    <w:p>
      <w:pPr>
        <w:ind w:left="100" w:right="20" w:firstLine="653"/>
        <w:spacing w:after="0" w:line="259" w:lineRule="auto"/>
        <w:tabs>
          <w:tab w:leader="none" w:pos="141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Nonrecourse Deductions</w:t>
      </w:r>
      <w:r>
        <w:rPr>
          <w:rFonts w:ascii="Times New Roman" w:cs="Times New Roman" w:eastAsia="Times New Roman" w:hAnsi="Times New Roman"/>
          <w:sz w:val="18"/>
          <w:szCs w:val="18"/>
          <w:color w:val="auto"/>
        </w:rPr>
        <w:t>. Nonrecourse Deductions for any taxable period shall be allocated to the Partners in accordance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their respective Percentage Interests. If the General Partner determines in its good faith discretion that the Partnership’s Nonrecourse Deductions must be allocated in a different ratio to satisfy the safe harbor requirements of the Treasury Regulations promulgated under Section 704(b) of the Code, the General Partner is authorized, upon notice to the other Partners, to revise the prescribed ratio to the numerically closest ratio that does satisfy such requirements.</w:t>
      </w:r>
    </w:p>
    <w:p>
      <w:pPr>
        <w:spacing w:after="0" w:line="179" w:lineRule="exact"/>
        <w:rPr>
          <w:rFonts w:ascii="Times New Roman" w:cs="Times New Roman" w:eastAsia="Times New Roman" w:hAnsi="Times New Roman"/>
          <w:sz w:val="18"/>
          <w:szCs w:val="18"/>
          <w:color w:val="auto"/>
        </w:rPr>
      </w:pPr>
    </w:p>
    <w:p>
      <w:pPr>
        <w:jc w:val="both"/>
        <w:ind w:left="100" w:right="60" w:firstLine="653"/>
        <w:spacing w:after="0" w:line="261" w:lineRule="auto"/>
        <w:tabs>
          <w:tab w:leader="none" w:pos="142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Partner Nonrecourse Deductions</w:t>
      </w:r>
      <w:r>
        <w:rPr>
          <w:rFonts w:ascii="Times New Roman" w:cs="Times New Roman" w:eastAsia="Times New Roman" w:hAnsi="Times New Roman"/>
          <w:sz w:val="18"/>
          <w:szCs w:val="18"/>
          <w:color w:val="auto"/>
        </w:rPr>
        <w:t>. Partner Nonrecourse Deductions for any taxable period shall be allocated 100%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Partner that bears the Economic Risk of Loss with respect to the Partner Nonrecourse Debt to which such Partner Nonrecourse Deductions are attributable in accordance with Treasury Regulation Section 1.704-2(i). If more than one Partner bears the Economic Risk of Loss with respect to a Partner Nonrecourse Debt, such Partner Nonrecourse Deductions attributable thereto shall be allocated between or among</w:t>
      </w:r>
    </w:p>
    <w:p>
      <w:pPr>
        <w:spacing w:after="0" w:line="18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such Partners in accordance with the ratios in which they share such Economic Risk of Loss.</w:t>
      </w:r>
    </w:p>
    <w:p>
      <w:pPr>
        <w:spacing w:after="0" w:line="223" w:lineRule="exact"/>
        <w:rPr>
          <w:sz w:val="20"/>
          <w:szCs w:val="20"/>
          <w:color w:val="auto"/>
        </w:rPr>
      </w:pPr>
    </w:p>
    <w:p>
      <w:pPr>
        <w:ind w:left="100" w:right="20" w:firstLine="653"/>
        <w:spacing w:after="0" w:line="267" w:lineRule="auto"/>
        <w:tabs>
          <w:tab w:leader="none" w:pos="1432"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Nonrecourse Liabilities</w:t>
      </w:r>
      <w:r>
        <w:rPr>
          <w:rFonts w:ascii="Times New Roman" w:cs="Times New Roman" w:eastAsia="Times New Roman" w:hAnsi="Times New Roman"/>
          <w:sz w:val="18"/>
          <w:szCs w:val="18"/>
          <w:color w:val="auto"/>
        </w:rPr>
        <w:t>. For purposes of Treasury Regulation Section 1.752-3(a)(3), the Partners agree that Nonrecourse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of the Partnership in excess of the sum of (A) the amount of Partnership Minimum Gain and (B) the total amount of Nonrecourse Built-in Gain shall be allocated among the Partners in accordance with their respective Percentage Interests.</w:t>
      </w:r>
    </w:p>
    <w:p>
      <w:pPr>
        <w:sectPr>
          <w:pgSz w:w="11900" w:h="16838" w:orient="portrait"/>
          <w:cols w:equalWidth="0" w:num="1">
            <w:col w:w="10200"/>
          </w:cols>
          <w:pgMar w:left="1440" w:top="121" w:right="259" w:bottom="0" w:gutter="0" w:footer="0" w:header="0"/>
        </w:sectPr>
      </w:pPr>
    </w:p>
    <w:bookmarkStart w:id="41" w:name="page42"/>
    <w:bookmarkEnd w:id="41"/>
    <w:p>
      <w:pPr>
        <w:jc w:val="both"/>
        <w:ind w:left="100" w:right="100" w:firstLine="653"/>
        <w:spacing w:after="0" w:line="257" w:lineRule="auto"/>
        <w:tabs>
          <w:tab w:leader="none" w:pos="1413"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Code Section 754 Adjustments</w:t>
      </w:r>
      <w:r>
        <w:rPr>
          <w:rFonts w:ascii="Times New Roman" w:cs="Times New Roman" w:eastAsia="Times New Roman" w:hAnsi="Times New Roman"/>
          <w:sz w:val="18"/>
          <w:szCs w:val="18"/>
          <w:color w:val="auto"/>
        </w:rPr>
        <w:t>. To the extent an adjustment to the adjusted tax basis of any Partnership asset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734(b) or 743(b) of the Code is required, pursuant to Treasury Regulation Section 1.704-1(b)(2)(iv)(m), to be taken into account in determining Capital Accounts, the amount of such adjustment to the Capital Accounts shall be treated as an item of gain (if the adjustment increases the basis of the asset) or loss (if the adjustment decreases such basis), and such item of gain or loss shall be specially allocated to the Partners in a manner consistent with the manner in which their Capital Accounts are required to be adjusted pursuant to such Section of the Treasury Regulations.</w:t>
      </w:r>
    </w:p>
    <w:p>
      <w:pPr>
        <w:spacing w:after="0" w:line="182" w:lineRule="exact"/>
        <w:rPr>
          <w:rFonts w:ascii="Times New Roman" w:cs="Times New Roman" w:eastAsia="Times New Roman" w:hAnsi="Times New Roman"/>
          <w:sz w:val="18"/>
          <w:szCs w:val="18"/>
          <w:color w:val="auto"/>
        </w:rPr>
      </w:pPr>
    </w:p>
    <w:p>
      <w:pPr>
        <w:ind w:left="1400" w:hanging="647"/>
        <w:spacing w:after="0"/>
        <w:tabs>
          <w:tab w:leader="none" w:pos="14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Allocations with respect to Series A Preferred Units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60" w:right="20" w:firstLine="641"/>
        <w:spacing w:after="0" w:line="256" w:lineRule="auto"/>
        <w:tabs>
          <w:tab w:leader="none" w:pos="207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of Partnership gross income shall be allocated 2% to the General Partner and 98% to each Series A Preferred Unitholder until the aggregate amount of gross income allocated to each Series A Preferred Unitholder pursuant hereto for the current taxable period and all previous taxable periods is equal to the cumulative amount of all cash distributions made with respect to such Series A Preferred Unit pursuant to Section 5.14(b)(i) from the date such Series A Preferred Unit was issued to a date 45 days after the end of the current taxable year (and for the avoidance of doubt, without taking into account the cash distributions treated as made to Series A Preferred Unitholders pursuant to Section 5.14(b)(i)(F)).</w:t>
      </w:r>
    </w:p>
    <w:p>
      <w:pPr>
        <w:spacing w:after="0" w:line="187" w:lineRule="exact"/>
        <w:rPr>
          <w:rFonts w:ascii="Times New Roman" w:cs="Times New Roman" w:eastAsia="Times New Roman" w:hAnsi="Times New Roman"/>
          <w:sz w:val="18"/>
          <w:szCs w:val="18"/>
          <w:color w:val="auto"/>
        </w:rPr>
      </w:pPr>
    </w:p>
    <w:p>
      <w:pPr>
        <w:ind w:left="760" w:right="40" w:firstLine="641"/>
        <w:spacing w:after="0" w:line="261" w:lineRule="auto"/>
        <w:tabs>
          <w:tab w:leader="none" w:pos="206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of Partnership gross income shall be allocated 2% to the General Partner and 98% to each Series A Preferred Unitholder until the aggregate amount of gross income allocated to each Series A Preferred Unitholder pursuant hereto for the current taxable period and all previous taxable periods is equal to the cumulative amount of all Net Losses allocated to such Series A Preferred Unitholder pursuant to Section 6.1(b)(iv) for all previous taxable years.</w:t>
      </w:r>
    </w:p>
    <w:p>
      <w:pPr>
        <w:spacing w:after="0" w:line="180" w:lineRule="exact"/>
        <w:rPr>
          <w:rFonts w:ascii="Times New Roman" w:cs="Times New Roman" w:eastAsia="Times New Roman" w:hAnsi="Times New Roman"/>
          <w:sz w:val="18"/>
          <w:szCs w:val="18"/>
          <w:color w:val="auto"/>
        </w:rPr>
      </w:pPr>
    </w:p>
    <w:p>
      <w:pPr>
        <w:ind w:left="760" w:right="60" w:firstLine="641"/>
        <w:spacing w:after="0" w:line="261" w:lineRule="auto"/>
        <w:tabs>
          <w:tab w:leader="none" w:pos="2067"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6.1 (other than the Required Allocations), if (A) the Liquidation Date occurs prior to the conversion of the last Outstanding Series A Preferred Unit and (B) after having made all other allocations provided for in this Section 6.1 for the taxable period in which the Liquidation Date occurs, the Per Unit Capital Amount of each Series A Preferred Unit does not equal or exceed</w:t>
      </w:r>
    </w:p>
    <w:p>
      <w:pPr>
        <w:spacing w:after="0" w:line="18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spacing w:after="0" w:line="252" w:lineRule="auto"/>
        <w:rPr>
          <w:sz w:val="20"/>
          <w:szCs w:val="20"/>
          <w:color w:val="auto"/>
        </w:rPr>
      </w:pPr>
      <w:r>
        <w:rPr>
          <w:rFonts w:ascii="Times New Roman" w:cs="Times New Roman" w:eastAsia="Times New Roman" w:hAnsi="Times New Roman"/>
          <w:sz w:val="18"/>
          <w:szCs w:val="18"/>
          <w:color w:val="auto"/>
        </w:rPr>
        <w:t>the Series A Liquidation Value, then items of income, gain, loss and deduction for such taxable period shall be allocated among the Partners in a manner determined appropriate by the General Partner so as to cause, to the maximum extent possible, the Per Unit Capital Amount in respect of each Series A Preferred Unit to equal the Series A Liquidation Value (and no other allocation pursuant to this Agreement shall reverse the effect of such allocation). For the avoidance of doubt, the reallocation of items set forth in the immediately preceding sentence provides that, to the extent necessary to achieve the Per Unit Capital Amount balances described above, items of income and gain that would otherwise be included in Net Income or Net Loss, as the case may be, for the taxable period in which the Liquidation Date occurs, shall be reallocated from the Unitholders holding Units other than Series A Preferred Units to Unitholders holding Series A Preferred Units. In the event that (i) the Liquidation Date occurs on or before the date (not including any extension of time) prescribed by law for the filing of the Partnership’s federal income tax return for the taxable period immediately prior to the taxable period in which the Liquidation Date occurs and (ii) the reallocation of items for the taxable period in which the Liquidation Date occurs as set forth above in this Section 6.1(d)(x)(C) fails to achieve the Per Unit Capital Amounts described above, items of income, gain, loss and deduction that would otherwise be included in the Net Income or Net Loss, as the case may be, for such prior taxable period shall be reallocated among all Partners in a manner that will, to the maximum extent possible and after taking into account all other allocations made pursuant to this Section 6.1(d)(x)(C), cause the Per Unit Capital Amount in respect of each Series A Preferred Unit to equal the Series A Liquidation Value.</w:t>
      </w:r>
    </w:p>
    <w:p>
      <w:pPr>
        <w:spacing w:after="0" w:line="195" w:lineRule="exact"/>
        <w:rPr>
          <w:sz w:val="20"/>
          <w:szCs w:val="20"/>
          <w:color w:val="auto"/>
        </w:rPr>
      </w:pPr>
    </w:p>
    <w:p>
      <w:pPr>
        <w:ind w:left="1420" w:hanging="667"/>
        <w:spacing w:after="0"/>
        <w:tabs>
          <w:tab w:leader="none" w:pos="14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Curative Allocation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left="760" w:firstLine="641"/>
        <w:spacing w:after="0" w:line="254" w:lineRule="auto"/>
        <w:tabs>
          <w:tab w:leader="none" w:pos="207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Section 6.1, other than the Required Allocations, the Required Allocations shall be taken into account in making the Agreed Allocations so that, to the extent possible, the net amount of items of income, gain, loss and deduction allocated to each Partner pursuant to the Required Allocations and the Agreed Allocations, together, shall be equal to the net amount of such items that would have been allocated to each such Partner under the Agreed Allocations had the Required Allocations and the related Curative Allocation not otherwise been provided in this Section 6.1. Notwithstanding the preceding sentence, Required Allocations relating to (1) Nonrecourse Deductions shall not be taken into account except to the extent that there has been a decrease in Partnership Minimum Gain and (2) Partner Nonrecourse Deductions shall not be taken into account except to the extent that there has been a decrease in Partner Nonrecourse Debt Minimum Gain. Allocations pursuant to this Section 6.1(d)(xi)(A) shall only be made with respect to Required Allocations to the extent the General Partner reasonably determines that such allocations will otherwise</w:t>
      </w:r>
    </w:p>
    <w:p>
      <w:pPr>
        <w:spacing w:after="0" w:line="18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83820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40"/>
        <w:spacing w:after="0" w:line="266" w:lineRule="auto"/>
        <w:rPr>
          <w:sz w:val="20"/>
          <w:szCs w:val="20"/>
          <w:color w:val="auto"/>
        </w:rPr>
      </w:pPr>
      <w:r>
        <w:rPr>
          <w:rFonts w:ascii="Times New Roman" w:cs="Times New Roman" w:eastAsia="Times New Roman" w:hAnsi="Times New Roman"/>
          <w:sz w:val="18"/>
          <w:szCs w:val="18"/>
          <w:color w:val="auto"/>
        </w:rPr>
        <w:t>be inconsistent with the economic agreement among the Partners. Further, allocations pursuant to this Section 6.1(d)(xi)(A) shall be deferred with respect to allocations pursuant to clauses (1) and (2) hereof to the extent the General Partner reasonably determines that such allocations are likely to be offset by subsequent Required Allocations.</w:t>
      </w:r>
    </w:p>
    <w:p>
      <w:pPr>
        <w:spacing w:after="0" w:line="176" w:lineRule="exact"/>
        <w:rPr>
          <w:sz w:val="20"/>
          <w:szCs w:val="20"/>
          <w:color w:val="auto"/>
        </w:rPr>
      </w:pPr>
    </w:p>
    <w:p>
      <w:pPr>
        <w:ind w:left="760" w:right="360" w:firstLine="641"/>
        <w:spacing w:after="0" w:line="261" w:lineRule="auto"/>
        <w:tabs>
          <w:tab w:leader="none" w:pos="2067"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reasonable discretion, with respect to each taxable period, to (1) apply the provisions of Section 6.1(d)(xi)(A) in whatever order is most likely to minimize the economic distortions that might otherwise result from the Required Allocations, and (2) divide all allocations pursuant to Section 6.1(d)(xi)(A) among the Partners in a manner that is likely to minimize such economic distortions.</w:t>
      </w:r>
    </w:p>
    <w:p>
      <w:pPr>
        <w:spacing w:after="0" w:line="178" w:lineRule="exact"/>
        <w:rPr>
          <w:rFonts w:ascii="Times New Roman" w:cs="Times New Roman" w:eastAsia="Times New Roman" w:hAnsi="Times New Roman"/>
          <w:sz w:val="18"/>
          <w:szCs w:val="18"/>
          <w:color w:val="auto"/>
        </w:rPr>
      </w:pPr>
    </w:p>
    <w:p>
      <w:pPr>
        <w:ind w:left="100" w:right="20" w:firstLine="653"/>
        <w:spacing w:after="0" w:line="284" w:lineRule="auto"/>
        <w:tabs>
          <w:tab w:leader="none" w:pos="1423"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Corrective and Other Allocations</w:t>
      </w:r>
      <w:r>
        <w:rPr>
          <w:rFonts w:ascii="Times New Roman" w:cs="Times New Roman" w:eastAsia="Times New Roman" w:hAnsi="Times New Roman"/>
          <w:sz w:val="18"/>
          <w:szCs w:val="18"/>
          <w:color w:val="auto"/>
        </w:rPr>
        <w:t>. In the event of any allocation of Additional Book Basis Derivative Items or any Book-Down Event or any recognition of a Net Termination Loss, the following rules shall apply:</w:t>
      </w:r>
    </w:p>
    <w:p>
      <w:pPr>
        <w:sectPr>
          <w:pgSz w:w="11900" w:h="16838" w:orient="portrait"/>
          <w:cols w:equalWidth="0" w:num="1">
            <w:col w:w="10220"/>
          </w:cols>
          <w:pgMar w:left="1440" w:top="119" w:right="239" w:bottom="0" w:gutter="0" w:footer="0" w:header="0"/>
        </w:sectPr>
      </w:pPr>
    </w:p>
    <w:bookmarkStart w:id="42" w:name="page43"/>
    <w:bookmarkEnd w:id="42"/>
    <w:p>
      <w:pPr>
        <w:spacing w:after="0" w:line="88" w:lineRule="exact"/>
        <w:rPr>
          <w:sz w:val="20"/>
          <w:szCs w:val="20"/>
          <w:color w:val="auto"/>
        </w:rPr>
      </w:pPr>
    </w:p>
    <w:p>
      <w:pPr>
        <w:ind w:left="1960" w:right="80" w:firstLine="641"/>
        <w:spacing w:after="0" w:line="256" w:lineRule="auto"/>
        <w:tabs>
          <w:tab w:leader="none" w:pos="327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6.1(d)(xii)(B), in the case of any allocation of Additional Book Basis Derivative Items (other than an allocation of Unrealized Gain or Unrealized Loss under Section 5.5(d) hereof) with respect to any Partnership property, the General Partner shall allocate such Additional Book Basis Derivative Items (1) to (aa) the holders of Incentive Distribution Rights and (bb) the General Partner in the same manner that the Unrealized Gain or Unrealized Loss attributable to such property is allocated pursuant to Section 5.5(d) and (2) to all Unitholders, Pro Rata, to the extent that the Unrealized Gain or Unrealized Loss attributable to such property is allocated to any Unitholders pursuant to Section 5.5(d).</w:t>
      </w:r>
    </w:p>
    <w:p>
      <w:pPr>
        <w:spacing w:after="0" w:line="187" w:lineRule="exact"/>
        <w:rPr>
          <w:rFonts w:ascii="Times New Roman" w:cs="Times New Roman" w:eastAsia="Times New Roman" w:hAnsi="Times New Roman"/>
          <w:sz w:val="18"/>
          <w:szCs w:val="18"/>
          <w:color w:val="auto"/>
        </w:rPr>
      </w:pPr>
    </w:p>
    <w:p>
      <w:pPr>
        <w:ind w:left="1960" w:right="40" w:firstLine="641"/>
        <w:spacing w:after="0" w:line="253" w:lineRule="auto"/>
        <w:tabs>
          <w:tab w:leader="none" w:pos="326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allocation of Additional Book Basis Derivative Items (other than an allocation of Unrealized Gain or Unrealized Loss under Section 5.5(d) hereof or an allocation of Net Termination Gain or Net Termination Loss pursuant to Section 6.1(c) hereof) as a result of a sale or other taxable disposition of any Partnership asset that is an Adjusted Property (“</w:t>
      </w:r>
      <w:r>
        <w:rPr>
          <w:rFonts w:ascii="Times New Roman" w:cs="Times New Roman" w:eastAsia="Times New Roman" w:hAnsi="Times New Roman"/>
          <w:sz w:val="18"/>
          <w:szCs w:val="18"/>
          <w:i w:val="1"/>
          <w:iCs w:val="1"/>
          <w:color w:val="auto"/>
        </w:rPr>
        <w:t>Disposed of Adjusted Property</w:t>
      </w:r>
      <w:r>
        <w:rPr>
          <w:rFonts w:ascii="Times New Roman" w:cs="Times New Roman" w:eastAsia="Times New Roman" w:hAnsi="Times New Roman"/>
          <w:sz w:val="18"/>
          <w:szCs w:val="18"/>
          <w:color w:val="auto"/>
        </w:rPr>
        <w:t>”), the General Partner shall allocate (1) additional items of gross income and gain away from the holders of Incentive Distribution Rights to the Unitholders and the General Partner, or (2) additional items of deduction and loss away from the Unitholders and the General Partner to the holders of Incentive Distribution Rights, to the extent that the Additional Book Basis Derivative Items allocated to the Unitholders or the General Partner exceed their Share of Additional Book Basis Derivative Items with respect to such Disposed of Adjusted Property. For this purpose, the Unitholders and the General Partner shall be treated as being allocated Additional Book Basis Derivative Items to the extent that such Additional Book Basis Derivative Items have reduced the amount of income that would otherwise have been allocated to the Unitholders or the General Partner under this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line="258" w:lineRule="auto"/>
        <w:rPr>
          <w:sz w:val="20"/>
          <w:szCs w:val="20"/>
          <w:color w:val="auto"/>
        </w:rPr>
      </w:pPr>
      <w:r>
        <w:rPr>
          <w:rFonts w:ascii="Times New Roman" w:cs="Times New Roman" w:eastAsia="Times New Roman" w:hAnsi="Times New Roman"/>
          <w:sz w:val="18"/>
          <w:szCs w:val="18"/>
          <w:color w:val="auto"/>
        </w:rPr>
        <w:t>Agreement (e.g., Additional Book Basis Derivative Items taken into account in computing cost of goods sold would reduce the amount of book income otherwise available for allocation among the Partners). Any allocation made pursuant to this Section 6.1(d) (xii)(B) shall be made after all of the other Agreed Allocations have been made as if this Section 6.1(d)(xii) were not in this Agreement and, to the extent necessary, shall require the reallocation of items that have been allocated pursuant to such other Agreed Allocations.</w:t>
      </w:r>
    </w:p>
    <w:p>
      <w:pPr>
        <w:spacing w:after="0" w:line="184" w:lineRule="exact"/>
        <w:rPr>
          <w:sz w:val="20"/>
          <w:szCs w:val="20"/>
          <w:color w:val="auto"/>
        </w:rPr>
      </w:pPr>
    </w:p>
    <w:p>
      <w:pPr>
        <w:ind w:left="1960" w:right="160" w:firstLine="641"/>
        <w:spacing w:after="0" w:line="256" w:lineRule="auto"/>
        <w:tabs>
          <w:tab w:leader="none" w:pos="326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negative adjustments to the Capital Accounts of the Partners resulting from a Book-Down Event or from the recognition of a Net Termination Loss, such negative adjustment (1) shall first be allocated, to the extent of the Aggregate Remaining Net Positive Adjustments, in such a manner, as reasonably determined by the General Partner, that to the extent possible the aggregate Capital Accounts of the Partners will equal the amount which would have been the Capital Account balance of the Partners if no prior Book-Up Events had occurred, and (2) any negative adjustment in excess of the Aggregate Remaining Net Positive Adjustments shall be allocated pursuant to Section 6.1(c) hereof.</w:t>
      </w:r>
    </w:p>
    <w:p>
      <w:pPr>
        <w:spacing w:after="0" w:line="187" w:lineRule="exact"/>
        <w:rPr>
          <w:rFonts w:ascii="Times New Roman" w:cs="Times New Roman" w:eastAsia="Times New Roman" w:hAnsi="Times New Roman"/>
          <w:sz w:val="18"/>
          <w:szCs w:val="18"/>
          <w:color w:val="auto"/>
        </w:rPr>
      </w:pPr>
    </w:p>
    <w:p>
      <w:pPr>
        <w:ind w:left="1960" w:right="120" w:firstLine="641"/>
        <w:spacing w:after="0" w:line="255" w:lineRule="auto"/>
        <w:tabs>
          <w:tab w:leader="none" w:pos="327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the allocations required under this Section 6.1(d)(xii), the General Partner, in its sole discretion, may apply whatever conventions or other methodology it deems reasonable to satisfy the purpose of this Section 6.1(d)(xii). Without limiting the foregoing, if an Adjusted Property is contributed by the Partnership to another entity classified as a partnership for federal income tax purposes (the “</w:t>
      </w:r>
      <w:r>
        <w:rPr>
          <w:rFonts w:ascii="Times New Roman" w:cs="Times New Roman" w:eastAsia="Times New Roman" w:hAnsi="Times New Roman"/>
          <w:sz w:val="18"/>
          <w:szCs w:val="18"/>
          <w:i w:val="1"/>
          <w:iCs w:val="1"/>
          <w:color w:val="auto"/>
        </w:rPr>
        <w:t>Lower Tier Partnership</w:t>
      </w:r>
      <w:r>
        <w:rPr>
          <w:rFonts w:ascii="Times New Roman" w:cs="Times New Roman" w:eastAsia="Times New Roman" w:hAnsi="Times New Roman"/>
          <w:sz w:val="18"/>
          <w:szCs w:val="18"/>
          <w:color w:val="auto"/>
        </w:rPr>
        <w:t>”), the General Partner may make allocations similar to those described in Sections 6.1(d)(xii)(A)—(C) to the extent the General Partner determines such allocations are necessary to account for the Partnership’s allocable share of income, gain, loss and deduction of the Lower Tier Partnership that relate to the contributed Adjusted Property in a manner that is consistent with the purpose of this Section 6.1(d)(xii).</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6.2</w:t>
      </w:r>
      <w:r>
        <w:rPr>
          <w:sz w:val="20"/>
          <w:szCs w:val="20"/>
          <w:color w:val="auto"/>
        </w:rPr>
        <w:tab/>
      </w:r>
      <w:r>
        <w:rPr>
          <w:rFonts w:ascii="Times New Roman" w:cs="Times New Roman" w:eastAsia="Times New Roman" w:hAnsi="Times New Roman"/>
          <w:sz w:val="17"/>
          <w:szCs w:val="17"/>
          <w:i w:val="1"/>
          <w:iCs w:val="1"/>
          <w:color w:val="auto"/>
        </w:rPr>
        <w:t>Allocations for Tax Purposes.</w:t>
      </w:r>
    </w:p>
    <w:p>
      <w:pPr>
        <w:spacing w:after="0" w:line="227" w:lineRule="exact"/>
        <w:rPr>
          <w:sz w:val="20"/>
          <w:szCs w:val="20"/>
          <w:color w:val="auto"/>
        </w:rPr>
      </w:pPr>
    </w:p>
    <w:p>
      <w:pPr>
        <w:ind w:right="500" w:firstLine="1305"/>
        <w:spacing w:after="0" w:line="282" w:lineRule="auto"/>
        <w:tabs>
          <w:tab w:leader="none" w:pos="194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for federal income tax purposes, each item of income, gain, loss and deduction shall be allocated among the Partners in the same manner as its correlative item of “book” income, gain, loss or deduction is allocated pursuant to Section 6. 1.</w:t>
      </w:r>
    </w:p>
    <w:p>
      <w:pPr>
        <w:spacing w:after="0" w:line="161" w:lineRule="exact"/>
        <w:rPr>
          <w:rFonts w:ascii="Times New Roman" w:cs="Times New Roman" w:eastAsia="Times New Roman" w:hAnsi="Times New Roman"/>
          <w:sz w:val="18"/>
          <w:szCs w:val="18"/>
          <w:color w:val="auto"/>
        </w:rPr>
      </w:pPr>
    </w:p>
    <w:p>
      <w:pPr>
        <w:ind w:right="40" w:firstLine="1305"/>
        <w:spacing w:after="0" w:line="282" w:lineRule="auto"/>
        <w:tabs>
          <w:tab w:leader="none" w:pos="195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attempt to eliminate Book-Tax Disparities attributable to a Contributed Property or Adjusted Property, items of income, gain, loss, depreciation, amortization and cost recovery deductions shall be allocated for federal income tax purposes among the Partners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0" w:firstLine="653"/>
        <w:spacing w:after="0" w:line="261" w:lineRule="auto"/>
        <w:tabs>
          <w:tab w:leader="none" w:pos="261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Contributed Property, such items attributable thereto shall be allocated among the Partners in the manner provided under Section 704(c) of the Code that takes into account the variation between the Agreed Value of such property and its adjusted basis at the time of contribution; and (B) any item of Residual Gain or Residual Loss attributable to a Contributed Property shall be allocated among the Partners in the same manner as its correlative item of “book” gain or loss is allocated pursuant to Section 6.1.</w:t>
      </w:r>
    </w:p>
    <w:p>
      <w:pPr>
        <w:spacing w:after="0" w:line="180" w:lineRule="exact"/>
        <w:rPr>
          <w:rFonts w:ascii="Times New Roman" w:cs="Times New Roman" w:eastAsia="Times New Roman" w:hAnsi="Times New Roman"/>
          <w:sz w:val="18"/>
          <w:szCs w:val="18"/>
          <w:color w:val="auto"/>
        </w:rPr>
      </w:pPr>
    </w:p>
    <w:p>
      <w:pPr>
        <w:ind w:left="1300" w:right="40" w:firstLine="653"/>
        <w:spacing w:after="0" w:line="256" w:lineRule="auto"/>
        <w:tabs>
          <w:tab w:leader="none" w:pos="2627"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an Adjusted Property, such items shall (1) first, be allocated among the Partners in a manner consistent with the principles of Section 704(c) of the Code to take into account the Unrealized Gain or Unrealized Loss attributable to such property and the allocations thereof pursuant to Section 5.5(d)(i) or 5-5(d)(ii), and (2) second, in the event such property was originally a Contributed Property, be allocated among the Partners in a manner consistent with Section 6.2(b)(i)(A); and (B) any item of Residual Gain or Residual Loss attributable to an Adjusted Property shall be allocated among the Partners in the same manner as its correlative item of “book” gain or loss is allocated pursuant to Section 6.1.</w:t>
      </w:r>
    </w:p>
    <w:p>
      <w:pPr>
        <w:spacing w:after="0" w:line="187"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apply the principles of Treasury Regulation Section 1.704-3(d) to eliminate Book-Tax</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Disparities.</w:t>
      </w:r>
    </w:p>
    <w:p>
      <w:pPr>
        <w:spacing w:after="0" w:line="206" w:lineRule="exact"/>
        <w:rPr>
          <w:rFonts w:ascii="Times New Roman" w:cs="Times New Roman" w:eastAsia="Times New Roman" w:hAnsi="Times New Roman"/>
          <w:sz w:val="18"/>
          <w:szCs w:val="18"/>
          <w:color w:val="auto"/>
        </w:rPr>
      </w:pPr>
    </w:p>
    <w:p>
      <w:pPr>
        <w:ind w:right="200" w:firstLine="1305"/>
        <w:spacing w:after="0" w:line="277" w:lineRule="auto"/>
        <w:tabs>
          <w:tab w:leader="none" w:pos="1955"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proper administration of the Partnership and for the preservation of uniformity of the Limited Partner Interests (or any class or classes thereof), the General Partner shall have sole discretion to (i) adopt such conventions as it deems appropriate in determining the amount of depreciation, amortization and cost recovery deductions; (ii) make special allocations for federal income tax purposes of income (including, without limitation, gross income) or deductions; and (iii) amend the provisions of this Agreement as appropriate (x) to reflect the proposal or promulgation of Treasury Regulations under Section 704(b) or Section 704(c) of the Code or (y) otherwise to preserve or achieve uniformity of the Limited Partner Interests</w:t>
      </w:r>
    </w:p>
    <w:p>
      <w:pPr>
        <w:sectPr>
          <w:pgSz w:w="11900" w:h="16927" w:orient="portrait"/>
          <w:cols w:equalWidth="0" w:num="1">
            <w:col w:w="11420"/>
          </w:cols>
          <w:pgMar w:left="240" w:top="121" w:right="239" w:bottom="0" w:gutter="0" w:footer="0" w:header="0"/>
        </w:sectPr>
      </w:pPr>
    </w:p>
    <w:bookmarkStart w:id="43" w:name="page44"/>
    <w:bookmarkEnd w:id="43"/>
    <w:p>
      <w:pPr>
        <w:spacing w:after="0" w:line="7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(or any class or classes thereof). The General Partner may adopt such conventions, make such allocations and make such amendments to this Agreement as provided in this Section 6.2(c) only if such conventions, allocations or amendments would not have a material adverse effect on the Partners, the holders of any class or classes of Limited Partner Interests issued and Outstanding or the Partnership, and if such allocations are consistent with the principles of Section 704 of the Code.</w:t>
      </w:r>
    </w:p>
    <w:p>
      <w:pPr>
        <w:spacing w:after="0" w:line="180" w:lineRule="exact"/>
        <w:rPr>
          <w:sz w:val="20"/>
          <w:szCs w:val="20"/>
          <w:color w:val="auto"/>
        </w:rPr>
      </w:pPr>
    </w:p>
    <w:p>
      <w:pPr>
        <w:ind w:firstLine="1305"/>
        <w:spacing w:after="0" w:line="255" w:lineRule="auto"/>
        <w:tabs>
          <w:tab w:leader="none" w:pos="195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in its discretion may determine to depreciate or amortize the portion of an adjustment under Section 743(b) of the Code attributable to unrealized appreciation in any Adjusted Property (to the extent of the unamortized Book-Tax Disparity) using a predetermined rate derived from the depreciation or amortization method and useful life applied to the Partnership’s common basis of such property, despite any inconsistency of such approach with Proposed Treasury Regulation Section 1.167(c)-1(a)(6). If the General Partner determines that such reporting position cannot reasonably be taken, the General Partner may adopt depreciation and amortization conventions under which all purchasers acquiring Limited Partner Interests in the same month would receive depreciation and amortization deductions, based upon the same applicable rate as if they had purchased a direct interest in the Partnership’s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property. If the General Partner chooses not to utilize such aggregate method, the General Partner may use any other reasonable depreciation and amortization conventions to preserve the uniformity of the intrinsic tax characteristics of any Limited Partner Interests that would not have a material adverse effect on the Limited Partners or the Record Holders of any class or classes of Limited Partner Interests.</w:t>
      </w:r>
    </w:p>
    <w:p>
      <w:pPr>
        <w:spacing w:after="0" w:line="176" w:lineRule="exact"/>
        <w:rPr>
          <w:sz w:val="20"/>
          <w:szCs w:val="20"/>
          <w:color w:val="auto"/>
        </w:rPr>
      </w:pPr>
    </w:p>
    <w:p>
      <w:pPr>
        <w:jc w:val="both"/>
        <w:ind w:firstLine="1305"/>
        <w:spacing w:after="0" w:line="261" w:lineRule="auto"/>
        <w:tabs>
          <w:tab w:leader="none" w:pos="19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allocated to the Partners upon the sale or other taxable disposition of any Partnership asset shall, to the extent possible, after taking into account other required allocations of gain pursuant to this Section 6.2, be characterized as Recapture Income in the same proportions and to the same extent as such Partners (or their predecessors in interest) have been allocated any deductions directly or indirectly giving rise to the treatment of such gains as Recapture Income.</w:t>
      </w:r>
    </w:p>
    <w:p>
      <w:pPr>
        <w:spacing w:after="0" w:line="180" w:lineRule="exact"/>
        <w:rPr>
          <w:rFonts w:ascii="Times New Roman" w:cs="Times New Roman" w:eastAsia="Times New Roman" w:hAnsi="Times New Roman"/>
          <w:sz w:val="18"/>
          <w:szCs w:val="18"/>
          <w:color w:val="auto"/>
        </w:rPr>
      </w:pPr>
    </w:p>
    <w:p>
      <w:pPr>
        <w:ind w:firstLine="1305"/>
        <w:spacing w:after="0" w:line="261" w:lineRule="auto"/>
        <w:tabs>
          <w:tab w:leader="none" w:pos="1949"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items of income, gain, loss, deduction and credit recognized by the Partnership for federal income tax purposes and allocated to the Partners in accordance with the provisions hereof shall be determined without regard to any election under Section 754 of the Code which may be made by the Partnership; provided, however, that such allocations, once made, shall be adjusted as necessary or appropriate to take into account those adjustments permitted or required by Sections 734 and 743 of the Code.</w:t>
      </w:r>
    </w:p>
    <w:p>
      <w:pPr>
        <w:spacing w:after="0" w:line="180" w:lineRule="exact"/>
        <w:rPr>
          <w:rFonts w:ascii="Times New Roman" w:cs="Times New Roman" w:eastAsia="Times New Roman" w:hAnsi="Times New Roman"/>
          <w:sz w:val="18"/>
          <w:szCs w:val="18"/>
          <w:color w:val="auto"/>
        </w:rPr>
      </w:pPr>
    </w:p>
    <w:p>
      <w:pPr>
        <w:ind w:firstLine="1305"/>
        <w:spacing w:after="0" w:line="254" w:lineRule="auto"/>
        <w:tabs>
          <w:tab w:leader="none" w:pos="196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item of Partnership income, gain, loss and deduction attributable to a transferred Partnership Interest, shall for federal income tax purposes, be determined on an annual basis and prorated on a monthly basis and shall be allocated to the Partners as of the opening of the New York Stock Exchange on the first Business Day of each month; provided, however, that (i) such items for the period beginning on the Closing Date and ending on the last day of the month in which the Option Closing Date or the expiration of the Over-Allotment Option occurs shall be allocated to the Partners as of the opening of the New York Stock Exchange on the first Business Day of the next succeeding month; and provided, further, that gain or loss on a sale or other disposition of any assets of the Partnership other than in the ordinary course of business shall be allocated to the Partners as of the opening of the New York Stock Exchange on the first Business Day of the month in which such gain or loss is recognized for federal income tax purposes. The General Partner may revise, alter or otherwise modify such methods of allocation as it determines necessary, to the extent permitted or required by Section 706 of the Code and the regulations or rulings promulgated thereunder.</w:t>
      </w:r>
    </w:p>
    <w:p>
      <w:pPr>
        <w:spacing w:after="0" w:line="189" w:lineRule="exact"/>
        <w:rPr>
          <w:rFonts w:ascii="Times New Roman" w:cs="Times New Roman" w:eastAsia="Times New Roman" w:hAnsi="Times New Roman"/>
          <w:sz w:val="18"/>
          <w:szCs w:val="18"/>
          <w:color w:val="auto"/>
        </w:rPr>
      </w:pPr>
    </w:p>
    <w:p>
      <w:pPr>
        <w:jc w:val="both"/>
        <w:ind w:right="100" w:firstLine="1305"/>
        <w:spacing w:after="0" w:line="266" w:lineRule="auto"/>
        <w:tabs>
          <w:tab w:leader="none" w:pos="195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Allocations that would otherwise be made to a Limited Partner under the provisions of this Article VI shall instead be made to the beneficial owner of Limited Partner Interests held by a nominee in any case in which the nominee has furnished the identity of such owner to the Partnership in accordance with Section 6031(c) of the Code or any other method acceptable to the General Partner in its sole discretion.</w:t>
      </w:r>
    </w:p>
    <w:p>
      <w:pPr>
        <w:spacing w:after="0" w:line="176" w:lineRule="exact"/>
        <w:rPr>
          <w:rFonts w:ascii="Times New Roman" w:cs="Times New Roman" w:eastAsia="Times New Roman" w:hAnsi="Times New Roman"/>
          <w:sz w:val="18"/>
          <w:szCs w:val="18"/>
          <w:color w:val="auto"/>
        </w:rPr>
      </w:pPr>
    </w:p>
    <w:p>
      <w:pPr>
        <w:ind w:right="60" w:firstLine="1305"/>
        <w:spacing w:after="0" w:line="266" w:lineRule="auto"/>
        <w:tabs>
          <w:tab w:leader="none" w:pos="1966"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the conversion of a Series A Preferred Unit into Common Units and the adjustments pursuant to Section 5.5(d) (iii), a Capital Account reallocation is required consistent with the principles of Treasury Regulation Section 1.704-1(b)(2)(iv)(s)(3), the General Partner shall make corrective allocations pursuant to Treasury Regulation Section 1.704-1(b)(4)(x).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6.3</w:t>
      </w:r>
      <w:r>
        <w:rPr>
          <w:sz w:val="20"/>
          <w:szCs w:val="20"/>
          <w:color w:val="auto"/>
        </w:rPr>
        <w:tab/>
      </w:r>
      <w:r>
        <w:rPr>
          <w:rFonts w:ascii="Times New Roman" w:cs="Times New Roman" w:eastAsia="Times New Roman" w:hAnsi="Times New Roman"/>
          <w:sz w:val="17"/>
          <w:szCs w:val="17"/>
          <w:i w:val="1"/>
          <w:iCs w:val="1"/>
          <w:color w:val="auto"/>
        </w:rPr>
        <w:t>Requirement for and Characterization of Distributions; Distributions to Record Holders.</w:t>
      </w:r>
    </w:p>
    <w:p>
      <w:pPr>
        <w:spacing w:after="0" w:line="227" w:lineRule="exact"/>
        <w:rPr>
          <w:sz w:val="20"/>
          <w:szCs w:val="20"/>
          <w:color w:val="auto"/>
        </w:rPr>
      </w:pPr>
    </w:p>
    <w:p>
      <w:pPr>
        <w:ind w:firstLine="1305"/>
        <w:spacing w:after="0" w:line="255" w:lineRule="auto"/>
        <w:tabs>
          <w:tab w:leader="none" w:pos="194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following the end of each Quarter commencing with the Quarter ending on December 31, 1998, an amount equal to 100% of Available Cash with respect to such Quarter shall, subject to Section 17-607 of the Delaware Act, be distributed in accordance with this Article VI by the Partnership to the Partners as of the Record Date selected by the General Partner in its reasonable discretion. All amounts of Available Cash distributed by the Partnership on any date from any source shall be deemed to be Operating Surplus until the sum of all amounts of Available Cash theretofore distributed by the Partnership to the Partners pursuant to Section 6.4 equals the Operating Surplus from the Closing Date through the close of the immediately preceding Quarter. Any remaining amounts of Available Cash distributed by the Partnership on such date shall, except as otherwise provided in Section 6.5, be deemed to be “Capital Surplus.” All distributions required to be made under this Agreement shall be made subject to Section 17-607 of the Delaware Act.</w:t>
      </w:r>
    </w:p>
    <w:p>
      <w:pPr>
        <w:spacing w:after="0" w:line="189" w:lineRule="exact"/>
        <w:rPr>
          <w:rFonts w:ascii="Times New Roman" w:cs="Times New Roman" w:eastAsia="Times New Roman" w:hAnsi="Times New Roman"/>
          <w:sz w:val="18"/>
          <w:szCs w:val="18"/>
          <w:color w:val="auto"/>
        </w:rPr>
      </w:pPr>
    </w:p>
    <w:p>
      <w:pPr>
        <w:ind w:right="200" w:firstLine="1305"/>
        <w:spacing w:after="0" w:line="266" w:lineRule="auto"/>
        <w:tabs>
          <w:tab w:leader="none" w:pos="195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6.31(a), in the event of the dissolution and liquidation of the Partnership, all receipts received during or after the Quarter in which the Liquidation Date occurs, other than from borrowings described in (a)(ii) of the definition of Available Cash, shall be applied and distributed solely in accordance with, and subject to the terms and conditions of, Section 12.4.</w:t>
      </w:r>
    </w:p>
    <w:p>
      <w:pPr>
        <w:spacing w:after="0" w:line="176" w:lineRule="exact"/>
        <w:rPr>
          <w:rFonts w:ascii="Times New Roman" w:cs="Times New Roman" w:eastAsia="Times New Roman" w:hAnsi="Times New Roman"/>
          <w:sz w:val="18"/>
          <w:szCs w:val="18"/>
          <w:color w:val="auto"/>
        </w:rPr>
      </w:pPr>
    </w:p>
    <w:p>
      <w:pPr>
        <w:ind w:right="180" w:firstLine="1305"/>
        <w:spacing w:after="0" w:line="261" w:lineRule="auto"/>
        <w:tabs>
          <w:tab w:leader="none" w:pos="195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the discretion to treat as a distribution of Available Cash to all or less than all of the Partners or Assignees (i) taxes paid by any member of the Partnership Group on behalf of such Partners or Assignees, (ii) amounts withheld by any member of the Partnership Group for taxes with respect to such Partners or Assignees and (iii) amounts seized by any taxing authority from any member of the Partnership Group with respect to taxes owed by such Partners or Assignees.</w:t>
      </w:r>
    </w:p>
    <w:p>
      <w:pPr>
        <w:spacing w:after="0" w:line="180" w:lineRule="exact"/>
        <w:rPr>
          <w:rFonts w:ascii="Times New Roman" w:cs="Times New Roman" w:eastAsia="Times New Roman" w:hAnsi="Times New Roman"/>
          <w:sz w:val="18"/>
          <w:szCs w:val="18"/>
          <w:color w:val="auto"/>
        </w:rPr>
      </w:pPr>
    </w:p>
    <w:p>
      <w:pPr>
        <w:ind w:right="120" w:firstLine="1305"/>
        <w:spacing w:after="0" w:line="261" w:lineRule="auto"/>
        <w:tabs>
          <w:tab w:leader="none" w:pos="195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ectPr>
          <w:pgSz w:w="11900" w:h="16915" w:orient="portrait"/>
          <w:cols w:equalWidth="0" w:num="1">
            <w:col w:w="11420"/>
          </w:cols>
          <w:pgMar w:left="240" w:top="121" w:right="239" w:bottom="0" w:gutter="0" w:footer="0" w:header="0"/>
        </w:sectPr>
      </w:pPr>
    </w:p>
    <w:bookmarkStart w:id="44" w:name="page45"/>
    <w:bookmarkEnd w:id="44"/>
    <w:p>
      <w:pPr>
        <w:spacing w:after="0" w:line="11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6.4</w:t>
      </w:r>
      <w:r>
        <w:rPr>
          <w:sz w:val="20"/>
          <w:szCs w:val="20"/>
          <w:color w:val="auto"/>
        </w:rPr>
        <w:tab/>
      </w:r>
      <w:r>
        <w:rPr>
          <w:rFonts w:ascii="Times New Roman" w:cs="Times New Roman" w:eastAsia="Times New Roman" w:hAnsi="Times New Roman"/>
          <w:sz w:val="17"/>
          <w:szCs w:val="17"/>
          <w:i w:val="1"/>
          <w:iCs w:val="1"/>
          <w:color w:val="auto"/>
        </w:rPr>
        <w:t>Distributions of Available Cash from Operating Surplus.</w:t>
      </w:r>
    </w:p>
    <w:p>
      <w:pPr>
        <w:spacing w:after="0" w:line="227" w:lineRule="exact"/>
        <w:rPr>
          <w:sz w:val="20"/>
          <w:szCs w:val="20"/>
          <w:color w:val="auto"/>
        </w:rPr>
      </w:pPr>
    </w:p>
    <w:p>
      <w:pPr>
        <w:ind w:right="40" w:firstLine="1305"/>
        <w:spacing w:after="0" w:line="266" w:lineRule="auto"/>
        <w:tabs>
          <w:tab w:leader="none" w:pos="194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Cash with respect to any Quarter that is deemed to be Operating Surplus pursuant to the provisions of Section 6.3 or 6.5, subject to Section 17-607 of the Delaware Act, shall be distributed as follows, except as otherwise required by Section 5.14(b)(i) or Section 5.6(b) in respect of additional Partnership Securities issued pursuant thereto:</w:t>
      </w:r>
    </w:p>
    <w:p>
      <w:pPr>
        <w:spacing w:after="0" w:line="176" w:lineRule="exact"/>
        <w:rPr>
          <w:rFonts w:ascii="Times New Roman" w:cs="Times New Roman" w:eastAsia="Times New Roman" w:hAnsi="Times New Roman"/>
          <w:sz w:val="18"/>
          <w:szCs w:val="18"/>
          <w:color w:val="auto"/>
        </w:rPr>
      </w:pPr>
    </w:p>
    <w:p>
      <w:pPr>
        <w:ind w:left="1300" w:right="160" w:firstLine="653"/>
        <w:spacing w:after="0" w:line="282" w:lineRule="auto"/>
        <w:tabs>
          <w:tab w:leader="none" w:pos="2618"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98% to all Unitholders, Pro Rata, and 2% to the General Partner until there has been distributed in respect of each Unit then Outstanding an amount equal to the Minimum Quarterly Distribution for such Quarter;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firstLine="653"/>
        <w:spacing w:after="0" w:line="266" w:lineRule="auto"/>
        <w:tabs>
          <w:tab w:leader="none" w:pos="262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85% to all Unitholders, Pro Rata, and 13% to the holders of the Incentive Distribution Rights, Pro Rata, and 2% to the General Partner until there has been distributed in respect of each Unit then Outstanding an amount equal to the excess of the First Target Distribution over the Minimum Quarterly Distribution for such Quarter;</w:t>
      </w:r>
    </w:p>
    <w:p>
      <w:pPr>
        <w:spacing w:after="0" w:line="176" w:lineRule="exact"/>
        <w:rPr>
          <w:rFonts w:ascii="Times New Roman" w:cs="Times New Roman" w:eastAsia="Times New Roman" w:hAnsi="Times New Roman"/>
          <w:sz w:val="18"/>
          <w:szCs w:val="18"/>
          <w:color w:val="auto"/>
        </w:rPr>
      </w:pPr>
    </w:p>
    <w:p>
      <w:pPr>
        <w:ind w:left="1300" w:right="20" w:firstLine="653"/>
        <w:spacing w:after="0" w:line="266" w:lineRule="auto"/>
        <w:tabs>
          <w:tab w:leader="none" w:pos="263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75% to all Unitholders, Pro Rata, and 23% to the holders of the Incentive Distribution Rights, Pro Rata, and 2% to the General Partner until there has been distributed in respect of each Unit then Outstanding an amount equal to the excess of the Second Target Distribution over the First Target Distribution for such Quarter; and</w:t>
      </w:r>
    </w:p>
    <w:p>
      <w:pPr>
        <w:spacing w:after="0" w:line="176" w:lineRule="exact"/>
        <w:rPr>
          <w:rFonts w:ascii="Times New Roman" w:cs="Times New Roman" w:eastAsia="Times New Roman" w:hAnsi="Times New Roman"/>
          <w:sz w:val="18"/>
          <w:szCs w:val="18"/>
          <w:color w:val="auto"/>
        </w:rPr>
      </w:pPr>
    </w:p>
    <w:p>
      <w:pPr>
        <w:ind w:left="1300" w:right="180" w:firstLine="653"/>
        <w:spacing w:after="0" w:line="282" w:lineRule="auto"/>
        <w:tabs>
          <w:tab w:leader="none" w:pos="261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50% to all Unitholders, Pro Rata, and 48% to the holders of the Incentive Distribution Rights, Pro Rata, and 2% to the General Partner;</w:t>
      </w:r>
    </w:p>
    <w:p>
      <w:pPr>
        <w:spacing w:after="0" w:line="162" w:lineRule="exact"/>
        <w:rPr>
          <w:sz w:val="20"/>
          <w:szCs w:val="20"/>
          <w:color w:val="auto"/>
        </w:rPr>
      </w:pPr>
    </w:p>
    <w:p>
      <w:pPr>
        <w:ind w:left="1300" w:right="60"/>
        <w:spacing w:after="0" w:line="266" w:lineRule="auto"/>
        <w:rPr>
          <w:sz w:val="20"/>
          <w:szCs w:val="20"/>
          <w:color w:val="auto"/>
        </w:rPr>
      </w:pPr>
      <w:r>
        <w:rPr>
          <w:rFonts w:ascii="Times New Roman" w:cs="Times New Roman" w:eastAsia="Times New Roman" w:hAnsi="Times New Roman"/>
          <w:sz w:val="18"/>
          <w:szCs w:val="18"/>
          <w:color w:val="auto"/>
        </w:rPr>
        <w:t>provided, however, if the Minimum Quarterly Distribution, the First Target Distribution and the Second Target Distribution have been reduced to zero pursuant to the second sentence of Section 6.6(a), the distribution of Available Cash that is deemed to be Operating Surplus with respect to any Quarter will be made solely in accordance with Section 6.4(a)(iv).</w:t>
      </w:r>
    </w:p>
    <w:p>
      <w:pPr>
        <w:spacing w:after="0" w:line="174" w:lineRule="exact"/>
        <w:rPr>
          <w:sz w:val="20"/>
          <w:szCs w:val="20"/>
          <w:color w:val="auto"/>
        </w:rPr>
      </w:pPr>
    </w:p>
    <w:p>
      <w:pPr>
        <w:ind w:left="1960" w:hanging="655"/>
        <w:spacing w:after="0"/>
        <w:tabs>
          <w:tab w:leader="none" w:pos="19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[Reserved].</w:t>
      </w:r>
    </w:p>
    <w:p>
      <w:pPr>
        <w:spacing w:after="0" w:line="227" w:lineRule="exact"/>
        <w:rPr>
          <w:rFonts w:ascii="Times New Roman" w:cs="Times New Roman" w:eastAsia="Times New Roman" w:hAnsi="Times New Roman"/>
          <w:sz w:val="18"/>
          <w:szCs w:val="18"/>
          <w:color w:val="auto"/>
        </w:rPr>
      </w:pPr>
    </w:p>
    <w:p>
      <w:pPr>
        <w:ind w:firstLine="1305"/>
        <w:spacing w:after="0" w:line="254" w:lineRule="auto"/>
        <w:tabs>
          <w:tab w:leader="none" w:pos="1955"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6.4, any distributions to the holder of the Incentive Distribution Rights provided for in clauses (ii), (iii) and (iv) of Subsection 6.4(a), as applicable, shall be adjusted commencing with the payment date of the first quarterly distribution declared and paid after the BP Acquisition Closing Date (the “</w:t>
      </w:r>
      <w:r>
        <w:rPr>
          <w:rFonts w:ascii="Times New Roman" w:cs="Times New Roman" w:eastAsia="Times New Roman" w:hAnsi="Times New Roman"/>
          <w:sz w:val="18"/>
          <w:szCs w:val="18"/>
          <w:i w:val="1"/>
          <w:iCs w:val="1"/>
          <w:color w:val="auto"/>
        </w:rPr>
        <w:t>BP Incremental IDR Reduction Date</w:t>
      </w:r>
      <w:r>
        <w:rPr>
          <w:rFonts w:ascii="Times New Roman" w:cs="Times New Roman" w:eastAsia="Times New Roman" w:hAnsi="Times New Roman"/>
          <w:sz w:val="18"/>
          <w:szCs w:val="18"/>
          <w:color w:val="auto"/>
        </w:rPr>
        <w:t>”). Such adjustment shall be as follows: (i) for the quarterly distribution paid on the BP Incremental IDR Reduction Date and the seven quarterly distributions declared and paid following the BP Incremental IDR Reduction Date, any distributions to the holder(s) of the Incentive Distribution Rights shall be reduced by $3,750,000 per quarter, and</w:t>
      </w:r>
    </w:p>
    <w:p>
      <w:pPr>
        <w:spacing w:after="0" w:line="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such distributions shall be reduced by $2,500,000 per quarter; provided, however, that (A) in no event shall the reduction pursuant to</w:t>
      </w:r>
    </w:p>
    <w:p>
      <w:pPr>
        <w:spacing w:after="0" w:line="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Section 6.4(e)(i) or (ii) cause the Incentive Distribution with respect to the applicable quarter to be reduced below the total amount of Incentive Distributions paid (excluding any adjustments pursuant to Section 6.4(b), (c) and (d)) with respect to the quarter ended September 30, 2011, and (B) any portion of the potential reductions provided for in Section 6.4(e)(i) or (ii) that are not given effect by virtue of the limitation set forth in clause (A) immediately preceding, or by virtue of the fact that no distributions are made with respect to a quarter, shall not cumulate or otherwise have any effect on Incentive Distributions made with respect to future periods.</w:t>
      </w:r>
    </w:p>
    <w:p>
      <w:pPr>
        <w:spacing w:after="0" w:line="187" w:lineRule="exact"/>
        <w:rPr>
          <w:sz w:val="20"/>
          <w:szCs w:val="20"/>
          <w:color w:val="auto"/>
        </w:rPr>
      </w:pPr>
    </w:p>
    <w:p>
      <w:pPr>
        <w:ind w:right="280" w:firstLine="1305"/>
        <w:spacing w:after="0" w:line="282" w:lineRule="auto"/>
        <w:tabs>
          <w:tab w:leader="none" w:pos="1949"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6.4, any distributions to the holder of the Incentive Distribution Rights provided for in clauses (ii),</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
        <w:spacing w:after="0" w:line="253" w:lineRule="auto"/>
        <w:tabs>
          <w:tab w:leader="none" w:pos="31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(iv) of Subsection 6.4(a), as applicable, shall be adjusted commencing with the payment date of the first quarterly distribution declared and paid after the PNG Merger Effective Date (the “</w:t>
      </w:r>
      <w:r>
        <w:rPr>
          <w:rFonts w:ascii="Times New Roman" w:cs="Times New Roman" w:eastAsia="Times New Roman" w:hAnsi="Times New Roman"/>
          <w:sz w:val="18"/>
          <w:szCs w:val="18"/>
          <w:i w:val="1"/>
          <w:iCs w:val="1"/>
          <w:color w:val="auto"/>
        </w:rPr>
        <w:t>PNG Merger IDR Reduction Date</w:t>
      </w:r>
      <w:r>
        <w:rPr>
          <w:rFonts w:ascii="Times New Roman" w:cs="Times New Roman" w:eastAsia="Times New Roman" w:hAnsi="Times New Roman"/>
          <w:sz w:val="18"/>
          <w:szCs w:val="18"/>
          <w:color w:val="auto"/>
        </w:rPr>
        <w:t>”). Such adjustment shall be as follows: (i) for the quarterly distribution paid on the PNG Merger IDR Reduction Date and the seven quarterly distributions declared and paid following the PNG Merger IDR Reduction Date, any distributions to the holder(s) of the Incentive Distribution Rights shall be reduced by $3,000,000 per quarter, (ii) for the four quarterly distributions declared and paid thereafter, such distributions shall be reduced by $2,500,000 per quarter, and (iii) thereafter, such distributions shall be reduced by $1,250,000 per quarter; provided, however, that (A) in no event shall the reduction pursuant to Section 6.4(f)(i), (ii) or (iii) cause the Incentive Distribution with respect to the applicable quarter to be reduced below the total amount of Incentive Distributions paid (excluding any adjustments pursuant to Section 6.4(b), (c), (d) and (e)) with respect to the quarter ended September 30, 2013, and (B) any portion of the potential reductions provided for in Section 6.4(f)(i), (ii) or (iii) that are not given effect by virtue of the limitation set forth in clause (A) immediately preceding, or by virtue of the fact that no distributions are made with respect to a quarter, shall not cumulate or otherwise have any effect on Incentive Distributions made with respect to future periods. For avoidance of doubt, the reduction shall be an aggregate of $24 million for the first eight quarters (commencing with and including the PNG Merger IDR Reduction Date), $10 million for the next four quarters and $1.25 million per quarter thereafter.</w:t>
      </w:r>
    </w:p>
    <w:p>
      <w:pPr>
        <w:spacing w:after="0" w:line="190" w:lineRule="exact"/>
        <w:rPr>
          <w:rFonts w:ascii="Times New Roman" w:cs="Times New Roman" w:eastAsia="Times New Roman" w:hAnsi="Times New Roman"/>
          <w:sz w:val="18"/>
          <w:szCs w:val="18"/>
          <w:color w:val="auto"/>
        </w:rPr>
      </w:pPr>
    </w:p>
    <w:p>
      <w:pPr>
        <w:jc w:val="both"/>
        <w:ind w:right="220" w:firstLine="1305"/>
        <w:spacing w:after="0" w:line="261" w:lineRule="auto"/>
        <w:tabs>
          <w:tab w:leader="none" w:pos="1965"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6.4, any distributions to the holder of the Incentive Distribution Rights provided for in clauses (ii), (iii) and (iv) of Subsection 6.4(a), as applicable, shall be adjusted as set forth in the next sentence. For the quarterly distribution paid on the Series A IDR Reduction Commencement Date and every quarterly payment date thereafter, the distributions to the holder(s) of the Incentive Distribution Rights shall be reduced by an amount equal to the Series A IDR Reduction Amount.</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6.5</w:t>
      </w:r>
      <w:r>
        <w:rPr>
          <w:sz w:val="20"/>
          <w:szCs w:val="20"/>
          <w:color w:val="auto"/>
        </w:rPr>
        <w:tab/>
      </w:r>
      <w:r>
        <w:rPr>
          <w:rFonts w:ascii="Times New Roman" w:cs="Times New Roman" w:eastAsia="Times New Roman" w:hAnsi="Times New Roman"/>
          <w:sz w:val="17"/>
          <w:szCs w:val="17"/>
          <w:i w:val="1"/>
          <w:iCs w:val="1"/>
          <w:color w:val="auto"/>
        </w:rPr>
        <w:t>Distributions of Available Cash from Capital Surplus.</w:t>
      </w:r>
    </w:p>
    <w:p>
      <w:pPr>
        <w:spacing w:after="0" w:line="227"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7"/>
          <w:szCs w:val="17"/>
          <w:color w:val="auto"/>
        </w:rPr>
        <w:t>Available Cash that is deemed to be Capital Surplus pursuant to the provisions of Section 6.3(a) shall, subject to Section 17-607 of the Delaware Act, be distributed, unless the provisions of Section 6.3 require otherwise, 98% to all Unitholders, to be apportioned equally among all Unitholders in accordance</w:t>
      </w:r>
    </w:p>
    <w:p>
      <w:pPr>
        <w:sectPr>
          <w:pgSz w:w="11900" w:h="16957" w:orient="portrait"/>
          <w:cols w:equalWidth="0" w:num="1">
            <w:col w:w="11400"/>
          </w:cols>
          <w:pgMar w:left="240" w:top="335" w:right="259" w:bottom="0" w:gutter="0" w:footer="0" w:header="0"/>
        </w:sectPr>
      </w:pPr>
    </w:p>
    <w:bookmarkStart w:id="45" w:name="page46"/>
    <w:bookmarkEnd w:id="45"/>
    <w:p>
      <w:pPr>
        <w:spacing w:after="0" w:line="95"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with their relative Adjusted Percentage Interests, and 2% to the General Partner until a hypothetical holder of a Common Unit acquired on the Closing Date has received with respect to such Common Unit, during the period since the Closing Date through such date, distributions of Available Cash that are deemed to be Capital Surplus in an aggregate amount equal to the Initial Unit Price. Thereafter, all Available Cash shall be distributed as if it were Operating Surplus and shall be distributed in accordance with Section 6.4.</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6.6</w:t>
      </w:r>
      <w:r>
        <w:rPr>
          <w:sz w:val="20"/>
          <w:szCs w:val="20"/>
          <w:color w:val="auto"/>
        </w:rPr>
        <w:tab/>
      </w:r>
      <w:r>
        <w:rPr>
          <w:rFonts w:ascii="Times New Roman" w:cs="Times New Roman" w:eastAsia="Times New Roman" w:hAnsi="Times New Roman"/>
          <w:sz w:val="17"/>
          <w:szCs w:val="17"/>
          <w:i w:val="1"/>
          <w:iCs w:val="1"/>
          <w:color w:val="auto"/>
        </w:rPr>
        <w:t>Adjustment of Minimum Quarterly Distribution and Target Distribution Levels.</w:t>
      </w:r>
    </w:p>
    <w:p>
      <w:pPr>
        <w:spacing w:after="0" w:line="227" w:lineRule="exact"/>
        <w:rPr>
          <w:sz w:val="20"/>
          <w:szCs w:val="20"/>
          <w:color w:val="auto"/>
        </w:rPr>
      </w:pPr>
    </w:p>
    <w:p>
      <w:pPr>
        <w:ind w:right="220" w:firstLine="1305"/>
        <w:spacing w:after="0" w:line="261" w:lineRule="auto"/>
        <w:tabs>
          <w:tab w:leader="none" w:pos="194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Quarterly Distribution, First Target Distribution, Second Target Distribution and Per Unit Floor Amounts shall be proportionately adjusted in the event of any distribution, combination or subdivision (whether effected by a distribution payable in Units or otherwise) of Units or other Partnership Securities in accordance with Section 5.10. In the event of a distribution of Available Cash that is deemed to be from Capital Surplus, the then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applicable Minimum Quarterly Distribution, First Target Distribution, Second Target Distribution and Per Unit Floor Amounts shall be adjusted proportionately downward to equal the product obtained by multiplying the otherwise applicable Minimum Quarterly Distribution, First Target Distribution, Second Target Distribution and Per Unit Floor Amounts, as the case may be, by a fraction of which the numerator is the Unrecovered Capital of the Common Units immediately after giving effect to such distribution and of which the denominator is the Unrecovered Capital of the Common Units immediately prior to giving effect to such distribution.</w:t>
      </w:r>
    </w:p>
    <w:p>
      <w:pPr>
        <w:spacing w:after="0" w:line="184" w:lineRule="exact"/>
        <w:rPr>
          <w:sz w:val="20"/>
          <w:szCs w:val="20"/>
          <w:color w:val="auto"/>
        </w:rPr>
      </w:pPr>
    </w:p>
    <w:p>
      <w:pPr>
        <w:ind w:right="80" w:firstLine="1305"/>
        <w:spacing w:after="0" w:line="282" w:lineRule="auto"/>
        <w:tabs>
          <w:tab w:leader="none" w:pos="1952"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Quarterly Distribution, First Target Distribution, Second Target Distribution and Per Unit Floor Amounts shall also be subject to adjustment pursuant to Section 6.9.</w:t>
      </w:r>
    </w:p>
    <w:p>
      <w:pPr>
        <w:spacing w:after="0" w:line="160"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6.7</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6.8</w:t>
      </w:r>
      <w:r>
        <w:rPr>
          <w:sz w:val="20"/>
          <w:szCs w:val="20"/>
          <w:color w:val="auto"/>
        </w:rPr>
        <w:tab/>
      </w:r>
      <w:r>
        <w:rPr>
          <w:rFonts w:ascii="Times New Roman" w:cs="Times New Roman" w:eastAsia="Times New Roman" w:hAnsi="Times New Roman"/>
          <w:sz w:val="17"/>
          <w:szCs w:val="17"/>
          <w:i w:val="1"/>
          <w:iCs w:val="1"/>
          <w:color w:val="auto"/>
        </w:rPr>
        <w:t>Special Provisions Relating to the Holders of Incentive Distribution Rights.</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anything to the contrary set forth in this Agreement, the holders of the Incentive Distribution Rights (a) shall (i) possess the rights and obligations provided in this Agreement with respect to a Limited Partner pursuant to Articles III and VII and (ii) have a Capital Account as a Partner pursuant to Section 5.5 and all other provisions related thereto and (b) shall not (i) be entitled to vote on any matters requiring the approval or vote of the holders of Outstanding Units, (ii) be entitled to any distributions other than as provided in Sections 6.4(a)(ii), (iii) and (iv) and 12.4 or (iii) be allocated items of income, gain, loss or deduction other than as specified in this Article VI.</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6.9</w:t>
      </w:r>
      <w:r>
        <w:rPr>
          <w:sz w:val="20"/>
          <w:szCs w:val="20"/>
          <w:color w:val="auto"/>
        </w:rPr>
        <w:tab/>
      </w:r>
      <w:r>
        <w:rPr>
          <w:rFonts w:ascii="Times New Roman" w:cs="Times New Roman" w:eastAsia="Times New Roman" w:hAnsi="Times New Roman"/>
          <w:sz w:val="17"/>
          <w:szCs w:val="17"/>
          <w:i w:val="1"/>
          <w:iCs w:val="1"/>
          <w:color w:val="auto"/>
        </w:rPr>
        <w:t>Entity-Level Taxation.</w:t>
      </w:r>
    </w:p>
    <w:p>
      <w:pPr>
        <w:spacing w:after="0" w:line="227"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If legislation is enacted or the interpretation of existing language is modified by the relevant governmental authority which causes the Partnership or an Operating Partnership to be treated as an association taxable as a corporation or otherwise subjects the Partnership or an Operating Partnership to entity-level taxation for federal income tax purposes, the then applicable Minimum Quarterly Distribution, First Target Distribution, Second Target Distribution, the Incentive Distribution reduction amount referenced in Section 6.4(e)(i) or (ii), as applicable, the Incentive Distribution Reduction amount referenced in Section 6.4(f)(i), (ii) or (iii), as applicable, and the then applicable Per Unit Floor Amounts shall be adjusted to equal the product obtained by multiplying</w:t>
      </w:r>
    </w:p>
    <w:p>
      <w:pPr>
        <w:spacing w:after="0" w:line="3" w:lineRule="exact"/>
        <w:rPr>
          <w:sz w:val="20"/>
          <w:szCs w:val="20"/>
          <w:color w:val="auto"/>
        </w:rPr>
      </w:pPr>
    </w:p>
    <w:p>
      <w:pPr>
        <w:ind w:right="60" w:firstLine="8"/>
        <w:spacing w:after="0" w:line="252" w:lineRule="auto"/>
        <w:tabs>
          <w:tab w:leader="none" w:pos="245"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thereof by (b) one minus the sum of (i) the highest marginal federal corporate (or other entity, as applicable) income tax rate of the Partnership or such Operating Partnership for the taxable year of the Partnership or such Operating Partnership in which such Quarter occurs (expressed as a percentage) plus (ii) the effective overall state and local income tax rate (expressed as a percentage) applicable to the Partnership or such Operating Partnership for the calendar year next preceding the calendar year in which such Quarter occurs (after taking into account the benefit of any deduction allowable for federal income tax purposes with respect to the payment of state and local income taxes), but only to the extent of the increase in such rates resulting from such legislation or interpretation. Such effective overall state and local income tax rate shall be determined for the taxable year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next preceding the first taxable year during which the Partnership or such Operating Partnership is taxable for federal income tax purposes as an association taxable as a corporation or is otherwise subject to entity-level taxation by determining such rate as if the Partnership or such Operating Partnership had been subject to such state and local taxes during such preceding taxable year.</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 AND OPERATION OF BUSINESS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7.1</w:t>
      </w:r>
      <w:r>
        <w:rPr>
          <w:sz w:val="20"/>
          <w:szCs w:val="20"/>
          <w:color w:val="auto"/>
        </w:rPr>
        <w:tab/>
      </w:r>
      <w:r>
        <w:rPr>
          <w:rFonts w:ascii="Times New Roman" w:cs="Times New Roman" w:eastAsia="Times New Roman" w:hAnsi="Times New Roman"/>
          <w:sz w:val="17"/>
          <w:szCs w:val="17"/>
          <w:i w:val="1"/>
          <w:iCs w:val="1"/>
          <w:color w:val="auto"/>
        </w:rPr>
        <w:t>Management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1305"/>
        <w:spacing w:after="0" w:line="255" w:lineRule="auto"/>
        <w:tabs>
          <w:tab w:leader="none" w:pos="1942"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conduct, direct and manage all activities of the Partnership. Except as otherwise expressly provided in this Agreement, all management powers over the business and affairs of the Partnership shall be exclusively vested in the General Partner, and no Limited Partner or Assignee shall have any management power over the business and affairs of the Partnership. In addition to the powers now or hereafter granted a general partner of a limited partnership under applicable law or which are granted to the General Partner under any other provision of this Agreement, the General Partner, subject to Section 7.3, shall have full power and authority to do all things and on such terms as it, in its sole discretion, may deem necessary or appropriate to conduct the business of the Partnership, to exercise all powers set forth in Section 2.5 and to effectuate the purposes set forth in Section 2.4, including the following:</w:t>
      </w:r>
    </w:p>
    <w:p>
      <w:pPr>
        <w:spacing w:after="0" w:line="189" w:lineRule="exact"/>
        <w:rPr>
          <w:rFonts w:ascii="Times New Roman" w:cs="Times New Roman" w:eastAsia="Times New Roman" w:hAnsi="Times New Roman"/>
          <w:sz w:val="18"/>
          <w:szCs w:val="18"/>
          <w:color w:val="auto"/>
        </w:rPr>
      </w:pPr>
    </w:p>
    <w:p>
      <w:pPr>
        <w:jc w:val="both"/>
        <w:ind w:left="1300" w:right="100" w:firstLine="653"/>
        <w:spacing w:after="0" w:line="266" w:lineRule="auto"/>
        <w:tabs>
          <w:tab w:leader="none" w:pos="2618"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any expenditures, the lending or borrowing of money, the assumption or guarantee of, or other contracting for, indebtedness and other liabilities, the issuance of evidences of indebtedness, including indebtedness that is convertible into Partnership Securities, and the incurring of any other obligations;</w:t>
      </w:r>
    </w:p>
    <w:p>
      <w:pPr>
        <w:spacing w:after="0" w:line="176" w:lineRule="exact"/>
        <w:rPr>
          <w:rFonts w:ascii="Times New Roman" w:cs="Times New Roman" w:eastAsia="Times New Roman" w:hAnsi="Times New Roman"/>
          <w:sz w:val="18"/>
          <w:szCs w:val="18"/>
          <w:color w:val="auto"/>
        </w:rPr>
      </w:pPr>
    </w:p>
    <w:p>
      <w:pPr>
        <w:ind w:left="1300" w:right="20" w:firstLine="653"/>
        <w:spacing w:after="0" w:line="282" w:lineRule="auto"/>
        <w:tabs>
          <w:tab w:leader="none" w:pos="2627"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tax, regulatory and other filings, or rendering of periodic or other reports to governmental or other agencies having jurisdiction over the business or assets of the Partnership;</w:t>
      </w:r>
    </w:p>
    <w:p>
      <w:pPr>
        <w:sectPr>
          <w:pgSz w:w="11900" w:h="16933" w:orient="portrait"/>
          <w:cols w:equalWidth="0" w:num="1">
            <w:col w:w="11420"/>
          </w:cols>
          <w:pgMar w:left="240" w:top="121" w:right="239" w:bottom="0" w:gutter="0" w:footer="0" w:header="0"/>
        </w:sectPr>
      </w:pPr>
    </w:p>
    <w:bookmarkStart w:id="46" w:name="page47"/>
    <w:bookmarkEnd w:id="46"/>
    <w:p>
      <w:pPr>
        <w:spacing w:after="0" w:line="73" w:lineRule="exact"/>
        <w:rPr>
          <w:sz w:val="20"/>
          <w:szCs w:val="20"/>
          <w:color w:val="auto"/>
        </w:rPr>
      </w:pPr>
    </w:p>
    <w:p>
      <w:pPr>
        <w:ind w:left="1300" w:right="20" w:firstLine="653"/>
        <w:spacing w:after="0" w:line="266" w:lineRule="auto"/>
        <w:tabs>
          <w:tab w:leader="none" w:pos="2637"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disposition, mortgage, pledge, encumbrance, hypothecation or exchange of any or all of the assets of the Partnership or the merger or other combination of the Partnership with or into another Person (the matters described in this clause (iii) being subject, however, to any prior approval that may be required by Section 7.3);</w:t>
      </w:r>
    </w:p>
    <w:p>
      <w:pPr>
        <w:spacing w:after="0" w:line="176" w:lineRule="exact"/>
        <w:rPr>
          <w:rFonts w:ascii="Times New Roman" w:cs="Times New Roman" w:eastAsia="Times New Roman" w:hAnsi="Times New Roman"/>
          <w:sz w:val="18"/>
          <w:szCs w:val="18"/>
          <w:color w:val="auto"/>
        </w:rPr>
      </w:pPr>
    </w:p>
    <w:p>
      <w:pPr>
        <w:ind w:left="1300" w:right="20" w:firstLine="653"/>
        <w:spacing w:after="0" w:line="261" w:lineRule="auto"/>
        <w:tabs>
          <w:tab w:leader="none" w:pos="2613"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assets of the Partnership (including cash on hand) for any purpose consistent with the terms of this Agreement, including the financing of the conduct of the operations of the Partnership Group; subject to Section 7.6(a), the lending of funds to other Persons (including the Operating Partnerships); the repayment of obligations of the Partnership Group and the making of capital contributions to any member of the Partnership Group;</w:t>
      </w:r>
    </w:p>
    <w:p>
      <w:pPr>
        <w:spacing w:after="0" w:line="180" w:lineRule="exact"/>
        <w:rPr>
          <w:rFonts w:ascii="Times New Roman" w:cs="Times New Roman" w:eastAsia="Times New Roman" w:hAnsi="Times New Roman"/>
          <w:sz w:val="18"/>
          <w:szCs w:val="18"/>
          <w:color w:val="auto"/>
        </w:rPr>
      </w:pPr>
    </w:p>
    <w:p>
      <w:pPr>
        <w:ind w:left="1300" w:firstLine="653"/>
        <w:spacing w:after="0" w:line="282" w:lineRule="auto"/>
        <w:tabs>
          <w:tab w:leader="none" w:pos="2604"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negotiation, execution and performance of any contracts, conveyances or other instruments (including instruments that limit the liability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60"/>
        <w:spacing w:after="0" w:line="266" w:lineRule="auto"/>
        <w:rPr>
          <w:sz w:val="20"/>
          <w:szCs w:val="20"/>
          <w:color w:val="auto"/>
        </w:rPr>
      </w:pPr>
      <w:r>
        <w:rPr>
          <w:rFonts w:ascii="Times New Roman" w:cs="Times New Roman" w:eastAsia="Times New Roman" w:hAnsi="Times New Roman"/>
          <w:sz w:val="18"/>
          <w:szCs w:val="18"/>
          <w:color w:val="auto"/>
        </w:rPr>
        <w:t>the Partnership under contractual arrangements to all or particular assets of the Partnership, with the other party to the contract to have no recourse against the General Partner or its assets other than its interest in the Partnership, even if same results in the terms of the transaction being less favorable to the Partnership than would otherwise be the case);</w:t>
      </w:r>
    </w:p>
    <w:p>
      <w:pPr>
        <w:spacing w:after="0" w:line="176" w:lineRule="exact"/>
        <w:rPr>
          <w:sz w:val="20"/>
          <w:szCs w:val="20"/>
          <w:color w:val="auto"/>
        </w:rPr>
      </w:pPr>
    </w:p>
    <w:p>
      <w:pPr>
        <w:ind w:left="2620" w:hanging="667"/>
        <w:spacing w:after="0"/>
        <w:tabs>
          <w:tab w:leader="none" w:pos="26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Partnership cash;</w:t>
      </w:r>
    </w:p>
    <w:p>
      <w:pPr>
        <w:spacing w:after="0" w:line="225" w:lineRule="exact"/>
        <w:rPr>
          <w:rFonts w:ascii="Times New Roman" w:cs="Times New Roman" w:eastAsia="Times New Roman" w:hAnsi="Times New Roman"/>
          <w:sz w:val="18"/>
          <w:szCs w:val="18"/>
          <w:color w:val="auto"/>
        </w:rPr>
      </w:pPr>
    </w:p>
    <w:p>
      <w:pPr>
        <w:ind w:left="1300" w:right="600" w:firstLine="653"/>
        <w:spacing w:after="0" w:line="266" w:lineRule="auto"/>
        <w:tabs>
          <w:tab w:leader="none" w:pos="262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selection and dismissal of employees (including employees having titles such as “president,” “vice president,” “secretary” and “treasurer”) and agents, outside attorneys, accountants, consultants and contractors and the determination of their compensation and other terms of employment or hiring;</w:t>
      </w:r>
    </w:p>
    <w:p>
      <w:pPr>
        <w:spacing w:after="0" w:line="176"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such insurance for the benefit of the Partnership Group and the Partners as it deems necessary or</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w:t>
      </w:r>
    </w:p>
    <w:p>
      <w:pPr>
        <w:spacing w:after="0" w:line="206" w:lineRule="exact"/>
        <w:rPr>
          <w:rFonts w:ascii="Times New Roman" w:cs="Times New Roman" w:eastAsia="Times New Roman" w:hAnsi="Times New Roman"/>
          <w:sz w:val="18"/>
          <w:szCs w:val="18"/>
          <w:color w:val="auto"/>
        </w:rPr>
      </w:pPr>
    </w:p>
    <w:p>
      <w:pPr>
        <w:ind w:left="1300" w:right="160" w:firstLine="653"/>
        <w:spacing w:after="0" w:line="266" w:lineRule="auto"/>
        <w:tabs>
          <w:tab w:leader="none" w:pos="261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formation of, or acquisition of an interest in, and the contribution of property and the making of loans to, any further limited or general partnerships, joint ventures, corporations or other relationships (including the acquisition of interests in, and the contributions of property to, the Operating Partnerships from time to time) subject to the restrictions set forth in Section 2.4;</w:t>
      </w:r>
    </w:p>
    <w:p>
      <w:pPr>
        <w:spacing w:after="0" w:line="176" w:lineRule="exact"/>
        <w:rPr>
          <w:rFonts w:ascii="Times New Roman" w:cs="Times New Roman" w:eastAsia="Times New Roman" w:hAnsi="Times New Roman"/>
          <w:sz w:val="18"/>
          <w:szCs w:val="18"/>
          <w:color w:val="auto"/>
        </w:rPr>
      </w:pPr>
    </w:p>
    <w:p>
      <w:pPr>
        <w:ind w:left="1300" w:right="140" w:firstLine="653"/>
        <w:spacing w:after="0" w:line="266" w:lineRule="auto"/>
        <w:tabs>
          <w:tab w:leader="none" w:pos="26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control of any matters affecting the rights and obligations of the Partnership, including the bringing and defending of actions at law or in equity and otherwise engaging in the conduct of litigation and the incurring of legal expense and the settlement of claims and litigation;</w:t>
      </w:r>
    </w:p>
    <w:p>
      <w:pPr>
        <w:spacing w:after="0" w:line="17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of any Person against liabilities and contingencies to the extent permitted by law;</w:t>
      </w:r>
    </w:p>
    <w:p>
      <w:pPr>
        <w:spacing w:after="0" w:line="225" w:lineRule="exact"/>
        <w:rPr>
          <w:rFonts w:ascii="Times New Roman" w:cs="Times New Roman" w:eastAsia="Times New Roman" w:hAnsi="Times New Roman"/>
          <w:sz w:val="18"/>
          <w:szCs w:val="18"/>
          <w:color w:val="auto"/>
        </w:rPr>
      </w:pPr>
    </w:p>
    <w:p>
      <w:pPr>
        <w:ind w:left="1300" w:right="280" w:firstLine="653"/>
        <w:spacing w:after="0" w:line="266" w:lineRule="auto"/>
        <w:tabs>
          <w:tab w:leader="none" w:pos="262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entering into of listing agreements with any National Securities Exchange and the delisting of some or all of the Limited Partner Interests from, or requesting that trading be suspended on, any such exchange (subject to any prior approval that may be required under Section 4.8);</w:t>
      </w:r>
    </w:p>
    <w:p>
      <w:pPr>
        <w:spacing w:after="0" w:line="176" w:lineRule="exact"/>
        <w:rPr>
          <w:rFonts w:ascii="Times New Roman" w:cs="Times New Roman" w:eastAsia="Times New Roman" w:hAnsi="Times New Roman"/>
          <w:sz w:val="18"/>
          <w:szCs w:val="18"/>
          <w:color w:val="auto"/>
        </w:rPr>
      </w:pPr>
    </w:p>
    <w:p>
      <w:pPr>
        <w:ind w:left="1300" w:right="460" w:firstLine="653"/>
        <w:spacing w:after="0" w:line="313" w:lineRule="auto"/>
        <w:tabs>
          <w:tab w:leader="none" w:pos="2632"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restricted or prohibited by Section 5.6(d), the purchase, sale or other acquisition or disposition of Partnership Securities, or the issuance of additional options, rights, warrants and appreciation rights relating to Partnership Securities; and</w:t>
      </w:r>
    </w:p>
    <w:p>
      <w:pPr>
        <w:spacing w:after="0" w:line="138" w:lineRule="exact"/>
        <w:rPr>
          <w:rFonts w:ascii="Times New Roman" w:cs="Times New Roman" w:eastAsia="Times New Roman" w:hAnsi="Times New Roman"/>
          <w:sz w:val="17"/>
          <w:szCs w:val="17"/>
          <w:color w:val="auto"/>
        </w:rPr>
      </w:pPr>
    </w:p>
    <w:p>
      <w:pPr>
        <w:ind w:left="1300" w:right="540" w:firstLine="653"/>
        <w:spacing w:after="0" w:line="266" w:lineRule="auto"/>
        <w:tabs>
          <w:tab w:leader="none" w:pos="260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undertaking of any action in connection with the Partnership’s ownership or operation of any Group Member, including exercising, on behalf and for the benefit of the Partnership, the Partnership’s rights as the sole stockholder of the Operating General Partner.</w:t>
      </w:r>
    </w:p>
    <w:p>
      <w:pPr>
        <w:spacing w:after="0" w:line="176" w:lineRule="exact"/>
        <w:rPr>
          <w:rFonts w:ascii="Times New Roman" w:cs="Times New Roman" w:eastAsia="Times New Roman" w:hAnsi="Times New Roman"/>
          <w:sz w:val="18"/>
          <w:szCs w:val="18"/>
          <w:color w:val="auto"/>
        </w:rPr>
      </w:pPr>
    </w:p>
    <w:p>
      <w:pPr>
        <w:ind w:right="760" w:firstLine="1305"/>
        <w:spacing w:after="0" w:line="282" w:lineRule="auto"/>
        <w:tabs>
          <w:tab w:leader="none" w:pos="1952"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the Operating Partnership Agreements, the Delaware Act or any applicable law, rule or regulation, each of the Partners and the Assignees and each other Person who may acquire an interest in Partnership</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Securities hereby (i) approves, ratifies and confirms the execution, delivery and performance by the parties thereto of the Operating Partnership Agreements, the Underwriting Agreement, the Omnibus Agreement, the Contribution and Conveyance Agreement, and the other agreements and documents described in or filed as exhibits to the Registration Statement that are related to the transactions contemplated by the Registration Statement; (ii) agrees that the General Partner (on its own or through any officer of the Partnership) is authorized to execute, deliver and perform the agreements referred to in clause (i) of this sentence and the other agreements, acts, transactions and matters described in or contemplated by the Registration Statement on behalf of the Partnership without any further act, approval or vote of the Partners or the Assignees or the other Persons who may acquire an interest in Partnership Securities; and</w:t>
      </w:r>
    </w:p>
    <w:p>
      <w:pPr>
        <w:ind w:right="180" w:firstLine="8"/>
        <w:spacing w:after="0" w:line="254" w:lineRule="auto"/>
        <w:tabs>
          <w:tab w:leader="none" w:pos="31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agrees that the execution, delivery or performance by the General Partner, any Group Member or any Affiliate of any of them, of this Agreement or any agreement authorized or permitted under this Agreement (including the exercise by the General Partner or any Affiliate of the General Partner of the rights accorded pursuant to Article XV), shall not constitute a breach by the General Partner of any duty that the General Partner may owe the Partnership or the Limited Partners or any other Persons under this Agreement (or any other agreements) or of any duty stated or implied by law or equity.</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7.2</w:t>
      </w:r>
      <w:r>
        <w:rPr>
          <w:sz w:val="20"/>
          <w:szCs w:val="20"/>
          <w:color w:val="auto"/>
        </w:rPr>
        <w:tab/>
      </w:r>
      <w:r>
        <w:rPr>
          <w:rFonts w:ascii="Times New Roman" w:cs="Times New Roman" w:eastAsia="Times New Roman" w:hAnsi="Times New Roman"/>
          <w:sz w:val="17"/>
          <w:szCs w:val="17"/>
          <w:i w:val="1"/>
          <w:iCs w:val="1"/>
          <w:color w:val="auto"/>
        </w:rPr>
        <w:t>Certificate of Limited Partnership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General Partner has caused the Certificate of Limited Partnership to be filed with the Secretary of State of the State of Delaware as required by the Delaware Act and shall use all reasonable efforts to cause to be filed such other certificates or documents as may be determined by the General Partner in its sole discretion to be reasonable and necessary or appropriate for the formation, continuation, qualification and operation of a limited partnership (or a partnership in which the limited partners have limited liability) in the State of Delaware or any other state in which the Partnership may elect to do business or own property. To the extent that such action is determined by the General Partner in its sole discretion to be reasonable and necessary or appropriate, the</w:t>
      </w:r>
    </w:p>
    <w:p>
      <w:pPr>
        <w:sectPr>
          <w:pgSz w:w="11900" w:h="16911" w:orient="portrait"/>
          <w:cols w:equalWidth="0" w:num="1">
            <w:col w:w="11420"/>
          </w:cols>
          <w:pgMar w:left="240" w:top="337" w:right="239" w:bottom="0" w:gutter="0" w:footer="0" w:header="0"/>
        </w:sectPr>
      </w:pPr>
    </w:p>
    <w:bookmarkStart w:id="47" w:name="page48"/>
    <w:bookmarkEnd w:id="47"/>
    <w:p>
      <w:pPr>
        <w:spacing w:after="0" w:line="9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General Partner shall file amendments to and restatements of the Certificate of Limited Partnership and do all things to maintain the Partnership as a limited partnership (or a partnership or other entity in which the limited partners have limited liability) under the laws of the State of Delaware or of any other state in which the Partnership may elect to do business or own property. Subject to the terms of Section 3.4(a), the General Partner shall not be required, before or after filing, to deliver or mail a copy of the Certificate of Limited Partnership, any qualification document or any amendment thereto to any Limited Partner.</w:t>
      </w:r>
    </w:p>
    <w:p>
      <w:pPr>
        <w:spacing w:after="0" w:line="17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7.3</w:t>
      </w:r>
      <w:r>
        <w:rPr>
          <w:sz w:val="20"/>
          <w:szCs w:val="20"/>
          <w:color w:val="auto"/>
        </w:rPr>
        <w:tab/>
      </w:r>
      <w:r>
        <w:rPr>
          <w:rFonts w:ascii="Times New Roman" w:cs="Times New Roman" w:eastAsia="Times New Roman" w:hAnsi="Times New Roman"/>
          <w:sz w:val="17"/>
          <w:szCs w:val="17"/>
          <w:i w:val="1"/>
          <w:iCs w:val="1"/>
          <w:color w:val="auto"/>
        </w:rPr>
        <w:t>Restrictions on General Partner’s Authority</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80" w:firstLine="1305"/>
        <w:spacing w:after="0" w:line="256" w:lineRule="auto"/>
        <w:tabs>
          <w:tab w:leader="none" w:pos="194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not,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 including, except as otherwise provided in this Agreement, (i) committing any act that would make it impossible to carry on the ordinary business of the Partnership; (ii) possessing Partnership property, or assigning any rights in specific Partnership property, for other than a Partnership purpose; (iii) admitting a Person as a Partner; (iv) amending this Agreement in any manner; or (v) transferring its interest as general partner of the Partnership.</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54" w:lineRule="auto"/>
        <w:tabs>
          <w:tab w:leader="none" w:pos="195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Articles XII and XIV, the General Partner may not sell, exchange or otherwise dispose of all or substantially all of the Partnership’s assets in a single transaction or a series of related transactions (including by way of merger, consolidation or other combination) or approve on behalf of the Partnership the sale, exchange or other disposition of all or substantially all of the assets of the Operating Partnerships, taken as a whole, without the approval of holders of a Unit Majority; provided however that this provision shall not preclude or limit the General Partner’s ability to mortgage, pledge, hypothecate or grant a security interest in all or substantially all of the assets of the Partnership or Operating Partnerships and shall not apply to any forced sale of any or all of the assets of the Partnership or Operating Partnerships pursuant to the foreclosure of, or other realization upon, any such encumbrance. Without the approval of holders of a Unit Majority, the General Partner shall not, on behalf of the Partnership, (i) consent to any amendment to the Operating Partnership Agreements or, except as expressly permitted by Section 7.9(d), take any action permitted to be taken by a partner of an Operating Partnership, in either case, that would have a material adverse effect on the Partnership as a partner of an Operating Partnership or (ii) except as permitted under Sections 4.6, 11.1 and 11.2, elect or cause the Partnership to elect a successor general partner.</w:t>
      </w:r>
    </w:p>
    <w:p>
      <w:pPr>
        <w:spacing w:after="0" w:line="18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7.4</w:t>
      </w:r>
      <w:r>
        <w:rPr>
          <w:sz w:val="20"/>
          <w:szCs w:val="20"/>
          <w:color w:val="auto"/>
        </w:rPr>
        <w:tab/>
      </w:r>
      <w:r>
        <w:rPr>
          <w:rFonts w:ascii="Times New Roman" w:cs="Times New Roman" w:eastAsia="Times New Roman" w:hAnsi="Times New Roman"/>
          <w:sz w:val="17"/>
          <w:szCs w:val="17"/>
          <w:i w:val="1"/>
          <w:iCs w:val="1"/>
          <w:color w:val="auto"/>
        </w:rPr>
        <w:t>Reimbursement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20" w:firstLine="1305"/>
        <w:spacing w:after="0" w:line="282" w:lineRule="auto"/>
        <w:tabs>
          <w:tab w:leader="none" w:pos="194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this Section 7.4 and elsewhere in this Agreement or in the Operating Partnership Agreements, the General Partner shall not be compensated for its services as general partner or managing member of any Group Member.</w:t>
      </w:r>
    </w:p>
    <w:p>
      <w:pPr>
        <w:spacing w:after="0" w:line="161" w:lineRule="exact"/>
        <w:rPr>
          <w:rFonts w:ascii="Times New Roman" w:cs="Times New Roman" w:eastAsia="Times New Roman" w:hAnsi="Times New Roman"/>
          <w:sz w:val="18"/>
          <w:szCs w:val="18"/>
          <w:color w:val="auto"/>
        </w:rPr>
      </w:pPr>
    </w:p>
    <w:p>
      <w:pPr>
        <w:ind w:right="60" w:firstLine="1305"/>
        <w:spacing w:after="0" w:line="254" w:lineRule="auto"/>
        <w:tabs>
          <w:tab w:leader="none" w:pos="1952"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be reimbursed on a monthly basis, or such other reasonable basis as the General Partner may determine in its sole discretion, for (i) all direct and indirect expenses it incurs or payments it makes on behalf of the Partnership (including payments made for the benefit of the Partnership to or on behalf of the Operating General Partner and including salary, bonus, incentive compensation and other amounts paid to any Person including Affiliates of the General Partner to perform services for the benefit of the Partnership, any Group Member or for the General Partner in the discharge of its duties to the Partnership), and (ii) all other necessary or appropriate expenses allocable to the Partnership or otherwise reasonably incurred by the General Partner in connection with operating the Partnership’s business (including expenses allocated to the General Partner by its Affiliates). The General Partner shall determine the expenses that are allocable to the Partnership in any reasonable manner determined by the General Partner in its sole discretion. Reimbursements pursuant to this Section 7.4 shall be in addition to any reimbursement to the General Partner as a result of indemnification pursuant to Section 7.7.</w:t>
      </w:r>
    </w:p>
    <w:p>
      <w:pPr>
        <w:spacing w:after="0" w:line="189" w:lineRule="exact"/>
        <w:rPr>
          <w:rFonts w:ascii="Times New Roman" w:cs="Times New Roman" w:eastAsia="Times New Roman" w:hAnsi="Times New Roman"/>
          <w:sz w:val="18"/>
          <w:szCs w:val="18"/>
          <w:color w:val="auto"/>
        </w:rPr>
      </w:pPr>
    </w:p>
    <w:p>
      <w:pPr>
        <w:ind w:right="60" w:firstLine="1305"/>
        <w:spacing w:after="0" w:line="258" w:lineRule="auto"/>
        <w:tabs>
          <w:tab w:leader="none" w:pos="1955"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5.6(d), the General Partner, in its sole discretion and without the approval of the Limited Partners (who shall have no right to vote in respect thereof), may propose and adopt on behalf of the Partnership employee benefit plans, employee programs and employee practices (including plans, programs and practices involving the issuance of Partnership Securities or options to purchase Partnership Securities), or cause the Partnership to issue Partnership Securities in connection with, or pursuant to, any employee benefit plan, employee program or employee practice maintained or sponsored by the General Partner or any of its Affiliates, in each case for the benefit of employees of the General Partner, any Group</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Member or any Affiliate, or any of them, in respect of services performed, directly or indirectly, for the benefit of the Partnership Group. The Partnership agrees to issue and sell to the General Partner or any of its Affiliates any Partnership Securities that the General Partner or such Affiliate is obligated to provide to any employees pursuant to any such employee benefit plans, employee programs or employee practices. Expenses incurred by the General Partner in connection with any such plans, programs and practices (including the net cost to the General Partner or such Affiliate of Partnership Securities purchased by the General Partner or such Affiliate from the Partnership to fulfill options or awards under such plans, programs and practices) shall be reimbursed in accordance with Section 7.4(b). Any and all obligations of the General Partner under any employee benefit plans, employee programs or employee practices adopted by the General Partner as permitted by this Section 7.4(c) shall constitute obligations of the General Partner hereunder and shall be assumed by any successor General Partner approved pursuant to Section 11.1 or 11.2 or the transferee of or successor to all of the General Partner’s General Partner Interest pursuant to Section 4.6.</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7.5</w:t>
      </w:r>
      <w:r>
        <w:rPr>
          <w:sz w:val="20"/>
          <w:szCs w:val="20"/>
          <w:color w:val="auto"/>
        </w:rPr>
        <w:tab/>
      </w:r>
      <w:r>
        <w:rPr>
          <w:rFonts w:ascii="Times New Roman" w:cs="Times New Roman" w:eastAsia="Times New Roman" w:hAnsi="Times New Roman"/>
          <w:sz w:val="17"/>
          <w:szCs w:val="17"/>
          <w:i w:val="1"/>
          <w:iCs w:val="1"/>
          <w:color w:val="auto"/>
        </w:rPr>
        <w:t>Outside Activities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5" w:lineRule="auto"/>
        <w:tabs>
          <w:tab w:leader="none" w:pos="194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Date, the General Partner, for so long as it is the General Partner of the Partnership (i) agrees that its sole business will be to act as the general partner of the Partnership and, as applicable, any other partnership or limited liability company of which the Partnership is, directly or indirectly, a partner and to undertake activities that are ancillary or related thereto (including being a limited partner in the Partnership), (ii) shall not engage in any business or activity or incur any debts or liabilities except in connection with or incidental to (A) its performance as general partner of one or more Group Members or as described in or contemplated by the Registration Statement or (B) the acquiring, owning or disposing of debt or equity securities in any Group Member and (iii) except to the extent permitted in the Omnibus Agreement, shall not, and shall cause its Affiliates not to, engage in any Restricted Business.</w:t>
      </w:r>
    </w:p>
    <w:p>
      <w:pPr>
        <w:spacing w:after="0" w:line="189" w:lineRule="exact"/>
        <w:rPr>
          <w:rFonts w:ascii="Times New Roman" w:cs="Times New Roman" w:eastAsia="Times New Roman" w:hAnsi="Times New Roman"/>
          <w:sz w:val="18"/>
          <w:szCs w:val="18"/>
          <w:color w:val="auto"/>
        </w:rPr>
      </w:pPr>
    </w:p>
    <w:p>
      <w:pPr>
        <w:jc w:val="both"/>
        <w:ind w:right="120" w:firstLine="1305"/>
        <w:spacing w:after="0" w:line="282" w:lineRule="auto"/>
        <w:tabs>
          <w:tab w:leader="none" w:pos="195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specifically restricted by Section 7.5(a), each Indemnitee (other than the General Partner) shall have the right to engage in businesses of every type and description and other activities for profit and to engage in and possess an interest in other business ventures of any and every</w:t>
      </w:r>
    </w:p>
    <w:p>
      <w:pPr>
        <w:sectPr>
          <w:pgSz w:w="11900" w:h="16933" w:orient="portrait"/>
          <w:cols w:equalWidth="0" w:num="1">
            <w:col w:w="11420"/>
          </w:cols>
          <w:pgMar w:left="240" w:top="121" w:right="239" w:bottom="0" w:gutter="0" w:footer="0" w:header="0"/>
        </w:sectPr>
      </w:pPr>
    </w:p>
    <w:bookmarkStart w:id="48" w:name="page49"/>
    <w:bookmarkEnd w:id="48"/>
    <w:p>
      <w:pPr>
        <w:spacing w:after="0" w:line="6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 or implied by law to any Group Member or any Partner or Assignee. Neither any Group Member, any Limited Partner nor any other Person shall have any rights by virtue of this Agreement, either Operating Partnership Agreement or the partnership relationship established hereby or thereby in any business ventures of any Indemnitee.</w:t>
      </w:r>
    </w:p>
    <w:p>
      <w:pPr>
        <w:spacing w:after="0" w:line="184" w:lineRule="exact"/>
        <w:rPr>
          <w:sz w:val="20"/>
          <w:szCs w:val="20"/>
          <w:color w:val="auto"/>
        </w:rPr>
      </w:pPr>
    </w:p>
    <w:p>
      <w:pPr>
        <w:ind w:left="1960" w:hanging="655"/>
        <w:spacing w:after="0"/>
        <w:tabs>
          <w:tab w:leader="none" w:pos="196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7.5(a) and Section 7.5(b, but otherwise notwithstanding anything to the contrary in this Agreement,</w:t>
      </w:r>
    </w:p>
    <w:p>
      <w:pPr>
        <w:spacing w:after="0" w:line="27" w:lineRule="exact"/>
        <w:rPr>
          <w:rFonts w:ascii="Times New Roman" w:cs="Times New Roman" w:eastAsia="Times New Roman" w:hAnsi="Times New Roman"/>
          <w:sz w:val="18"/>
          <w:szCs w:val="18"/>
          <w:color w:val="auto"/>
        </w:rPr>
      </w:pPr>
    </w:p>
    <w:p>
      <w:pPr>
        <w:jc w:val="both"/>
        <w:ind w:right="40" w:firstLine="8"/>
        <w:spacing w:after="0" w:line="254" w:lineRule="auto"/>
        <w:tabs>
          <w:tab w:leader="none" w:pos="21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engaging in competitive activities by any Indemnitees (other than the General Partner) in accordance with the provisions of this Section 7.5 is hereby approved by the Partnership and all Partners, (ii) it shall be deemed not to be a breach of the General Partner’s fiduciary duty or any other obligation of any type whatsoever of the General Partner for the Indemnitees (other than the General Partner) to engage in such business interests and activities in preference to or to the exclusion of the Partnership and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the Indemnities shall have no obligation to present business opportunities to the Partnership.</w:t>
      </w:r>
    </w:p>
    <w:p>
      <w:pPr>
        <w:spacing w:after="0" w:line="225" w:lineRule="exact"/>
        <w:rPr>
          <w:rFonts w:ascii="Times New Roman" w:cs="Times New Roman" w:eastAsia="Times New Roman" w:hAnsi="Times New Roman"/>
          <w:sz w:val="18"/>
          <w:szCs w:val="18"/>
          <w:color w:val="auto"/>
        </w:rPr>
      </w:pPr>
    </w:p>
    <w:p>
      <w:pPr>
        <w:ind w:right="80" w:firstLine="1305"/>
        <w:spacing w:after="0" w:line="266" w:lineRule="auto"/>
        <w:tabs>
          <w:tab w:leader="none" w:pos="1952"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any of its Affiliates may acquire Units or other Partnership Securities in addition to those acquired on the Closing Date and, except as otherwise provided in this Agreement, shall be entitled to exercise all rights of the General Partner or Limited Partner, as applicable, relating to such Units or Partnership Securities.</w:t>
      </w:r>
    </w:p>
    <w:p>
      <w:pPr>
        <w:spacing w:after="0" w:line="176" w:lineRule="exact"/>
        <w:rPr>
          <w:rFonts w:ascii="Times New Roman" w:cs="Times New Roman" w:eastAsia="Times New Roman" w:hAnsi="Times New Roman"/>
          <w:sz w:val="18"/>
          <w:szCs w:val="18"/>
          <w:color w:val="auto"/>
        </w:rPr>
      </w:pPr>
    </w:p>
    <w:p>
      <w:pPr>
        <w:ind w:right="420" w:firstLine="1305"/>
        <w:spacing w:after="0" w:line="282" w:lineRule="auto"/>
        <w:tabs>
          <w:tab w:leader="none" w:pos="1955"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“Affiliates” when used in Section 7.5(a) and Section 7.5(d) with respect to the General Partner shall not include any Group Member or any Subsidiary of the Group Member.</w:t>
      </w:r>
    </w:p>
    <w:p>
      <w:pPr>
        <w:spacing w:after="0" w:line="161" w:lineRule="exact"/>
        <w:rPr>
          <w:rFonts w:ascii="Times New Roman" w:cs="Times New Roman" w:eastAsia="Times New Roman" w:hAnsi="Times New Roman"/>
          <w:sz w:val="18"/>
          <w:szCs w:val="18"/>
          <w:color w:val="auto"/>
        </w:rPr>
      </w:pPr>
    </w:p>
    <w:p>
      <w:pPr>
        <w:ind w:right="40" w:firstLine="1305"/>
        <w:spacing w:after="0" w:line="258" w:lineRule="auto"/>
        <w:tabs>
          <w:tab w:leader="none" w:pos="1949"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to the extent that provisions of Sections 7.7, 7.8, 7.9, 7.10 or other Sections of this Agreement purport or are interpreted to have the effect of restricting the fiduciary duties that might otherwise, as a result of Delaware or other applicable law, be owed by the General Partner to the Partnership and its Limited Partners, or to constitute a waiver or consent by the Limited Partners to any such restriction, such provisions shall be inapplicable and have no effect in determining whether the General Partner has complied with its fiduciary duties in connection with determinations made by it under this Section 7.5.</w:t>
      </w:r>
    </w:p>
    <w:p>
      <w:pPr>
        <w:spacing w:after="0" w:line="182" w:lineRule="exact"/>
        <w:rPr>
          <w:sz w:val="20"/>
          <w:szCs w:val="20"/>
          <w:color w:val="auto"/>
        </w:rPr>
      </w:pPr>
    </w:p>
    <w:p>
      <w:pPr>
        <w:ind w:left="1960" w:right="160" w:hanging="1296"/>
        <w:spacing w:after="0" w:line="284" w:lineRule="auto"/>
        <w:tabs>
          <w:tab w:leader="none" w:pos="1940" w:val="left"/>
        </w:tabs>
        <w:rPr>
          <w:sz w:val="20"/>
          <w:szCs w:val="20"/>
          <w:color w:val="auto"/>
        </w:rPr>
      </w:pPr>
      <w:r>
        <w:rPr>
          <w:rFonts w:ascii="Times New Roman" w:cs="Times New Roman" w:eastAsia="Times New Roman" w:hAnsi="Times New Roman"/>
          <w:sz w:val="18"/>
          <w:szCs w:val="18"/>
          <w:color w:val="auto"/>
        </w:rPr>
        <w:t>Section 7.6</w:t>
      </w:r>
      <w:r>
        <w:rPr>
          <w:sz w:val="20"/>
          <w:szCs w:val="20"/>
          <w:color w:val="auto"/>
        </w:rPr>
        <w:tab/>
      </w:r>
      <w:r>
        <w:rPr>
          <w:rFonts w:ascii="Times New Roman" w:cs="Times New Roman" w:eastAsia="Times New Roman" w:hAnsi="Times New Roman"/>
          <w:sz w:val="18"/>
          <w:szCs w:val="18"/>
          <w:i w:val="1"/>
          <w:iCs w:val="1"/>
          <w:color w:val="auto"/>
        </w:rPr>
        <w:t>Loans from the General Partner; Loans or Contributions from the Partnership; Contracts with Affiliates; Certain Restrictions on the General Partner</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40" w:firstLine="1305"/>
        <w:spacing w:after="0" w:line="255" w:lineRule="auto"/>
        <w:tabs>
          <w:tab w:leader="none" w:pos="194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or its Affiliates may lend to any Group Member, and any Group Member may borrow from the General Partner or any of its Affiliates, funds needed or desired by the Group Member for such periods of time and in such amounts as the General Partner may determine; provided, however, that in any such case the lending party may not charge the borrowing party interest at a rate greater than the rate that would be charged the borrowing party or impose terms less favorable to the borrowing party than would be charged or imposed on the borrowing party by unrelated lenders on comparable loans made on an arm’s-length basis (without reference to the lending party’s financial abilities or guarantees). The borrowing party shall reimburse the lending party for any costs (other than any additional interest costs) incurred by the lending party in connection with the borrowing of such funds. For purposes of this Section 7.6(a) and Section 7.6(b), the term “Group Member” shall include any Affiliate of a Group Member that is controlled by the Group Member. No Group Member may lend funds to the General Partner or any of its Affiliates (other than another Group Member).</w:t>
      </w:r>
    </w:p>
    <w:p>
      <w:pPr>
        <w:spacing w:after="0" w:line="185" w:lineRule="exact"/>
        <w:rPr>
          <w:rFonts w:ascii="Times New Roman" w:cs="Times New Roman" w:eastAsia="Times New Roman" w:hAnsi="Times New Roman"/>
          <w:sz w:val="18"/>
          <w:szCs w:val="18"/>
          <w:color w:val="auto"/>
        </w:rPr>
      </w:pPr>
    </w:p>
    <w:p>
      <w:pPr>
        <w:ind w:right="20" w:firstLine="1305"/>
        <w:spacing w:after="0" w:line="258" w:lineRule="auto"/>
        <w:tabs>
          <w:tab w:leader="none" w:pos="195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lend or contribute to any Group Member, and any Group Member may borrow from the Partnership, funds on terms and conditions established in the sole discretion of the General Partner; provided, however, that the Partnership may not charge the Group Member interest at a rate less than the rate that would be charged to the Group Member (without reference to the General Partner’s financial abilities or guarantees) by unrelated lenders on comparable loans. The foregoing authority shall be exercised by the General Partner in its sole discretion and shall not create any right or benefit in favor of any Group Member or any other Person.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55" w:lineRule="auto"/>
        <w:tabs>
          <w:tab w:leader="none" w:pos="195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itself, or may enter into an agreement with any of its Affiliates to, render services to a Group Member or to the General Partner in the discharge of its duties as general partner of the Partnership. Any services rendered to a Group Member by the General Partner or any of its Affiliates shall be on terms that are fair and reasonable to the Partnership; provided, however, that the requirements of this Section 7.6(c) shall be deemed satisfied as to (i) any transaction approved by Special Approval, (ii) any transaction, the terms of which are no less favorable to the Partnership Group than those generally being provided to or available from unrelated third parties or (iii) any transaction that, taking into account the totality of the relationships between the parties involved (including other transactions that may be particularly favorable or advantageous to the Partnership Group), is equitable to the Partnership Group. The provisions of Section 7.4 shall apply to the rendering of services described in this Section 7.6(c).</w:t>
      </w:r>
    </w:p>
    <w:p>
      <w:pPr>
        <w:spacing w:after="0" w:line="189" w:lineRule="exact"/>
        <w:rPr>
          <w:rFonts w:ascii="Times New Roman" w:cs="Times New Roman" w:eastAsia="Times New Roman" w:hAnsi="Times New Roman"/>
          <w:sz w:val="18"/>
          <w:szCs w:val="18"/>
          <w:color w:val="auto"/>
        </w:rPr>
      </w:pPr>
    </w:p>
    <w:p>
      <w:pPr>
        <w:ind w:right="180" w:firstLine="1305"/>
        <w:spacing w:after="0" w:line="266" w:lineRule="auto"/>
        <w:tabs>
          <w:tab w:leader="none" w:pos="1952"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Group may transfer assets to joint ventures, other partnerships, corporations, limited liability companies or other business entities in which it is or thereby becomes a participant upon such terms and subject to such conditions as are consistent with this Agreement and applicable law.</w:t>
      </w:r>
    </w:p>
    <w:p>
      <w:pPr>
        <w:spacing w:after="0" w:line="176" w:lineRule="exact"/>
        <w:rPr>
          <w:rFonts w:ascii="Times New Roman" w:cs="Times New Roman" w:eastAsia="Times New Roman" w:hAnsi="Times New Roman"/>
          <w:sz w:val="18"/>
          <w:szCs w:val="18"/>
          <w:color w:val="auto"/>
        </w:rPr>
      </w:pPr>
    </w:p>
    <w:p>
      <w:pPr>
        <w:ind w:right="20" w:firstLine="1305"/>
        <w:spacing w:after="0" w:line="254" w:lineRule="auto"/>
        <w:tabs>
          <w:tab w:leader="none" w:pos="1955"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General Partner nor any of its Affiliates shall sell, transfer or convey any property to, or purchase any property from, the Partnership, directly or indirectly, except pursuant to transactions that are fair and reasonable to the Partnership; provided, however, that the requirements of this Section 7.6(e) shall be deemed to be satisfied as to (i) the transactions effected pursuant to Sections 5.2 and 5.3, the Contribution and Conveyance Agreement and any other transactions described in or contemplated by the Registration Statement, (ii) any transaction approved by Special Approval, (iii) any transaction, the terms of which are no less favorable to the Partnership than those generally being provided to or available from unrelated third parties, or</w:t>
      </w:r>
    </w:p>
    <w:p>
      <w:pPr>
        <w:spacing w:after="0" w:line="3" w:lineRule="exact"/>
        <w:rPr>
          <w:rFonts w:ascii="Times New Roman" w:cs="Times New Roman" w:eastAsia="Times New Roman" w:hAnsi="Times New Roman"/>
          <w:sz w:val="18"/>
          <w:szCs w:val="18"/>
          <w:color w:val="auto"/>
        </w:rPr>
      </w:pPr>
    </w:p>
    <w:p>
      <w:pPr>
        <w:ind w:right="20" w:firstLine="8"/>
        <w:spacing w:after="0" w:line="252" w:lineRule="auto"/>
        <w:tabs>
          <w:tab w:leader="none" w:pos="305"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taking into account the totality of the relationships between the parties involved (including other transactions that may be particularly favorable or advantageous to the Partnership), is equitable to the Partnership. With respect to any contribution of assets to the Partnership in exchange for Partnership Securities, the Conflicts Committee, in determining whether the appropriate number of Partnership Securities are being issued, may take into account, among other things, the fair market value of the assets, the liquidated and contingent liabilities assumed, the tax basis in the assets, the extent to which tax-only allocations to the transferor will protect the existing partners of the Partnership against a low tax basis, and such other factors as the Conflicts Committee deems relevant under the circumstances.</w:t>
      </w:r>
    </w:p>
    <w:p>
      <w:pPr>
        <w:sectPr>
          <w:pgSz w:w="11900" w:h="16905" w:orient="portrait"/>
          <w:cols w:equalWidth="0" w:num="1">
            <w:col w:w="11420"/>
          </w:cols>
          <w:pgMar w:left="240" w:top="121" w:right="239" w:bottom="0" w:gutter="0" w:footer="0" w:header="0"/>
        </w:sectPr>
      </w:pPr>
    </w:p>
    <w:bookmarkStart w:id="49" w:name="page50"/>
    <w:bookmarkEnd w:id="49"/>
    <w:p>
      <w:pPr>
        <w:ind w:right="100" w:firstLine="1305"/>
        <w:spacing w:after="0" w:line="266" w:lineRule="auto"/>
        <w:tabs>
          <w:tab w:leader="none" w:pos="194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and its Affiliates will have no obligation to permit any Group Member to use any facilities or assets of the General Partner and its Affiliates, except as may be provided in contracts entered into from time to time specifically dealing with such use, nor shall there be any obligation on the part of the General Partner or its Affiliates to enter into such contracts.</w:t>
      </w:r>
    </w:p>
    <w:p>
      <w:pPr>
        <w:spacing w:after="0" w:line="176" w:lineRule="exact"/>
        <w:rPr>
          <w:rFonts w:ascii="Times New Roman" w:cs="Times New Roman" w:eastAsia="Times New Roman" w:hAnsi="Times New Roman"/>
          <w:sz w:val="18"/>
          <w:szCs w:val="18"/>
          <w:color w:val="auto"/>
        </w:rPr>
      </w:pPr>
    </w:p>
    <w:p>
      <w:pPr>
        <w:ind w:right="40" w:firstLine="1305"/>
        <w:spacing w:after="0" w:line="282" w:lineRule="auto"/>
        <w:tabs>
          <w:tab w:leader="none" w:pos="1965"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limitation of Sections 7.6(a) through 7.6(f), and notwithstanding anything to the contrary in this Agreement, the existence of the conflicts of interest described in the Registration Statement are hereby approved by all Partners.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7.7</w:t>
      </w:r>
      <w:r>
        <w:rPr>
          <w:sz w:val="20"/>
          <w:szCs w:val="20"/>
          <w:color w:val="auto"/>
        </w:rPr>
        <w:tab/>
      </w:r>
      <w:r>
        <w:rPr>
          <w:rFonts w:ascii="Times New Roman" w:cs="Times New Roman" w:eastAsia="Times New Roman" w:hAnsi="Times New Roman"/>
          <w:sz w:val="17"/>
          <w:szCs w:val="17"/>
          <w:i w:val="1"/>
          <w:iCs w:val="1"/>
          <w:color w:val="auto"/>
        </w:rPr>
        <w:t>Indemnification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1305"/>
        <w:spacing w:after="0" w:line="253" w:lineRule="auto"/>
        <w:tabs>
          <w:tab w:leader="none" w:pos="194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provided, that in each case the Indemnitee acted in good faith and in a manner that such Indemnitee reasonably believed to be in, or (in the case of a Person other than the General Partner) not opposed to, the best interests of the Partnership and, with respect to any criminal proceeding, had no reasonable cause to believe its conduct was unlawful; provided, further, no indemnification pursuant to this Section 7.7 shall be available to the General Partner with respect to its obligations incurred pursuant to the Underwriting Agreement or the Contribution and Conveyance Agreement (other than obligations incurred by the General Partner on behalf of the Partnership or any Operating Partnership). The termination of any action, suit or proceeding by judgment, order, settlement, conviction or upon a plea of nolo contendere, or its equivalent, shall not create a presumption that the Indemnitee acted in a manner contrary to that specified above. Any indemnification pursuant to this Section 7.7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188" w:lineRule="exact"/>
        <w:rPr>
          <w:rFonts w:ascii="Times New Roman" w:cs="Times New Roman" w:eastAsia="Times New Roman" w:hAnsi="Times New Roman"/>
          <w:sz w:val="18"/>
          <w:szCs w:val="18"/>
          <w:color w:val="auto"/>
        </w:rPr>
      </w:pPr>
    </w:p>
    <w:p>
      <w:pPr>
        <w:ind w:right="60" w:firstLine="1305"/>
        <w:spacing w:after="0" w:line="261" w:lineRule="auto"/>
        <w:tabs>
          <w:tab w:leader="none" w:pos="19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expenses (including legal fees and expenses) incurred by an Indemnitee who is indemnified pursuant to Section 7.7(a) in defending any claim, demand, action, suit or proceeding shall, from time to time, be advanced by the Partnership prior to the final disposition of such claim, demand, action, suit or proceeding upon receipt by the Partnership of any undertaking by or on behalf of the Indemnitee to repay such amount if it shall be determined that the Indemnitee is not entitled to be indemnified as authorized in this Section 7.7.</w:t>
      </w:r>
    </w:p>
    <w:p>
      <w:pPr>
        <w:spacing w:after="0" w:line="180" w:lineRule="exact"/>
        <w:rPr>
          <w:rFonts w:ascii="Times New Roman" w:cs="Times New Roman" w:eastAsia="Times New Roman" w:hAnsi="Times New Roman"/>
          <w:sz w:val="18"/>
          <w:szCs w:val="18"/>
          <w:color w:val="auto"/>
        </w:rPr>
      </w:pPr>
    </w:p>
    <w:p>
      <w:pPr>
        <w:ind w:firstLine="1305"/>
        <w:spacing w:after="0" w:line="258" w:lineRule="auto"/>
        <w:tabs>
          <w:tab w:leader="none" w:pos="1955"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indemnification provided by this Section 7.7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(including any capacity under the Underwriting Agreement), and shall continue as to an Indemnitee who has ceased to serve in such capacity and shall inure to the benefit of the heirs, successors, assigns and administrators of the Indemnitee.</w:t>
      </w:r>
    </w:p>
    <w:p>
      <w:pPr>
        <w:spacing w:after="0" w:line="183" w:lineRule="exact"/>
        <w:rPr>
          <w:rFonts w:ascii="Times New Roman" w:cs="Times New Roman" w:eastAsia="Times New Roman" w:hAnsi="Times New Roman"/>
          <w:sz w:val="18"/>
          <w:szCs w:val="18"/>
          <w:color w:val="auto"/>
        </w:rPr>
      </w:pPr>
    </w:p>
    <w:p>
      <w:pPr>
        <w:ind w:right="40" w:firstLine="1305"/>
        <w:spacing w:after="0" w:line="261" w:lineRule="auto"/>
        <w:tabs>
          <w:tab w:leader="none" w:pos="1952"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may purchase and maintain (or reimburse the General Partner or its Affiliates for the cost of) insurance, on behalf of the General Partner, its Affiliates and such other Persons as the General Partner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56" w:lineRule="auto"/>
        <w:tabs>
          <w:tab w:leader="none" w:pos="195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7.7, the Partnership shall be deemed to have requested an Indemnitee to serve as fiduciary of an employee benefit plan whenever the performance by it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Section 7.7(a); and action taken or omitted by it with respect to any employee benefit plan in the performance of its duties for a purpose reasonably believed by it to be in the interest of the participants and beneficiaries of the plan shall be deemed to be for a purpose which is in, or not opposed to, the best interests of the Partnership.</w:t>
      </w:r>
    </w:p>
    <w:p>
      <w:pPr>
        <w:spacing w:after="0" w:line="18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may an Indemnitee subject the Limited Partners to personal liability by reason of the indemnification provisions set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forth in this Agreement.</w:t>
      </w:r>
    </w:p>
    <w:p>
      <w:pPr>
        <w:spacing w:after="0" w:line="206" w:lineRule="exact"/>
        <w:rPr>
          <w:rFonts w:ascii="Times New Roman" w:cs="Times New Roman" w:eastAsia="Times New Roman" w:hAnsi="Times New Roman"/>
          <w:sz w:val="18"/>
          <w:szCs w:val="18"/>
          <w:color w:val="auto"/>
        </w:rPr>
      </w:pPr>
    </w:p>
    <w:p>
      <w:pPr>
        <w:ind w:right="520" w:firstLine="1305"/>
        <w:spacing w:after="0" w:line="282" w:lineRule="auto"/>
        <w:tabs>
          <w:tab w:leader="none" w:pos="196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Indemnitee shall not be denied indemnification in whole or in part under this Section 7.7 because the Indemnitee had an interest in the transaction with respect to which the indemnification applies if the transaction was otherwise permitted by the terms of this Agreement.</w:t>
      </w:r>
    </w:p>
    <w:p>
      <w:pPr>
        <w:spacing w:after="0" w:line="161" w:lineRule="exact"/>
        <w:rPr>
          <w:rFonts w:ascii="Times New Roman" w:cs="Times New Roman" w:eastAsia="Times New Roman" w:hAnsi="Times New Roman"/>
          <w:sz w:val="18"/>
          <w:szCs w:val="18"/>
          <w:color w:val="auto"/>
        </w:rPr>
      </w:pPr>
    </w:p>
    <w:p>
      <w:pPr>
        <w:ind w:right="340" w:firstLine="1305"/>
        <w:spacing w:after="0" w:line="282" w:lineRule="auto"/>
        <w:tabs>
          <w:tab w:leader="none" w:pos="1952"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7.7 are for the benefit of the Indemnitees, their heirs, successors, assigns and administrators and shall not be deemed to create any rights for the benefit of any other Persons.</w:t>
      </w:r>
    </w:p>
    <w:p>
      <w:pPr>
        <w:spacing w:after="0" w:line="161" w:lineRule="exact"/>
        <w:rPr>
          <w:rFonts w:ascii="Times New Roman" w:cs="Times New Roman" w:eastAsia="Times New Roman" w:hAnsi="Times New Roman"/>
          <w:sz w:val="18"/>
          <w:szCs w:val="18"/>
          <w:color w:val="auto"/>
        </w:rPr>
      </w:pPr>
    </w:p>
    <w:p>
      <w:pPr>
        <w:ind w:right="80" w:firstLine="1305"/>
        <w:spacing w:after="0" w:line="258" w:lineRule="auto"/>
        <w:tabs>
          <w:tab w:leader="none" w:pos="1966"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amendment, modification or repeal of this Section 7.7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Section 7.7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7.8</w:t>
      </w:r>
      <w:r>
        <w:rPr>
          <w:sz w:val="20"/>
          <w:szCs w:val="20"/>
          <w:color w:val="auto"/>
        </w:rPr>
        <w:tab/>
      </w:r>
      <w:r>
        <w:rPr>
          <w:rFonts w:ascii="Times New Roman" w:cs="Times New Roman" w:eastAsia="Times New Roman" w:hAnsi="Times New Roman"/>
          <w:sz w:val="17"/>
          <w:szCs w:val="17"/>
          <w:i w:val="1"/>
          <w:iCs w:val="1"/>
          <w:color w:val="auto"/>
        </w:rPr>
        <w:t>Liability of lndemnitees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40" w:firstLine="1305"/>
        <w:spacing w:after="0" w:line="266" w:lineRule="auto"/>
        <w:tabs>
          <w:tab w:leader="none" w:pos="194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no Indemnitee shall be liable for monetary damages to the Partnership, the Limited Partners, the Assignees or any other Persons who have acquired interests in the Partnership Securities, for losses sustained or liabilities incurred as a result of any act or omission if such Indemnitee acted in good faith.</w:t>
      </w:r>
    </w:p>
    <w:p>
      <w:pPr>
        <w:sectPr>
          <w:pgSz w:w="11900" w:h="16838" w:orient="portrait"/>
          <w:cols w:equalWidth="0" w:num="1">
            <w:col w:w="11400"/>
          </w:cols>
          <w:pgMar w:left="240" w:top="337" w:right="259" w:bottom="0" w:gutter="0" w:footer="0" w:header="0"/>
        </w:sectPr>
      </w:pPr>
    </w:p>
    <w:bookmarkStart w:id="50" w:name="page51"/>
    <w:bookmarkEnd w:id="50"/>
    <w:p>
      <w:pPr>
        <w:ind w:right="240" w:firstLine="1305"/>
        <w:spacing w:after="0" w:line="266" w:lineRule="auto"/>
        <w:tabs>
          <w:tab w:leader="none" w:pos="1952"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its obligations and duties as General Partner set forth in Section 7.1(a), the General Partner may exercise any of the powers granted to it by this Agreement and perform any of the duties imposed upon it hereunder either directly or by or through its agents, and the General Partner shall not be responsible for any misconduct or negligence on the part of any such agent appointed by the General Partner in good faith.</w:t>
      </w:r>
    </w:p>
    <w:p>
      <w:pPr>
        <w:spacing w:after="0" w:line="176" w:lineRule="exact"/>
        <w:rPr>
          <w:rFonts w:ascii="Times New Roman" w:cs="Times New Roman" w:eastAsia="Times New Roman" w:hAnsi="Times New Roman"/>
          <w:sz w:val="18"/>
          <w:szCs w:val="18"/>
          <w:color w:val="auto"/>
        </w:rPr>
      </w:pPr>
    </w:p>
    <w:p>
      <w:pPr>
        <w:ind w:right="160" w:firstLine="1305"/>
        <w:spacing w:after="0" w:line="266" w:lineRule="auto"/>
        <w:tabs>
          <w:tab w:leader="none" w:pos="1955"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of this Agreement. The provisions of this Agreement, to the extent that they restrict or otherwise modify the duties and liabilities of an Indemnitee otherwise existing at law or in equity, are agreed by the Partners to replace such other duties and liabilities of such Indemnitee.</w:t>
      </w:r>
    </w:p>
    <w:p>
      <w:pPr>
        <w:spacing w:after="0" w:line="162" w:lineRule="exact"/>
        <w:rPr>
          <w:sz w:val="20"/>
          <w:szCs w:val="20"/>
          <w:color w:val="auto"/>
        </w:rPr>
      </w:pPr>
    </w:p>
    <w:p>
      <w:pPr>
        <w:ind w:right="40" w:firstLine="1305"/>
        <w:spacing w:after="0" w:line="258" w:lineRule="auto"/>
        <w:tabs>
          <w:tab w:leader="none" w:pos="1952"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or repeal of this Section 7.8 or any provision hereof shall be prospective only and shall not in any way affect the limitations on the liability to the Partnership, the Limited Partners, the General Partner, and the Partnership’s and General Partner’s and the Operating General Partner’s directors, officers and employees under this Section 7.8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7.9</w:t>
      </w:r>
      <w:r>
        <w:rPr>
          <w:sz w:val="20"/>
          <w:szCs w:val="20"/>
          <w:color w:val="auto"/>
        </w:rPr>
        <w:tab/>
      </w:r>
      <w:r>
        <w:rPr>
          <w:rFonts w:ascii="Times New Roman" w:cs="Times New Roman" w:eastAsia="Times New Roman" w:hAnsi="Times New Roman"/>
          <w:sz w:val="17"/>
          <w:szCs w:val="17"/>
          <w:i w:val="1"/>
          <w:iCs w:val="1"/>
          <w:color w:val="auto"/>
        </w:rPr>
        <w:t>Resolution of Conflicts of Interest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2" w:lineRule="auto"/>
        <w:tabs>
          <w:tab w:leader="none" w:pos="1942"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expressly provided in this Agreement or an Operating Partnership Agreement, whenever a potential conflict of interest exists or arises between the General Partner or any of its Affiliates, on the one hand, and the Partnership, an Operating Partnership, any Partner or any Assignee, on the other, any resolution or course of action by the General Partner or its Affiliates in respect of such conflict of interest shall be permitted and deemed approved by all Partners, and shall not constitute a breach of this Agreement, of any Operating Partnership Agreement, of any agreement contemplated herein or therein, or of any duty stated or implied by law or equity, if the resolution or course of action is, or by operation of this Agreement is deemed to be, fair and reasonable to the Partnership. The General Partner shall be authorized but not required in connection with its resolution of such conflict of interest to seek Special Approval of such resolution. Any conflict of interest and any resolution of such conflict of interest shall be conclusively deemed fair and reasonable to the Partnership if such conflict of interest or resolution is (i) approved by Special Approval (as long as the material facts known to the General Partner or any of its Affiliates regarding any proposed transaction were disclosed to the Conflicts Committee at the time it gave its approval), (ii) on terms no less favorable to the Partnership than those generally being provided to or available from unrelated third parties or (iii) fair to the Partnership, taking into account the totality of the relationships between the parties involved (including other transactions that may be particularly favorable or advantageous to the Partnership). The General Partner may also adopt a resolution or course of action that has not received Special Approval. The General Partner (including the Conflicts Committee in connection with Special Approval) shall be authorized in connection with its determination of what is “fair and reasonable” to the Partnership and in connection with its resolution of any conflict of interest to consider (A) the relative interests of any party to such conflict, agreement, transaction or situation and the benefits and burdens relating to such interest; (B) any customary or accepted industry practices and any customary or historical dealings with a particular Person; (C) any applicable generally accepted accounting practices or principles; and (D) such additional factors as the General Partner (including the Conflicts Committee) determines in its sole discretion to be relevant, reasonable or appropriate under the circumstances. Nothing contained in this Agreement, however, is intended to nor shall it be construed to require the General Partner (including the Conflicts Committee) to consider the interests of any Person other than the Partnership. In the absence of bad faith by the General Partner, the resolution, action or terms so made, taken or provided by the General Partner with respect to such matter shall not constitute a breach of this Agreement or any other agreement</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contemplated herein or a breach of any standard of care or duty imposed herein or therein or, to the extent permitted by law, under the Delaware Act or any other law, rule or regulation.</w:t>
      </w:r>
    </w:p>
    <w:p>
      <w:pPr>
        <w:spacing w:after="0" w:line="162" w:lineRule="exact"/>
        <w:rPr>
          <w:sz w:val="20"/>
          <w:szCs w:val="20"/>
          <w:color w:val="auto"/>
        </w:rPr>
      </w:pPr>
    </w:p>
    <w:p>
      <w:pPr>
        <w:ind w:right="40" w:firstLine="1305"/>
        <w:spacing w:after="0" w:line="252" w:lineRule="auto"/>
        <w:tabs>
          <w:tab w:leader="none" w:pos="195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this Agreement or any other agreement contemplated hereby provides that the General Partner or any of its Affiliates is permitted or required to make a decision (i) in its “sole discretion” or “discretion,” that it deems “necessary or appropriate” or “necessary or advisable” or under a grant of similar authority or latitude, except as otherwise provided herein, the General Partner or such Affiliate shall be entitled to consider only such interests and factors as it desires and shall have no duty or obligation to give any consideration to any interest of, or factors affecting, the Partnership, any Operating Partnership, any Limited Partner or any Assignee, (ii) it may make such decision in its sole discretion (regardless of whether there is a reference to “sole discretion” or “discretion”) unless another express standard is provided for, or (iii) in “good faith” or under another express standard, the General Partner or such Affiliate shall act under such express standard and shall not be subject to any other or different standards imposed by this Agreement, any Operating Partnership Agreement, any other agreement contemplated hereby or under the Delaware Act or any other law, rule or regulation. In addition, any actions taken by the General Partner or such Affiliate consistent with the standards of “reasonable discretion” set forth in the definitions of Available Cash or Operating Surplus shall not constitute a breach of any duty of the General Partner to the Partnership or the Limited Partners. The General Partner shall have no duty, express or implied, to sell or otherwise dispose of any asset of the Partnership Group other than in the ordinary course of business. No borrowing by any Group Member or the approval thereof by the General Partner shall be deemed to constitute a breach of any duty of the General Partner to the Partnership or the Limited Partners by reason of the fact that the purpose or effect of such borrowing is directly or indirectly to enable distributions to the General Partner or its Affiliates (including in their capacities as Limited Partners) to exceed 2% of the total amount distributed to all partners.</w:t>
      </w:r>
    </w:p>
    <w:p>
      <w:pPr>
        <w:spacing w:after="0" w:line="198" w:lineRule="exact"/>
        <w:rPr>
          <w:rFonts w:ascii="Times New Roman" w:cs="Times New Roman" w:eastAsia="Times New Roman" w:hAnsi="Times New Roman"/>
          <w:sz w:val="18"/>
          <w:szCs w:val="18"/>
          <w:color w:val="auto"/>
        </w:rPr>
      </w:pPr>
    </w:p>
    <w:p>
      <w:pPr>
        <w:ind w:right="60" w:firstLine="1305"/>
        <w:spacing w:after="0" w:line="266" w:lineRule="auto"/>
        <w:tabs>
          <w:tab w:leader="none" w:pos="195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particular transaction, arrangement or resolution of a conflict of interest is required under this Agreement to be “fair and reasonable” to any Person, the fair and reasonable nature of such transaction, arrangement or resolution shall be considered in the context of all similar or related transactions.</w:t>
      </w:r>
    </w:p>
    <w:p>
      <w:pPr>
        <w:spacing w:after="0" w:line="176" w:lineRule="exact"/>
        <w:rPr>
          <w:rFonts w:ascii="Times New Roman" w:cs="Times New Roman" w:eastAsia="Times New Roman" w:hAnsi="Times New Roman"/>
          <w:sz w:val="18"/>
          <w:szCs w:val="18"/>
          <w:color w:val="auto"/>
        </w:rPr>
      </w:pPr>
    </w:p>
    <w:p>
      <w:pPr>
        <w:jc w:val="both"/>
        <w:ind w:right="120" w:firstLine="1305"/>
        <w:spacing w:after="0" w:line="266" w:lineRule="auto"/>
        <w:tabs>
          <w:tab w:leader="none" w:pos="195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Unitholders hereby authorize the General Partner, on behalf of the Partnership as a partner of a Group Member, to approve of actions by the general partner of such Group Member (including the Operating General Partner) similar to those actions permitted to be taken by the General Partner pursuant to this Section 7.9.</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7.10</w:t>
      </w:r>
      <w:r>
        <w:rPr>
          <w:sz w:val="20"/>
          <w:szCs w:val="20"/>
          <w:color w:val="auto"/>
        </w:rPr>
        <w:tab/>
      </w:r>
      <w:r>
        <w:rPr>
          <w:rFonts w:ascii="Times New Roman" w:cs="Times New Roman" w:eastAsia="Times New Roman" w:hAnsi="Times New Roman"/>
          <w:sz w:val="18"/>
          <w:szCs w:val="18"/>
          <w:i w:val="1"/>
          <w:iCs w:val="1"/>
          <w:color w:val="auto"/>
        </w:rPr>
        <w:t>Other Matters Concerning the General Partner</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0" w:gutter="0" w:footer="0" w:header="0"/>
        </w:sectPr>
      </w:pPr>
    </w:p>
    <w:bookmarkStart w:id="51" w:name="page52"/>
    <w:bookmarkEnd w:id="51"/>
    <w:p>
      <w:pPr>
        <w:spacing w:after="0" w:line="84" w:lineRule="exact"/>
        <w:rPr>
          <w:sz w:val="20"/>
          <w:szCs w:val="20"/>
          <w:color w:val="auto"/>
        </w:rPr>
      </w:pPr>
    </w:p>
    <w:p>
      <w:pPr>
        <w:ind w:right="100" w:firstLine="1305"/>
        <w:spacing w:after="0" w:line="266" w:lineRule="auto"/>
        <w:tabs>
          <w:tab w:leader="none" w:pos="194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176" w:lineRule="exact"/>
        <w:rPr>
          <w:rFonts w:ascii="Times New Roman" w:cs="Times New Roman" w:eastAsia="Times New Roman" w:hAnsi="Times New Roman"/>
          <w:sz w:val="18"/>
          <w:szCs w:val="18"/>
          <w:color w:val="auto"/>
        </w:rPr>
      </w:pPr>
    </w:p>
    <w:p>
      <w:pPr>
        <w:ind w:right="320" w:firstLine="1305"/>
        <w:spacing w:after="0" w:line="282" w:lineRule="auto"/>
        <w:tabs>
          <w:tab w:leader="none" w:pos="1952"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may consult with legal counsel, accountants, appraisers, management consultants, investment bankers and other consultants and advisers selected by it, and any act taken or omitted to be taken in reliance upon the opinion (including 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Opinion of Counsel) of such Persons as to matters that the General Partner reasonably believes to be within such Person’s professional or expert competence shall be conclusively presumed to have been done or omitted in good faith and in accordance with such opinion.</w:t>
      </w:r>
    </w:p>
    <w:p>
      <w:pPr>
        <w:spacing w:after="0" w:line="162" w:lineRule="exact"/>
        <w:rPr>
          <w:sz w:val="20"/>
          <w:szCs w:val="20"/>
          <w:color w:val="auto"/>
        </w:rPr>
      </w:pPr>
    </w:p>
    <w:p>
      <w:pPr>
        <w:ind w:right="360" w:firstLine="1305"/>
        <w:spacing w:after="0" w:line="282" w:lineRule="auto"/>
        <w:tabs>
          <w:tab w:leader="none" w:pos="195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161" w:lineRule="exact"/>
        <w:rPr>
          <w:rFonts w:ascii="Times New Roman" w:cs="Times New Roman" w:eastAsia="Times New Roman" w:hAnsi="Times New Roman"/>
          <w:sz w:val="18"/>
          <w:szCs w:val="18"/>
          <w:color w:val="auto"/>
        </w:rPr>
      </w:pPr>
    </w:p>
    <w:p>
      <w:pPr>
        <w:ind w:firstLine="1305"/>
        <w:spacing w:after="0" w:line="261" w:lineRule="auto"/>
        <w:tabs>
          <w:tab w:leader="none" w:pos="195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standard of care and duty imposed by this Agreement or under the Delaware Act or any applicable law, rule or regulation shall be modified, waived or limited, to the extent permitted by law, as required to permit the General Partner to act under this Agreement or any other agreement contemplated by this Agreement and to make any decision pursuant to the authority prescribed in this Agreement, so long as such action is reasonably believed by the General Partner to be in, or not inconsistent with, the best interests of the Partnership.</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7.11</w:t>
      </w:r>
      <w:r>
        <w:rPr>
          <w:sz w:val="20"/>
          <w:szCs w:val="20"/>
          <w:color w:val="auto"/>
        </w:rPr>
        <w:tab/>
      </w:r>
      <w:r>
        <w:rPr>
          <w:rFonts w:ascii="Times New Roman" w:cs="Times New Roman" w:eastAsia="Times New Roman" w:hAnsi="Times New Roman"/>
          <w:sz w:val="17"/>
          <w:szCs w:val="17"/>
          <w:i w:val="1"/>
          <w:iCs w:val="1"/>
          <w:color w:val="auto"/>
        </w:rPr>
        <w:t>Purchase or Sale of Partnership Securities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General Partner may cause the Partnership to purchase or otherwise acquire Partnership Securities. As long as Partnership Securities are held by any Group Member, such Partnership Securities shall not be considered Outstanding for any purpose, except as otherwise provided herein. The General Partner or any Affiliate of the General Partner may also purchase or otherwise acquire and sell or otherwise dispose of Partnership Securities for its own account, subject to the provisions of Articles IV and X.</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7.12</w:t>
      </w:r>
      <w:r>
        <w:rPr>
          <w:sz w:val="20"/>
          <w:szCs w:val="20"/>
          <w:color w:val="auto"/>
        </w:rPr>
        <w:tab/>
      </w:r>
      <w:r>
        <w:rPr>
          <w:rFonts w:ascii="Times New Roman" w:cs="Times New Roman" w:eastAsia="Times New Roman" w:hAnsi="Times New Roman"/>
          <w:sz w:val="18"/>
          <w:szCs w:val="18"/>
          <w:i w:val="1"/>
          <w:iCs w:val="1"/>
          <w:color w:val="auto"/>
        </w:rPr>
        <w:t>Registration Rights of the General Partner and its Affiliates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1305"/>
        <w:spacing w:after="0" w:line="253" w:lineRule="auto"/>
        <w:tabs>
          <w:tab w:leader="none" w:pos="194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General Partner or any Affiliate of the General Partner (including for purposes of this Section 7.12, any Person that is an Affiliate of the General Partner at the date hereof notwithstanding that it may later cease to be an Affiliate of the General Partner) holds Partnership Securities that it desires to sell and (ii) Rule 144 of the Securities Act (or any successor rule or regulation to Rule 144) or another exemption from registration is not available to enable such holder of Partnership Securities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to dispose of the number of Partnership Securities it desires to sell at the time it desires to do so without registration under the Securities Act, then upon the request of the General Partner or any of its Affiliates, the Partnership shall file with the Commission as promptly as practicable after receiving such request, and use all reasonable efforts to cause to become effective and remain effective for a period of not less than six months following its effective date or such shorter period as shall terminate when all Partnership Securities covered by such registration statement have been sold, a registration statement under the Securities Act registering the offering and sale of the number of Partnership Securities specified by the Holder; provided, however, that the Partnership shall not be required to effect more than three registrations pursuant to this Section 7.12(a); and provided further, however, that if the Conflicts Committee determines in its good faith judgment that a postponement of the requested registration for up to six months would be in the best interests of the Partnership and its Partners due to a pending transaction, investigation or other event, the filing of such registration statement or the effectiveness thereof may be deferred for up to six months, but not thereafter. In connection with any registration pursuant to the immediately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preceding sentence, the Partnership shall promptly prepare and file (x) such documents as may be necessary to register or qualify the securities subject to such registration under the securities laws of such states as the Holder shall reasonably request; provided, however,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 such registration, and (y) such documents as may be necessary to apply for listing or to list the Partnership Securities subject to such registration on such National Securities Exchange as the Holder shall reasonably request, and do any and all other acts and things that may reasonably be necessary or advisable to enable the Holder to consummate a public sale of such Partnership Securities in such states. Except as set forth in Section 7.12(c), all costs and expenses of any such registration and offering (other than the underwriting discounts and commissions) shall be paid by the Partnership, without reimbursement by the Holder.</w:t>
      </w:r>
    </w:p>
    <w:p>
      <w:pPr>
        <w:spacing w:after="0" w:line="185" w:lineRule="exact"/>
        <w:rPr>
          <w:sz w:val="20"/>
          <w:szCs w:val="20"/>
          <w:color w:val="auto"/>
        </w:rPr>
      </w:pPr>
    </w:p>
    <w:p>
      <w:pPr>
        <w:ind w:right="60" w:firstLine="1305"/>
        <w:spacing w:after="0" w:line="253" w:lineRule="auto"/>
        <w:tabs>
          <w:tab w:leader="none" w:pos="1952"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Partnership shall at any time propose to file a registration statement under the Securities Act for an offering of equity securities of the Partnership for cash (other than an offering relating solely to an employee benefit plan), the Partnership shall use all reasonable efforts to include such number or amount of securities held by the Holder in such registration statement as the Holder shall request. If the proposed offering pursuant to this Section 7.12(b) shall be an underwritten offering, then, in the event that the managing underwriter or managing underwriters of such offering advise the Partnership and the Holder in writing that in their opinion the inclusion of all or some of the Holder’s Partnership Securities would adversely and materially affect the success of the offering, the Partnership shall include in such offering only that number or amount, if any, of securities held by the Holder which, in the opinion of the managing underwriter or managing underwriters, will not so adversely and materially affect the offering. Except as set forth in</w:t>
      </w:r>
    </w:p>
    <w:p>
      <w:pPr>
        <w:spacing w:after="0" w:line="3" w:lineRule="exact"/>
        <w:rPr>
          <w:rFonts w:ascii="Times New Roman" w:cs="Times New Roman" w:eastAsia="Times New Roman" w:hAnsi="Times New Roman"/>
          <w:sz w:val="18"/>
          <w:szCs w:val="18"/>
          <w:color w:val="auto"/>
        </w:rPr>
      </w:pPr>
    </w:p>
    <w:p>
      <w:pPr>
        <w:ind w:right="3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7.12(c), all costs and expenses of any such registration and offering (other than the underwriting discounts and commissions) shall be paid by the Partnership, without reimbursement by the Holder.</w:t>
      </w:r>
    </w:p>
    <w:p>
      <w:pPr>
        <w:spacing w:after="0" w:line="179" w:lineRule="exact"/>
        <w:rPr>
          <w:rFonts w:ascii="Times New Roman" w:cs="Times New Roman" w:eastAsia="Times New Roman" w:hAnsi="Times New Roman"/>
          <w:sz w:val="18"/>
          <w:szCs w:val="18"/>
          <w:color w:val="auto"/>
        </w:rPr>
      </w:pPr>
    </w:p>
    <w:p>
      <w:pPr>
        <w:ind w:right="40" w:firstLine="1305"/>
        <w:spacing w:after="0" w:line="272" w:lineRule="auto"/>
        <w:tabs>
          <w:tab w:leader="none" w:pos="1955"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underwriters are engaged in connection with any registration referred to in this Section 7.12, the Partnership shall provide indemnification, representations, covenants, opinions and other assurance to the underwriters in form and substance reasonably satisfactory to such underwriters. Further, in addition to and not in limitation of the Partnership’s obligation under Section 7.7, the Partnership shall, to the fullest extent permitted by law, indemnify and hold harmless the Holder, its officers, directors and each Person who controls the Holder (within the meaning of the Securities Act) and any agent thereof (collectively, “</w:t>
      </w:r>
      <w:r>
        <w:rPr>
          <w:rFonts w:ascii="Times New Roman" w:cs="Times New Roman" w:eastAsia="Times New Roman" w:hAnsi="Times New Roman"/>
          <w:sz w:val="17"/>
          <w:szCs w:val="17"/>
          <w:i w:val="1"/>
          <w:iCs w:val="1"/>
          <w:color w:val="auto"/>
        </w:rPr>
        <w:t>Indemnified Persons</w:t>
      </w:r>
      <w:r>
        <w:rPr>
          <w:rFonts w:ascii="Times New Roman" w:cs="Times New Roman" w:eastAsia="Times New Roman" w:hAnsi="Times New Roman"/>
          <w:sz w:val="17"/>
          <w:szCs w:val="17"/>
          <w:color w:val="auto"/>
        </w:rPr>
        <w:t>”) against any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Section 7.12(c) as a “</w:t>
      </w:r>
      <w:r>
        <w:rPr>
          <w:rFonts w:ascii="Times New Roman" w:cs="Times New Roman" w:eastAsia="Times New Roman" w:hAnsi="Times New Roman"/>
          <w:sz w:val="17"/>
          <w:szCs w:val="17"/>
          <w:i w:val="1"/>
          <w:iCs w:val="1"/>
          <w:color w:val="auto"/>
        </w:rPr>
        <w:t>claim</w:t>
      </w:r>
      <w:r>
        <w:rPr>
          <w:rFonts w:ascii="Times New Roman" w:cs="Times New Roman" w:eastAsia="Times New Roman" w:hAnsi="Times New Roman"/>
          <w:sz w:val="17"/>
          <w:szCs w:val="17"/>
          <w:color w:val="auto"/>
        </w:rPr>
        <w:t>” and in the plural as “</w:t>
      </w:r>
      <w:r>
        <w:rPr>
          <w:rFonts w:ascii="Times New Roman" w:cs="Times New Roman" w:eastAsia="Times New Roman" w:hAnsi="Times New Roman"/>
          <w:sz w:val="17"/>
          <w:szCs w:val="17"/>
          <w:i w:val="1"/>
          <w:iCs w:val="1"/>
          <w:color w:val="auto"/>
        </w:rPr>
        <w:t>claims</w:t>
      </w:r>
      <w:r>
        <w:rPr>
          <w:rFonts w:ascii="Times New Roman" w:cs="Times New Roman" w:eastAsia="Times New Roman" w:hAnsi="Times New Roman"/>
          <w:sz w:val="17"/>
          <w:szCs w:val="17"/>
          <w:color w:val="auto"/>
        </w:rPr>
        <w:t>”) based upon, arising out of or resulting from any untrue statement or alleged untrue statement of any material fact contained in any</w:t>
      </w:r>
    </w:p>
    <w:p>
      <w:pPr>
        <w:sectPr>
          <w:pgSz w:w="11900" w:h="16923" w:orient="portrait"/>
          <w:cols w:equalWidth="0" w:num="1">
            <w:col w:w="11420"/>
          </w:cols>
          <w:pgMar w:left="240" w:top="121" w:right="239" w:bottom="0" w:gutter="0" w:footer="0" w:header="0"/>
        </w:sectPr>
      </w:pPr>
    </w:p>
    <w:bookmarkStart w:id="52" w:name="page53"/>
    <w:bookmarkEnd w:id="52"/>
    <w:p>
      <w:pPr>
        <w:spacing w:after="0" w:line="11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registration statement under which any Partnership Securities were registered under the Securities Act or any state securities or Blue Sky laws, in any preliminary prospectus (if used prior to the effective date of such registration statement), or in any summary or final prospectus or in any amendment or supplement thereto (if used during the period the Partnership is required to keep the registration statement current), or arising out of, based upon or resulting from the omission or alleged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omission to state therein a material fact required to be stated therein or necessary to make the statements made therein not misleading; provided, however,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or final prospectus or such amendment or supplement, in reliance upon and in conformity with written information furnished to the Partnership by or on behalf of such Indemnified Person specifically for use in the preparation thereof.</w:t>
      </w:r>
    </w:p>
    <w:p>
      <w:pPr>
        <w:spacing w:after="0" w:line="184" w:lineRule="exact"/>
        <w:rPr>
          <w:sz w:val="20"/>
          <w:szCs w:val="20"/>
          <w:color w:val="auto"/>
        </w:rPr>
      </w:pPr>
    </w:p>
    <w:p>
      <w:pPr>
        <w:ind w:right="60" w:firstLine="1305"/>
        <w:spacing w:after="0" w:line="256" w:lineRule="auto"/>
        <w:tabs>
          <w:tab w:leader="none" w:pos="1952"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7.12(a) and 7.12(b) shall continue to be applicable with respect to the General Partner (and any of the General Partner’s Affiliates) after it ceases to be a Partner of the Partnership, during a period of two years subsequent to the effective date of such cessation and for so long thereafter as is required for the Holder to sell all of the Partnership Securities with respect to which it has requested during such two-year period inclusion in a registration statement otherwise filed or that a registration statement be filed; provided, however, that the Partnership shall not be required to file successive registration statements covering the same Partnership Securities for which registration was demanded during such two-year period. The provisions of Section 7.12(c) shall continue in effect thereafter.</w:t>
      </w:r>
    </w:p>
    <w:p>
      <w:pPr>
        <w:spacing w:after="0" w:line="187" w:lineRule="exact"/>
        <w:rPr>
          <w:rFonts w:ascii="Times New Roman" w:cs="Times New Roman" w:eastAsia="Times New Roman" w:hAnsi="Times New Roman"/>
          <w:sz w:val="18"/>
          <w:szCs w:val="18"/>
          <w:color w:val="auto"/>
        </w:rPr>
      </w:pPr>
    </w:p>
    <w:p>
      <w:pPr>
        <w:ind w:right="40" w:firstLine="1305"/>
        <w:spacing w:after="0" w:line="258" w:lineRule="auto"/>
        <w:tabs>
          <w:tab w:leader="none" w:pos="195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to register Partnership Securities pursuant to this Section 7.12 shall (i) specify the Partnership Securities intended to be offered and sold by the Person making the request, (ii) express such Person’s present intent to offer such shares for distribution, (iii) describe the nature or method of the proposed offer and sale of Partnership Securities, and (iv) contain the undertaking of such Person to provide all such information and materials and take all action as may be required in order to permit the Partnership to comply with all applicable requirements in connection with the registration of such Partnership Securities.</w:t>
      </w:r>
    </w:p>
    <w:p>
      <w:pPr>
        <w:spacing w:after="0" w:line="18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7.13</w:t>
      </w:r>
      <w:r>
        <w:rPr>
          <w:sz w:val="20"/>
          <w:szCs w:val="20"/>
          <w:color w:val="auto"/>
        </w:rPr>
        <w:tab/>
      </w:r>
      <w:r>
        <w:rPr>
          <w:rFonts w:ascii="Times New Roman" w:cs="Times New Roman" w:eastAsia="Times New Roman" w:hAnsi="Times New Roman"/>
          <w:sz w:val="17"/>
          <w:szCs w:val="17"/>
          <w:i w:val="1"/>
          <w:iCs w:val="1"/>
          <w:color w:val="auto"/>
        </w:rPr>
        <w:t>Reliance by Third Parties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Notwithstanding anything to the contrary in this Agreement, any Person dealing with the Partnership shall be entitled to assume that the General Partner and any officer of the General Partner authorized by the General Partner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General Partner or any such officer in connection with any such dealing. In no event shall any Person dealing with the General Partner or any such officer or its representatives be obligated to ascertain that the terms of the Agreement have been complied with or to inquire into the necessity or expedience of any act or action of the General Partner or any such officer or its representatives. Each and every certificate, document or other instrument executed on behalf of the Partnership by the General Partner or its representatives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behalf of the Partnership and (c) such certificate, document or instrument was duly executed and delivered in accordance with the terms and provisions of this Agreement and is binding upon the Partnership.</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BOOKS, RECORDS, ACCOUNTING AND REPORTS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8.1</w:t>
      </w:r>
      <w:r>
        <w:rPr>
          <w:sz w:val="20"/>
          <w:szCs w:val="20"/>
          <w:color w:val="auto"/>
        </w:rPr>
        <w:tab/>
      </w:r>
      <w:r>
        <w:rPr>
          <w:rFonts w:ascii="Times New Roman" w:cs="Times New Roman" w:eastAsia="Times New Roman" w:hAnsi="Times New Roman"/>
          <w:sz w:val="17"/>
          <w:szCs w:val="17"/>
          <w:i w:val="1"/>
          <w:iCs w:val="1"/>
          <w:color w:val="auto"/>
        </w:rPr>
        <w:t>Records and Accounting</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General Partner shall keep or cause to be kept at the principal office of the Partnership appropriate books and records with respect to the Partnership’s business, including all books and records necessary to provide to the Limited Partners any information required to be provided pursuant to Section 3.4(a). Any books and records maintained by or on behalf of the Partnership in the regular course of its business, including the record of the Record Holders and Assignees of Units or other Partnership Securities, books of account and records of Partnership proceedings, may be kept on, or be in the form of, computer disks, hard drives, punch cards, magnetic tape, photographs, micrographics or any other information storage device; provided, that the books and records so maintained are convertible into clearly legible written form within a reasonable period of time. The books of the Partnership shall be maintained, for financial reporting purposes, on an accrual basis in accordance with U.S. GAAP.</w:t>
      </w:r>
    </w:p>
    <w:p>
      <w:pPr>
        <w:spacing w:after="0" w:line="18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8.2</w:t>
      </w:r>
      <w:r>
        <w:rPr>
          <w:sz w:val="20"/>
          <w:szCs w:val="20"/>
          <w:color w:val="auto"/>
        </w:rPr>
        <w:tab/>
      </w:r>
      <w:r>
        <w:rPr>
          <w:rFonts w:ascii="Times New Roman" w:cs="Times New Roman" w:eastAsia="Times New Roman" w:hAnsi="Times New Roman"/>
          <w:sz w:val="17"/>
          <w:szCs w:val="17"/>
          <w:i w:val="1"/>
          <w:iCs w:val="1"/>
          <w:color w:val="auto"/>
        </w:rPr>
        <w:t>Fiscal Year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fiscal year of the Partnership shall be a fiscal year ending December 31.</w:t>
      </w:r>
    </w:p>
    <w:p>
      <w:pPr>
        <w:spacing w:after="0" w:line="22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8.3</w:t>
      </w:r>
      <w:r>
        <w:rPr>
          <w:sz w:val="20"/>
          <w:szCs w:val="20"/>
          <w:color w:val="auto"/>
        </w:rPr>
        <w:tab/>
      </w:r>
      <w:r>
        <w:rPr>
          <w:rFonts w:ascii="Times New Roman" w:cs="Times New Roman" w:eastAsia="Times New Roman" w:hAnsi="Times New Roman"/>
          <w:sz w:val="17"/>
          <w:szCs w:val="17"/>
          <w:i w:val="1"/>
          <w:iCs w:val="1"/>
          <w:color w:val="auto"/>
        </w:rPr>
        <w:t>Reports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8" w:lineRule="auto"/>
        <w:tabs>
          <w:tab w:leader="none" w:pos="1942"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but in no event later than 120 days after the close of each fiscal year of the Partnership, the General Partner shall cause to be mailed or furnished to each Record Holder of a Unit as of a date selected by the General Partner in its discretion, an annual report containing financial statements of the Partnership for such fiscal year of the Partnership, presented in accordance with U.S. GAAP, including a balance sheet and statements of operations, Partnership equity and cash flows, such statements to be audited by a firm of independent public accountants selected by the General Partner.</w:t>
      </w:r>
    </w:p>
    <w:p>
      <w:pPr>
        <w:spacing w:after="0" w:line="183" w:lineRule="exact"/>
        <w:rPr>
          <w:rFonts w:ascii="Times New Roman" w:cs="Times New Roman" w:eastAsia="Times New Roman" w:hAnsi="Times New Roman"/>
          <w:sz w:val="18"/>
          <w:szCs w:val="18"/>
          <w:color w:val="auto"/>
        </w:rPr>
      </w:pPr>
    </w:p>
    <w:p>
      <w:pPr>
        <w:ind w:right="80" w:firstLine="1305"/>
        <w:spacing w:after="0" w:line="313" w:lineRule="auto"/>
        <w:tabs>
          <w:tab w:leader="none" w:pos="1952"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soon as practicable, but in no event later than 90 days after the close of each Quarter except the last Quarter of each fiscal year, the General Partner shall cause to be mailed or furnished to each Record Holder of a Unit, as of a date selected by the General Partner in its discretion, a</w:t>
      </w:r>
    </w:p>
    <w:p>
      <w:pPr>
        <w:sectPr>
          <w:pgSz w:w="11900" w:h="16957" w:orient="portrait"/>
          <w:cols w:equalWidth="0" w:num="1">
            <w:col w:w="11420"/>
          </w:cols>
          <w:pgMar w:left="240" w:top="121" w:right="239" w:bottom="0" w:gutter="0" w:footer="0" w:header="0"/>
        </w:sectPr>
      </w:pPr>
    </w:p>
    <w:bookmarkStart w:id="53" w:name="page54"/>
    <w:bookmarkEnd w:id="53"/>
    <w:p>
      <w:pPr>
        <w:spacing w:after="0" w:line="6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report containing unaudited financial statements of the Partnership and such other information as may be required by applicable law, regulation or rule of any National Securities Exchange on which the Units are listed for trading, or as the General Partner determines to be necessary or appropriate.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MATTERS</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9.1</w:t>
      </w:r>
      <w:r>
        <w:rPr>
          <w:sz w:val="20"/>
          <w:szCs w:val="20"/>
          <w:color w:val="auto"/>
        </w:rPr>
        <w:tab/>
      </w:r>
      <w:r>
        <w:rPr>
          <w:rFonts w:ascii="Times New Roman" w:cs="Times New Roman" w:eastAsia="Times New Roman" w:hAnsi="Times New Roman"/>
          <w:sz w:val="17"/>
          <w:szCs w:val="17"/>
          <w:i w:val="1"/>
          <w:iCs w:val="1"/>
          <w:color w:val="auto"/>
        </w:rPr>
        <w:t>Tax Returns and Information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The Partnership shall timely file all returns of the Partnership that are required for federal, state and local income tax purposes on the basis of the accrual method and a taxable year ending on December 31. The tax information reasonably required by Record Holders for federal and state income tax reporting purposes with respect to a taxable year shall be furnished to them within 90 days of the close of the calendar year in which the Partnership’s taxable year ends. The classification, realization and recognition of income, gain, losses and deductions and other items shall be on the accrual method of accounting for federal income tax purposes.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9.2</w:t>
      </w:r>
      <w:r>
        <w:rPr>
          <w:sz w:val="20"/>
          <w:szCs w:val="20"/>
          <w:color w:val="auto"/>
        </w:rPr>
        <w:tab/>
      </w:r>
      <w:r>
        <w:rPr>
          <w:rFonts w:ascii="Times New Roman" w:cs="Times New Roman" w:eastAsia="Times New Roman" w:hAnsi="Times New Roman"/>
          <w:sz w:val="17"/>
          <w:szCs w:val="17"/>
          <w:i w:val="1"/>
          <w:iCs w:val="1"/>
          <w:color w:val="auto"/>
        </w:rPr>
        <w:t>Tax Elections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5" w:lineRule="auto"/>
        <w:tabs>
          <w:tab w:leader="none" w:pos="194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make the election under Section 754 of the Code in accordance with applicable regulations thereunder, subject to the reservation of the right to seek to revoke any such election upon the General Partner’s determination that such revocation is in the best interests of the Limited Partners. Notwithstanding any other provision herein contained, for the purposes of computing the adjustments under Section 743(b) of the Code, the General Partner shall be authorized (but not required) to adopt a convention whereby the price paid by a transferee of a Limited Partner Interest will be deemed to be the lowest quoted closing price of the Limited Partner Interests on any National Securities Exchange on which such Limited Partner Interests are traded during the calendar month in which such transfer is deemed to occur pursuant to Section 6.2(g) without regard to the actual price paid by such transferee.</w:t>
      </w:r>
    </w:p>
    <w:p>
      <w:pPr>
        <w:spacing w:after="0" w:line="189" w:lineRule="exact"/>
        <w:rPr>
          <w:rFonts w:ascii="Times New Roman" w:cs="Times New Roman" w:eastAsia="Times New Roman" w:hAnsi="Times New Roman"/>
          <w:sz w:val="18"/>
          <w:szCs w:val="18"/>
          <w:color w:val="auto"/>
        </w:rPr>
      </w:pPr>
    </w:p>
    <w:p>
      <w:pPr>
        <w:ind w:right="20" w:firstLine="1305"/>
        <w:spacing w:after="0" w:line="282" w:lineRule="auto"/>
        <w:tabs>
          <w:tab w:leader="none" w:pos="1952"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elect to deduct expenses incurred in organizing the Partnership ratably over a sixty-month period as provided in Section 709 of the Code.</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the General Partner shall determine whether the Partnership should make any other elections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by the Code.</w:t>
      </w:r>
    </w:p>
    <w:p>
      <w:pPr>
        <w:spacing w:after="0" w:line="20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9.3</w:t>
      </w:r>
      <w:r>
        <w:rPr>
          <w:sz w:val="20"/>
          <w:szCs w:val="20"/>
          <w:color w:val="auto"/>
        </w:rPr>
        <w:tab/>
      </w:r>
      <w:r>
        <w:rPr>
          <w:rFonts w:ascii="Times New Roman" w:cs="Times New Roman" w:eastAsia="Times New Roman" w:hAnsi="Times New Roman"/>
          <w:sz w:val="17"/>
          <w:szCs w:val="17"/>
          <w:i w:val="1"/>
          <w:iCs w:val="1"/>
          <w:color w:val="auto"/>
        </w:rPr>
        <w:t>Tax Controversies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Subject to the provisions hereof, the General Partner is designated as the Tax Matters Partner (as defined in the Code) and is authorized and required to represent the Partnership (at the Partnership’s expense) in connection with all examinations of the Partnership’s affairs by tax authorities, including resulting administrative and judicial proceedings, and to expend Partnership funds for professional services and costs associated therewith. Each Partner agrees to cooperate with the General Partner and to do or refrain from doing any or all things reasonably required by the General Partner to conduct such proceedings.</w:t>
      </w:r>
    </w:p>
    <w:p>
      <w:pPr>
        <w:spacing w:after="0" w:line="18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18"/>
          <w:szCs w:val="18"/>
          <w:color w:val="auto"/>
        </w:rPr>
        <w:t>Section 9.4</w:t>
      </w:r>
      <w:r>
        <w:rPr>
          <w:sz w:val="20"/>
          <w:szCs w:val="20"/>
          <w:color w:val="auto"/>
        </w:rPr>
        <w:tab/>
      </w:r>
      <w:r>
        <w:rPr>
          <w:rFonts w:ascii="Times New Roman" w:cs="Times New Roman" w:eastAsia="Times New Roman" w:hAnsi="Times New Roman"/>
          <w:sz w:val="17"/>
          <w:szCs w:val="17"/>
          <w:i w:val="1"/>
          <w:iCs w:val="1"/>
          <w:color w:val="auto"/>
        </w:rPr>
        <w:t>Withholding</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Agreement, the General Partner is authorized to take any action that it determines in its discretion to be necessary or appropriate to cause the Partnership to comply with any withholding requirements established under the Code or any other federal, state, local or foreign law including, without limitation, pursuant to Sections 1441, 1442, 1445 and 1446 of the Code. To the extent that the Partnership or any member of the Partnership Group is required or elects to withhold or pay over to any taxing authority, or any taxing authority seizes, any amount resulting from the allocation or distribution of income to any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member of the Partnership Group, Partner or Assignee, the amount withheld, paid over or seized may at the discretion of the General Partner be treated by the Partnership as a distribution of cash pursuant to Section 6.3 to the Partner or Assignee to whom such withholding, payment or seizure is attributed.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ADMISSION OF PARTNERS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i w:val="1"/>
          <w:iCs w:val="1"/>
          <w:color w:val="auto"/>
        </w:rPr>
        <w:t>Admission of Initial Limited Partners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20" w:firstLine="648"/>
        <w:spacing w:after="0" w:line="258" w:lineRule="auto"/>
        <w:rPr>
          <w:sz w:val="20"/>
          <w:szCs w:val="20"/>
          <w:color w:val="auto"/>
        </w:rPr>
      </w:pPr>
      <w:r>
        <w:rPr>
          <w:rFonts w:ascii="Times New Roman" w:cs="Times New Roman" w:eastAsia="Times New Roman" w:hAnsi="Times New Roman"/>
          <w:sz w:val="18"/>
          <w:szCs w:val="18"/>
          <w:color w:val="auto"/>
        </w:rPr>
        <w:t>Upon the issuance by the Partnership of Common Units and Incentive Distribution Rights to the General Partner as described in Section 5.2, the General Partner shall be deemed to have been admitted to the Partnership as a Limited Partner in respect of the Common Units and Incentive Distribution Rights issued to it. Upon the issuance by the Partnership of Common Units to the Underwriters as described in Section 5.3 in connection with the Initial Offering and the execution by each Underwriter of a Transfer Application, the General Partner shall admit the Underwriters to the Partnership as Initial Limited Partners in respect of the Common Units purchased by them.</w:t>
      </w:r>
    </w:p>
    <w:p>
      <w:pPr>
        <w:spacing w:after="0" w:line="18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8"/>
          <w:szCs w:val="18"/>
          <w:i w:val="1"/>
          <w:iCs w:val="1"/>
          <w:color w:val="auto"/>
        </w:rPr>
        <w:t>Admission of Substituted Limited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By transfer of a Limited Partner Interest in accordance with Article IV, the transferor shall be deemed to have given the transferee the right to seek admission as a Substituted Limited Partner subject to the conditions of, and in the manner permitted under, this Agreement. A transferor of a Certificate representing a Limited Partner Interest, or other evidence of the issuance of uncertificated Units, shall, however, only have the authority to convey to a purchaser or other transferee who does not execute and deliver a Transfer Application (a) the right to negotiate such Certificate, or other evidence of the issuance of uncertificated Units, to a purchaser or other transferee and (b) the right to transfer the right to request admission as a Substituted Limited Partner to such purchaser or other transferee in respect of the transferred Limited Partner Interests. Each transferee of a Limited Partner Interest (including any</w:t>
      </w:r>
    </w:p>
    <w:p>
      <w:pPr>
        <w:sectPr>
          <w:pgSz w:w="11900" w:h="16907" w:orient="portrait"/>
          <w:cols w:equalWidth="0" w:num="1">
            <w:col w:w="11400"/>
          </w:cols>
          <w:pgMar w:left="240" w:top="121" w:right="259" w:bottom="0" w:gutter="0" w:footer="0" w:header="0"/>
        </w:sectPr>
      </w:pPr>
    </w:p>
    <w:bookmarkStart w:id="54" w:name="page55"/>
    <w:bookmarkEnd w:id="54"/>
    <w:p>
      <w:pPr>
        <w:spacing w:after="0" w:line="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nominee holder or an agent acquiring such Limited Partner Interest for the account of another Person) who executes and delivers a Transfer Application shall, by virtue of such execution and delivery,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 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10.3</w:t>
      </w:r>
      <w:r>
        <w:rPr>
          <w:sz w:val="20"/>
          <w:szCs w:val="20"/>
          <w:color w:val="auto"/>
        </w:rPr>
        <w:tab/>
      </w:r>
      <w:r>
        <w:rPr>
          <w:rFonts w:ascii="Times New Roman" w:cs="Times New Roman" w:eastAsia="Times New Roman" w:hAnsi="Times New Roman"/>
          <w:sz w:val="18"/>
          <w:szCs w:val="18"/>
          <w:i w:val="1"/>
          <w:iCs w:val="1"/>
          <w:color w:val="auto"/>
        </w:rPr>
        <w:t>Admission of Successor General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successor General Partner approved pursuant to Section 11.1 or 11.2 or the transferee of or successor to all of the General Partner Interest pursuant to Section 4.6 who is proposed to be admitted as a successor General Partner shall be admitted to the Partnership as the General Partner, effective immediately prior to the withdrawal or removal of the predecessor or transferring General Partner pursuant to Section 11.1 or 11.2 or the transfer of the General Partner Interest pursuant to Section 4.6, provided, however, that no such successor shall be admitted to the Partnership until compliance with the terms of Section 4.6 has occurred and such successor has executed and delivered such other documents or instruments as may be required to effect such admission. Any such successor shall, subject to the terms hereof, carry on the business of the members of the Partnership Group without dissolution.</w:t>
      </w:r>
    </w:p>
    <w:p>
      <w:pPr>
        <w:spacing w:after="0" w:line="186"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10.4</w:t>
      </w:r>
      <w:r>
        <w:rPr>
          <w:sz w:val="20"/>
          <w:szCs w:val="20"/>
          <w:color w:val="auto"/>
        </w:rPr>
        <w:tab/>
      </w:r>
      <w:r>
        <w:rPr>
          <w:rFonts w:ascii="Times New Roman" w:cs="Times New Roman" w:eastAsia="Times New Roman" w:hAnsi="Times New Roman"/>
          <w:sz w:val="18"/>
          <w:szCs w:val="18"/>
          <w:i w:val="1"/>
          <w:iCs w:val="1"/>
          <w:color w:val="auto"/>
        </w:rPr>
        <w:t>Admission of Additional Limited Partners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1305"/>
        <w:spacing w:after="0" w:line="258" w:lineRule="auto"/>
        <w:tabs>
          <w:tab w:leader="none" w:pos="194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(other than the General Partner, an Initial Limited Partner or a Substituted Limited Partner) who makes a Capital Contribution to the Partnership in accordance with this Agreement shall be admitted to the Partnership as an Additional Limited Partner only upon furnishing to the General Partner (i) evidence of acceptance in form satisfactory to the General Partner of all of the terms and conditions of this Agreement, including the power of attorney granted in Section 2.6, and (ii) such other documents or instruments as may be required in the discretion of the General Partner to effect such Person’s admission as an Additional Limited Partner.</w:t>
      </w:r>
    </w:p>
    <w:p>
      <w:pPr>
        <w:spacing w:after="0" w:line="183" w:lineRule="exact"/>
        <w:rPr>
          <w:rFonts w:ascii="Times New Roman" w:cs="Times New Roman" w:eastAsia="Times New Roman" w:hAnsi="Times New Roman"/>
          <w:sz w:val="18"/>
          <w:szCs w:val="18"/>
          <w:color w:val="auto"/>
        </w:rPr>
      </w:pPr>
    </w:p>
    <w:p>
      <w:pPr>
        <w:ind w:right="260" w:firstLine="1305"/>
        <w:spacing w:after="0" w:line="261" w:lineRule="auto"/>
        <w:tabs>
          <w:tab w:leader="none" w:pos="195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10.4, no Person shall be admitted as an Additional Limited Partner without the consent of the General Partner, which consent may be given or withheld in the General Partner’s discretion. The admission of any Person as an Additional Limited Partner shall become effective on the date upon which the name of such Person is recorded as such in the books and records of the Partnership, following the consent of the General. Partner to such admission.</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7"/>
          <w:szCs w:val="17"/>
          <w:i w:val="1"/>
          <w:iCs w:val="1"/>
          <w:color w:val="auto"/>
        </w:rPr>
        <w:t>Amendment of Agreement and Certificate of Limited Partnership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To effect the admission to the Partnership of any Partner, the General Partner shall take all steps necessary and appropriate under the Delaware Act to amend the records of the Partnership to reflect such admission and, if necessary, to prepare as soon as practicable an amendment to this Agreement and, if required by law, the General Partner shall prepare and file an amendment to the Certificate of Limited Partnership, and the General Partner may for this purpose, among others, exercise the power of attorney granted pursuant to Section 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WITHDRAWAL OR REMOVAL OF PARTNERS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11.1</w:t>
      </w:r>
      <w:r>
        <w:rPr>
          <w:sz w:val="20"/>
          <w:szCs w:val="20"/>
          <w:color w:val="auto"/>
        </w:rPr>
        <w:tab/>
      </w:r>
      <w:r>
        <w:rPr>
          <w:rFonts w:ascii="Times New Roman" w:cs="Times New Roman" w:eastAsia="Times New Roman" w:hAnsi="Times New Roman"/>
          <w:sz w:val="17"/>
          <w:szCs w:val="17"/>
          <w:i w:val="1"/>
          <w:iCs w:val="1"/>
          <w:color w:val="auto"/>
        </w:rPr>
        <w:t>Withdrawal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80" w:firstLine="1305"/>
        <w:spacing w:after="0" w:line="282" w:lineRule="auto"/>
        <w:tabs>
          <w:tab w:leader="none" w:pos="1942"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shall be deemed to have withdrawn from the Partnership upon the occurrence of any one of the following events (each such event herein referred to as an “</w:t>
      </w:r>
      <w:r>
        <w:rPr>
          <w:rFonts w:ascii="Times New Roman" w:cs="Times New Roman" w:eastAsia="Times New Roman" w:hAnsi="Times New Roman"/>
          <w:sz w:val="18"/>
          <w:szCs w:val="18"/>
          <w:i w:val="1"/>
          <w:iCs w:val="1"/>
          <w:color w:val="auto"/>
        </w:rPr>
        <w:t>Event of Withdrawal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voluntarily withdraws from the Partnership by giving written notice to the other Partners;</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transfers all of its rights as General Partner pursuant to Section 4.6;</w:t>
      </w:r>
    </w:p>
    <w:p>
      <w:pPr>
        <w:spacing w:after="0" w:line="225"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is removed pursuant to Section 11.2;</w:t>
      </w:r>
    </w:p>
    <w:p>
      <w:pPr>
        <w:spacing w:after="0" w:line="225" w:lineRule="exact"/>
        <w:rPr>
          <w:rFonts w:ascii="Times New Roman" w:cs="Times New Roman" w:eastAsia="Times New Roman" w:hAnsi="Times New Roman"/>
          <w:sz w:val="18"/>
          <w:szCs w:val="18"/>
          <w:color w:val="auto"/>
        </w:rPr>
      </w:pPr>
    </w:p>
    <w:p>
      <w:pPr>
        <w:ind w:left="1300" w:right="60" w:firstLine="653"/>
        <w:spacing w:after="0" w:line="256" w:lineRule="auto"/>
        <w:tabs>
          <w:tab w:leader="none" w:pos="261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Partner (A) makes a general assignment for the benefit of creditors; (B) files a voluntary bankruptcy petition for relief under Chapter 7 of the United States Bankruptcy Code; (C) files a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clauses (A)-(C) of this Section 11.1(a)(iv); or (E) seeks, consents to or acquiesces in the appointment of a trustee (but not a debtor-in-possession), receiver or liquidator of the General Partner or of all or any substantial part of its properties;</w:t>
      </w:r>
    </w:p>
    <w:p>
      <w:pPr>
        <w:spacing w:after="0" w:line="187" w:lineRule="exact"/>
        <w:rPr>
          <w:rFonts w:ascii="Times New Roman" w:cs="Times New Roman" w:eastAsia="Times New Roman" w:hAnsi="Times New Roman"/>
          <w:sz w:val="18"/>
          <w:szCs w:val="18"/>
          <w:color w:val="auto"/>
        </w:rPr>
      </w:pPr>
    </w:p>
    <w:p>
      <w:pPr>
        <w:ind w:left="1300" w:right="320" w:firstLine="653"/>
        <w:spacing w:after="0" w:line="282" w:lineRule="auto"/>
        <w:tabs>
          <w:tab w:leader="none" w:pos="260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final and non-appealable order of relief under Chapter 7 of the United States Bankruptcy Code is entered by a court with appropriate jurisdiction pursuant to a voluntary or involuntary petition by or against the General Partner; or</w:t>
      </w:r>
    </w:p>
    <w:p>
      <w:pPr>
        <w:spacing w:after="0" w:line="161" w:lineRule="exact"/>
        <w:rPr>
          <w:rFonts w:ascii="Times New Roman" w:cs="Times New Roman" w:eastAsia="Times New Roman" w:hAnsi="Times New Roman"/>
          <w:sz w:val="18"/>
          <w:szCs w:val="18"/>
          <w:color w:val="auto"/>
        </w:rPr>
      </w:pPr>
    </w:p>
    <w:p>
      <w:pPr>
        <w:ind w:left="1300" w:right="220" w:firstLine="653"/>
        <w:spacing w:after="0" w:line="281" w:lineRule="auto"/>
        <w:tabs>
          <w:tab w:leader="none" w:pos="2613" w:val="left"/>
        </w:tabs>
        <w:numPr>
          <w:ilvl w:val="0"/>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in the event the General Partner is a corporation, a certificate of dissolution or its equivalent is filed for the General Partner, or 90 days expire after the date of notice to the General Partner of revocation of its charter without a reinstatement of its charter, under the laws of its state of incorporation; (B) in the event the General Partner is a partnership or a limited liability company, the dissolution and commencement of winding up of the General Partner; (C) in the event the General Partner is acting in such capacity by</w:t>
      </w:r>
    </w:p>
    <w:p>
      <w:pPr>
        <w:sectPr>
          <w:pgSz w:w="11900" w:h="16930" w:orient="portrait"/>
          <w:cols w:equalWidth="0" w:num="1">
            <w:col w:w="11420"/>
          </w:cols>
          <w:pgMar w:left="240" w:top="121" w:right="239" w:bottom="0" w:gutter="0" w:footer="0" w:header="0"/>
        </w:sectPr>
      </w:pPr>
    </w:p>
    <w:bookmarkStart w:id="55" w:name="page56"/>
    <w:bookmarkEnd w:id="55"/>
    <w:p>
      <w:pPr>
        <w:spacing w:after="0" w:line="81" w:lineRule="exact"/>
        <w:rPr>
          <w:sz w:val="20"/>
          <w:szCs w:val="20"/>
          <w:color w:val="auto"/>
        </w:rPr>
      </w:pPr>
    </w:p>
    <w:p>
      <w:pPr>
        <w:ind w:left="1300" w:right="740"/>
        <w:spacing w:after="0" w:line="282" w:lineRule="auto"/>
        <w:rPr>
          <w:sz w:val="20"/>
          <w:szCs w:val="20"/>
          <w:color w:val="auto"/>
        </w:rPr>
      </w:pPr>
      <w:r>
        <w:rPr>
          <w:rFonts w:ascii="Times New Roman" w:cs="Times New Roman" w:eastAsia="Times New Roman" w:hAnsi="Times New Roman"/>
          <w:sz w:val="18"/>
          <w:szCs w:val="18"/>
          <w:color w:val="auto"/>
        </w:rPr>
        <w:t>virtue of being a trustee of a trust, the termination of the trust; (D) in the event the General Partner is a natural person, his death or adjudication of incompetency; and (E) otherwise in the event of the termination of the General Partner.</w:t>
      </w:r>
    </w:p>
    <w:p>
      <w:pPr>
        <w:spacing w:after="0" w:line="16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If an Event of Withdrawal specified in Section 11.1(a)(iv), (v) or (vi)(A), (B), (C) or (E) occurs, the withdrawing General Partner shall give notice to the Limited Partners within 30 days after such occurrence. The Partners hereby agree that only the Events of Withdrawal described in this Section 11.1 shall result in the withdrawal of the General Partner from the Partnership.</w:t>
      </w:r>
    </w:p>
    <w:p>
      <w:pPr>
        <w:spacing w:after="0" w:line="176" w:lineRule="exact"/>
        <w:rPr>
          <w:sz w:val="20"/>
          <w:szCs w:val="20"/>
          <w:color w:val="auto"/>
        </w:rPr>
      </w:pPr>
    </w:p>
    <w:p>
      <w:pPr>
        <w:ind w:right="120" w:firstLine="1305"/>
        <w:spacing w:after="0" w:line="258" w:lineRule="auto"/>
        <w:tabs>
          <w:tab w:leader="none" w:pos="1952"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the General Partner from the Partnership upon the occurrence of an Event of Withdrawal shall not constitute a breach of this Agreement under the following circumstances: (i) the General Partner voluntarily withdraws by giving at least 90 days’ advance notice to the Unitholders, such withdrawal to take effect on the date specified in such notice; (ii) at any time that the General Partner ceases to be the General Partner pursuant to Section 11.1(a)(ii) or is removed pursuant to Section 11.2; or (iii) at any time that the General Partner voluntarily withdraws by giving at least 90 days’ advance notice of its intention to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withdraw to the Limited Partners, such withdrawal to take effect on the date specified in the notice, if at the time such notice is given one Person and its Affiliates (other than the General Partner and its Affiliates) own beneficially or of record or control at least 50% of the Outstanding Units. The withdrawal of the General Partner from the Partnership upon the occurrence of an Event of Withdrawal shall also constitute the withdrawal of the General Partner as general partner or managing member, as the case may be, of the other Group Members. If the General Partner gives a notice of withdrawal pursuant to Section 11.1(a) (i), the holders of a Unit Majority, may, prior to the effective date of such withdrawal, elect a successor General Partner. The Person so elected as successor General Partner shall automatically become the successor general partner or managing member, as the case may be, of the other Group Members of which the General Partner is a general partner or a managing member. If, prior to the effective date of the General Partner’s withdrawal, a successor is not selected by the Unitholders as provided herein or the Partnership does not receive an Opinion of Counsel (“</w:t>
      </w:r>
      <w:r>
        <w:rPr>
          <w:rFonts w:ascii="Times New Roman" w:cs="Times New Roman" w:eastAsia="Times New Roman" w:hAnsi="Times New Roman"/>
          <w:sz w:val="18"/>
          <w:szCs w:val="18"/>
          <w:i w:val="1"/>
          <w:iCs w:val="1"/>
          <w:color w:val="auto"/>
        </w:rPr>
        <w:t>Withdrawal Opinion of Counsel</w:t>
      </w:r>
      <w:r>
        <w:rPr>
          <w:rFonts w:ascii="Times New Roman" w:cs="Times New Roman" w:eastAsia="Times New Roman" w:hAnsi="Times New Roman"/>
          <w:sz w:val="18"/>
          <w:szCs w:val="18"/>
          <w:color w:val="auto"/>
        </w:rPr>
        <w:t>”), the Partnership shall be dissolved in accordance with Section 12.1. Any successor General Partner elected in accordance with the terms of this Section 11.1 shall be subject to the provisions of Section 10.3.</w:t>
      </w:r>
    </w:p>
    <w:p>
      <w:pPr>
        <w:spacing w:after="0" w:line="18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7"/>
          <w:szCs w:val="17"/>
          <w:i w:val="1"/>
          <w:iCs w:val="1"/>
          <w:color w:val="auto"/>
        </w:rPr>
        <w:t>Removal of the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46" w:lineRule="auto"/>
        <w:rPr>
          <w:sz w:val="20"/>
          <w:szCs w:val="20"/>
          <w:color w:val="auto"/>
        </w:rPr>
      </w:pPr>
      <w:r>
        <w:rPr>
          <w:rFonts w:ascii="Times New Roman" w:cs="Times New Roman" w:eastAsia="Times New Roman" w:hAnsi="Times New Roman"/>
          <w:sz w:val="18"/>
          <w:szCs w:val="18"/>
          <w:color w:val="auto"/>
        </w:rPr>
        <w:t xml:space="preserve">The General Partner may be removed if such removal is approved by the Unitholders holding at least 66 </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11"/>
          <w:szCs w:val="11"/>
          <w:color w:val="auto"/>
        </w:rPr>
        <w:t>3</w:t>
      </w:r>
      <w:r>
        <w:rPr>
          <w:rFonts w:ascii="Times New Roman" w:cs="Times New Roman" w:eastAsia="Times New Roman" w:hAnsi="Times New Roman"/>
          <w:sz w:val="18"/>
          <w:szCs w:val="18"/>
          <w:color w:val="auto"/>
        </w:rPr>
        <w:t>% of the Outstanding Units (including Units held by the General Partner and its Affiliates). Any such action by such holders for removal of the General Partner must also provide for the election of a successor General Partner by the Unitholders holding a Unit Majority (including Units held by the General Partner and its Affiliates). Such removal shall be effective immediately following the admission of a successor General Partner pursuant to Section 10.3. The removal of the General Partner shall also automatically constitute the removal of the General Partner as general partner or managing member, as the case may be, of the other Group Members of which the General Partner is a general partner or a managing member. If a Person is elected as a successor General Partner in accordance with the terms of this Section 11.2, such Person shall, upon admission pursuant to Section 10.3, automatically become a successor general partner or managing member, as the case may be, of the other Group Members of which the General Partner is a general partner or a managing member. The right of the holders of Outstanding Units to remove the General Partner shall not exist or be exercised unless the Partnership has received an opinion opining as to the matters covered by a Withdrawal Opinion of Counsel. Any successor General Partner elected in accordance with the terms of this Section 11.2 shall be subject to the provisions of Section 10.3.</w:t>
      </w:r>
    </w:p>
    <w:p>
      <w:pPr>
        <w:spacing w:after="0" w:line="19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11.3</w:t>
      </w:r>
      <w:r>
        <w:rPr>
          <w:sz w:val="20"/>
          <w:szCs w:val="20"/>
          <w:color w:val="auto"/>
        </w:rPr>
        <w:tab/>
      </w:r>
      <w:r>
        <w:rPr>
          <w:rFonts w:ascii="Times New Roman" w:cs="Times New Roman" w:eastAsia="Times New Roman" w:hAnsi="Times New Roman"/>
          <w:sz w:val="17"/>
          <w:szCs w:val="17"/>
          <w:i w:val="1"/>
          <w:iCs w:val="1"/>
          <w:color w:val="auto"/>
        </w:rPr>
        <w:t>Interest of Departing Partner and Successor General Partner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305"/>
        <w:spacing w:after="0" w:line="258" w:lineRule="auto"/>
        <w:tabs>
          <w:tab w:leader="none" w:pos="194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(i) withdrawal of the General Partner under circumstances where such withdrawal does not violate this Agreement or (ii) removal of the General Partner by the holders of Outstanding Units under circumstances where Cause does not exist, if a successor General Partner is elected in accordance with the terms of Section 11.1 or 11.2, the Departing Partner shall have the option exercisable prior to the effective date of the departure of such Departing Partner to require its successor to purchase its General Partner Interest and its general partner interest (or equivalent interest) in the other Group Members, if any, and all of its Incentive Distribution Rights (collectively, the “</w:t>
      </w:r>
      <w:r>
        <w:rPr>
          <w:rFonts w:ascii="Times New Roman" w:cs="Times New Roman" w:eastAsia="Times New Roman" w:hAnsi="Times New Roman"/>
          <w:sz w:val="18"/>
          <w:szCs w:val="18"/>
          <w:i w:val="1"/>
          <w:iCs w:val="1"/>
          <w:color w:val="auto"/>
        </w:rPr>
        <w:t>Combined Interest</w:t>
      </w:r>
      <w:r>
        <w:rPr>
          <w:rFonts w:ascii="Times New Roman" w:cs="Times New Roman" w:eastAsia="Times New Roman" w:hAnsi="Times New Roman"/>
          <w:sz w:val="18"/>
          <w:szCs w:val="18"/>
          <w:color w:val="auto"/>
        </w:rPr>
        <w:t>”) in exchange for an amount</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cash equal to the fair market value of such Combined Interest, such amount to be determined and payable as of the effective date of its departure. If the General Partner is removed by the Unitholders under circumstances where Cause exists or if the General Partner withdraws under circumstances where such withdrawal violates this Agreement and if a successor General Partner is elected in accordance with the terms of Section 11.1 or 11.2, such successor shall have the option, exercisable prior to the effective date of the departure of such Departing Partner, to purchase the Combined Interest for such fair market value of such Combined Interest. In either event, the Departing Partner shall be entitled to receive all reimbursements due such Departing Partner pursuant to Section 7.4, including any employee-related liabilities (including severance liabilities), incurred in connection with the termination of any employees employed by the General Partner for the benefit of the Partnership or the other Group Members.</w:t>
      </w:r>
    </w:p>
    <w:p>
      <w:pPr>
        <w:spacing w:after="0" w:line="18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For purposes of this Section 11.3(a), the fair market value of the Combined Interest shall be determined by agreement between the Departing Partner and its successor or, failing agreement within 30 days after the effective date of such Departing Partner’s departure, by an independent investment banking firm or other independent expert selected by the Departing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Partner shall designate an independent investment banking firm or other independent expert, the Departing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In making its determination, such third independent investment banking firm or other independent expert may consider the then current trading price of Units on any National Securities Exchange on which Units are then listed, the value of the Partnership’s assets, the rights and obligations of the Departing Partner and other factors it may deem relevant.</w:t>
      </w:r>
    </w:p>
    <w:p>
      <w:pPr>
        <w:spacing w:after="0" w:line="186" w:lineRule="exact"/>
        <w:rPr>
          <w:sz w:val="20"/>
          <w:szCs w:val="20"/>
          <w:color w:val="auto"/>
        </w:rPr>
      </w:pPr>
    </w:p>
    <w:p>
      <w:pPr>
        <w:ind w:firstLine="1305"/>
        <w:spacing w:after="0" w:line="266" w:lineRule="auto"/>
        <w:tabs>
          <w:tab w:leader="none" w:pos="1952"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Combined Interest is not purchased in the manner set forth in Section 11.3(a), the Departing Partner (or its transferee) shall become a Limited Partner and its Combined Interest shall be converted into Common Units pursuant to a valuation made by an investment banking firm or other independent expert selected pursuant to Section 11.3(a), without reduction in such Partnership Interest (but subject to proportionate dilution by reason of</w:t>
      </w:r>
    </w:p>
    <w:p>
      <w:pPr>
        <w:sectPr>
          <w:pgSz w:w="11900" w:h="16919" w:orient="portrait"/>
          <w:cols w:equalWidth="0" w:num="1">
            <w:col w:w="11420"/>
          </w:cols>
          <w:pgMar w:left="240" w:top="121" w:right="239" w:bottom="0" w:gutter="0" w:footer="0" w:header="0"/>
        </w:sectPr>
      </w:pPr>
    </w:p>
    <w:bookmarkStart w:id="56" w:name="page57"/>
    <w:bookmarkEnd w:id="56"/>
    <w:p>
      <w:pPr>
        <w:spacing w:after="0" w:line="7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admission of its successor). Any successor General Partner shall indemnify the Departing Partner (or its transferee) as to all debts and liabilities of the Partnership arising on or after the date on which the Departing Partner (or its transferee) becomes a Limited Partner. For purposes of this Agreement, conversion of the Combined Interest to Common Units will be characterized as if the General Partner (or its transferee) contributed its Combined Interest to the Partnership in exchange for the newly issued Common Units.</w:t>
      </w:r>
    </w:p>
    <w:p>
      <w:pPr>
        <w:spacing w:after="0" w:line="180" w:lineRule="exact"/>
        <w:rPr>
          <w:sz w:val="20"/>
          <w:szCs w:val="20"/>
          <w:color w:val="auto"/>
        </w:rPr>
      </w:pPr>
    </w:p>
    <w:p>
      <w:pPr>
        <w:ind w:right="160" w:firstLine="1305"/>
        <w:spacing w:after="0" w:line="261" w:lineRule="auto"/>
        <w:tabs>
          <w:tab w:leader="none" w:pos="1955"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General Partner is elected in accordance with the terms of Section 11.1 or 11.2 and the option described in Section 11.3(a) is not exercised by the party entitled to do so, the successor General Partner shall, at the effective date of its admission to the Partnership, contribute to the Partnership cash in the amount equal to 2% of the Net Agreed Value of the Partnership’s assets on such date. In such event, such successor General Partner shall, subject to the following sentence, be entitled to 2% of all Partnership allocations and</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distributions. The successor General Partner shall cause this Agreement to be amended to reflect that, from and after the date of such successor General Partner’s admission, the successor General Partner’s interest in all Partnership distributions and allocations shall be 2%.</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11.4</w:t>
      </w:r>
      <w:r>
        <w:rPr>
          <w:sz w:val="20"/>
          <w:szCs w:val="20"/>
          <w:color w:val="auto"/>
        </w:rPr>
        <w:tab/>
      </w:r>
      <w:r>
        <w:rPr>
          <w:rFonts w:ascii="Times New Roman" w:cs="Times New Roman" w:eastAsia="Times New Roman" w:hAnsi="Times New Roman"/>
          <w:sz w:val="18"/>
          <w:szCs w:val="18"/>
          <w:i w:val="1"/>
          <w:iCs w:val="1"/>
          <w:color w:val="auto"/>
        </w:rPr>
        <w:t>[Reserved]</w:t>
      </w:r>
    </w:p>
    <w:p>
      <w:pPr>
        <w:spacing w:after="0" w:line="22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11.5</w:t>
      </w:r>
      <w:r>
        <w:rPr>
          <w:sz w:val="20"/>
          <w:szCs w:val="20"/>
          <w:color w:val="auto"/>
        </w:rPr>
        <w:tab/>
      </w:r>
      <w:r>
        <w:rPr>
          <w:rFonts w:ascii="Times New Roman" w:cs="Times New Roman" w:eastAsia="Times New Roman" w:hAnsi="Times New Roman"/>
          <w:sz w:val="17"/>
          <w:szCs w:val="17"/>
          <w:i w:val="1"/>
          <w:iCs w:val="1"/>
          <w:color w:val="auto"/>
        </w:rPr>
        <w:t>Withdrawal of Limited Partners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No Limited Partner shall have any right to withdraw from the Partnership; provided, however,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DISSOLUTION AND LIQUIDATION</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12.1</w:t>
      </w:r>
      <w:r>
        <w:rPr>
          <w:sz w:val="20"/>
          <w:szCs w:val="20"/>
          <w:color w:val="auto"/>
        </w:rPr>
        <w:tab/>
      </w: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Partnership shall not be dissolved by the admission of Substituted Limited Partners or Additional Limited Partners or by the admission of a successor General Partner in accordance with the terms of this Agreement. Upon the removal or withdrawal of the General Partner, if a successor General Partner is elected pursuant to Section 11.1 or 11.2, the Partnership shall not be dissolved and such successor General Partner shall continue the business of the Partnership. The Partnership shall dissolve, and (subject to Section 12.2) its affairs shall be wound up, upon:</w:t>
      </w:r>
    </w:p>
    <w:p>
      <w:pPr>
        <w:spacing w:after="0" w:line="180" w:lineRule="exact"/>
        <w:rPr>
          <w:sz w:val="20"/>
          <w:szCs w:val="20"/>
          <w:color w:val="auto"/>
        </w:rPr>
      </w:pPr>
    </w:p>
    <w:p>
      <w:pPr>
        <w:ind w:left="1940" w:hanging="635"/>
        <w:spacing w:after="0"/>
        <w:tabs>
          <w:tab w:leader="none" w:pos="194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its term as provided in Section 2.7;</w:t>
      </w:r>
    </w:p>
    <w:p>
      <w:pPr>
        <w:spacing w:after="0" w:line="225" w:lineRule="exact"/>
        <w:rPr>
          <w:rFonts w:ascii="Times New Roman" w:cs="Times New Roman" w:eastAsia="Times New Roman" w:hAnsi="Times New Roman"/>
          <w:sz w:val="18"/>
          <w:szCs w:val="18"/>
          <w:color w:val="auto"/>
        </w:rPr>
      </w:pPr>
    </w:p>
    <w:p>
      <w:pPr>
        <w:ind w:right="40" w:firstLine="1305"/>
        <w:spacing w:after="0" w:line="261" w:lineRule="auto"/>
        <w:tabs>
          <w:tab w:leader="none" w:pos="1952"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Withdrawal of the General Partner as provided in Section 11.1(a) (other than Section 11.1(a)(ii)), unless a successor is elected and an Opinion of Counsel is received as provided in Section 11.1(b) or 11.2 and such successor is admitted to the Partnership pursuant to</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10.3;</w:t>
      </w:r>
    </w:p>
    <w:p>
      <w:pPr>
        <w:spacing w:after="0" w:line="20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election to dissolve the Partnership by the General Partner that is approved by the holders of a Unit Majority;</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of judicial dissolution of the Partnership pursuant to the provisions of the Delaware Act; or</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assets and properties of the Partnership Group.</w:t>
      </w:r>
    </w:p>
    <w:p>
      <w:pPr>
        <w:spacing w:after="0" w:line="22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12.2</w:t>
      </w:r>
      <w:r>
        <w:rPr>
          <w:sz w:val="20"/>
          <w:szCs w:val="20"/>
          <w:color w:val="auto"/>
        </w:rPr>
        <w:tab/>
      </w:r>
      <w:r>
        <w:rPr>
          <w:rFonts w:ascii="Times New Roman" w:cs="Times New Roman" w:eastAsia="Times New Roman" w:hAnsi="Times New Roman"/>
          <w:sz w:val="18"/>
          <w:szCs w:val="18"/>
          <w:i w:val="1"/>
          <w:iCs w:val="1"/>
          <w:color w:val="auto"/>
        </w:rPr>
        <w:t>Continuation of the Business of the Partnership After Dissolution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89" w:lineRule="auto"/>
        <w:rPr>
          <w:sz w:val="20"/>
          <w:szCs w:val="20"/>
          <w:color w:val="auto"/>
        </w:rPr>
      </w:pPr>
      <w:r>
        <w:rPr>
          <w:rFonts w:ascii="Times New Roman" w:cs="Times New Roman" w:eastAsia="Times New Roman" w:hAnsi="Times New Roman"/>
          <w:sz w:val="17"/>
          <w:szCs w:val="17"/>
          <w:color w:val="auto"/>
        </w:rPr>
        <w:t>Upon (a) dissolution of the Partnership following an Event of Withdrawal caused by the withdrawal or removal of the General Partner as provided in Section 11.1(a)(i) or (iii) and the failure of the Partners to select a successor to such Departing Partner pursuant to Section 11.1 or 11.2, then within 90 days thereafter, or (b) dissolution of the Partnership upon an event constituting an Event of Withdrawal as defined in Section 11.1(a)(iv), (v) or (vi), then, to the</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maximum extent permitted by law, within 180 days thereafter, the holders of a Unit Majority may elect to reconstitute the Partnership and continue its business on the same terms and conditions set forth in this Agreement by forming a new limited partnership on terms identical to those set forth in this Agreement and having as the successor general partner a Person approved by the holders of a Unit Majority. Unless such an election is made within the applicable time period as set forth above, the Partnership shall conduct only activities necessary to wind up its affairs. If such an election is so made, then:</w:t>
      </w:r>
    </w:p>
    <w:p>
      <w:pPr>
        <w:spacing w:after="0" w:line="165" w:lineRule="exact"/>
        <w:rPr>
          <w:sz w:val="20"/>
          <w:szCs w:val="20"/>
          <w:color w:val="auto"/>
        </w:rPr>
      </w:pPr>
    </w:p>
    <w:p>
      <w:pPr>
        <w:ind w:left="1300" w:right="280" w:firstLine="653"/>
        <w:spacing w:after="0" w:line="282" w:lineRule="auto"/>
        <w:tabs>
          <w:tab w:leader="none" w:pos="261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reconstituted Partnership shall continue until the end of the term set forth in Section 2.7 unless earlier dissolved in accordance with this Article XII;</w:t>
      </w:r>
    </w:p>
    <w:p>
      <w:pPr>
        <w:spacing w:after="0" w:line="161" w:lineRule="exact"/>
        <w:rPr>
          <w:rFonts w:ascii="Times New Roman" w:cs="Times New Roman" w:eastAsia="Times New Roman" w:hAnsi="Times New Roman"/>
          <w:sz w:val="18"/>
          <w:szCs w:val="18"/>
          <w:color w:val="auto"/>
        </w:rPr>
      </w:pPr>
    </w:p>
    <w:p>
      <w:pPr>
        <w:ind w:left="1300" w:right="40" w:firstLine="653"/>
        <w:spacing w:after="0" w:line="282" w:lineRule="auto"/>
        <w:tabs>
          <w:tab w:leader="none" w:pos="262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successor General Partner is not the former General Partner, then the interest of the former General Partner shall be treated in the manner provided in Section 11.3; and</w:t>
      </w:r>
    </w:p>
    <w:p>
      <w:pPr>
        <w:spacing w:after="0" w:line="161" w:lineRule="exact"/>
        <w:rPr>
          <w:rFonts w:ascii="Times New Roman" w:cs="Times New Roman" w:eastAsia="Times New Roman" w:hAnsi="Times New Roman"/>
          <w:sz w:val="18"/>
          <w:szCs w:val="18"/>
          <w:color w:val="auto"/>
        </w:rPr>
      </w:pPr>
    </w:p>
    <w:p>
      <w:pPr>
        <w:ind w:left="1300" w:right="20" w:firstLine="653"/>
        <w:spacing w:after="0" w:line="255" w:lineRule="auto"/>
        <w:tabs>
          <w:tab w:leader="none" w:pos="2637"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steps shall be taken to cancel this Agreement and the Certificate of Limited Partnership and to enter into and, as necessary, to file a new partnership agreement and certificate of limited partnership, and the successor general partner may for this purpose exercise the powers of attorney granted the General Partner pursuant to Section 2.6; provided, that the right of the holders of a Unit Majority to approve a successor General Partner and to reconstitute and to continue the business of the Partnership shall not exist and may not be exercised unless the Partnership has received an Opinion of Counsel that (x) the exercise of the right would not result in the loss of limited liability of any Limited Partner and (y) neither the Partnership, the reconstituted limited partnership nor an Operating Partnership would be treated as an association taxable as a corporation or otherwise be taxable as an entity for federal income tax purposes upon the exercise of such right to continue.</w:t>
      </w:r>
    </w:p>
    <w:p>
      <w:pPr>
        <w:sectPr>
          <w:pgSz w:w="11900" w:h="16910" w:orient="portrait"/>
          <w:cols w:equalWidth="0" w:num="1">
            <w:col w:w="11380"/>
          </w:cols>
          <w:pgMar w:left="240" w:top="121" w:right="279" w:bottom="0" w:gutter="0" w:footer="0" w:header="0"/>
        </w:sectPr>
      </w:pPr>
    </w:p>
    <w:bookmarkStart w:id="57" w:name="page58"/>
    <w:bookmarkEnd w:id="57"/>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12.3</w:t>
      </w:r>
      <w:r>
        <w:rPr>
          <w:sz w:val="20"/>
          <w:szCs w:val="20"/>
          <w:color w:val="auto"/>
        </w:rPr>
        <w:tab/>
      </w:r>
      <w:r>
        <w:rPr>
          <w:rFonts w:ascii="Times New Roman" w:cs="Times New Roman" w:eastAsia="Times New Roman" w:hAnsi="Times New Roman"/>
          <w:sz w:val="18"/>
          <w:szCs w:val="18"/>
          <w:i w:val="1"/>
          <w:iCs w:val="1"/>
          <w:color w:val="auto"/>
        </w:rPr>
        <w:t>Liquidator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Upon dissolution of the Partnership, unless the Partnership is continued under an election to reconstitute and continue the Partnership pursuant to Section 12.2, the General Partner shall select one or more Persons to act as Liquidator. The Liquidator (if other than the General Partner) shall be entitled to receive such compensation for its services as may be approved by holders of a Unit Majority. The Liquidator (if other than the General Partner) shall agree not to resign at any time without 15 days’ prior notice and may be removed at any time, with or without cause, by notice of removal approved by holders of a Unit Majority. Upon dissolution, removal or resignation of the Liquidator, a successor and substitute Liquidator (who shall have and succeed to all rights, powers and duties of the original Liquidator) shall within 30 days thereafter be approved by holders of a Unit Majority. The right to approve a successor or substitute Liquidator in the manner provided herein shall be deemed to refer also to any such successor or substitute Liquidator approved in the manner herein provided. Except as expressly provided in this Article XII, the Liquidator approved in the manner provided herein shall have and may exercise, without further authorization or consent of any of the parties hereto, all of the powers conferred upon the General Partner under the terms of this Agreement (but subject to all of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applicable limitations, contractual and otherwise, upon the exercise of such powers, other than the limitation on sale set forth in Section 7.3(b)) to the extent necessary or desirable in the good faith judgment of the Liquidator to carry out the duties and functions of the Liquidator hereunder for and during such period of time as shall be reasonably required in the good faith judgment of the Liquidator to complete the winding up and liquidation of the Partnership as provided for herein.</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12.4</w:t>
      </w:r>
      <w:r>
        <w:rPr>
          <w:sz w:val="20"/>
          <w:szCs w:val="20"/>
          <w:color w:val="auto"/>
        </w:rPr>
        <w:tab/>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Liquidator shall proceed to dispose of the assets of the Partnership, discharge its liabilities, and otherwise wind up its affairs in such manner and over such period as the Liquidator determines to be in the best interest of the Partners, subject to Section 17-804 of the Delaware Act and the following:</w:t>
      </w:r>
    </w:p>
    <w:p>
      <w:pPr>
        <w:spacing w:after="0" w:line="160" w:lineRule="exact"/>
        <w:rPr>
          <w:sz w:val="20"/>
          <w:szCs w:val="20"/>
          <w:color w:val="auto"/>
        </w:rPr>
      </w:pPr>
    </w:p>
    <w:p>
      <w:pPr>
        <w:ind w:right="20" w:firstLine="1305"/>
        <w:spacing w:after="0" w:line="255" w:lineRule="auto"/>
        <w:tabs>
          <w:tab w:leader="none" w:pos="194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Disposition of Assets</w:t>
      </w:r>
      <w:r>
        <w:rPr>
          <w:rFonts w:ascii="Times New Roman" w:cs="Times New Roman" w:eastAsia="Times New Roman" w:hAnsi="Times New Roman"/>
          <w:sz w:val="18"/>
          <w:szCs w:val="18"/>
          <w:color w:val="auto"/>
        </w:rPr>
        <w:t>. The assets may be disposed of by public or private sale or by distribution in kind to one or more Partners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terms as the Liquidator and such Partner or Partners may agree. If any property is distributed in kind, the Partner receiving the property shall be deemed for purposes of Section 12.4(c) to have received cash equal to its fair market value; and contemporaneously therewith, appropriate cash distributions must be made to the other Partners. The Liquidator may, in its absolute discretion, defer liquidation or distribution of the Partnership’s assets for a reasonable time if it determines that an immediate sale or distribution of all or some of the Partnership’s assets would be impractical or would cause undue loss to the Partners.</w:t>
      </w:r>
    </w:p>
    <w:p>
      <w:pPr>
        <w:spacing w:after="0" w:line="1" w:lineRule="exact"/>
        <w:rPr>
          <w:rFonts w:ascii="Times New Roman" w:cs="Times New Roman" w:eastAsia="Times New Roman" w:hAnsi="Times New Roman"/>
          <w:sz w:val="18"/>
          <w:szCs w:val="18"/>
          <w:color w:val="auto"/>
        </w:rPr>
      </w:pPr>
    </w:p>
    <w:p>
      <w:pPr>
        <w:ind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Liquidator may, in its absolute discretion, distribute the Partnership’s assets, in whole or in part, in kind if it determines that a sale would be impractical or would cause undue loss to the Partners.</w:t>
      </w:r>
    </w:p>
    <w:p>
      <w:pPr>
        <w:spacing w:after="0" w:line="177" w:lineRule="exact"/>
        <w:rPr>
          <w:rFonts w:ascii="Times New Roman" w:cs="Times New Roman" w:eastAsia="Times New Roman" w:hAnsi="Times New Roman"/>
          <w:sz w:val="18"/>
          <w:szCs w:val="18"/>
          <w:color w:val="auto"/>
        </w:rPr>
      </w:pPr>
    </w:p>
    <w:p>
      <w:pPr>
        <w:ind w:right="20" w:firstLine="1305"/>
        <w:spacing w:after="0" w:line="261" w:lineRule="auto"/>
        <w:tabs>
          <w:tab w:leader="none" w:pos="195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Discharge of Liabilities</w:t>
      </w:r>
      <w:r>
        <w:rPr>
          <w:rFonts w:ascii="Times New Roman" w:cs="Times New Roman" w:eastAsia="Times New Roman" w:hAnsi="Times New Roman"/>
          <w:sz w:val="18"/>
          <w:szCs w:val="18"/>
          <w:color w:val="auto"/>
        </w:rPr>
        <w:t>. Liabilities of the Partnership include amounts owed to Partners otherwise than in respect of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distribution rights under Article VI. With respect to any liability that is contingent, conditional or unmatured or is otherwise not yet due and payable, the Liquidator shall either settle such claim for such amount as it thinks appropriate or establish a reserve of cash or other assets to provide for its payment. When paid, any unused portion of the reserve shall be distributed as additional liquidation proceeds.</w:t>
      </w:r>
    </w:p>
    <w:p>
      <w:pPr>
        <w:spacing w:after="0" w:line="18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Liquidation Distributions</w:t>
      </w:r>
      <w:r>
        <w:rPr>
          <w:rFonts w:ascii="Times New Roman" w:cs="Times New Roman" w:eastAsia="Times New Roman" w:hAnsi="Times New Roman"/>
          <w:sz w:val="18"/>
          <w:szCs w:val="18"/>
          <w:color w:val="auto"/>
        </w:rPr>
        <w:t>. All property and all cash in excess of that required to discharge liabilities as provided in</w:t>
      </w:r>
    </w:p>
    <w:p>
      <w:pPr>
        <w:spacing w:after="0" w:line="29"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Section 12.4(b) and that required to satisfy the Capital Accounts relating to the Series A Preferred Units as provided for under Section 5.14(b)(xiii) shall be distributed to the Partners in accordance with, and to the extent of, the positive balances in their respective Capital Accounts, as determined after taking into account all Capital Account adjustments (other than those made by reason of distributions pursuant to this Section 12.4(c)) for the taxable year of the Partnership during which the liquidation of the Partnership occurs (with such date of occurrence being determined pursuant to Treasury Regulation Section 1.704-1(b)(2)(ii)(g)), and such distribution shall be made by the end of such taxable year (or, if later, within 90 days after said date of such occurrence).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12.5</w:t>
      </w:r>
      <w:r>
        <w:rPr>
          <w:sz w:val="20"/>
          <w:szCs w:val="20"/>
          <w:color w:val="auto"/>
        </w:rPr>
        <w:tab/>
      </w:r>
      <w:r>
        <w:rPr>
          <w:rFonts w:ascii="Times New Roman" w:cs="Times New Roman" w:eastAsia="Times New Roman" w:hAnsi="Times New Roman"/>
          <w:sz w:val="17"/>
          <w:szCs w:val="17"/>
          <w:i w:val="1"/>
          <w:iCs w:val="1"/>
          <w:color w:val="auto"/>
        </w:rPr>
        <w:t>Cancellation of Certificate of Limited Partnership</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Upon the completion of the distribution of Partnership cash and property as provided in Section 12.4 in connection with the liquidation of the Partnership, the Partnership shall be terminated and the Certificate of Limited Partnership and all qualifications of the Partnership as a foreign limited partnership in jurisdictions other than the State of Delaware shall be canceled and such other actions as may be necessary to terminate the Partnership shall be taken.</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12.6</w:t>
      </w:r>
      <w:r>
        <w:rPr>
          <w:sz w:val="20"/>
          <w:szCs w:val="20"/>
          <w:color w:val="auto"/>
        </w:rPr>
        <w:tab/>
      </w:r>
      <w:r>
        <w:rPr>
          <w:rFonts w:ascii="Times New Roman" w:cs="Times New Roman" w:eastAsia="Times New Roman" w:hAnsi="Times New Roman"/>
          <w:sz w:val="18"/>
          <w:szCs w:val="18"/>
          <w:i w:val="1"/>
          <w:iCs w:val="1"/>
          <w:color w:val="auto"/>
        </w:rPr>
        <w:t>Return of Contributions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12.7</w:t>
      </w:r>
      <w:r>
        <w:rPr>
          <w:sz w:val="20"/>
          <w:szCs w:val="20"/>
          <w:color w:val="auto"/>
        </w:rPr>
        <w:tab/>
      </w:r>
      <w:r>
        <w:rPr>
          <w:rFonts w:ascii="Times New Roman" w:cs="Times New Roman" w:eastAsia="Times New Roman" w:hAnsi="Times New Roman"/>
          <w:sz w:val="17"/>
          <w:szCs w:val="17"/>
          <w:i w:val="1"/>
          <w:iCs w:val="1"/>
          <w:color w:val="auto"/>
        </w:rPr>
        <w:t>Waiver of Partition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 the maximum extent permitted by law, each Partner hereby waives any right to partition of the Partnership property.</w:t>
      </w:r>
    </w:p>
    <w:p>
      <w:pPr>
        <w:spacing w:after="0" w:line="22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12.8</w:t>
      </w:r>
      <w:r>
        <w:rPr>
          <w:sz w:val="20"/>
          <w:szCs w:val="20"/>
          <w:color w:val="auto"/>
        </w:rPr>
        <w:tab/>
      </w:r>
      <w:r>
        <w:rPr>
          <w:rFonts w:ascii="Times New Roman" w:cs="Times New Roman" w:eastAsia="Times New Roman" w:hAnsi="Times New Roman"/>
          <w:sz w:val="18"/>
          <w:szCs w:val="18"/>
          <w:i w:val="1"/>
          <w:iCs w:val="1"/>
          <w:color w:val="auto"/>
        </w:rPr>
        <w:t>Capital Account Restoration.</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No Limited Partner shall have any obligation to restore any negative balance in its Capital Account upon liquidation of the Partnership. The General Partner shall be obligated to restore any negative balance in its Capital Account upon liquidation of its interest in the Partnership by the end of the taxable year of the Partnership during which such liquidation occurs, or, if later, within 90 days after the date of such liquidation.</w:t>
      </w:r>
    </w:p>
    <w:p>
      <w:pPr>
        <w:sectPr>
          <w:pgSz w:w="11900" w:h="16838" w:orient="portrait"/>
          <w:cols w:equalWidth="0" w:num="1">
            <w:col w:w="11400"/>
          </w:cols>
          <w:pgMar w:left="240" w:top="335" w:right="259" w:bottom="0" w:gutter="0" w:footer="0" w:header="0"/>
        </w:sectPr>
      </w:pPr>
    </w:p>
    <w:bookmarkStart w:id="58" w:name="page59"/>
    <w:bookmarkEnd w:id="58"/>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OF PARTNERSHIP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MEETINGS; RECORD DATE</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w:t>
      </w:r>
      <w:r>
        <w:rPr>
          <w:sz w:val="20"/>
          <w:szCs w:val="20"/>
          <w:color w:val="auto"/>
        </w:rPr>
        <w:tab/>
      </w:r>
      <w:r>
        <w:rPr>
          <w:rFonts w:ascii="Times New Roman" w:cs="Times New Roman" w:eastAsia="Times New Roman" w:hAnsi="Times New Roman"/>
          <w:sz w:val="18"/>
          <w:szCs w:val="18"/>
          <w:i w:val="1"/>
          <w:iCs w:val="1"/>
          <w:color w:val="auto"/>
        </w:rPr>
        <w:t>Amendment to be Adopted Solely by the General Partner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Each Partner agrees that the General Partner, without the approval of any Partner or Assignee, may amend any provision of this Agreement and execute, swear to, acknowledge, deliver, file and record whatever documents may be required in connection therewith, to reflect:</w:t>
      </w:r>
    </w:p>
    <w:p>
      <w:pPr>
        <w:spacing w:after="0" w:line="162" w:lineRule="exact"/>
        <w:rPr>
          <w:sz w:val="20"/>
          <w:szCs w:val="20"/>
          <w:color w:val="auto"/>
        </w:rPr>
      </w:pPr>
    </w:p>
    <w:p>
      <w:pPr>
        <w:ind w:right="240" w:firstLine="1305"/>
        <w:spacing w:after="0" w:line="282" w:lineRule="auto"/>
        <w:tabs>
          <w:tab w:leader="none" w:pos="1942"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name of the Partnership, the location of the principal place of business of the Partnership, the registered agent of the Partnership or the registered office of the Partnership;</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 substitution, withdrawal or removal of Partners in accordance with this Agreement;</w:t>
      </w:r>
    </w:p>
    <w:p>
      <w:pPr>
        <w:spacing w:after="0" w:line="225" w:lineRule="exact"/>
        <w:rPr>
          <w:rFonts w:ascii="Times New Roman" w:cs="Times New Roman" w:eastAsia="Times New Roman" w:hAnsi="Times New Roman"/>
          <w:sz w:val="18"/>
          <w:szCs w:val="18"/>
          <w:color w:val="auto"/>
        </w:rPr>
      </w:pPr>
    </w:p>
    <w:p>
      <w:pPr>
        <w:ind w:right="120" w:firstLine="1305"/>
        <w:spacing w:after="0" w:line="282" w:lineRule="auto"/>
        <w:tabs>
          <w:tab w:leader="none" w:pos="195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in the sole discretion of the General Partner, is necessary or advisable to qualify or continue the qualification of the Partnership as a limited partnership or a partnership in which the Limited Partners have limited liability under the laws of any state or to</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ensure that the Partnership and the Operating Partnerships will not be treated as an association taxable as a corporation or otherwise taxed as an entity for federal income tax purposes;</w:t>
      </w:r>
    </w:p>
    <w:p>
      <w:pPr>
        <w:spacing w:after="0" w:line="162" w:lineRule="exact"/>
        <w:rPr>
          <w:sz w:val="20"/>
          <w:szCs w:val="20"/>
          <w:color w:val="auto"/>
        </w:rPr>
      </w:pPr>
    </w:p>
    <w:p>
      <w:pPr>
        <w:ind w:left="1960" w:hanging="655"/>
        <w:spacing w:after="0"/>
        <w:tabs>
          <w:tab w:leader="none" w:pos="196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that, in the discretion of the General Partner, (i) does not adversely affect the Limited Partners in any material respect,</w:t>
      </w:r>
    </w:p>
    <w:p>
      <w:pPr>
        <w:spacing w:after="0" w:line="27" w:lineRule="exact"/>
        <w:rPr>
          <w:rFonts w:ascii="Times New Roman" w:cs="Times New Roman" w:eastAsia="Times New Roman" w:hAnsi="Times New Roman"/>
          <w:sz w:val="18"/>
          <w:szCs w:val="18"/>
          <w:color w:val="auto"/>
        </w:rPr>
      </w:pPr>
    </w:p>
    <w:p>
      <w:pPr>
        <w:ind w:firstLine="8"/>
        <w:spacing w:after="0" w:line="252" w:lineRule="auto"/>
        <w:tabs>
          <w:tab w:leader="none" w:pos="26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necessary or advisable to (A) satisfy any requirements, conditions or guidelines contained in any opinion, directive, order, ruling or regulation of any federal or state agency or judicial authority or contained in any federal or state statute (including the Delaware Act) or (B) facilitate the trading of the Limited Partner Interests (including the division of any class or classes of Outstanding Limited Partner Interests into different classes to facilitate uniformity of tax consequences within such classes of Limited Partner Interests) or comply with any rule, regulation, guideline or requirement of any National Securities Exchange on which the Limited Partner Interests are or will be listed for trading, compliance with any of which the General Partner determines in its discretion to be in the best interests of the Partnership and the Limited Partners, (iii) is necessary or advisable in connection with action taken by the General Partner pursuant to Section 5.10 or (iv) is required to effect the intent expressed in the Registration Statement or the intent of the provisions of this Agreement or is otherwise contemplated by this Agreement;</w:t>
      </w:r>
    </w:p>
    <w:p>
      <w:pPr>
        <w:spacing w:after="0" w:line="187" w:lineRule="exact"/>
        <w:rPr>
          <w:rFonts w:ascii="Times New Roman" w:cs="Times New Roman" w:eastAsia="Times New Roman" w:hAnsi="Times New Roman"/>
          <w:sz w:val="18"/>
          <w:szCs w:val="18"/>
          <w:color w:val="auto"/>
        </w:rPr>
      </w:pPr>
    </w:p>
    <w:p>
      <w:pPr>
        <w:ind w:firstLine="1305"/>
        <w:spacing w:after="0" w:line="266" w:lineRule="auto"/>
        <w:tabs>
          <w:tab w:leader="none" w:pos="195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fiscal year or taxable year of the Partnership and any changes that, in the discretion of the General Partner, are necessary or advisable as a result of a change in the fiscal year or taxable year of the Partnership including, if the General Partner shall so determine, a change in the definition of “Quarter” and the dates on which distributions are to be made by the Partnership;</w:t>
      </w:r>
    </w:p>
    <w:p>
      <w:pPr>
        <w:spacing w:after="0" w:line="176" w:lineRule="exact"/>
        <w:rPr>
          <w:rFonts w:ascii="Times New Roman" w:cs="Times New Roman" w:eastAsia="Times New Roman" w:hAnsi="Times New Roman"/>
          <w:sz w:val="18"/>
          <w:szCs w:val="18"/>
          <w:color w:val="auto"/>
        </w:rPr>
      </w:pPr>
    </w:p>
    <w:p>
      <w:pPr>
        <w:ind w:right="80" w:firstLine="1305"/>
        <w:spacing w:after="0" w:line="261" w:lineRule="auto"/>
        <w:tabs>
          <w:tab w:leader="none" w:pos="1949"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is necessary, in the Opinion of Counsel, to prevent the Partnership, or the General Partner or its directors, officers, trustees or agents from in any manner being subjected to the provisions of the Investment Company Act of 1940, as amended, the Investment Advisers Act of 1940, as amended, or “plan asset” regulations adopted under the Employee Retirement Income Security Act of 1974, as amended, regardless of whether such are substantially similar to plan asset regulations currently applied or proposed by the United States Department of Labor;</w:t>
      </w:r>
    </w:p>
    <w:p>
      <w:pPr>
        <w:spacing w:after="0" w:line="180" w:lineRule="exact"/>
        <w:rPr>
          <w:rFonts w:ascii="Times New Roman" w:cs="Times New Roman" w:eastAsia="Times New Roman" w:hAnsi="Times New Roman"/>
          <w:sz w:val="18"/>
          <w:szCs w:val="18"/>
          <w:color w:val="auto"/>
        </w:rPr>
      </w:pPr>
    </w:p>
    <w:p>
      <w:pPr>
        <w:ind w:right="360" w:firstLine="1305"/>
        <w:spacing w:after="0" w:line="282" w:lineRule="auto"/>
        <w:tabs>
          <w:tab w:leader="none" w:pos="196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Section 5.6(d), an amendment that, in the discretion of the General Partner, is necessary or advisable in connection with the authorization of issuance of any class or series of Partnership Securities pursuant to Section 5.6;</w:t>
      </w:r>
    </w:p>
    <w:p>
      <w:pPr>
        <w:spacing w:after="0" w:line="16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expressly permitted in this Agreement to be made by the General Partner acting alone;</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effected, necessitated or contemplated by a Merger Agreement approved in accordance with Section 14.3;</w:t>
      </w:r>
    </w:p>
    <w:p>
      <w:pPr>
        <w:spacing w:after="0" w:line="225" w:lineRule="exact"/>
        <w:rPr>
          <w:rFonts w:ascii="Times New Roman" w:cs="Times New Roman" w:eastAsia="Times New Roman" w:hAnsi="Times New Roman"/>
          <w:sz w:val="18"/>
          <w:szCs w:val="18"/>
          <w:color w:val="auto"/>
        </w:rPr>
      </w:pPr>
    </w:p>
    <w:p>
      <w:pPr>
        <w:ind w:right="20" w:firstLine="1305"/>
        <w:spacing w:after="0" w:line="266" w:lineRule="auto"/>
        <w:tabs>
          <w:tab w:leader="none" w:pos="195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that, in the discretion of the General Partner, is necessary or advisable to reflect, account for and deal with appropriately the formation by the Partnership of, or investment by the Partnership in, any corporation, partnership, joint venture, limited liability company or other entity, in connection with the conduct by the Partnership of activities permitted by the terms of Section 2.4;</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conveyance pursuant to Section 14.3(d); or</w:t>
      </w:r>
    </w:p>
    <w:p>
      <w:pPr>
        <w:spacing w:after="0" w:line="225"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amendments substantially similar to the foregoing.</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13.2</w:t>
      </w:r>
      <w:r>
        <w:rPr>
          <w:rFonts w:ascii="Times New Roman" w:cs="Times New Roman" w:eastAsia="Times New Roman" w:hAnsi="Times New Roman"/>
          <w:sz w:val="17"/>
          <w:szCs w:val="17"/>
          <w:i w:val="1"/>
          <w:iCs w:val="1"/>
          <w:color w:val="auto"/>
        </w:rPr>
        <w:t>Amendment Procedures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Except as provided in Sections 13.1 and 13.3, all amendments to this Agreement shall be made in accordance with the following requirements. Amendments to this Agreement may be proposed only by or with the consent of the General Partner which consent may be given or withheld in its sole discretion. A proposed amendment shall be effective upon its approval by the holders of a Unit Majority, unless a greater or different percentage is required under this Agreement or by Delaware law. Each proposed amendment that requires the approval of the holders of a specified percentage of Outstanding Units shall be set forth in a writing that contains the text of the proposed amendment. If such an amendment is proposed, the General Partner shall seek the written approval of the requisite percentage of Outstanding Units or call a meeting of the Unitholders to consider and vote on such proposed amendment. The General Partner shall notify all Record Holders upon final adoption of any such proposed amendments.</w:t>
      </w:r>
    </w:p>
    <w:p>
      <w:pPr>
        <w:spacing w:after="0" w:line="187"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13.3</w:t>
      </w:r>
      <w:r>
        <w:rPr>
          <w:sz w:val="20"/>
          <w:szCs w:val="20"/>
          <w:color w:val="auto"/>
        </w:rPr>
        <w:tab/>
      </w:r>
      <w:r>
        <w:rPr>
          <w:rFonts w:ascii="Times New Roman" w:cs="Times New Roman" w:eastAsia="Times New Roman" w:hAnsi="Times New Roman"/>
          <w:sz w:val="18"/>
          <w:szCs w:val="18"/>
          <w:i w:val="1"/>
          <w:iCs w:val="1"/>
          <w:color w:val="auto"/>
        </w:rPr>
        <w:t>Amendment Requirements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580" w:firstLine="1305"/>
        <w:spacing w:after="0" w:line="282" w:lineRule="auto"/>
        <w:tabs>
          <w:tab w:leader="none" w:pos="1942"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13.1 and 13.2, no provision of this Agreement that establishes a percentage of Outstanding Units (including Units deemed owned by the General Partner) required to take any action shall be amended, altered, changed, repealed or</w:t>
      </w:r>
    </w:p>
    <w:p>
      <w:pPr>
        <w:sectPr>
          <w:pgSz w:w="11900" w:h="16933" w:orient="portrait"/>
          <w:cols w:equalWidth="0" w:num="1">
            <w:col w:w="11400"/>
          </w:cols>
          <w:pgMar w:left="240" w:top="117" w:right="259" w:bottom="0" w:gutter="0" w:footer="0" w:header="0"/>
        </w:sectPr>
      </w:pPr>
    </w:p>
    <w:bookmarkStart w:id="59" w:name="page60"/>
    <w:bookmarkEnd w:id="59"/>
    <w:p>
      <w:pPr>
        <w:ind w:right="340"/>
        <w:spacing w:after="0" w:line="282" w:lineRule="auto"/>
        <w:rPr>
          <w:sz w:val="20"/>
          <w:szCs w:val="20"/>
          <w:color w:val="auto"/>
        </w:rPr>
      </w:pPr>
      <w:r>
        <w:rPr>
          <w:rFonts w:ascii="Times New Roman" w:cs="Times New Roman" w:eastAsia="Times New Roman" w:hAnsi="Times New Roman"/>
          <w:sz w:val="18"/>
          <w:szCs w:val="18"/>
          <w:color w:val="auto"/>
        </w:rPr>
        <w:t>rescinded in any respect that would have the effect of reducing such voting percentage unless such amendment is approved by the written consent or the affirmative vote of holders of Outstanding Units whose aggregate Outstanding Units constitute not less than the voting requirement sought to be reduced.</w:t>
      </w:r>
    </w:p>
    <w:p>
      <w:pPr>
        <w:spacing w:after="0" w:line="162" w:lineRule="exact"/>
        <w:rPr>
          <w:sz w:val="20"/>
          <w:szCs w:val="20"/>
          <w:color w:val="auto"/>
        </w:rPr>
      </w:pPr>
    </w:p>
    <w:p>
      <w:pPr>
        <w:ind w:right="60" w:firstLine="1305"/>
        <w:spacing w:after="0" w:line="261" w:lineRule="auto"/>
        <w:tabs>
          <w:tab w:leader="none" w:pos="1952"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13.1 and 13.2, no amendment to this Agreement may (i) enlarge the obligations of any Limited Partner without its consent, unless such shall be deemed to have occurred as a result of an amendment approved pursuant to Section 13.3(c),</w:t>
      </w:r>
    </w:p>
    <w:p>
      <w:pPr>
        <w:ind w:right="580" w:firstLine="8"/>
        <w:spacing w:after="0" w:line="254" w:lineRule="auto"/>
        <w:tabs>
          <w:tab w:leader="none" w:pos="265"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enlarge the obligations of, restrict in any way any action by or rights of, or reduce in any way the amounts distributable, reimbursable or otherwise payable to, the General Partner or any of its Affiliates without its consent, which consent may be given or withheld in its sole discretion, (iii) change Section 12.1(a) or 12.1(c), or (iv) change the term of the Partnership or, except as set forth in Section 12.1(c), give any Person the right to dissolve the Partnership.</w:t>
      </w:r>
    </w:p>
    <w:p>
      <w:pPr>
        <w:spacing w:after="0" w:line="185" w:lineRule="exact"/>
        <w:rPr>
          <w:rFonts w:ascii="Times New Roman" w:cs="Times New Roman" w:eastAsia="Times New Roman" w:hAnsi="Times New Roman"/>
          <w:sz w:val="18"/>
          <w:szCs w:val="18"/>
          <w:color w:val="auto"/>
        </w:rPr>
      </w:pPr>
    </w:p>
    <w:p>
      <w:pPr>
        <w:jc w:val="both"/>
        <w:ind w:right="100" w:firstLine="1305"/>
        <w:spacing w:after="0" w:line="261" w:lineRule="auto"/>
        <w:tabs>
          <w:tab w:leader="none" w:pos="1955"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 and except as otherwise provided, and without limitation of the General Partner’s authority to adopt amendments to this Agreement as contemplated in Section 13.1, any amendment that would have a material adverse effect on the rights or preferences of any class of Partnership Interests in relation to other classes of Partnership Interests must be approved by the holders of not less than a majority of the Outstanding Partnership Interests of the class affected.</w:t>
      </w:r>
    </w:p>
    <w:p>
      <w:pPr>
        <w:spacing w:after="0" w:line="180" w:lineRule="exact"/>
        <w:rPr>
          <w:rFonts w:ascii="Times New Roman" w:cs="Times New Roman" w:eastAsia="Times New Roman" w:hAnsi="Times New Roman"/>
          <w:sz w:val="18"/>
          <w:szCs w:val="18"/>
          <w:color w:val="auto"/>
        </w:rPr>
      </w:pPr>
    </w:p>
    <w:p>
      <w:pPr>
        <w:ind w:right="120" w:firstLine="1305"/>
        <w:spacing w:after="0" w:line="266" w:lineRule="auto"/>
        <w:tabs>
          <w:tab w:leader="none" w:pos="1952"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except for amendments pursuant to Section 13.1 and except as otherwise provided by Section 14.3(b), no amendments shall become effective without the approval of the holders of at least 90% of the Outstanding Common Units unless the Partnership obtains an Opinion of Counsel to the effect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such amendment will not affect the limited liability of any Limited Partner under applicable law.</w:t>
      </w:r>
    </w:p>
    <w:p>
      <w:pPr>
        <w:spacing w:after="0" w:line="225" w:lineRule="exact"/>
        <w:rPr>
          <w:sz w:val="20"/>
          <w:szCs w:val="20"/>
          <w:color w:val="auto"/>
        </w:rPr>
      </w:pPr>
    </w:p>
    <w:p>
      <w:pPr>
        <w:ind w:left="1960" w:hanging="655"/>
        <w:spacing w:after="0"/>
        <w:tabs>
          <w:tab w:leader="none" w:pos="19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13.1, this Section 13.3 shall only be amended with the approval of the holders of at least 90%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Units.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13.4</w:t>
      </w:r>
      <w:r>
        <w:rPr>
          <w:sz w:val="20"/>
          <w:szCs w:val="20"/>
          <w:color w:val="auto"/>
        </w:rPr>
        <w:tab/>
      </w:r>
      <w:r>
        <w:rPr>
          <w:rFonts w:ascii="Times New Roman" w:cs="Times New Roman" w:eastAsia="Times New Roman" w:hAnsi="Times New Roman"/>
          <w:sz w:val="17"/>
          <w:szCs w:val="17"/>
          <w:i w:val="1"/>
          <w:iCs w:val="1"/>
          <w:color w:val="auto"/>
        </w:rPr>
        <w:t>Special Meetings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All acts of Limited Partners to be taken pursuant to this Agreement shall be taken in the manner provided in this Article XIII. Special meetings of the Limited Partners may be called by the General Partner or by Limited Partners owning 20% or more of the Outstanding Limited Partner Interests of the class or classes for which a meeting is proposed. Limited Partners shall call a special meeting by delivering to the General Partner one or more requests in writing stating that the signing Limited Partners wish to call a special meeting and indicating the general or specific purposes for which the special meeting is to be called. Within 60 days after receipt of such a call from Limited Partners or within such greater time as may be reasonably necessary for the Partnership to comply with any statutes, rules, regulations, listing agreements or similar requirements governing the holding of a meeting or the solicitation of proxies for use at such a meeting, the General Partner shall send a notice of the meeting to the Limited Partners either directly or indirectly through the Transfer Agent. A meeting shall be held at a time and place determined by the General Partner on a date not less than 10 days nor more than 60 days after the mailing of notice of the meeting. Limited Partners shall not vote on matters that would cause the Limited Partners to be deemed to be taking part in the management and control of the business and affairs of the Partnership so as to jeopardize the Limited Partners’ limited liability under the Delaware Act or the law of any other state in which the Partnership is qualified to do business.</w:t>
      </w:r>
    </w:p>
    <w:p>
      <w:pPr>
        <w:spacing w:after="0" w:line="19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13.5</w:t>
      </w:r>
      <w:r>
        <w:rPr>
          <w:sz w:val="20"/>
          <w:szCs w:val="20"/>
          <w:color w:val="auto"/>
        </w:rPr>
        <w:tab/>
      </w:r>
      <w:r>
        <w:rPr>
          <w:rFonts w:ascii="Times New Roman" w:cs="Times New Roman" w:eastAsia="Times New Roman" w:hAnsi="Times New Roman"/>
          <w:sz w:val="18"/>
          <w:szCs w:val="18"/>
          <w:i w:val="1"/>
          <w:iCs w:val="1"/>
          <w:color w:val="auto"/>
        </w:rPr>
        <w:t>Notice of a Meeting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Notice of a meeting called pursuant to Section 13.4 shall be given to the Record Holders of the class or classes of Limited Partner Interests for which a meeting is proposed in writing by mail or other means of written communication in accordance with Section 16.1. The notice shall be deemed to have been given at the time when deposited in the mail or sent by other means of written communication.</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13.6</w:t>
      </w:r>
      <w:r>
        <w:rPr>
          <w:sz w:val="20"/>
          <w:szCs w:val="20"/>
          <w:color w:val="auto"/>
        </w:rPr>
        <w:tab/>
      </w:r>
      <w:r>
        <w:rPr>
          <w:rFonts w:ascii="Times New Roman" w:cs="Times New Roman" w:eastAsia="Times New Roman" w:hAnsi="Times New Roman"/>
          <w:sz w:val="17"/>
          <w:szCs w:val="17"/>
          <w:i w:val="1"/>
          <w:iCs w:val="1"/>
          <w:color w:val="auto"/>
        </w:rPr>
        <w:t>Record Date</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For purposes of determining the Limited Partners entitled to notice of or to vote at a meeting of the Limited Partners or to give approvals without a meeting as provided in Section 13.11 the General Partner may set a Record Date, which shall not be less than 10 nor more than 60 days before (a) the date of the meeting (unless such requirement conflicts with any rule, regulation, guideline or requirement of any National Securities Exchange on which the Limited Partner Interests are listed for trading, in which case the rule, regulation, guideline or requirement of such exchange shall govern) or (b) in the event that approvals are sought without a meeting, the date by which Limited Partners are requested in writing by the General Partner to give such approvals.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13.7</w:t>
      </w:r>
      <w:r>
        <w:rPr>
          <w:sz w:val="20"/>
          <w:szCs w:val="20"/>
          <w:color w:val="auto"/>
        </w:rPr>
        <w:tab/>
      </w:r>
      <w:r>
        <w:rPr>
          <w:rFonts w:ascii="Times New Roman" w:cs="Times New Roman" w:eastAsia="Times New Roman" w:hAnsi="Times New Roman"/>
          <w:sz w:val="18"/>
          <w:szCs w:val="18"/>
          <w:i w:val="1"/>
          <w:iCs w:val="1"/>
          <w:color w:val="auto"/>
        </w:rPr>
        <w:t>Adjournment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Article XIII.</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13.8</w:t>
      </w:r>
      <w:r>
        <w:rPr>
          <w:sz w:val="20"/>
          <w:szCs w:val="20"/>
          <w:color w:val="auto"/>
        </w:rPr>
        <w:tab/>
      </w:r>
      <w:r>
        <w:rPr>
          <w:rFonts w:ascii="Times New Roman" w:cs="Times New Roman" w:eastAsia="Times New Roman" w:hAnsi="Times New Roman"/>
          <w:sz w:val="17"/>
          <w:szCs w:val="17"/>
          <w:i w:val="1"/>
          <w:iCs w:val="1"/>
          <w:color w:val="auto"/>
        </w:rPr>
        <w:t>Waiver of Notice; Approval of Meeting; Approval of Minutes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transactions of any meeting of Limited Partners, however called and noticed, and whenever held, shall be as valid as if it had occurred at a meeting duly held after regular call and notice, if a quorum is present either in person or by proxy, and if, either before or after the meeting, Limited Partners representing such quorum who were present in person or by proxy and entitled to vote, sign a written waiver of notice or an approval of the holding of the meeting or an approval of the minutes thereof. All waivers and approvals shall be filed with the Partnership records or made a part of the minutes of the meeting. Attendance of a Limited Partner at a meeting shall constitute a waiver of notice of the meeting, except when the Limited Partner does not approve, at the beginning of the meeting, of the transaction of any business because the meeting is not lawfully called or convened; and except that attendance at a</w:t>
      </w:r>
    </w:p>
    <w:p>
      <w:pPr>
        <w:sectPr>
          <w:pgSz w:w="11900" w:h="16838" w:orient="portrait"/>
          <w:cols w:equalWidth="0" w:num="1">
            <w:col w:w="11400"/>
          </w:cols>
          <w:pgMar w:left="240" w:top="121" w:right="259" w:bottom="0" w:gutter="0" w:footer="0" w:header="0"/>
        </w:sectPr>
      </w:pPr>
    </w:p>
    <w:bookmarkStart w:id="60" w:name="page61"/>
    <w:bookmarkEnd w:id="60"/>
    <w:p>
      <w:pPr>
        <w:ind w:right="120"/>
        <w:spacing w:after="0" w:line="282" w:lineRule="auto"/>
        <w:rPr>
          <w:sz w:val="20"/>
          <w:szCs w:val="20"/>
          <w:color w:val="auto"/>
        </w:rPr>
      </w:pPr>
      <w:r>
        <w:rPr>
          <w:rFonts w:ascii="Times New Roman" w:cs="Times New Roman" w:eastAsia="Times New Roman" w:hAnsi="Times New Roman"/>
          <w:sz w:val="18"/>
          <w:szCs w:val="18"/>
          <w:color w:val="auto"/>
        </w:rPr>
        <w:t>meeting is not a waiver of any right to disapprove the consideration of matters required to be included in the notice of the meeting, but not so included, if the disapproval is expressly made at the meeting.</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13.9</w:t>
      </w:r>
      <w:r>
        <w:rPr>
          <w:sz w:val="20"/>
          <w:szCs w:val="20"/>
          <w:color w:val="auto"/>
        </w:rPr>
        <w:tab/>
      </w:r>
      <w:r>
        <w:rPr>
          <w:rFonts w:ascii="Times New Roman" w:cs="Times New Roman" w:eastAsia="Times New Roman" w:hAnsi="Times New Roman"/>
          <w:sz w:val="18"/>
          <w:szCs w:val="18"/>
          <w:i w:val="1"/>
          <w:iCs w:val="1"/>
          <w:color w:val="auto"/>
        </w:rPr>
        <w:t>Quorum</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holders of a majority of the Outstanding Limited Partner Interests of the class or classes for which a meeting has been called (including Limited Partner Interests deemed owned by the General Partner) represented in person or by proxy shall constitute a quorum at a meeting of Limited Partners of such class or classes unless any such action by the Limited Partners requires approval by holders of a greater percentage of such Limited Partner Interests, in which case the quorum shall be such greater percentage. At any meeting of the Limited Partners duly called and held in accordance with this Agreement at which a quorum is present, the act of Limited Partners holding Outstanding Limited Partner Interests that in the aggregate represent a majority of the Outstanding Limited Partner Interests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Limited Partner Interests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Limited Partner Interests specified in this Agreement (including Limited Partner Interests deemed owned by the General Partner). In the absence of a quorum any meeting of Limited Partners may be adjourned from time to time by the affirmative vote of holders of at least a majority of the Outstanding Limited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Partner Interests entitled to vote at such meeting (including Limited Partner Interests deemed owned by the General Partner) represented either in person or by proxy, but no other business may be transacted, except as provided in Section 13.7.</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13.10</w:t>
      </w:r>
      <w:r>
        <w:rPr>
          <w:sz w:val="20"/>
          <w:szCs w:val="20"/>
          <w:color w:val="auto"/>
        </w:rPr>
        <w:tab/>
      </w:r>
      <w:r>
        <w:rPr>
          <w:rFonts w:ascii="Times New Roman" w:cs="Times New Roman" w:eastAsia="Times New Roman" w:hAnsi="Times New Roman"/>
          <w:sz w:val="18"/>
          <w:szCs w:val="18"/>
          <w:i w:val="1"/>
          <w:iCs w:val="1"/>
          <w:color w:val="auto"/>
        </w:rPr>
        <w:t>Conduct of a Meeting</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General Partner shall have full power and authority concerning the manner of conducting any meeting of the Limited Partners or solicitation of approvals in writing, including the determination of Persons entitled to vote, the existence of a quorum, the satisfaction of the requirements of Section 13.4, the conduct of voting, the validity and effect of any proxies and the determination of any controversies, votes or challenges arising in connection with or during the meeting or voting. The General Partner shall designate a Person to serve as chairman of any meeting and shall further designate a Person to take the minutes of any meeting. All minutes shall be kept with the records of the Partnership maintained by the General Partner. The General Partner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13.11</w:t>
      </w:r>
      <w:r>
        <w:rPr>
          <w:sz w:val="20"/>
          <w:szCs w:val="20"/>
          <w:color w:val="auto"/>
        </w:rPr>
        <w:tab/>
      </w:r>
      <w:r>
        <w:rPr>
          <w:rFonts w:ascii="Times New Roman" w:cs="Times New Roman" w:eastAsia="Times New Roman" w:hAnsi="Times New Roman"/>
          <w:sz w:val="17"/>
          <w:szCs w:val="17"/>
          <w:i w:val="1"/>
          <w:iCs w:val="1"/>
          <w:color w:val="auto"/>
        </w:rPr>
        <w:t>Action Without a Meeting</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If authorized by the General Partner, any action that may be taken at a meeting of the Limited Partners may be taken without a meeting if an approval in writing setting forth the action so taken is signed by Limited Partners owning not less than the minimum percentage of the Outstanding Limited Partner Interests (including Limited Partner Interests deemed owned by the General Partner) that would be necessary to authorize or take such action at a meeting at which all the Limited Partners were present and voted (unless such provision conflicts with any rule, regulation, guideline or requirement of any National Securities Exchange on which the Limited Partner Interests are listed for trading, in which case the rule, regulation, guideline or requirement of such exchange shall govern). Prompt notice of the taking of action without a meeting shall be given to the Limited Partners who have not approved in writing. The General Partner may specify that any written ballot submitted to Limited Partners for the purpose of taking any action without a meeting shall be returned to the Partnership within the time period, which shall be not less than 20 days, specified by the General Partner. If a ballot returned to the Partnership does not vote all of the Limited Partner Interests held by the Limited Partners the Partnership shall be deemed to have failed to receive a ballot for the Limited Partner Interests that were not voted. If approval of the taking of any action by the Limited Partners is solicited by any Person other than by or on behalf of the General Partner, the written approvals shall have no force and effect unless and until (a) they are deposited with the Partnership in care of the General Partner, (b) approvals sufficient to take the action proposed are dated as of a date not more than 90 days prior to the date sufficient approvals are deposited with the Partnership and (c) an Opinion of Counsel is delivered to the General Partner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(ii) is otherwise permissible under the state statutes then governing the rights, duties and liabilities of the Partnership and the Partners.</w:t>
      </w:r>
    </w:p>
    <w:p>
      <w:pPr>
        <w:spacing w:after="0" w:line="22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13.12</w:t>
      </w:r>
      <w:r>
        <w:rPr>
          <w:sz w:val="20"/>
          <w:szCs w:val="20"/>
          <w:color w:val="auto"/>
        </w:rPr>
        <w:tab/>
      </w:r>
      <w:r>
        <w:rPr>
          <w:rFonts w:ascii="Times New Roman" w:cs="Times New Roman" w:eastAsia="Times New Roman" w:hAnsi="Times New Roman"/>
          <w:sz w:val="17"/>
          <w:szCs w:val="17"/>
          <w:i w:val="1"/>
          <w:iCs w:val="1"/>
          <w:color w:val="auto"/>
        </w:rPr>
        <w:t>Voting and Other Rights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305"/>
        <w:spacing w:after="0" w:line="258" w:lineRule="auto"/>
        <w:tabs>
          <w:tab w:leader="none" w:pos="194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those Record Holders of the Limited Partner Interests on the Record Date set pursuant to Section 13.6 (and also subject to the limitations contained in the definition of “</w:t>
      </w:r>
      <w:r>
        <w:rPr>
          <w:rFonts w:ascii="Times New Roman" w:cs="Times New Roman" w:eastAsia="Times New Roman" w:hAnsi="Times New Roman"/>
          <w:sz w:val="18"/>
          <w:szCs w:val="18"/>
          <w:i w:val="1"/>
          <w:iCs w:val="1"/>
          <w:color w:val="auto"/>
        </w:rPr>
        <w:t>Outstanding</w:t>
      </w:r>
      <w:r>
        <w:rPr>
          <w:rFonts w:ascii="Times New Roman" w:cs="Times New Roman" w:eastAsia="Times New Roman" w:hAnsi="Times New Roman"/>
          <w:sz w:val="18"/>
          <w:szCs w:val="18"/>
          <w:color w:val="auto"/>
        </w:rPr>
        <w:t>”) shall be entitled to notice of, and to vote at, a meeting of Limited Partners or to act with respect to matters as to which the holders of the Outstanding Limited Partner Interests have the right to vote or to act. All references in this Agreement to votes of, or other acts that may be taken by, the Outstanding Limited Partner Interests shall be deemed to be references to the votes or acts of the Record Holders of such Outstanding Limited Partner Interests.</w:t>
      </w:r>
    </w:p>
    <w:p>
      <w:pPr>
        <w:spacing w:after="0" w:line="183" w:lineRule="exact"/>
        <w:rPr>
          <w:rFonts w:ascii="Times New Roman" w:cs="Times New Roman" w:eastAsia="Times New Roman" w:hAnsi="Times New Roman"/>
          <w:sz w:val="18"/>
          <w:szCs w:val="18"/>
          <w:color w:val="auto"/>
        </w:rPr>
      </w:pPr>
    </w:p>
    <w:p>
      <w:pPr>
        <w:ind w:right="100" w:firstLine="1305"/>
        <w:spacing w:after="0" w:line="256" w:lineRule="auto"/>
        <w:tabs>
          <w:tab w:leader="none" w:pos="1952"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Limited Partner Interests that are held for a Person’s account by another Person (such as a broker, dealer, bank, trust company or clearing corporation, or an agent of any of the foregoing), in whose name such Limited Partner Interests are registered, such other Person shall, in exercising the voting rights in respect of such Limited Partner Interests on any matter, and unless the arrangement between such Persons provides otherwise, vote such Limited Partner Interests in favor of, and at the direction of, the Person who is the beneficial owner, and the Partnership shall be entitled to assume it is so acting without further inquiry. The provisions of this Section 13.12(b) (as well as all other provisions of this Agreement) are subject to the provisions of Section 4.3.</w:t>
      </w:r>
    </w:p>
    <w:p>
      <w:pPr>
        <w:sectPr>
          <w:pgSz w:w="11900" w:h="16838" w:orient="portrait"/>
          <w:cols w:equalWidth="0" w:num="1">
            <w:col w:w="11420"/>
          </w:cols>
          <w:pgMar w:left="240" w:top="121" w:right="239" w:bottom="0" w:gutter="0" w:footer="0" w:header="0"/>
        </w:sectPr>
      </w:pPr>
    </w:p>
    <w:bookmarkStart w:id="61" w:name="page62"/>
    <w:bookmarkEnd w:id="61"/>
    <w:p>
      <w:pPr>
        <w:spacing w:after="0" w:line="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MERGER</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14.1</w:t>
      </w:r>
      <w:r>
        <w:rPr>
          <w:sz w:val="20"/>
          <w:szCs w:val="20"/>
          <w:color w:val="auto"/>
        </w:rPr>
        <w:tab/>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Partnership may merge or consolidate with one or more corporations, limited liability companies, business trusts or associations, real estate investment trusts, common law trusts or unincorporated businesses, including a general partnership or limited partnership, formed under the laws of the State of Delaware or any other state of the United States of America, pursuant to a written agreement of merger or consolidation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in accordance with this Article XIV.</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14.2</w:t>
      </w:r>
      <w:r>
        <w:rPr>
          <w:sz w:val="20"/>
          <w:szCs w:val="20"/>
          <w:color w:val="auto"/>
        </w:rPr>
        <w:tab/>
      </w:r>
      <w:r>
        <w:rPr>
          <w:rFonts w:ascii="Times New Roman" w:cs="Times New Roman" w:eastAsia="Times New Roman" w:hAnsi="Times New Roman"/>
          <w:sz w:val="17"/>
          <w:szCs w:val="17"/>
          <w:i w:val="1"/>
          <w:iCs w:val="1"/>
          <w:color w:val="auto"/>
        </w:rPr>
        <w:t>Procedure for Merger or Consolidation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jc w:val="both"/>
        <w:ind w:right="260" w:firstLine="648"/>
        <w:spacing w:after="0" w:line="266" w:lineRule="auto"/>
        <w:rPr>
          <w:sz w:val="20"/>
          <w:szCs w:val="20"/>
          <w:color w:val="auto"/>
        </w:rPr>
      </w:pPr>
      <w:r>
        <w:rPr>
          <w:rFonts w:ascii="Times New Roman" w:cs="Times New Roman" w:eastAsia="Times New Roman" w:hAnsi="Times New Roman"/>
          <w:sz w:val="18"/>
          <w:szCs w:val="18"/>
          <w:color w:val="auto"/>
        </w:rPr>
        <w:t>Merger or consolidation of the Partnership pursuant to this Article XIV requires the prior approval of the General Partner. If the General Partner shall determine, in the exercise of its discretion, to consent to the merger or consolidation, the General Partner shall approve the Merger Agreement, which shall set forth:</w:t>
      </w:r>
    </w:p>
    <w:p>
      <w:pPr>
        <w:spacing w:after="0" w:line="176" w:lineRule="exact"/>
        <w:rPr>
          <w:sz w:val="20"/>
          <w:szCs w:val="20"/>
          <w:color w:val="auto"/>
        </w:rPr>
      </w:pPr>
    </w:p>
    <w:p>
      <w:pPr>
        <w:ind w:left="1940" w:hanging="635"/>
        <w:spacing w:after="0"/>
        <w:tabs>
          <w:tab w:leader="none" w:pos="194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jurisdictions of formation or organization of each of the business entities proposing to merge or consolidate;</w:t>
      </w:r>
    </w:p>
    <w:p>
      <w:pPr>
        <w:spacing w:after="0" w:line="225" w:lineRule="exact"/>
        <w:rPr>
          <w:rFonts w:ascii="Times New Roman" w:cs="Times New Roman" w:eastAsia="Times New Roman" w:hAnsi="Times New Roman"/>
          <w:sz w:val="18"/>
          <w:szCs w:val="18"/>
          <w:color w:val="auto"/>
        </w:rPr>
      </w:pPr>
    </w:p>
    <w:p>
      <w:pPr>
        <w:ind w:right="960" w:firstLine="1305"/>
        <w:spacing w:after="0" w:line="282" w:lineRule="auto"/>
        <w:tabs>
          <w:tab w:leader="none" w:pos="1952"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jurisdiction of formation or organization of the business entity that is to survive the proposed merger or consolidation (the “</w:t>
      </w:r>
      <w:r>
        <w:rPr>
          <w:rFonts w:ascii="Times New Roman" w:cs="Times New Roman" w:eastAsia="Times New Roman" w:hAnsi="Times New Roman"/>
          <w:sz w:val="18"/>
          <w:szCs w:val="18"/>
          <w:i w:val="1"/>
          <w:iCs w:val="1"/>
          <w:color w:val="auto"/>
        </w:rPr>
        <w:t>Surviving Business Entity</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proposed merger or consolidation;</w:t>
      </w:r>
    </w:p>
    <w:p>
      <w:pPr>
        <w:spacing w:after="0" w:line="225" w:lineRule="exact"/>
        <w:rPr>
          <w:rFonts w:ascii="Times New Roman" w:cs="Times New Roman" w:eastAsia="Times New Roman" w:hAnsi="Times New Roman"/>
          <w:sz w:val="18"/>
          <w:szCs w:val="18"/>
          <w:color w:val="auto"/>
        </w:rPr>
      </w:pPr>
    </w:p>
    <w:p>
      <w:pPr>
        <w:ind w:firstLine="1305"/>
        <w:spacing w:after="0" w:line="254" w:lineRule="auto"/>
        <w:tabs>
          <w:tab w:leader="none" w:pos="1952"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and basis of exchanging or converting the equity securities of each constituent business entity for, or into, cash, property or general or limited partner interests, rights, securities or obligations of the Surviving Business Entity; and (i) if any general or limited partner interests, securities or rights of any constituent business entity are not to be exchanged or converted solely for, or into, cash, property or general or limited partner interests, rights, securities or obligations of the Surviving Business Entity, the cash, property or general or limited partner interests, rights, securities or obligations of any limited partnership, corporation, trust or other entity (other than the Surviving Business Entity) which the holders of such general or limited partner interests, securities or rights are to receive in exchange for, or upon conversion of their general or limited partner interests, securities or rights, and</w:t>
      </w:r>
    </w:p>
    <w:p>
      <w:pPr>
        <w:ind w:right="340" w:firstLine="8"/>
        <w:spacing w:after="0" w:line="255" w:lineRule="auto"/>
        <w:tabs>
          <w:tab w:leader="none" w:pos="26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securities represented by certificates, upon the surrender of such certificates, which cash, property or general or limited partner interests, rights, securities or obligations of the Surviving Business Entity or any general or limited partnership, corporation, trust or other entity (other than the Surviving Business Entity), or evidences thereof, are to be delivered;</w:t>
      </w:r>
    </w:p>
    <w:p>
      <w:pPr>
        <w:spacing w:after="0" w:line="186" w:lineRule="exact"/>
        <w:rPr>
          <w:rFonts w:ascii="Times New Roman" w:cs="Times New Roman" w:eastAsia="Times New Roman" w:hAnsi="Times New Roman"/>
          <w:sz w:val="18"/>
          <w:szCs w:val="18"/>
          <w:color w:val="auto"/>
        </w:rPr>
      </w:pPr>
    </w:p>
    <w:p>
      <w:pPr>
        <w:ind w:right="180" w:firstLine="1305"/>
        <w:spacing w:after="0" w:line="266" w:lineRule="auto"/>
        <w:tabs>
          <w:tab w:leader="none" w:pos="1955"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any changes in the constituent documents or the adoption of new constituent documents (the articles or certificate of incorporation, articles of trust, declaration of trust, certificate or agreement of limited partnership or other similar charter or governing document) of the Surviving Business Entity to be effected by such merger or consolidation;</w:t>
      </w:r>
    </w:p>
    <w:p>
      <w:pPr>
        <w:spacing w:after="0" w:line="176" w:lineRule="exact"/>
        <w:rPr>
          <w:rFonts w:ascii="Times New Roman" w:cs="Times New Roman" w:eastAsia="Times New Roman" w:hAnsi="Times New Roman"/>
          <w:sz w:val="18"/>
          <w:szCs w:val="18"/>
          <w:color w:val="auto"/>
        </w:rPr>
      </w:pPr>
    </w:p>
    <w:p>
      <w:pPr>
        <w:jc w:val="both"/>
        <w:ind w:right="40" w:firstLine="1305"/>
        <w:spacing w:after="0" w:line="266" w:lineRule="auto"/>
        <w:tabs>
          <w:tab w:leader="none" w:pos="1949"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of the merger, which may be the date of the filing of the certificate of merger pursuant to Section 14.4 or a later date specified in or determinable in accordance with the Merger Agreement (provided, that if the effective time of the merger is to be later than the date of the filing of the certificate of merger, the effective time shall be fixed no later than the time of the filing of the certificate of merger and stated therein); and</w:t>
      </w:r>
    </w:p>
    <w:p>
      <w:pPr>
        <w:spacing w:after="0" w:line="176" w:lineRule="exact"/>
        <w:rPr>
          <w:rFonts w:ascii="Times New Roman" w:cs="Times New Roman" w:eastAsia="Times New Roman" w:hAnsi="Times New Roman"/>
          <w:sz w:val="18"/>
          <w:szCs w:val="18"/>
          <w:color w:val="auto"/>
        </w:rPr>
      </w:pPr>
    </w:p>
    <w:p>
      <w:pPr>
        <w:ind w:left="1980" w:hanging="675"/>
        <w:spacing w:after="0"/>
        <w:tabs>
          <w:tab w:leader="none" w:pos="198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provisions with respect to the proposed merger or consolidation as are deemed necessary or appropriate by the General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14.3</w:t>
      </w:r>
      <w:r>
        <w:rPr>
          <w:sz w:val="20"/>
          <w:szCs w:val="20"/>
          <w:color w:val="auto"/>
        </w:rPr>
        <w:tab/>
      </w:r>
      <w:r>
        <w:rPr>
          <w:rFonts w:ascii="Times New Roman" w:cs="Times New Roman" w:eastAsia="Times New Roman" w:hAnsi="Times New Roman"/>
          <w:sz w:val="17"/>
          <w:szCs w:val="17"/>
          <w:i w:val="1"/>
          <w:iCs w:val="1"/>
          <w:color w:val="auto"/>
        </w:rPr>
        <w:t>Approval by Limited Partners of Merger or Consolidation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0" w:firstLine="1305"/>
        <w:spacing w:after="0" w:line="289" w:lineRule="auto"/>
        <w:tabs>
          <w:tab w:leader="none" w:pos="1942"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Section 14.3(d), the General Partner, upon its approval of the Merger Agreement, shall direct that the Merger Agreement be submitted to a vote of Limited Partners, whether at a special meeting or by written consent, in either case in accordance with the requirements of Article XIII. A copy or a summary of the Merger Agreement shall be included in or enclosed with the notice of a special meeting or the written consent.</w:t>
      </w:r>
    </w:p>
    <w:p>
      <w:pPr>
        <w:spacing w:after="0" w:line="158" w:lineRule="exact"/>
        <w:rPr>
          <w:rFonts w:ascii="Times New Roman" w:cs="Times New Roman" w:eastAsia="Times New Roman" w:hAnsi="Times New Roman"/>
          <w:sz w:val="17"/>
          <w:szCs w:val="17"/>
          <w:color w:val="auto"/>
        </w:rPr>
      </w:pPr>
    </w:p>
    <w:p>
      <w:pPr>
        <w:ind w:right="100" w:firstLine="1305"/>
        <w:spacing w:after="0" w:line="261" w:lineRule="auto"/>
        <w:tabs>
          <w:tab w:leader="none" w:pos="1952"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14.3(d), the Merger Agreement shall be approved upon receiving the affirmative vote or consent of the holders of a Unit Majority unless the Merger Agreement contains any provision that, if contained in an amendment to this Agreement, the provisions of this Agreement or the Delaware Act would require for its approval the vote or consent of a greater percentage of the Outstanding Limited Partner Interests or of any</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 of Limited Partners, in which case such greater percentage vote or consent shall be required for approval of the Merger Agreement.</w:t>
      </w:r>
    </w:p>
    <w:p>
      <w:pPr>
        <w:spacing w:after="0" w:line="225" w:lineRule="exact"/>
        <w:rPr>
          <w:sz w:val="20"/>
          <w:szCs w:val="20"/>
          <w:color w:val="auto"/>
        </w:rPr>
      </w:pPr>
    </w:p>
    <w:p>
      <w:pPr>
        <w:jc w:val="both"/>
        <w:ind w:right="140" w:firstLine="1305"/>
        <w:spacing w:after="0" w:line="266" w:lineRule="auto"/>
        <w:tabs>
          <w:tab w:leader="none" w:pos="195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14.3(d), after such approval by vote or consent of the Limited Partners, and at any time prior to the filing of the certificate of merger pursuant to Section 14.4, the merger or consolidation may be abandoned pursuant to provisions therefor, if any, set forth in the Merger Agreement.</w:t>
      </w:r>
    </w:p>
    <w:p>
      <w:pPr>
        <w:spacing w:after="0" w:line="176" w:lineRule="exact"/>
        <w:rPr>
          <w:rFonts w:ascii="Times New Roman" w:cs="Times New Roman" w:eastAsia="Times New Roman" w:hAnsi="Times New Roman"/>
          <w:sz w:val="18"/>
          <w:szCs w:val="18"/>
          <w:color w:val="auto"/>
        </w:rPr>
      </w:pPr>
    </w:p>
    <w:p>
      <w:pPr>
        <w:ind w:right="60" w:firstLine="1305"/>
        <w:spacing w:after="0" w:line="273" w:lineRule="auto"/>
        <w:tabs>
          <w:tab w:leader="none" w:pos="1952"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else contained in this Article XIV or in this Agreement, the General Partner is permitted, in its discretion, without Limited Partner approval, to merge the Partnership or any Group Member into, or convey all of the Partnership’s assets to, another limited liability entity which shall be newly formed and shall have no assets, liabilities or operations at the time of such Merger other than those it receives from the Partnership or other Group Member if (i) the General Partner has received an Opinion of Counsel that the merger or conveyance, as the case may be, would not result in the loss of the limited liability of any Limited Partner or any partner in the Operating Partnership or cause the Partnership or Operating Partnership to be treated as an association taxable as a corporation or otherwise to be taxed as an entity for federal income tax purposes (to the extent not previously treated as such), (ii) the sole purpose of such merger or conveyance is to effect a mere change in the legal form of the Partnership into another</w:t>
      </w:r>
    </w:p>
    <w:p>
      <w:pPr>
        <w:sectPr>
          <w:pgSz w:w="11900" w:h="16923" w:orient="portrait"/>
          <w:cols w:equalWidth="0" w:num="1">
            <w:col w:w="11420"/>
          </w:cols>
          <w:pgMar w:left="240" w:top="117" w:right="239" w:bottom="0" w:gutter="0" w:footer="0" w:header="0"/>
        </w:sectPr>
      </w:pPr>
    </w:p>
    <w:bookmarkStart w:id="62" w:name="page63"/>
    <w:bookmarkEnd w:id="62"/>
    <w:p>
      <w:pPr>
        <w:spacing w:after="0" w:line="7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limited liability entity and (iii) the governing instruments of the new entity provide the Limited Partners and the General Partner with the same rights and obligations as are herein contained.</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14.4</w:t>
      </w:r>
      <w:r>
        <w:rPr>
          <w:sz w:val="20"/>
          <w:szCs w:val="20"/>
          <w:color w:val="auto"/>
        </w:rPr>
        <w:tab/>
      </w:r>
      <w:r>
        <w:rPr>
          <w:rFonts w:ascii="Times New Roman" w:cs="Times New Roman" w:eastAsia="Times New Roman" w:hAnsi="Times New Roman"/>
          <w:sz w:val="17"/>
          <w:szCs w:val="17"/>
          <w:i w:val="1"/>
          <w:iCs w:val="1"/>
          <w:color w:val="auto"/>
        </w:rPr>
        <w:t>Certificate of Merger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Upon the required approval by the General Partner and the Unitholders of a Merger Agreement, a certificate of merger shall be executed and filed with the Secretary of State of the State of Delaware in conformity with the requirements of the Delaware Act.</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14.5</w:t>
      </w:r>
      <w:r>
        <w:rPr>
          <w:sz w:val="20"/>
          <w:szCs w:val="20"/>
          <w:color w:val="auto"/>
        </w:rPr>
        <w:tab/>
      </w:r>
      <w:r>
        <w:rPr>
          <w:rFonts w:ascii="Times New Roman" w:cs="Times New Roman" w:eastAsia="Times New Roman" w:hAnsi="Times New Roman"/>
          <w:sz w:val="18"/>
          <w:szCs w:val="18"/>
          <w:i w:val="1"/>
          <w:iCs w:val="1"/>
          <w:color w:val="auto"/>
        </w:rPr>
        <w:t>Effect of Merger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940" w:hanging="635"/>
        <w:spacing w:after="0"/>
        <w:tabs>
          <w:tab w:leader="none" w:pos="194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certificate of merger:</w:t>
      </w:r>
    </w:p>
    <w:p>
      <w:pPr>
        <w:spacing w:after="0" w:line="225" w:lineRule="exact"/>
        <w:rPr>
          <w:rFonts w:ascii="Times New Roman" w:cs="Times New Roman" w:eastAsia="Times New Roman" w:hAnsi="Times New Roman"/>
          <w:sz w:val="18"/>
          <w:szCs w:val="18"/>
          <w:color w:val="auto"/>
        </w:rPr>
      </w:pPr>
    </w:p>
    <w:p>
      <w:pPr>
        <w:ind w:left="1300" w:right="180" w:firstLine="653"/>
        <w:spacing w:after="0" w:line="261" w:lineRule="auto"/>
        <w:tabs>
          <w:tab w:leader="none" w:pos="2618"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180" w:lineRule="exact"/>
        <w:rPr>
          <w:rFonts w:ascii="Times New Roman" w:cs="Times New Roman" w:eastAsia="Times New Roman" w:hAnsi="Times New Roman"/>
          <w:sz w:val="18"/>
          <w:szCs w:val="18"/>
          <w:color w:val="auto"/>
        </w:rPr>
      </w:pPr>
    </w:p>
    <w:p>
      <w:pPr>
        <w:ind w:left="1300" w:right="140" w:firstLine="653"/>
        <w:spacing w:after="0" w:line="282" w:lineRule="auto"/>
        <w:tabs>
          <w:tab w:leader="none" w:pos="262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to any real property vested by deed or otherwise in any of those constituent business entities shall not revert and is not in any way impaired because of the merger or consolidation;</w:t>
      </w:r>
    </w:p>
    <w:p>
      <w:pPr>
        <w:spacing w:after="0" w:line="161" w:lineRule="exact"/>
        <w:rPr>
          <w:rFonts w:ascii="Times New Roman" w:cs="Times New Roman" w:eastAsia="Times New Roman" w:hAnsi="Times New Roman"/>
          <w:sz w:val="18"/>
          <w:szCs w:val="18"/>
          <w:color w:val="auto"/>
        </w:rPr>
      </w:pPr>
    </w:p>
    <w:p>
      <w:pPr>
        <w:ind w:left="1300" w:right="60" w:firstLine="653"/>
        <w:spacing w:after="0" w:line="282" w:lineRule="auto"/>
        <w:tabs>
          <w:tab w:leader="none" w:pos="2637"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creditors and all liens on or security interests in property of any of those constituent business entities shall be preserved unimpaired;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80" w:firstLine="653"/>
        <w:spacing w:after="0" w:line="282" w:lineRule="auto"/>
        <w:tabs>
          <w:tab w:leader="none" w:pos="2613"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161" w:lineRule="exact"/>
        <w:rPr>
          <w:rFonts w:ascii="Times New Roman" w:cs="Times New Roman" w:eastAsia="Times New Roman" w:hAnsi="Times New Roman"/>
          <w:sz w:val="18"/>
          <w:szCs w:val="18"/>
          <w:color w:val="auto"/>
        </w:rPr>
      </w:pPr>
    </w:p>
    <w:p>
      <w:pPr>
        <w:ind w:right="320" w:firstLine="1305"/>
        <w:spacing w:after="0" w:line="282" w:lineRule="auto"/>
        <w:tabs>
          <w:tab w:leader="none" w:pos="1952"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or consolidation effected pursuant to this Article shall not be deemed to result in a transfer or assignment of assets or liabilities from one entity to another.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 TO ACQUIRE LIMITED PARTNER INTERESTS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15.1</w:t>
      </w:r>
      <w:r>
        <w:rPr>
          <w:sz w:val="20"/>
          <w:szCs w:val="20"/>
          <w:color w:val="auto"/>
        </w:rPr>
        <w:tab/>
      </w:r>
      <w:r>
        <w:rPr>
          <w:rFonts w:ascii="Times New Roman" w:cs="Times New Roman" w:eastAsia="Times New Roman" w:hAnsi="Times New Roman"/>
          <w:sz w:val="17"/>
          <w:szCs w:val="17"/>
          <w:i w:val="1"/>
          <w:iCs w:val="1"/>
          <w:color w:val="auto"/>
        </w:rPr>
        <w:t>Right to Acquire Limited Partner Interests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1305"/>
        <w:spacing w:after="0" w:line="252" w:lineRule="auto"/>
        <w:tabs>
          <w:tab w:leader="none" w:pos="1942"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this Agreement, if at any time not more than 20% of the total Limited Partner Interests of any class then Outstanding is held by Persons other than the General Partner and its Affiliates (other than, in the case of Series A Preferred Units, any such Affiliates that are Series A Purchasers as of the Series A Issuance Date), the General Partner shall then have the right, which right it may assign and transfer in whole or in part to the Partnership or any Affiliate of the General Partner, exercisable in its sole discretion, to purchase all, but not less than all, of such Limited Partner Interests of such class then Outstanding held by Persons other than the General Partner and its Affiliates, at the greater of (x) the Current Market Price as of the date three days prior to the date that the notice described in Section 15 is mailed and (y) the highest price paid by the General Partner or any of its Affiliates for any such Limited Partner Interest of such class purchased during the 90-day period preceding the date that the notice described in Section 15.1(b) is mailed. As used in this Agreement, (i) “</w:t>
      </w:r>
      <w:r>
        <w:rPr>
          <w:rFonts w:ascii="Times New Roman" w:cs="Times New Roman" w:eastAsia="Times New Roman" w:hAnsi="Times New Roman"/>
          <w:sz w:val="18"/>
          <w:szCs w:val="18"/>
          <w:i w:val="1"/>
          <w:iCs w:val="1"/>
          <w:color w:val="auto"/>
        </w:rPr>
        <w:t>Current Market Price</w:t>
      </w:r>
      <w:r>
        <w:rPr>
          <w:rFonts w:ascii="Times New Roman" w:cs="Times New Roman" w:eastAsia="Times New Roman" w:hAnsi="Times New Roman"/>
          <w:sz w:val="18"/>
          <w:szCs w:val="18"/>
          <w:color w:val="auto"/>
        </w:rPr>
        <w:t>” as of any date of any class of Limited Partner Interests listed or admitted to trading on any National Securities Exchange means the average of the daily Closing Prices (as hereinafter defined) per limited partner interest of such class for the 20 consecutive Trading Days (as hereinafter defined) immediately prior to such date; (ii) “</w:t>
      </w:r>
      <w:r>
        <w:rPr>
          <w:rFonts w:ascii="Times New Roman" w:cs="Times New Roman" w:eastAsia="Times New Roman" w:hAnsi="Times New Roman"/>
          <w:sz w:val="18"/>
          <w:szCs w:val="18"/>
          <w:i w:val="1"/>
          <w:iCs w:val="1"/>
          <w:color w:val="auto"/>
        </w:rPr>
        <w:t>Closing Price</w:t>
      </w:r>
      <w:r>
        <w:rPr>
          <w:rFonts w:ascii="Times New Roman" w:cs="Times New Roman" w:eastAsia="Times New Roman" w:hAnsi="Times New Roman"/>
          <w:sz w:val="18"/>
          <w:szCs w:val="18"/>
          <w:color w:val="auto"/>
        </w:rPr>
        <w:t>” for any day means the last sale price on such day, regular way, or in case no such sale takes place on such day, the average of the closing bid and asked prices on such day, regular way, in either case as reported in the principal consolidated transaction reporting system with respect to securities listed or admitted for trading on the principal National Securities Exchange (other than the Nasdaq Stock Market) on which such Limited Partner Interests of such class are listed or admitted to trading or, if such Limited Partner Interests of such class are not listed or admitted to trading on any National Securities Exchange (other than the Nasdaq Stock Market), the last quoted price on such day or, if not so quoted, the average of the high bid and low asked prices on such day in the over-the-counter market, as reported by the Nasdaq Stock Market or such other system then in use, or, if on any such day such Limited Partner Interests of such class are not quoted by any such organization, the average of the closing bid and asked prices on such day as furnished by a professional market maker making a market in such Limited Partner Interests of such class selected by the General Partner, or if on any such day no market maker is making a market in such Limited Partner Interests of such class, the fair value of such Limited Partner Interests on such day as determined reasonably and in good faith by the General Partner; and (iii) “</w:t>
      </w:r>
      <w:r>
        <w:rPr>
          <w:rFonts w:ascii="Times New Roman" w:cs="Times New Roman" w:eastAsia="Times New Roman" w:hAnsi="Times New Roman"/>
          <w:sz w:val="18"/>
          <w:szCs w:val="18"/>
          <w:i w:val="1"/>
          <w:iCs w:val="1"/>
          <w:color w:val="auto"/>
        </w:rPr>
        <w:t>Trading Day</w:t>
      </w:r>
      <w:r>
        <w:rPr>
          <w:rFonts w:ascii="Times New Roman" w:cs="Times New Roman" w:eastAsia="Times New Roman" w:hAnsi="Times New Roman"/>
          <w:sz w:val="18"/>
          <w:szCs w:val="18"/>
          <w:color w:val="auto"/>
        </w:rPr>
        <w:t>” means a day on which the principal National Securities Exchange on which such Limited Partner Interests of any class are listed or admitted to trading is open for the transaction of business or, if Limited Partner Interests of a class are not listed or admitted to</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on any National Securities Exchange, a day on which banking institutions in New York City generally are open.</w:t>
      </w:r>
    </w:p>
    <w:p>
      <w:pPr>
        <w:spacing w:after="0" w:line="225" w:lineRule="exact"/>
        <w:rPr>
          <w:sz w:val="20"/>
          <w:szCs w:val="20"/>
          <w:color w:val="auto"/>
        </w:rPr>
      </w:pPr>
    </w:p>
    <w:p>
      <w:pPr>
        <w:ind w:right="20" w:firstLine="1305"/>
        <w:spacing w:after="0" w:line="254" w:lineRule="auto"/>
        <w:tabs>
          <w:tab w:leader="none" w:pos="1952"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Times New Roman" w:cs="Times New Roman" w:eastAsia="Times New Roman" w:hAnsi="Times New Roman"/>
          <w:sz w:val="18"/>
          <w:szCs w:val="18"/>
          <w:i w:val="1"/>
          <w:i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Election to Purchase</w:t>
      </w:r>
      <w:r>
        <w:rPr>
          <w:rFonts w:ascii="Times New Roman" w:cs="Times New Roman" w:eastAsia="Times New Roman" w:hAnsi="Times New Roman"/>
          <w:sz w:val="18"/>
          <w:szCs w:val="18"/>
          <w:color w:val="auto"/>
        </w:rPr>
        <w:t>”) and shall cause the Transfer Agent to mail a copy of such Notice of Election to Purchase to the Record Holders of Limited Partner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Units, in exchange for payment, at such office or offices of the Transfer Agent as the Transfer Agent may specify, or as may be required by any National Securities Exchange on which such Limited Partner Interests are listed or admitted to trading. Any such</w:t>
      </w:r>
    </w:p>
    <w:p>
      <w:pPr>
        <w:sectPr>
          <w:pgSz w:w="11900" w:h="16909" w:orient="portrait"/>
          <w:cols w:equalWidth="0" w:num="1">
            <w:col w:w="11420"/>
          </w:cols>
          <w:pgMar w:left="240" w:top="121" w:right="239" w:bottom="0" w:gutter="0" w:footer="0" w:header="0"/>
        </w:sectPr>
      </w:pPr>
    </w:p>
    <w:bookmarkStart w:id="63" w:name="page64"/>
    <w:bookmarkEnd w:id="63"/>
    <w:p>
      <w:pPr>
        <w:ind w:right="20"/>
        <w:spacing w:after="0" w:line="252" w:lineRule="auto"/>
        <w:rPr>
          <w:sz w:val="20"/>
          <w:szCs w:val="20"/>
          <w:color w:val="auto"/>
        </w:rPr>
      </w:pPr>
      <w:r>
        <w:rPr>
          <w:rFonts w:ascii="Times New Roman" w:cs="Times New Roman" w:eastAsia="Times New Roman" w:hAnsi="Times New Roman"/>
          <w:sz w:val="18"/>
          <w:szCs w:val="18"/>
          <w:color w:val="auto"/>
        </w:rPr>
        <w:t>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Units, shall not have been surrendered for purchase, all rights of the holders of such Limited Partner Interests (including any rights pursuant to Articles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Units,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IV, V, VI and XII).</w:t>
      </w:r>
    </w:p>
    <w:p>
      <w:pPr>
        <w:spacing w:after="0" w:line="199" w:lineRule="exact"/>
        <w:rPr>
          <w:sz w:val="20"/>
          <w:szCs w:val="20"/>
          <w:color w:val="auto"/>
        </w:rPr>
      </w:pPr>
    </w:p>
    <w:p>
      <w:pPr>
        <w:ind w:right="100" w:firstLine="1305"/>
        <w:spacing w:after="0" w:line="282" w:lineRule="auto"/>
        <w:tabs>
          <w:tab w:leader="none" w:pos="1955"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from and after the Purchase Date, a holder of an Outstanding Limited Partner Interest subject to purchase as provided in this Section 15.1 may surrender his Certificate evidencing such Limited Partner Interest, or other evidence of the issuance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uncertificated Units, to the Transfer Agent in exchange for payment of the amount described in Section 15.1(a), therefor, without interest thereon.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XVI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205"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16.1</w:t>
      </w:r>
      <w:r>
        <w:rPr>
          <w:sz w:val="20"/>
          <w:szCs w:val="20"/>
          <w:color w:val="auto"/>
        </w:rPr>
        <w:tab/>
      </w:r>
      <w:r>
        <w:rPr>
          <w:rFonts w:ascii="Times New Roman" w:cs="Times New Roman" w:eastAsia="Times New Roman" w:hAnsi="Times New Roman"/>
          <w:sz w:val="18"/>
          <w:szCs w:val="18"/>
          <w:i w:val="1"/>
          <w:iCs w:val="1"/>
          <w:color w:val="auto"/>
        </w:rPr>
        <w:t>Addresses and Notices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Any notice, demand, request, report or proxy materials required or permitted to be given or made to a Partner or Assignee under this Agreement shall be in writing and shall be deemed given or made when delivered in person or when sent by first class United States mail or by other means of written communication to the Partner or Assignee at the address described below. Any notice, payment or report to be given or made to a Partner or Assignee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Securities at his address as shown on the records of the Transfer Agent or as otherwise shown on the records of the Partnership, regardless of any claim of any Person who may have an interest in such Partnership Securities by reason of any assignment or otherwise. An affidavit or certificate of making of any notice, payment or report in accordance with the provisions of this Section 16.1 executed by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or Assignee at the principal office of the Partnership for a period of one year from the date of the giving or making of such notice, payment or report to the other Partners and Assignees. Any notice to the Partnership shall be deemed given if received by the General Partner at the principal office of the Partnership designated pursuant to Section 2.3. The General Partner may rely and shall be protected in relying on any notice or other document from a Partner, Assignee or other Person if believed by it to be genuine.</w:t>
      </w:r>
    </w:p>
    <w:p>
      <w:pPr>
        <w:spacing w:after="0" w:line="19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16.2</w:t>
      </w:r>
      <w:r>
        <w:rPr>
          <w:sz w:val="20"/>
          <w:szCs w:val="20"/>
          <w:color w:val="auto"/>
        </w:rPr>
        <w:tab/>
      </w:r>
      <w:r>
        <w:rPr>
          <w:rFonts w:ascii="Times New Roman" w:cs="Times New Roman" w:eastAsia="Times New Roman" w:hAnsi="Times New Roman"/>
          <w:sz w:val="17"/>
          <w:szCs w:val="17"/>
          <w:i w:val="1"/>
          <w:iCs w:val="1"/>
          <w:color w:val="auto"/>
        </w:rPr>
        <w:t>Further Action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parties shall execute and deliver all documents, provide all information and take or refrain from taking action as may be necessary or appropriate to achieve the purposes of this Agreement.</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16.3</w:t>
      </w:r>
      <w:r>
        <w:rPr>
          <w:sz w:val="20"/>
          <w:szCs w:val="20"/>
          <w:color w:val="auto"/>
        </w:rPr>
        <w:tab/>
      </w:r>
      <w:r>
        <w:rPr>
          <w:rFonts w:ascii="Times New Roman" w:cs="Times New Roman" w:eastAsia="Times New Roman" w:hAnsi="Times New Roman"/>
          <w:sz w:val="17"/>
          <w:szCs w:val="17"/>
          <w:i w:val="1"/>
          <w:iCs w:val="1"/>
          <w:color w:val="auto"/>
        </w:rPr>
        <w:t>Binding Effect</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parties hereto and their heirs, executors, administrators, successors, legal representatives and permitted assigns.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16.4</w:t>
      </w:r>
      <w:r>
        <w:rPr>
          <w:sz w:val="20"/>
          <w:szCs w:val="20"/>
          <w:color w:val="auto"/>
        </w:rPr>
        <w:tab/>
      </w:r>
      <w:r>
        <w:rPr>
          <w:rFonts w:ascii="Times New Roman" w:cs="Times New Roman" w:eastAsia="Times New Roman" w:hAnsi="Times New Roman"/>
          <w:sz w:val="18"/>
          <w:szCs w:val="18"/>
          <w:i w:val="1"/>
          <w:iCs w:val="1"/>
          <w:color w:val="auto"/>
        </w:rPr>
        <w:t>Integration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This Agreement constitutes the entire agreement among the parties hereto pertaining to the subject matter hereof and supersedes all prior agreements and understandings pertaining thereto.</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16.5</w:t>
      </w:r>
      <w:r>
        <w:rPr>
          <w:sz w:val="20"/>
          <w:szCs w:val="20"/>
          <w:color w:val="auto"/>
        </w:rPr>
        <w:tab/>
      </w:r>
      <w:r>
        <w:rPr>
          <w:rFonts w:ascii="Times New Roman" w:cs="Times New Roman" w:eastAsia="Times New Roman" w:hAnsi="Times New Roman"/>
          <w:sz w:val="18"/>
          <w:szCs w:val="18"/>
          <w:i w:val="1"/>
          <w:iCs w:val="1"/>
          <w:color w:val="auto"/>
        </w:rPr>
        <w:t>Creditors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 of the provisions of this Agreement shall be for the benefit of, or shall be enforceable by, any creditor of the Partnership.</w:t>
      </w:r>
    </w:p>
    <w:p>
      <w:pPr>
        <w:spacing w:after="0" w:line="22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16.6</w:t>
      </w:r>
      <w:r>
        <w:rPr>
          <w:sz w:val="20"/>
          <w:szCs w:val="20"/>
          <w:color w:val="auto"/>
        </w:rPr>
        <w:tab/>
      </w:r>
      <w:r>
        <w:rPr>
          <w:rFonts w:ascii="Times New Roman" w:cs="Times New Roman" w:eastAsia="Times New Roman" w:hAnsi="Times New Roman"/>
          <w:sz w:val="17"/>
          <w:szCs w:val="17"/>
          <w:i w:val="1"/>
          <w:iCs w:val="1"/>
          <w:color w:val="auto"/>
        </w:rPr>
        <w:t>Waiver</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16.7</w:t>
      </w:r>
      <w:r>
        <w:rPr>
          <w:sz w:val="20"/>
          <w:szCs w:val="20"/>
          <w:color w:val="auto"/>
        </w:rPr>
        <w:tab/>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0" w:gutter="0" w:footer="0" w:header="0"/>
        </w:sectPr>
      </w:pPr>
    </w:p>
    <w:bookmarkStart w:id="64" w:name="page65"/>
    <w:bookmarkEnd w:id="64"/>
    <w:p>
      <w:pPr>
        <w:spacing w:after="0" w:line="2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Unit, upon accepting the Certificate evidencing such Unit, or other evidence of the issuance of uncertificated Units, or executing and delivering a Transfer Application as herein described, independently of the signature of any other party.</w:t>
      </w:r>
    </w:p>
    <w:p>
      <w:pPr>
        <w:spacing w:after="0" w:line="182"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16.8</w:t>
      </w:r>
      <w:r>
        <w:rPr>
          <w:sz w:val="20"/>
          <w:szCs w:val="20"/>
          <w:color w:val="auto"/>
        </w:rPr>
        <w:tab/>
      </w:r>
      <w:r>
        <w:rPr>
          <w:rFonts w:ascii="Times New Roman" w:cs="Times New Roman" w:eastAsia="Times New Roman" w:hAnsi="Times New Roman"/>
          <w:sz w:val="17"/>
          <w:szCs w:val="17"/>
          <w:i w:val="1"/>
          <w:iCs w:val="1"/>
          <w:color w:val="auto"/>
        </w:rPr>
        <w:t>Applicable Law; Forum; Venue and Jurisdiction</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280" w:firstLine="1305"/>
        <w:spacing w:after="0" w:line="282" w:lineRule="auto"/>
        <w:tabs>
          <w:tab w:leader="none" w:pos="194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construed in accordance with and governed by the laws of the State of Delaware, without regard to the principles of conflicts of law.</w:t>
      </w:r>
    </w:p>
    <w:p>
      <w:pPr>
        <w:spacing w:after="0" w:line="161" w:lineRule="exact"/>
        <w:rPr>
          <w:rFonts w:ascii="Times New Roman" w:cs="Times New Roman" w:eastAsia="Times New Roman" w:hAnsi="Times New Roman"/>
          <w:sz w:val="18"/>
          <w:szCs w:val="18"/>
          <w:color w:val="auto"/>
        </w:rPr>
      </w:pPr>
    </w:p>
    <w:p>
      <w:pPr>
        <w:ind w:right="320" w:firstLine="1305"/>
        <w:spacing w:after="0" w:line="282" w:lineRule="auto"/>
        <w:tabs>
          <w:tab w:leader="none" w:pos="1952"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Partners and each Person holding any beneficial interest in the Partnership (whether through a broker, dealer, bank, trust company or clearing corporation or an agent of any of the foregoing or otherwise):</w:t>
      </w:r>
    </w:p>
    <w:p>
      <w:pPr>
        <w:spacing w:after="0" w:line="161" w:lineRule="exact"/>
        <w:rPr>
          <w:rFonts w:ascii="Times New Roman" w:cs="Times New Roman" w:eastAsia="Times New Roman" w:hAnsi="Times New Roman"/>
          <w:sz w:val="18"/>
          <w:szCs w:val="18"/>
          <w:color w:val="auto"/>
        </w:rPr>
      </w:pPr>
    </w:p>
    <w:p>
      <w:pPr>
        <w:ind w:left="1300" w:firstLine="653"/>
        <w:spacing w:after="0" w:line="257" w:lineRule="auto"/>
        <w:tabs>
          <w:tab w:leader="none" w:pos="2618" w:val="left"/>
        </w:tabs>
        <w:numPr>
          <w:ilvl w:val="1"/>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w:t>
      </w:r>
    </w:p>
    <w:p>
      <w:pPr>
        <w:spacing w:after="0" w:line="1" w:lineRule="exact"/>
        <w:rPr>
          <w:rFonts w:ascii="Times New Roman" w:cs="Times New Roman" w:eastAsia="Times New Roman" w:hAnsi="Times New Roman"/>
          <w:sz w:val="18"/>
          <w:szCs w:val="18"/>
          <w:color w:val="auto"/>
        </w:rPr>
      </w:pPr>
    </w:p>
    <w:p>
      <w:pPr>
        <w:ind w:left="1300" w:right="28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 brought in a derivative manner on behalf of the Partnership, (C) asserting a claim of breach of a fiduciary duty owed by any director, officer, or other employee of the Partnership or the General Partner, or owed by the General Partner, to the Partnership or the Partners,</w:t>
      </w:r>
    </w:p>
    <w:p>
      <w:pPr>
        <w:ind w:left="1300" w:right="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asserting a claim arising pursuant to any provision of the Delaware Act or (E) asserting a claim governed by the internal affairs doctrine shall be exclusively brought in the Court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300" w:right="80"/>
        <w:spacing w:after="0" w:line="266" w:lineRule="auto"/>
        <w:rPr>
          <w:sz w:val="20"/>
          <w:szCs w:val="20"/>
          <w:color w:val="auto"/>
        </w:rPr>
      </w:pPr>
      <w:r>
        <w:rPr>
          <w:rFonts w:ascii="Times New Roman" w:cs="Times New Roman" w:eastAsia="Times New Roman" w:hAnsi="Times New Roman"/>
          <w:sz w:val="18"/>
          <w:szCs w:val="18"/>
          <w:color w:val="auto"/>
        </w:rPr>
        <w:t>Chancery of the State of Delaware (or, if such court does not have subject matter jurisdiction thereof, any other court located in the State of Delaware with subject matter jurisdiction), in each case regardless of whether such claims, suits, actions or proceedings sound in contract, tort, fraud or otherwise, are based on common law, statutory, equitable, legal or other grounds, or are derivative or direct claims;</w:t>
      </w:r>
    </w:p>
    <w:p>
      <w:pPr>
        <w:spacing w:after="0" w:line="176" w:lineRule="exact"/>
        <w:rPr>
          <w:sz w:val="20"/>
          <w:szCs w:val="20"/>
          <w:color w:val="auto"/>
        </w:rPr>
      </w:pPr>
    </w:p>
    <w:p>
      <w:pPr>
        <w:jc w:val="both"/>
        <w:ind w:left="1300" w:right="80" w:firstLine="653"/>
        <w:spacing w:after="0" w:line="266" w:lineRule="auto"/>
        <w:tabs>
          <w:tab w:leader="none" w:pos="2627"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submits to the exclusive jurisdiction of the Court of Chancery of the State of Delaware (or, if such court does not have subject matter jurisdiction thereof, any other court located in the State of Delaware with subject matter jurisdiction) in connection with any such claim, suit, action or proceeding;</w:t>
      </w:r>
    </w:p>
    <w:p>
      <w:pPr>
        <w:spacing w:after="0" w:line="176" w:lineRule="exact"/>
        <w:rPr>
          <w:rFonts w:ascii="Times New Roman" w:cs="Times New Roman" w:eastAsia="Times New Roman" w:hAnsi="Times New Roman"/>
          <w:sz w:val="18"/>
          <w:szCs w:val="18"/>
          <w:color w:val="auto"/>
        </w:rPr>
      </w:pPr>
    </w:p>
    <w:p>
      <w:pPr>
        <w:ind w:left="1300" w:right="380" w:firstLine="653"/>
        <w:spacing w:after="0" w:line="272" w:lineRule="auto"/>
        <w:tabs>
          <w:tab w:leader="none" w:pos="2637"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w:t>
      </w:r>
    </w:p>
    <w:p>
      <w:pPr>
        <w:spacing w:after="0" w:line="1" w:lineRule="exact"/>
        <w:rPr>
          <w:rFonts w:ascii="Times New Roman" w:cs="Times New Roman" w:eastAsia="Times New Roman" w:hAnsi="Times New Roman"/>
          <w:sz w:val="17"/>
          <w:szCs w:val="17"/>
          <w:color w:val="auto"/>
        </w:rPr>
      </w:pPr>
    </w:p>
    <w:p>
      <w:pPr>
        <w:ind w:left="1580" w:hanging="275"/>
        <w:spacing w:after="0"/>
        <w:tabs>
          <w:tab w:leader="none" w:pos="15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venue of such claim, suit, action or proceeding is improper;</w:t>
      </w:r>
    </w:p>
    <w:p>
      <w:pPr>
        <w:spacing w:after="0" w:line="20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waives any requirement for the posting of a bond by a party bringing such claim, suit, action or proceeding; and</w:t>
      </w:r>
    </w:p>
    <w:p>
      <w:pPr>
        <w:spacing w:after="0" w:line="225" w:lineRule="exact"/>
        <w:rPr>
          <w:rFonts w:ascii="Times New Roman" w:cs="Times New Roman" w:eastAsia="Times New Roman" w:hAnsi="Times New Roman"/>
          <w:sz w:val="18"/>
          <w:szCs w:val="18"/>
          <w:color w:val="auto"/>
        </w:rPr>
      </w:pPr>
    </w:p>
    <w:p>
      <w:pPr>
        <w:ind w:left="1300" w:right="100" w:firstLine="653"/>
        <w:spacing w:after="0" w:line="261" w:lineRule="auto"/>
        <w:tabs>
          <w:tab w:leader="none" w:pos="2604"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provided, nothing in clause (v) hereof shall affect or limit any right to serve process in any other manner permitted by law.</w:t>
      </w:r>
    </w:p>
    <w:p>
      <w:pPr>
        <w:spacing w:after="0" w:line="17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16.9</w:t>
      </w:r>
      <w:r>
        <w:rPr>
          <w:sz w:val="20"/>
          <w:szCs w:val="20"/>
          <w:color w:val="auto"/>
        </w:rPr>
        <w:tab/>
      </w:r>
      <w:r>
        <w:rPr>
          <w:rFonts w:ascii="Times New Roman" w:cs="Times New Roman" w:eastAsia="Times New Roman" w:hAnsi="Times New Roman"/>
          <w:sz w:val="18"/>
          <w:szCs w:val="18"/>
          <w:i w:val="1"/>
          <w:iCs w:val="1"/>
          <w:color w:val="auto"/>
        </w:rPr>
        <w:t>Invalidity of Provisions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If any provision of this Agreement is or becomes invalid, illegal or unenforceable in an: respect, the validity, legality and enforceability of the remaining provisions contained herein shall not be affected thereby.</w:t>
      </w:r>
    </w:p>
    <w:p>
      <w:pPr>
        <w:spacing w:after="0" w:line="160"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16.10</w:t>
      </w:r>
      <w:r>
        <w:rPr>
          <w:sz w:val="20"/>
          <w:szCs w:val="20"/>
          <w:color w:val="auto"/>
        </w:rPr>
        <w:tab/>
      </w:r>
      <w:r>
        <w:rPr>
          <w:rFonts w:ascii="Times New Roman" w:cs="Times New Roman" w:eastAsia="Times New Roman" w:hAnsi="Times New Roman"/>
          <w:sz w:val="18"/>
          <w:szCs w:val="18"/>
          <w:i w:val="1"/>
          <w:iCs w:val="1"/>
          <w:color w:val="auto"/>
        </w:rPr>
        <w:t>Consent of Partners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Each Partner hereby expressly consents and agrees that, whenever in this Agreement it i specified that an action may be taken upon the affirmative vote or consent of less than all of the Partners, such action may be so taken upon the concurrence of less than all of the Partners and each Partner shall be bound by the results of such action.</w:t>
      </w:r>
    </w:p>
    <w:p>
      <w:pPr>
        <w:spacing w:after="0" w:line="174"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16.11</w:t>
      </w:r>
      <w:r>
        <w:rPr>
          <w:sz w:val="20"/>
          <w:szCs w:val="20"/>
          <w:color w:val="auto"/>
        </w:rPr>
        <w:tab/>
      </w:r>
      <w:r>
        <w:rPr>
          <w:rFonts w:ascii="Times New Roman" w:cs="Times New Roman" w:eastAsia="Times New Roman" w:hAnsi="Times New Roman"/>
          <w:sz w:val="17"/>
          <w:szCs w:val="17"/>
          <w:i w:val="1"/>
          <w:iCs w:val="1"/>
          <w:color w:val="auto"/>
        </w:rPr>
        <w:t>Effects of Amendments</w:t>
      </w:r>
      <w:r>
        <w:rPr>
          <w:rFonts w:ascii="Times New Roman" w:cs="Times New Roman" w:eastAsia="Times New Roman" w:hAnsi="Times New Roman"/>
          <w:sz w:val="17"/>
          <w:szCs w:val="17"/>
          <w:color w:val="auto"/>
        </w:rPr>
        <w:t>.</w:t>
      </w:r>
    </w:p>
    <w:p>
      <w:pPr>
        <w:spacing w:after="0" w:line="227" w:lineRule="exact"/>
        <w:rPr>
          <w:sz w:val="20"/>
          <w:szCs w:val="20"/>
          <w:color w:val="auto"/>
        </w:rPr>
      </w:pPr>
    </w:p>
    <w:p>
      <w:pPr>
        <w:ind w:right="380" w:firstLine="1305"/>
        <w:spacing w:after="0" w:line="266" w:lineRule="auto"/>
        <w:tabs>
          <w:tab w:leader="none" w:pos="1942"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amendments to this Agreement contained in the GP Restructuring Agreement and notwithstanding any other provision of this Agreement to the contrary, this Agreement shall be deemed to be further amended and modified to the extent necessary, but only to the extent necessary, to carry out the purposes and intent of the GP Restructuring Agreement.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305"/>
        <w:spacing w:after="0" w:line="258" w:lineRule="auto"/>
        <w:tabs>
          <w:tab w:leader="none" w:pos="195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amendments contained in this Agreement to effectuate the conversion of subordinated units (which have subsequently converted into Common Units) and notwithstanding any other provisions of this Agreement to the contrary, this Agreement shall be deemed further amended and modified to the extent necessary, but only to the extent necessary, to (i) preserve any provision of the 2001 Agreement related in part to subordinated units that was inadvertently modified or deleted and continues to have application to other Partnership Interests and (ii) otherwise carry out the purposes and intent of eliminating provisions of the 2001 Agreement related to subordinated units that are no longer applicable.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Rest of Page Intentionally Left Blank]</w:t>
      </w:r>
    </w:p>
    <w:p>
      <w:pPr>
        <w:sectPr>
          <w:pgSz w:w="11900" w:h="16859" w:orient="portrait"/>
          <w:cols w:equalWidth="0" w:num="1">
            <w:col w:w="11420"/>
          </w:cols>
          <w:pgMar w:left="240" w:top="121" w:right="239" w:bottom="0" w:gutter="0" w:footer="0" w:header="0"/>
        </w:sect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ectPr>
          <w:pgSz w:w="11900" w:h="16859" w:orient="portrait"/>
          <w:cols w:equalWidth="0" w:num="1">
            <w:col w:w="11420"/>
          </w:cols>
          <w:pgMar w:left="240" w:top="121" w:right="239" w:bottom="0" w:gutter="0" w:footer="0" w:header="0"/>
          <w:type w:val="continuous"/>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this Agreement as of the date first written above.</w:t>
      </w:r>
    </w:p>
    <w:p>
      <w:pPr>
        <w:spacing w:after="0" w:line="22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PAA GP LLC</w:t>
      </w:r>
    </w:p>
    <w:p>
      <w:pPr>
        <w:spacing w:after="0" w:line="225" w:lineRule="exact"/>
        <w:rPr>
          <w:sz w:val="20"/>
          <w:szCs w:val="20"/>
          <w:color w:val="auto"/>
        </w:rPr>
      </w:pPr>
    </w:p>
    <w:tbl>
      <w:tblPr>
        <w:tblLayout w:type="fixed"/>
        <w:tblInd w:w="5820" w:type="dxa"/>
        <w:tblCellMar>
          <w:top w:w="0" w:type="dxa"/>
          <w:left w:w="0" w:type="dxa"/>
          <w:bottom w:w="0" w:type="dxa"/>
          <w:right w:w="0" w:type="dxa"/>
        </w:tblCellMar>
      </w:tblP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r>
      <w:tr>
        <w:trPr>
          <w:trHeight w:val="234"/>
        </w:trPr>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1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34"/>
        </w:trPr>
        <w:tc>
          <w:tcPr>
            <w:tcW w:w="72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64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bl>
    <w:p>
      <w:pPr>
        <w:spacing w:after="0" w:line="200" w:lineRule="exact"/>
        <w:rPr>
          <w:sz w:val="20"/>
          <w:szCs w:val="20"/>
          <w:color w:val="auto"/>
        </w:rPr>
      </w:pPr>
    </w:p>
    <w:p>
      <w:pPr>
        <w:spacing w:after="0" w:line="21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b w:val="1"/>
          <w:bCs w:val="1"/>
          <w:color w:val="auto"/>
        </w:rPr>
        <w:t>LIMITED PARTNERS:</w:t>
      </w:r>
    </w:p>
    <w:p>
      <w:pPr>
        <w:spacing w:after="0" w:line="22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All Limited Partners now and hereafter admitted as Limited Partners of the</w:t>
      </w:r>
    </w:p>
    <w:p>
      <w:pPr>
        <w:spacing w:after="0" w:line="2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Partnership, pursuant to powers of attorney now and hereafter executed in</w:t>
      </w:r>
    </w:p>
    <w:p>
      <w:pPr>
        <w:spacing w:after="0" w:line="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favor of, and granted and delivered to the General Partner.</w:t>
      </w:r>
    </w:p>
    <w:p>
      <w:pPr>
        <w:spacing w:after="0" w:line="20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PAA GP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ind w:left="582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c>
          <w:tcPr>
            <w:tcW w:w="40" w:type="dxa"/>
            <w:vAlign w:val="bottom"/>
          </w:tcPr>
          <w:p>
            <w:pPr>
              <w:spacing w:after="0"/>
              <w:rPr>
                <w:sz w:val="18"/>
                <w:szCs w:val="18"/>
                <w:color w:val="auto"/>
              </w:rPr>
            </w:pPr>
          </w:p>
        </w:tc>
      </w:tr>
      <w:tr>
        <w:trPr>
          <w:trHeight w:val="234"/>
        </w:trPr>
        <w:tc>
          <w:tcPr>
            <w:tcW w:w="65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w:t>
            </w:r>
          </w:p>
        </w:tc>
        <w:tc>
          <w:tcPr>
            <w:tcW w:w="40" w:type="dxa"/>
            <w:vAlign w:val="bottom"/>
          </w:tcPr>
          <w:p>
            <w:pPr>
              <w:spacing w:after="0"/>
              <w:rPr>
                <w:sz w:val="20"/>
                <w:szCs w:val="20"/>
                <w:color w:val="auto"/>
              </w:rPr>
            </w:pPr>
          </w:p>
        </w:tc>
      </w:tr>
      <w:tr>
        <w:trPr>
          <w:trHeight w:val="414"/>
        </w:trPr>
        <w:tc>
          <w:tcPr>
            <w:tcW w:w="6540" w:type="dxa"/>
            <w:vAlign w:val="bottom"/>
          </w:tcPr>
          <w:p>
            <w:pPr>
              <w:ind w:left="582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c>
          <w:tcPr>
            <w:tcW w:w="40" w:type="dxa"/>
            <w:vAlign w:val="bottom"/>
          </w:tcPr>
          <w:p>
            <w:pPr>
              <w:spacing w:after="0"/>
              <w:rPr>
                <w:sz w:val="24"/>
                <w:szCs w:val="24"/>
                <w:color w:val="auto"/>
              </w:rPr>
            </w:pPr>
          </w:p>
        </w:tc>
      </w:tr>
      <w:tr>
        <w:trPr>
          <w:trHeight w:val="234"/>
        </w:trPr>
        <w:tc>
          <w:tcPr>
            <w:tcW w:w="654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c>
          <w:tcPr>
            <w:tcW w:w="40" w:type="dxa"/>
            <w:vAlign w:val="bottom"/>
          </w:tcPr>
          <w:p>
            <w:pPr>
              <w:spacing w:after="0"/>
              <w:rPr>
                <w:sz w:val="20"/>
                <w:szCs w:val="20"/>
                <w:color w:val="auto"/>
              </w:rPr>
            </w:pPr>
          </w:p>
        </w:tc>
      </w:tr>
      <w:tr>
        <w:trPr>
          <w:trHeight w:val="648"/>
        </w:trPr>
        <w:tc>
          <w:tcPr>
            <w:tcW w:w="6540" w:type="dxa"/>
            <w:vAlign w:val="bottom"/>
          </w:tcPr>
          <w:p>
            <w:pPr>
              <w:ind w:left="5820"/>
              <w:spacing w:after="0"/>
              <w:rPr>
                <w:sz w:val="20"/>
                <w:szCs w:val="20"/>
                <w:color w:val="auto"/>
              </w:rPr>
            </w:pPr>
            <w:r>
              <w:rPr>
                <w:rFonts w:ascii="Times New Roman" w:cs="Times New Roman" w:eastAsia="Times New Roman" w:hAnsi="Times New Roman"/>
                <w:sz w:val="18"/>
                <w:szCs w:val="18"/>
                <w:color w:val="auto"/>
              </w:rPr>
              <w:t>By:</w:t>
            </w:r>
          </w:p>
        </w:tc>
        <w:tc>
          <w:tcPr>
            <w:tcW w:w="4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Richard McGee</w:t>
            </w:r>
          </w:p>
        </w:tc>
        <w:tc>
          <w:tcPr>
            <w:tcW w:w="40" w:type="dxa"/>
            <w:vAlign w:val="bottom"/>
          </w:tcPr>
          <w:p>
            <w:pPr>
              <w:spacing w:after="0"/>
              <w:rPr>
                <w:sz w:val="24"/>
                <w:szCs w:val="24"/>
                <w:color w:val="auto"/>
              </w:rPr>
            </w:pPr>
          </w:p>
        </w:tc>
      </w:tr>
      <w:tr>
        <w:trPr>
          <w:trHeight w:val="191"/>
        </w:trPr>
        <w:tc>
          <w:tcPr>
            <w:tcW w:w="6540" w:type="dxa"/>
            <w:vAlign w:val="bottom"/>
          </w:tcPr>
          <w:p>
            <w:pPr>
              <w:ind w:left="58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Richard McGee</w:t>
            </w:r>
          </w:p>
        </w:tc>
        <w:tc>
          <w:tcPr>
            <w:tcW w:w="40" w:type="dxa"/>
            <w:vAlign w:val="bottom"/>
          </w:tcPr>
          <w:p>
            <w:pPr>
              <w:spacing w:after="0"/>
              <w:rPr>
                <w:sz w:val="16"/>
                <w:szCs w:val="16"/>
                <w:color w:val="auto"/>
              </w:rPr>
            </w:pPr>
          </w:p>
        </w:tc>
      </w:tr>
      <w:tr>
        <w:trPr>
          <w:trHeight w:val="234"/>
        </w:trPr>
        <w:tc>
          <w:tcPr>
            <w:tcW w:w="6540" w:type="dxa"/>
            <w:vAlign w:val="bottom"/>
          </w:tcPr>
          <w:p>
            <w:pPr>
              <w:ind w:left="5820"/>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40" w:type="dxa"/>
            <w:vAlign w:val="bottom"/>
          </w:tcPr>
          <w:p>
            <w:pPr>
              <w:spacing w:after="0"/>
              <w:rPr>
                <w:sz w:val="20"/>
                <w:szCs w:val="20"/>
                <w:color w:val="auto"/>
              </w:rPr>
            </w:pPr>
          </w:p>
        </w:tc>
      </w:tr>
      <w:tr>
        <w:trPr>
          <w:trHeight w:val="432"/>
        </w:trPr>
        <w:tc>
          <w:tcPr>
            <w:tcW w:w="654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116</w:t>
            </w:r>
          </w:p>
        </w:tc>
        <w:tc>
          <w:tcPr>
            <w:tcW w:w="4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540" w:type="dxa"/>
            <w:vAlign w:val="bottom"/>
            <w:tcBorders>
              <w:bottom w:val="single" w:sz="8" w:color="808080"/>
            </w:tcBorders>
          </w:tcPr>
          <w:p>
            <w:pPr>
              <w:spacing w:after="0"/>
              <w:rPr>
                <w:sz w:val="11"/>
                <w:szCs w:val="11"/>
                <w:color w:val="auto"/>
              </w:rPr>
            </w:pPr>
          </w:p>
        </w:tc>
        <w:tc>
          <w:tcPr>
            <w:tcW w:w="48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the Fifth Amended and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Restated Agreement of Limited Partnership of</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Certificate Evidencing Common Units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Representing, Limited Partner Interests in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7" w:lineRule="exact"/>
        <w:rPr>
          <w:sz w:val="20"/>
          <w:szCs w:val="20"/>
          <w:color w:val="auto"/>
        </w:rPr>
      </w:pPr>
    </w:p>
    <w:p>
      <w:pPr>
        <w:spacing w:after="0"/>
        <w:tabs>
          <w:tab w:leader="none" w:pos="1030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Common Units</w:t>
      </w:r>
    </w:p>
    <w:p>
      <w:pPr>
        <w:spacing w:after="0" w:line="225" w:lineRule="exact"/>
        <w:rPr>
          <w:sz w:val="20"/>
          <w:szCs w:val="20"/>
          <w:color w:val="auto"/>
        </w:rPr>
      </w:pPr>
    </w:p>
    <w:p>
      <w:pPr>
        <w:ind w:right="140" w:firstLine="648"/>
        <w:spacing w:after="0" w:line="276" w:lineRule="auto"/>
        <w:rPr>
          <w:sz w:val="20"/>
          <w:szCs w:val="20"/>
          <w:color w:val="auto"/>
        </w:rPr>
      </w:pPr>
      <w:r>
        <w:rPr>
          <w:rFonts w:ascii="Times New Roman" w:cs="Times New Roman" w:eastAsia="Times New Roman" w:hAnsi="Times New Roman"/>
          <w:sz w:val="17"/>
          <w:szCs w:val="17"/>
          <w:color w:val="auto"/>
        </w:rPr>
        <w:t>In accordance with Section 4.1 of the Fifth Amended and Restated Agreement of Limited Partnership of Plains All American Pipeline, L.P., as amended, supplemented or restated from time to time (the “</w:t>
      </w:r>
      <w:r>
        <w:rPr>
          <w:rFonts w:ascii="Times New Roman" w:cs="Times New Roman" w:eastAsia="Times New Roman" w:hAnsi="Times New Roman"/>
          <w:sz w:val="17"/>
          <w:szCs w:val="17"/>
          <w:i w:val="1"/>
          <w:iCs w:val="1"/>
          <w:color w:val="auto"/>
        </w:rPr>
        <w:t>Partnership Agreement</w:t>
      </w:r>
      <w:r>
        <w:rPr>
          <w:rFonts w:ascii="Times New Roman" w:cs="Times New Roman" w:eastAsia="Times New Roman" w:hAnsi="Times New Roman"/>
          <w:sz w:val="17"/>
          <w:szCs w:val="17"/>
          <w:color w:val="auto"/>
        </w:rPr>
        <w:t>”), Plains All American Pipeline, L.P., a Delaware limited partnership (the</w:t>
      </w:r>
    </w:p>
    <w:p>
      <w:pPr>
        <w:spacing w:after="0" w:line="1"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Partnership</w:t>
      </w:r>
      <w:r>
        <w:rPr>
          <w:rFonts w:ascii="Times New Roman" w:cs="Times New Roman" w:eastAsia="Times New Roman" w:hAnsi="Times New Roman"/>
          <w:sz w:val="18"/>
          <w:szCs w:val="18"/>
          <w:color w:val="auto"/>
        </w:rPr>
        <w:t>”), hereby certifies that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the registered owner of Common Units representing limited partner interests in the Partnership (the “</w:t>
      </w:r>
      <w:r>
        <w:rPr>
          <w:rFonts w:ascii="Times New Roman" w:cs="Times New Roman" w:eastAsia="Times New Roman" w:hAnsi="Times New Roman"/>
          <w:sz w:val="18"/>
          <w:szCs w:val="18"/>
          <w:i w:val="1"/>
          <w:iCs w:val="1"/>
          <w:color w:val="auto"/>
        </w:rPr>
        <w:t>Common Units</w:t>
      </w:r>
      <w:r>
        <w:rPr>
          <w:rFonts w:ascii="Times New Roman" w:cs="Times New Roman" w:eastAsia="Times New Roman" w:hAnsi="Times New Roman"/>
          <w:sz w:val="18"/>
          <w:szCs w:val="18"/>
          <w:color w:val="auto"/>
        </w:rPr>
        <w:t>”) transferable on the books of the Partnership, in person or by duly authorized attorney, upon surrender of this Certificate properly endorsed and accompanied by a properly executed application for transfer of the Common Units represented by this Certificate.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189"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Certificate shall not be valid for any purpose unless it has been countersigned and registered by the Transfer Agent and Registrar.</w:t>
      </w:r>
    </w:p>
    <w:p>
      <w:pPr>
        <w:sectPr>
          <w:pgSz w:w="11900" w:h="16838" w:orient="portrait"/>
          <w:cols w:equalWidth="0" w:num="1">
            <w:col w:w="11460"/>
          </w:cols>
          <w:pgMar w:left="240" w:top="729" w:right="199" w:bottom="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Dated:</w:t>
            </w:r>
          </w:p>
        </w:tc>
        <w:tc>
          <w:tcPr>
            <w:tcW w:w="39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Plains All American Pipeline, L.P.</w:t>
            </w:r>
          </w:p>
        </w:tc>
        <w:tc>
          <w:tcPr>
            <w:tcW w:w="160" w:type="dxa"/>
            <w:vAlign w:val="bottom"/>
          </w:tcPr>
          <w:p>
            <w:pPr>
              <w:spacing w:after="0"/>
              <w:rPr>
                <w:sz w:val="20"/>
                <w:szCs w:val="20"/>
                <w:color w:val="auto"/>
              </w:rPr>
            </w:pPr>
          </w:p>
        </w:tc>
      </w:tr>
      <w:tr>
        <w:trPr>
          <w:trHeight w:val="412"/>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Countersigned and Registered by:</w:t>
            </w:r>
          </w:p>
        </w:tc>
        <w:tc>
          <w:tcPr>
            <w:tcW w:w="90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PAA GP LLC, its General Partner</w:t>
            </w:r>
          </w:p>
        </w:tc>
        <w:tc>
          <w:tcPr>
            <w:tcW w:w="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Plains AAP, L.P., its Sole Member</w:t>
            </w:r>
          </w:p>
        </w:tc>
        <w:tc>
          <w:tcPr>
            <w:tcW w:w="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47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Transfer Agent and Registrar</w:t>
            </w:r>
          </w:p>
        </w:tc>
        <w:tc>
          <w:tcPr>
            <w:tcW w:w="900" w:type="dxa"/>
            <w:vAlign w:val="bottom"/>
          </w:tcPr>
          <w:p>
            <w:pPr>
              <w:spacing w:after="0"/>
              <w:rPr>
                <w:sz w:val="18"/>
                <w:szCs w:val="18"/>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Name:</w:t>
            </w:r>
          </w:p>
        </w:tc>
        <w:tc>
          <w:tcPr>
            <w:tcW w:w="160" w:type="dxa"/>
            <w:vAlign w:val="bottom"/>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426"/>
        </w:trPr>
        <w:tc>
          <w:tcPr>
            <w:tcW w:w="47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900" w:type="dxa"/>
            <w:vAlign w:val="bottom"/>
          </w:tcPr>
          <w:p>
            <w:pPr>
              <w:spacing w:after="0"/>
              <w:rPr>
                <w:sz w:val="24"/>
                <w:szCs w:val="24"/>
                <w:color w:val="auto"/>
              </w:rPr>
            </w:pPr>
          </w:p>
        </w:tc>
        <w:tc>
          <w:tcPr>
            <w:tcW w:w="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By:</w:t>
            </w:r>
          </w:p>
        </w:tc>
        <w:tc>
          <w:tcPr>
            <w:tcW w:w="1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8"/>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9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Authorized Signature</w:t>
            </w:r>
          </w:p>
        </w:tc>
        <w:tc>
          <w:tcPr>
            <w:tcW w:w="90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tcBorders>
              <w:top w:val="single" w:sz="8" w:color="auto"/>
            </w:tcBorders>
          </w:tcPr>
          <w:p>
            <w:pPr>
              <w:ind w:left="1920"/>
              <w:spacing w:after="0"/>
              <w:rPr>
                <w:sz w:val="20"/>
                <w:szCs w:val="20"/>
                <w:color w:val="auto"/>
              </w:rPr>
            </w:pPr>
            <w:r>
              <w:rPr>
                <w:rFonts w:ascii="Times New Roman" w:cs="Times New Roman" w:eastAsia="Times New Roman" w:hAnsi="Times New Roman"/>
                <w:sz w:val="18"/>
                <w:szCs w:val="18"/>
                <w:color w:val="auto"/>
              </w:rPr>
              <w:t>Secretary</w:t>
            </w:r>
          </w:p>
        </w:tc>
        <w:tc>
          <w:tcPr>
            <w:tcW w:w="160" w:type="dxa"/>
            <w:vAlign w:val="bottom"/>
          </w:tcPr>
          <w:p>
            <w:pPr>
              <w:spacing w:after="0"/>
              <w:rPr>
                <w:sz w:val="19"/>
                <w:szCs w:val="19"/>
                <w:color w:val="auto"/>
              </w:rPr>
            </w:pPr>
          </w:p>
        </w:tc>
      </w:tr>
      <w:tr>
        <w:trPr>
          <w:trHeight w:val="414"/>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88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A-2</w:t>
            </w:r>
          </w:p>
        </w:tc>
        <w:tc>
          <w:tcPr>
            <w:tcW w:w="1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92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45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[Reverse of Certificate]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ABBREVIATIONS</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follows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TEN COM — as tenants in common</w:t>
            </w:r>
          </w:p>
        </w:tc>
        <w:tc>
          <w:tcPr>
            <w:tcW w:w="316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w w:val="98"/>
              </w:rPr>
              <w:t>UNIF GIFT TRANSFERS MIN ACT</w:t>
            </w: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TEN ENT — as tenants by the entireties</w:t>
            </w:r>
          </w:p>
        </w:tc>
        <w:tc>
          <w:tcPr>
            <w:tcW w:w="1800" w:type="dxa"/>
            <w:vAlign w:val="bottom"/>
          </w:tcPr>
          <w:p>
            <w:pPr>
              <w:spacing w:after="0"/>
              <w:rPr>
                <w:sz w:val="20"/>
                <w:szCs w:val="20"/>
                <w:color w:val="auto"/>
              </w:rPr>
            </w:pPr>
          </w:p>
        </w:tc>
        <w:tc>
          <w:tcPr>
            <w:tcW w:w="1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Custodian</w:t>
            </w: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JT TEN — as joint tenants with right of survivorship and not as tenants in</w:t>
            </w:r>
          </w:p>
        </w:tc>
        <w:tc>
          <w:tcPr>
            <w:tcW w:w="180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(Cust)</w:t>
            </w:r>
          </w:p>
        </w:tc>
        <w:tc>
          <w:tcPr>
            <w:tcW w:w="13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(Minor)</w:t>
            </w:r>
          </w:p>
        </w:tc>
        <w:tc>
          <w:tcPr>
            <w:tcW w:w="0" w:type="dxa"/>
            <w:vAlign w:val="bottom"/>
          </w:tcPr>
          <w:p>
            <w:pPr>
              <w:spacing w:after="0"/>
              <w:rPr>
                <w:sz w:val="1"/>
                <w:szCs w:val="1"/>
                <w:color w:val="auto"/>
              </w:rPr>
            </w:pPr>
          </w:p>
        </w:tc>
      </w:tr>
      <w:tr>
        <w:trPr>
          <w:trHeight w:val="234"/>
        </w:trPr>
        <w:tc>
          <w:tcPr>
            <w:tcW w:w="5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common</w:t>
            </w:r>
          </w:p>
        </w:tc>
        <w:tc>
          <w:tcPr>
            <w:tcW w:w="316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color w:val="auto"/>
              </w:rPr>
              <w:t>under Uniform Gifts/Transfers to</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3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ind w:left="6200"/>
        <w:spacing w:after="0"/>
        <w:rPr>
          <w:sz w:val="20"/>
          <w:szCs w:val="20"/>
          <w:color w:val="auto"/>
        </w:rPr>
      </w:pPr>
      <w:r>
        <w:rPr>
          <w:rFonts w:ascii="Times New Roman" w:cs="Times New Roman" w:eastAsia="Times New Roman" w:hAnsi="Times New Roman"/>
          <w:sz w:val="18"/>
          <w:szCs w:val="18"/>
          <w:color w:val="auto"/>
        </w:rPr>
        <w:t>CD Minors Act</w:t>
      </w:r>
    </w:p>
    <w:p>
      <w:pPr>
        <w:spacing w:after="0" w:line="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(State)</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Additional abbreviations, though not in the above list, may also be used.</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ASSIGNMENT OF COMMON UNITS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IMPORTANT NOTICE REGARDING INVESTOR RESPONSIBILITIES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DUE TO TAX SHELTER STATUS OF PLAINS ALL AMERICAN PIPELINE, L.P.</w:t>
      </w:r>
    </w:p>
    <w:p>
      <w:pPr>
        <w:spacing w:after="0" w:line="207"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You have acquired an interest in Plains All American Pipeline, L.P., 333 Clay Street, Suite 1600, Houston, Texas 77002, whose taxpayer identification number is 76-0582150. The Internal Revenue Service has issued Plains All American Pipeline, L.P. the following tax shelter registration number: 99061000009.</w:t>
      </w:r>
    </w:p>
    <w:p>
      <w:pPr>
        <w:spacing w:after="0" w:line="176"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YOU MUST REPORT THIS REGISTRATION NUMBER TO THE INTERNAL REVENUE SERVICE IF YOU CLAIM ANY DEDUCTION, LOSS, CREDIT OR OTHER TAX BENEFIT OR REPORT ANY INCOME BY REASON OF YOUR INVESTMENT IN PLAINS ALL AMERICAN PIPELINE, L.P.</w:t>
      </w:r>
    </w:p>
    <w:p>
      <w:pPr>
        <w:spacing w:after="0" w:line="176"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You must report the registration number as well as the name and taxpayer identification number of Plains All American Pipeline, L.P. on</w:t>
      </w:r>
    </w:p>
    <w:p>
      <w:pPr>
        <w:spacing w:after="0" w:line="2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Form 8271. FORM 8271 MUST BE ATTACHED TO THE RETURN ON WHICH YOU CLAIM THE DEDUCTION, LOSS, CREDIT OR OTHER TAX BENEFIT OR REPORT ANY INCOME BY REASON OF YOUR INVESTMENT IN PLAINS ALL AMERICAN PIPELINE, L.P.</w:t>
      </w:r>
    </w:p>
    <w:p>
      <w:pPr>
        <w:spacing w:after="0" w:line="180"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If you transfer your interest in Plains All American Pipeline, L.P. to another person, you are required by the Internal Revenue Service to keep a list containing (a) that person’s name, address and taxpayer identification number, (b) the date on which you transferred the interest and (c) the name, address and tax shelter registration number of Plains All American Pipeline, L.P. If you do not want to keep such a list, you must (1) send the information specified above to the Partnership, which will keep the list for this tax shelter, and (2) give a copy of this notice to the person to whom you transfer your interest. Your failure to comply with any of the above-described responsibilities could result in the imposition of a penalty under Section 6707(b) or</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6708(a) of the Internal Revenue Code of 1986, as amended, unless such failure is shown to be due to reasonable cause.</w:t>
      </w:r>
    </w:p>
    <w:p>
      <w:pPr>
        <w:spacing w:after="0" w:line="225"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ISSUANCE OF A REGISTRATION NUMBER DOES NOT INDICATE THAT THIS INVESTMENT OR THE CLAIMED TAX BENEFITS HAVE BEEN REVIEWED, EXAMINED OR APPROVED BY THE INTERNAL REVENUE SERVICE.</w:t>
      </w:r>
    </w:p>
    <w:p>
      <w:pPr>
        <w:spacing w:after="0" w:line="162"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18"/>
          <w:szCs w:val="18"/>
          <w:color w:val="auto"/>
        </w:rPr>
        <w:t>FOR VALUE RECEIVED,</w:t>
      </w:r>
      <w:r>
        <w:rPr>
          <w:sz w:val="20"/>
          <w:szCs w:val="20"/>
          <w:color w:val="auto"/>
        </w:rPr>
        <w:tab/>
      </w:r>
      <w:r>
        <w:rPr>
          <w:rFonts w:ascii="Times New Roman" w:cs="Times New Roman" w:eastAsia="Times New Roman" w:hAnsi="Times New Roman"/>
          <w:sz w:val="18"/>
          <w:szCs w:val="18"/>
          <w:color w:val="auto"/>
        </w:rPr>
        <w:t>hereby assigns, conveys, sells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574675</wp:posOffset>
            </wp:positionV>
            <wp:extent cx="362775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362775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ectPr>
          <w:pgSz w:w="11900" w:h="16838" w:orient="portrait"/>
          <w:cols w:equalWidth="0" w:num="1">
            <w:col w:w="11460"/>
          </w:cols>
          <w:pgMar w:left="240" w:top="121" w:right="199" w:bottom="860" w:gutter="0" w:footer="0" w:header="0"/>
        </w:sectPr>
      </w:pPr>
    </w:p>
    <w:bookmarkStart w:id="67" w:name="page68"/>
    <w:bookmarkEnd w:id="67"/>
    <w:p>
      <w:pPr>
        <w:spacing w:after="0"/>
        <w:tabs>
          <w:tab w:leader="none" w:pos="5940" w:val="left"/>
        </w:tabs>
        <w:rPr>
          <w:sz w:val="20"/>
          <w:szCs w:val="20"/>
          <w:color w:val="auto"/>
        </w:rPr>
      </w:pPr>
      <w:r>
        <w:rPr>
          <w:rFonts w:ascii="Times New Roman" w:cs="Times New Roman" w:eastAsia="Times New Roman" w:hAnsi="Times New Roman"/>
          <w:sz w:val="18"/>
          <w:szCs w:val="18"/>
          <w:color w:val="auto"/>
        </w:rPr>
        <w:t>(Please print or typewrite name and address of Assignee)</w:t>
      </w:r>
      <w:r>
        <w:rPr>
          <w:sz w:val="20"/>
          <w:szCs w:val="20"/>
          <w:color w:val="auto"/>
        </w:rPr>
        <w:tab/>
      </w:r>
      <w:r>
        <w:rPr>
          <w:rFonts w:ascii="Times New Roman" w:cs="Times New Roman" w:eastAsia="Times New Roman" w:hAnsi="Times New Roman"/>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Common Units representing limited partner interests evidenced by this Certificate, subject to the Partnership Agreement, and does hereby irrevocably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constitute and appoint</w:t>
            </w:r>
          </w:p>
        </w:tc>
        <w:tc>
          <w:tcPr>
            <w:tcW w:w="91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w w:val="99"/>
              </w:rPr>
              <w:t>as its attorney-in-fact with full power of substitution to transfer the same on the books of Plains All American Pipeline, L.P.</w:t>
            </w:r>
          </w:p>
        </w:tc>
      </w:tr>
      <w:tr>
        <w:trPr>
          <w:trHeight w:val="414"/>
        </w:trPr>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3880" w:type="dxa"/>
            <w:vAlign w:val="bottom"/>
          </w:tcPr>
          <w:p>
            <w:pPr>
              <w:spacing w:after="0"/>
              <w:rPr>
                <w:sz w:val="24"/>
                <w:szCs w:val="2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 The signature to any endorsement hereon must</w:t>
            </w:r>
          </w:p>
        </w:tc>
      </w:tr>
      <w:tr>
        <w:trPr>
          <w:trHeight w:val="178"/>
        </w:trPr>
        <w:tc>
          <w:tcPr>
            <w:tcW w:w="6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3880" w:type="dxa"/>
            <w:vAlign w:val="bottom"/>
            <w:tcBorders>
              <w:top w:val="single" w:sz="8" w:color="auto"/>
            </w:tcBorders>
          </w:tcPr>
          <w:p>
            <w:pPr>
              <w:spacing w:after="0"/>
              <w:rPr>
                <w:sz w:val="15"/>
                <w:szCs w:val="15"/>
                <w:color w:val="auto"/>
              </w:rPr>
            </w:pPr>
          </w:p>
        </w:tc>
        <w:tc>
          <w:tcPr>
            <w:tcW w:w="5300" w:type="dxa"/>
            <w:vAlign w:val="bottom"/>
          </w:tcPr>
          <w:p>
            <w:pPr>
              <w:ind w:left="220"/>
              <w:spacing w:after="0" w:line="178" w:lineRule="exact"/>
              <w:rPr>
                <w:sz w:val="20"/>
                <w:szCs w:val="20"/>
                <w:color w:val="auto"/>
              </w:rPr>
            </w:pPr>
            <w:r>
              <w:rPr>
                <w:rFonts w:ascii="Times New Roman" w:cs="Times New Roman" w:eastAsia="Times New Roman" w:hAnsi="Times New Roman"/>
                <w:sz w:val="18"/>
                <w:szCs w:val="18"/>
                <w:color w:val="auto"/>
              </w:rPr>
              <w:t>correspond with the name as written upon the face of this</w:t>
            </w:r>
          </w:p>
        </w:tc>
      </w:tr>
      <w:tr>
        <w:trPr>
          <w:trHeight w:val="216"/>
        </w:trPr>
        <w:tc>
          <w:tcPr>
            <w:tcW w:w="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 in every particular, without alteration, enlargement</w:t>
            </w:r>
          </w:p>
        </w:tc>
      </w:tr>
      <w:tr>
        <w:trPr>
          <w:trHeight w:val="234"/>
        </w:trPr>
        <w:tc>
          <w:tcPr>
            <w:tcW w:w="6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or change.</w:t>
            </w:r>
          </w:p>
        </w:tc>
      </w:tr>
    </w:tbl>
    <w:p>
      <w:pPr>
        <w:spacing w:after="0" w:line="194" w:lineRule="exact"/>
        <w:rPr>
          <w:sz w:val="20"/>
          <w:szCs w:val="20"/>
          <w:color w:val="auto"/>
        </w:rPr>
      </w:pPr>
    </w:p>
    <w:p>
      <w:pPr>
        <w:sectPr>
          <w:pgSz w:w="11900" w:h="16838" w:orient="portrait"/>
          <w:cols w:equalWidth="0" w:num="1">
            <w:col w:w="11420"/>
          </w:cols>
          <w:pgMar w:left="240" w:top="351" w:right="239" w:bottom="0" w:gutter="0" w:footer="0" w:header="0"/>
        </w:sect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SIGNATURE(S) MUST BE GUARANTEED BY A MEMBER FIRM OF THE NATIONAL ASSOCIATION OF SECURITIES DEALERS, INC. OR BY A COMMERCIAL BANK OR TRUST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 GUARANTEED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34645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34645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628" w:lineRule="exact"/>
        <w:rPr>
          <w:sz w:val="20"/>
          <w:szCs w:val="20"/>
          <w:color w:val="auto"/>
        </w:rPr>
      </w:pPr>
    </w:p>
    <w:p>
      <w:pPr>
        <w:sectPr>
          <w:pgSz w:w="11900" w:h="16838" w:orient="portrait"/>
          <w:cols w:equalWidth="0" w:num="2">
            <w:col w:w="5620" w:space="340"/>
            <w:col w:w="5460"/>
          </w:cols>
          <w:pgMar w:left="240" w:top="351" w:right="239" w:bottom="0" w:gutter="0" w:footer="0" w:header="0"/>
          <w:type w:val="continuous"/>
        </w:sectPr>
      </w:pPr>
    </w:p>
    <w:p>
      <w:pPr>
        <w:spacing w:after="0" w:line="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No transfer of the Common Units evidenced hereby will be registered on the books of the Partnership, unless the Certificate evidencing the Common Units to be transferred is surrendered for registration or transfer and an Application for Transfer of Common Units has been executed by a transferee either</w:t>
      </w:r>
    </w:p>
    <w:p>
      <w:pPr>
        <w:jc w:val="both"/>
        <w:ind w:right="80" w:firstLine="8"/>
        <w:spacing w:after="0" w:line="255" w:lineRule="auto"/>
        <w:tabs>
          <w:tab w:leader="none" w:pos="24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form set forth below or (b) on a separate application that the Partnership will furnish on request without charge. A transferor of the Common Units shall have no duty to the transferee with respect to execution of the transfer application in order for such transferee to obtain registration of the transfer of the Common Units.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APPLICATION FOR TRANSFER OF COMMON UNITS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undersigned (“</w:t>
      </w:r>
      <w:r>
        <w:rPr>
          <w:rFonts w:ascii="Times New Roman" w:cs="Times New Roman" w:eastAsia="Times New Roman" w:hAnsi="Times New Roman"/>
          <w:sz w:val="18"/>
          <w:szCs w:val="18"/>
          <w:i w:val="1"/>
          <w:iCs w:val="1"/>
          <w:color w:val="auto"/>
        </w:rPr>
        <w:t>Assignee</w:t>
      </w:r>
      <w:r>
        <w:rPr>
          <w:rFonts w:ascii="Times New Roman" w:cs="Times New Roman" w:eastAsia="Times New Roman" w:hAnsi="Times New Roman"/>
          <w:sz w:val="18"/>
          <w:szCs w:val="18"/>
          <w:color w:val="auto"/>
        </w:rPr>
        <w:t>”) hereby applies for transfer to the name of the Assignee of the Common Units evidenced hereby.</w:t>
      </w:r>
    </w:p>
    <w:p>
      <w:pPr>
        <w:spacing w:after="0" w:line="22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The Assignee (a) requests admission as a Substituted Limited Partner and agrees to comply with and be bound by, and hereby executes, the Fifth Amended and Restated Agreement of Limited Partnership of Plains All American Pipeline, L.P. (the “</w:t>
      </w:r>
      <w:r>
        <w:rPr>
          <w:rFonts w:ascii="Times New Roman" w:cs="Times New Roman" w:eastAsia="Times New Roman" w:hAnsi="Times New Roman"/>
          <w:sz w:val="18"/>
          <w:szCs w:val="18"/>
          <w:i w:val="1"/>
          <w:iCs w:val="1"/>
          <w:color w:val="auto"/>
        </w:rPr>
        <w:t>Partnership</w:t>
      </w:r>
      <w:r>
        <w:rPr>
          <w:rFonts w:ascii="Times New Roman" w:cs="Times New Roman" w:eastAsia="Times New Roman" w:hAnsi="Times New Roman"/>
          <w:sz w:val="18"/>
          <w:szCs w:val="18"/>
          <w:color w:val="auto"/>
        </w:rPr>
        <w:t>”), as amended, supplemented or restated to the date hereof (the “</w:t>
      </w:r>
      <w:r>
        <w:rPr>
          <w:rFonts w:ascii="Times New Roman" w:cs="Times New Roman" w:eastAsia="Times New Roman" w:hAnsi="Times New Roman"/>
          <w:sz w:val="18"/>
          <w:szCs w:val="18"/>
          <w:i w:val="1"/>
          <w:iCs w:val="1"/>
          <w:color w:val="auto"/>
        </w:rPr>
        <w:t>Partnership Agreement</w:t>
      </w:r>
      <w:r>
        <w:rPr>
          <w:rFonts w:ascii="Times New Roman" w:cs="Times New Roman" w:eastAsia="Times New Roman" w:hAnsi="Times New Roman"/>
          <w:sz w:val="18"/>
          <w:szCs w:val="18"/>
          <w:color w:val="auto"/>
        </w:rPr>
        <w:t>”), (b) represents and warrants that the Assignee has all right, power and authority and, if an individual, the capacity necessary to enter into the Partnership Agreement, (c) appoints the General Partner of the Partnership and, if a Liquidator shall be appointed, the Liquidator of the Partnership as the Assignee’s attorney- in-fact to execute, swear to, acknowledge and file any document, including, without limitation, the Partnership Agreement and any amendment thereto and the Certificate of Limited Partnership of the Partnership and any amendment thereto, necessary or appropriate for the Assignee’s admission as a Substituted Limited Partner and as a party to the Partnership Agreement, (d) gives the powers of attorney provided for in the Partnership Agreement, and (e) makes the waivers and gives the consents and approvals contained in the Partnership Agreement. Capitalized terms not defined herein have the meanings assigned to such terms in the Partnership Agreement.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r>
      <w:tr>
        <w:trPr>
          <w:trHeight w:val="412"/>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Social Security or other identifying number of Assignee</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of Assignee</w:t>
            </w:r>
          </w:p>
        </w:tc>
      </w:tr>
      <w:tr>
        <w:trPr>
          <w:trHeight w:val="4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Price including commissions, if any</w:t>
            </w: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and Address of Assignee</w:t>
            </w:r>
          </w:p>
        </w:tc>
      </w:tr>
      <w:tr>
        <w:trPr>
          <w:trHeight w:val="432"/>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Entity (check one):</w:t>
            </w:r>
          </w:p>
        </w:tc>
        <w:tc>
          <w:tcPr>
            <w:tcW w:w="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w:t>
            </w: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Individual</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Partnership</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t>
            </w: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Corporation</w:t>
            </w: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o</w:t>
            </w:r>
          </w:p>
        </w:tc>
        <w:tc>
          <w:tcPr>
            <w:tcW w:w="2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w:t>
            </w:r>
          </w:p>
        </w:tc>
        <w:tc>
          <w:tcPr>
            <w:tcW w:w="1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(specify)</w:t>
            </w: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Nationality (check one):</w:t>
      </w:r>
    </w:p>
    <w:p>
      <w:pPr>
        <w:spacing w:after="0" w:line="225" w:lineRule="exact"/>
        <w:rPr>
          <w:sz w:val="20"/>
          <w:szCs w:val="20"/>
          <w:color w:val="auto"/>
        </w:rPr>
      </w:pPr>
    </w:p>
    <w:p>
      <w:pPr>
        <w:ind w:left="780" w:hanging="772"/>
        <w:spacing w:after="0"/>
        <w:tabs>
          <w:tab w:leader="none" w:pos="78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Citizen, Resident or Domestic Entity</w:t>
      </w:r>
    </w:p>
    <w:p>
      <w:pPr>
        <w:spacing w:after="0" w:line="225" w:lineRule="exact"/>
        <w:rPr>
          <w:sz w:val="20"/>
          <w:szCs w:val="20"/>
          <w:color w:val="auto"/>
        </w:rPr>
      </w:pPr>
    </w:p>
    <w:p>
      <w:pPr>
        <w:spacing w:after="0"/>
        <w:tabs>
          <w:tab w:leader="none" w:pos="760" w:val="left"/>
          <w:tab w:leader="none" w:pos="3440" w:val="left"/>
          <w:tab w:leader="none" w:pos="414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Foreign Corporation</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Non-resident Alien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U.S. Citizen, Resident or Domestic Entity box is checked, the following certification must be completed.</w:t>
      </w:r>
    </w:p>
    <w:p>
      <w:pPr>
        <w:spacing w:after="0" w:line="223"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Under Section 1445(e) of the Internal Revenue Code of 1986, as amended (the “</w:t>
      </w:r>
      <w:r>
        <w:rPr>
          <w:rFonts w:ascii="Times New Roman" w:cs="Times New Roman" w:eastAsia="Times New Roman" w:hAnsi="Times New Roman"/>
          <w:sz w:val="18"/>
          <w:szCs w:val="18"/>
          <w:i w:val="1"/>
          <w:iCs w:val="1"/>
          <w:color w:val="auto"/>
        </w:rPr>
        <w:t>Code</w:t>
      </w:r>
      <w:r>
        <w:rPr>
          <w:rFonts w:ascii="Times New Roman" w:cs="Times New Roman" w:eastAsia="Times New Roman" w:hAnsi="Times New Roman"/>
          <w:sz w:val="18"/>
          <w:szCs w:val="18"/>
          <w:color w:val="auto"/>
        </w:rPr>
        <w:t>”), the Partnership must withhold tax with respect to certain transfers of property if a holder of an interest in the Partnership is a foreign person. To inform the Partnership that no withholding is required with respect to the undersigned interestholder’s interest in it, the undersigned hereby certifies the following (or, if applicable, certifies the following on behalf of the interestholder).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Either A or B:</w:t>
      </w:r>
    </w:p>
    <w:p>
      <w:pPr>
        <w:spacing w:after="0" w:line="225" w:lineRule="exact"/>
        <w:rPr>
          <w:sz w:val="20"/>
          <w:szCs w:val="20"/>
          <w:color w:val="auto"/>
        </w:rPr>
      </w:pPr>
    </w:p>
    <w:p>
      <w:pPr>
        <w:ind w:left="660" w:hanging="652"/>
        <w:spacing w:after="0"/>
        <w:tabs>
          <w:tab w:leader="none" w:pos="6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Interestholder</w:t>
      </w:r>
    </w:p>
    <w:p>
      <w:pPr>
        <w:sectPr>
          <w:pgSz w:w="11900" w:h="16838" w:orient="portrait"/>
          <w:cols w:equalWidth="0" w:num="1">
            <w:col w:w="11420"/>
          </w:cols>
          <w:pgMar w:left="240" w:top="351" w:right="239" w:bottom="0" w:gutter="0" w:footer="0" w:header="0"/>
          <w:type w:val="continuous"/>
        </w:sectPr>
      </w:pPr>
    </w:p>
    <w:bookmarkStart w:id="68" w:name="page69"/>
    <w:bookmarkEnd w:id="68"/>
    <w:p>
      <w:pPr>
        <w:ind w:left="1300" w:hanging="644"/>
        <w:spacing w:after="0"/>
        <w:tabs>
          <w:tab w:leader="none" w:pos="13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not a non-resident alien for purposes of U.S. income taxation.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2.</w:t>
            </w:r>
          </w:p>
        </w:tc>
        <w:tc>
          <w:tcPr>
            <w:tcW w:w="5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 U.S. taxpayer identification number (Social Security Number) is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3.</w:t>
            </w:r>
          </w:p>
        </w:tc>
        <w:tc>
          <w:tcPr>
            <w:tcW w:w="1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My home address is</w:t>
            </w:r>
          </w:p>
        </w:tc>
        <w:tc>
          <w:tcPr>
            <w:tcW w:w="3480" w:type="dxa"/>
            <w:vAlign w:val="bottom"/>
          </w:tcPr>
          <w:p>
            <w:pPr>
              <w:jc w:val="right"/>
              <w:ind w:right="307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r>
    </w:tbl>
    <w:p>
      <w:pPr>
        <w:spacing w:after="0" w:line="198" w:lineRule="exact"/>
        <w:rPr>
          <w:sz w:val="20"/>
          <w:szCs w:val="20"/>
          <w:color w:val="auto"/>
        </w:rPr>
      </w:pPr>
    </w:p>
    <w:p>
      <w:pPr>
        <w:ind w:left="660" w:hanging="652"/>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Corporation or Other Interestholder</w:t>
      </w:r>
    </w:p>
    <w:p>
      <w:pPr>
        <w:spacing w:after="0" w:line="225" w:lineRule="exact"/>
        <w:rPr>
          <w:sz w:val="20"/>
          <w:szCs w:val="20"/>
          <w:color w:val="auto"/>
        </w:rPr>
      </w:pPr>
    </w:p>
    <w:p>
      <w:pPr>
        <w:ind w:left="1300" w:right="520" w:hanging="644"/>
        <w:spacing w:after="0" w:line="282" w:lineRule="auto"/>
        <w:tabs>
          <w:tab w:leader="none" w:pos="206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foreign corporation, foreign partnership, foreign trust (Name of Interestholder) or foreign estate (as those terms are defined in the Code and Treasury Regulations).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2.</w:t>
            </w:r>
          </w:p>
        </w:tc>
        <w:tc>
          <w:tcPr>
            <w:tcW w:w="48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interestholder’s U.S. employer identification number is</w:t>
            </w:r>
          </w:p>
        </w:tc>
        <w:tc>
          <w:tcPr>
            <w:tcW w:w="134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r>
      <w:tr>
        <w:trPr>
          <w:trHeight w:val="432"/>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3.</w:t>
            </w:r>
          </w:p>
        </w:tc>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interestholder’s office address and place of incorporation (if applicable) is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interestholder agrees to notify the Partnership within sixty (60) days of the date the interestholder becomes a foreign person.</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interestholder understands that this certificate may be disclosed to the Internal Revenue Service by the Partnership and that any false statement contained herein could be punishable by fine, imprisonment or both.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penalties of perjury, I declare that I have examined this certification and to the best of my knowledge and belief it is true, correct and complete and, if applicable, I further declare that I have authority to sign this document on behalf of:</w:t>
      </w:r>
    </w:p>
    <w:p>
      <w:pPr>
        <w:spacing w:after="0" w:line="3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of Interestholder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Note: If the Assignee is a broker, dealer, bank, trust company, clearing corporation, other nominee holder or an agent of any of the foregoing, and is holding for the account of any other person, this application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Assignee is a broker, dealer, bank, trust company, clearing corporation, other nominee owner or an agent of any of the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80"/>
        <w:spacing w:after="0" w:line="282" w:lineRule="auto"/>
        <w:rPr>
          <w:sz w:val="20"/>
          <w:szCs w:val="20"/>
          <w:color w:val="auto"/>
        </w:rPr>
      </w:pPr>
      <w:r>
        <w:rPr>
          <w:rFonts w:ascii="Times New Roman" w:cs="Times New Roman" w:eastAsia="Times New Roman" w:hAnsi="Times New Roman"/>
          <w:sz w:val="18"/>
          <w:szCs w:val="18"/>
          <w:color w:val="auto"/>
        </w:rPr>
        <w:t>foregoing, the above certification as to any person for whom the Assignee will hold the Common Units shall be made to the best of the Assignee’s knowledge.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Fifth Amended and Restated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of Limited Partnership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Evidencing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Convertible Preferred 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Representing Limited Partner Interests 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7" w:lineRule="exact"/>
        <w:rPr>
          <w:sz w:val="20"/>
          <w:szCs w:val="20"/>
          <w:color w:val="auto"/>
        </w:rPr>
      </w:pPr>
    </w:p>
    <w:p>
      <w:pPr>
        <w:spacing w:after="0"/>
        <w:tabs>
          <w:tab w:leader="none" w:pos="9640" w:val="left"/>
        </w:tabs>
        <w:rPr>
          <w:sz w:val="20"/>
          <w:szCs w:val="20"/>
          <w:color w:val="auto"/>
        </w:rPr>
      </w:pPr>
      <w:r>
        <w:rPr>
          <w:rFonts w:ascii="Times New Roman" w:cs="Times New Roman" w:eastAsia="Times New Roman" w:hAnsi="Times New Roman"/>
          <w:sz w:val="17"/>
          <w:szCs w:val="17"/>
          <w:color w:val="auto"/>
        </w:rPr>
        <w:t>No.</w:t>
      </w:r>
      <w:r>
        <w:rPr>
          <w:sz w:val="20"/>
          <w:szCs w:val="20"/>
          <w:color w:val="auto"/>
        </w:rPr>
        <w:tab/>
      </w:r>
      <w:r>
        <w:rPr>
          <w:rFonts w:ascii="Times New Roman" w:cs="Times New Roman" w:eastAsia="Times New Roman" w:hAnsi="Times New Roman"/>
          <w:sz w:val="17"/>
          <w:szCs w:val="17"/>
          <w:color w:val="auto"/>
        </w:rPr>
        <w:t>Series A Preferred Units</w:t>
      </w:r>
    </w:p>
    <w:p>
      <w:pPr>
        <w:spacing w:after="0" w:line="237" w:lineRule="exact"/>
        <w:rPr>
          <w:sz w:val="20"/>
          <w:szCs w:val="20"/>
          <w:color w:val="auto"/>
        </w:rPr>
      </w:pPr>
    </w:p>
    <w:p>
      <w:pPr>
        <w:ind w:right="180" w:firstLine="648"/>
        <w:spacing w:after="0" w:line="276" w:lineRule="auto"/>
        <w:rPr>
          <w:sz w:val="20"/>
          <w:szCs w:val="20"/>
          <w:color w:val="auto"/>
        </w:rPr>
      </w:pPr>
      <w:r>
        <w:rPr>
          <w:rFonts w:ascii="Times New Roman" w:cs="Times New Roman" w:eastAsia="Times New Roman" w:hAnsi="Times New Roman"/>
          <w:sz w:val="17"/>
          <w:szCs w:val="17"/>
          <w:color w:val="auto"/>
        </w:rPr>
        <w:t>In accordance with Section 5.14(b)(v) of the Fifth Amended and Restated Agreement of Limited Partnership of Plains All American Pipeline, L.P., as amended, supplemented or restated from time to time (the “</w:t>
      </w:r>
      <w:r>
        <w:rPr>
          <w:rFonts w:ascii="Times New Roman" w:cs="Times New Roman" w:eastAsia="Times New Roman" w:hAnsi="Times New Roman"/>
          <w:sz w:val="17"/>
          <w:szCs w:val="17"/>
          <w:i w:val="1"/>
          <w:iCs w:val="1"/>
          <w:color w:val="auto"/>
        </w:rPr>
        <w:t>Partnership Agreement</w:t>
      </w:r>
      <w:r>
        <w:rPr>
          <w:rFonts w:ascii="Times New Roman" w:cs="Times New Roman" w:eastAsia="Times New Roman" w:hAnsi="Times New Roman"/>
          <w:sz w:val="17"/>
          <w:szCs w:val="17"/>
          <w:color w:val="auto"/>
        </w:rPr>
        <w:t>”), Plains All American Pipeline, L.P., a Delaware limited partnership</w:t>
      </w:r>
    </w:p>
    <w:p>
      <w:pPr>
        <w:spacing w:after="0" w:line="1"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Partnership</w:t>
      </w:r>
      <w:r>
        <w:rPr>
          <w:rFonts w:ascii="Times New Roman" w:cs="Times New Roman" w:eastAsia="Times New Roman" w:hAnsi="Times New Roman"/>
          <w:sz w:val="18"/>
          <w:szCs w:val="18"/>
          <w:color w:val="auto"/>
        </w:rPr>
        <w:t>”), hereby certifies that (the “</w:t>
      </w:r>
      <w:r>
        <w:rPr>
          <w:rFonts w:ascii="Times New Roman" w:cs="Times New Roman" w:eastAsia="Times New Roman" w:hAnsi="Times New Roman"/>
          <w:sz w:val="18"/>
          <w:szCs w:val="18"/>
          <w:i w:val="1"/>
          <w:iCs w:val="1"/>
          <w:color w:val="auto"/>
        </w:rPr>
        <w:t>Holder</w:t>
      </w:r>
      <w:r>
        <w:rPr>
          <w:rFonts w:ascii="Times New Roman" w:cs="Times New Roman" w:eastAsia="Times New Roman" w:hAnsi="Times New Roman"/>
          <w:sz w:val="18"/>
          <w:szCs w:val="18"/>
          <w:color w:val="auto"/>
        </w:rPr>
        <w:t>”) is the registered owner of Series A Convertible Preferred Units representing limited partner interests in the Partnership (the “</w:t>
      </w:r>
      <w:r>
        <w:rPr>
          <w:rFonts w:ascii="Times New Roman" w:cs="Times New Roman" w:eastAsia="Times New Roman" w:hAnsi="Times New Roman"/>
          <w:sz w:val="18"/>
          <w:szCs w:val="18"/>
          <w:i w:val="1"/>
          <w:iCs w:val="1"/>
          <w:color w:val="auto"/>
        </w:rPr>
        <w:t>Series A Preferred Units</w:t>
      </w:r>
      <w:r>
        <w:rPr>
          <w:rFonts w:ascii="Times New Roman" w:cs="Times New Roman" w:eastAsia="Times New Roman" w:hAnsi="Times New Roman"/>
          <w:sz w:val="18"/>
          <w:szCs w:val="18"/>
          <w:color w:val="auto"/>
        </w:rPr>
        <w:t>”), transferable on the books of the Partnership, in person or by duly authorized attorney, upon surrender of this Certificate properly endorsed. The rights, preferences and limitations of the Series A Preferred Units are set forth in, and this Certificate and the Series A Preferred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333 Clay Street, Suite 1600, Houston, Texas 77002. Capitalized terms used herein but not defined shall have the meanings given them in the Partnership Agreement.</w:t>
      </w:r>
    </w:p>
    <w:p>
      <w:pPr>
        <w:spacing w:after="0" w:line="18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Holder, by accepting this Certificate, is deemed to have (i) requested admission as, and agreed to become, a Limited Partner and to have agreed to comply with and be bound by and to have executed the Partnership Agreement, (ii) represented and warranted that the Holder has all right, power and authority and, if an individual, the capacity necessary to enter into the Partnership Agreement, (iii) granted the powers of attorney provided for in the Partnership Agreement and (iv) made the waivers and given the consents and approvals contained in the Partnership Agreement.</w:t>
      </w:r>
    </w:p>
    <w:p>
      <w:pPr>
        <w:sectPr>
          <w:pgSz w:w="11900" w:h="16838" w:orient="portrait"/>
          <w:cols w:equalWidth="0" w:num="1">
            <w:col w:w="11420"/>
          </w:cols>
          <w:pgMar w:left="240" w:top="121" w:right="239" w:bottom="0" w:gutter="0" w:footer="0" w:header="0"/>
        </w:sectPr>
      </w:pPr>
    </w:p>
    <w:bookmarkStart w:id="69" w:name="page70"/>
    <w:bookmarkEnd w:id="69"/>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This Certificate shall be governed by, and construed in accordance with, the laws of the State of Delaware, without regard to principles of conflict of laws thereof.</w:t>
      </w:r>
    </w:p>
    <w:p>
      <w:pPr>
        <w:spacing w:after="0" w:line="162" w:lineRule="exact"/>
        <w:rPr>
          <w:sz w:val="20"/>
          <w:szCs w:val="20"/>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NEITHER THE OFFER NOR SALE OF THESE SECURITIES HAS BEEN REGISTERED UNDER THE SECURITIES ACT OF 1933, AS AMENDED. THESE SECURITIES MAY NOT BE SOLD, OFFERED FOR SALE, PLEDGED OR HYPOTHECATED IN THE ABSENCE OF A REGISTRATION STATEMENT IN EFFECT WITH RESPECT TO THE SECURITIES UNDER SUCH ACT OR PURSUANT TO AN EXEMPTION FROM REGISTRATION THEREUNDER AND, IN THE CASE OF A TRANSACTION EXEMPT FROM REGISTRATION, UNLESS SOLD PURSUANT TO RULE 144 UNDER SUCH ACT OR THE PARTNERSHIP HAS RECEIVED DOCUMENTATION</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20"/>
        <w:spacing w:after="0" w:line="261" w:lineRule="auto"/>
        <w:rPr>
          <w:sz w:val="20"/>
          <w:szCs w:val="20"/>
          <w:color w:val="auto"/>
        </w:rPr>
      </w:pPr>
      <w:r>
        <w:rPr>
          <w:rFonts w:ascii="Times New Roman" w:cs="Times New Roman" w:eastAsia="Times New Roman" w:hAnsi="Times New Roman"/>
          <w:sz w:val="18"/>
          <w:szCs w:val="18"/>
          <w:color w:val="auto"/>
        </w:rPr>
        <w:t>REASONABLY SATISFACTORY TO IT THAT SUCH TRANSACTION DOES NOT REQUIRE REGISTRATION UNDER SUCH ACT. THIS SECURITY IS SUBJECT TO CERTAIN RESTRICTIONS ON TRANSFER SET FORTH IN THE FIFTH AMENDED AND RESTATED LIMITED PARTNERSHIP AGREEMENT OF THE PARTNERSHIP, DATED AS OF JANUARY 28, 2016, A COPY OF WHICH MAY BE OBTAINED FROM THE PARTNERSHIP AT ITS PRINCIPAL EXECUTIVE OFFICES.</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This Certificate shall not be valid for any purpose unless it has been countersigned and registered by the General Partner, as transfer agent for the Series A Preferred Units.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17145</wp:posOffset>
            </wp:positionV>
            <wp:extent cx="31127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1"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22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PAA GP LLC, as general partner of the Partnership</w:t>
      </w:r>
    </w:p>
    <w:p>
      <w:pPr>
        <w:sectPr>
          <w:pgSz w:w="11900" w:h="16838" w:orient="portrait"/>
          <w:cols w:equalWidth="0" w:num="1">
            <w:col w:w="11420"/>
          </w:cols>
          <w:pgMar w:left="240" w:top="337" w:right="239" w:bottom="0" w:gutter="0" w:footer="0" w:header="0"/>
        </w:sectPr>
      </w:pPr>
    </w:p>
    <w:p>
      <w:pPr>
        <w:spacing w:after="0" w:line="225"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PLAINS AAP,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0" w:lineRule="exact"/>
        <w:rPr>
          <w:sz w:val="20"/>
          <w:szCs w:val="20"/>
          <w:color w:val="auto"/>
        </w:rPr>
      </w:pPr>
    </w:p>
    <w:p>
      <w:pPr>
        <w:sectPr>
          <w:pgSz w:w="11900" w:h="16838" w:orient="portrait"/>
          <w:cols w:equalWidth="0" w:num="2">
            <w:col w:w="6280" w:space="420"/>
            <w:col w:w="4720"/>
          </w:cols>
          <w:pgMar w:left="240" w:top="337" w:right="239" w:bottom="0" w:gutter="0" w:footer="0" w:header="0"/>
          <w:type w:val="continuous"/>
        </w:sectPr>
      </w:pPr>
    </w:p>
    <w:p>
      <w:pPr>
        <w:spacing w:after="0" w:line="22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ind w:right="2000"/>
        <w:spacing w:after="0" w:line="282" w:lineRule="auto"/>
        <w:rPr>
          <w:sz w:val="20"/>
          <w:szCs w:val="20"/>
          <w:color w:val="auto"/>
        </w:rPr>
      </w:pPr>
      <w:r>
        <w:rPr>
          <w:rFonts w:ascii="Times New Roman" w:cs="Times New Roman" w:eastAsia="Times New Roman" w:hAnsi="Times New Roman"/>
          <w:sz w:val="18"/>
          <w:szCs w:val="18"/>
          <w:color w:val="auto"/>
        </w:rPr>
        <w:t>PLAINS ALL AMERICAN GP LLC, its general partner</w:t>
      </w:r>
    </w:p>
    <w:p>
      <w:pPr>
        <w:spacing w:after="0" w:line="200" w:lineRule="exact"/>
        <w:rPr>
          <w:sz w:val="20"/>
          <w:szCs w:val="20"/>
          <w:color w:val="auto"/>
        </w:rPr>
      </w:pPr>
    </w:p>
    <w:p>
      <w:pPr>
        <w:sectPr>
          <w:pgSz w:w="11900" w:h="16838" w:orient="portrait"/>
          <w:cols w:equalWidth="0" w:num="2">
            <w:col w:w="6280" w:space="420"/>
            <w:col w:w="4720"/>
          </w:cols>
          <w:pgMar w:left="240" w:top="337" w:right="239" w:bottom="0" w:gutter="0" w:footer="0" w:header="0"/>
          <w:type w:val="continuous"/>
        </w:sectPr>
      </w:pPr>
    </w:p>
    <w:p>
      <w:pPr>
        <w:spacing w:after="0" w:line="178"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-130810</wp:posOffset>
            </wp:positionV>
            <wp:extent cx="300164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ind w:left="6020"/>
        <w:spacing w:after="0"/>
        <w:rPr>
          <w:sz w:val="20"/>
          <w:szCs w:val="20"/>
          <w:color w:val="auto"/>
        </w:rPr>
      </w:pPr>
      <w:r>
        <w:rPr>
          <w:rFonts w:ascii="Times New Roman" w:cs="Times New Roman" w:eastAsia="Times New Roman" w:hAnsi="Times New Roman"/>
          <w:sz w:val="18"/>
          <w:szCs w:val="18"/>
          <w:color w:val="auto"/>
        </w:rPr>
        <w:t>Title:</w:t>
      </w:r>
    </w:p>
    <w:p>
      <w:pPr>
        <w:spacing w:after="0" w:line="20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b w:val="1"/>
          <w:bCs w:val="1"/>
          <w:color w:val="auto"/>
        </w:rPr>
        <w:t>Countersigned and registered:</w:t>
      </w:r>
    </w:p>
    <w:p>
      <w:pPr>
        <w:spacing w:after="0" w:line="229"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PAA GP LLC, as transfer agent for the Series A Preferred Units</w:t>
      </w:r>
    </w:p>
    <w:p>
      <w:pPr>
        <w:spacing w:after="0" w:line="225" w:lineRule="exact"/>
        <w:rPr>
          <w:sz w:val="20"/>
          <w:szCs w:val="20"/>
          <w:color w:val="auto"/>
        </w:rPr>
      </w:pPr>
    </w:p>
    <w:tbl>
      <w:tblPr>
        <w:tblLayout w:type="fixed"/>
        <w:tblInd w:w="60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w:t>
            </w:r>
          </w:p>
        </w:tc>
      </w:tr>
      <w:tr>
        <w:trPr>
          <w:trHeight w:val="234"/>
        </w:trPr>
        <w:tc>
          <w:tcPr>
            <w:tcW w:w="6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its sole member</w:t>
            </w:r>
          </w:p>
        </w:tc>
      </w:tr>
      <w:tr>
        <w:trPr>
          <w:trHeight w:val="41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w:t>
            </w:r>
          </w:p>
        </w:tc>
      </w:tr>
      <w:tr>
        <w:trPr>
          <w:trHeight w:val="234"/>
        </w:trPr>
        <w:tc>
          <w:tcPr>
            <w:tcW w:w="68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spacing w:after="0"/>
              <w:rPr>
                <w:sz w:val="24"/>
                <w:szCs w:val="24"/>
                <w:color w:val="auto"/>
              </w:rPr>
            </w:pPr>
          </w:p>
        </w:tc>
      </w:tr>
      <w:tr>
        <w:trPr>
          <w:trHeight w:val="178"/>
        </w:trPr>
        <w:tc>
          <w:tcPr>
            <w:tcW w:w="68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spacing w:after="0"/>
              <w:rPr>
                <w:sz w:val="15"/>
                <w:szCs w:val="15"/>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[Reverse of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ABBREVIATIONS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abbreviations, when used in the inscription on the face of this Certificate, shall be construed as follows according to applicable laws or regulations: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TEN COM — as tenants in common</w:t>
            </w:r>
          </w:p>
        </w:tc>
        <w:tc>
          <w:tcPr>
            <w:tcW w:w="2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UNIF GIFT MIN ACT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TEN ENT — as tenants by the entireties</w:t>
            </w:r>
          </w:p>
        </w:tc>
        <w:tc>
          <w:tcPr>
            <w:tcW w:w="306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8"/>
                <w:szCs w:val="18"/>
                <w:color w:val="auto"/>
              </w:rPr>
              <w:t>Custodian</w:t>
            </w: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30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JT TEN — as joint tenants with right of survivorship and not as tenants in</w:t>
            </w:r>
          </w:p>
        </w:tc>
        <w:tc>
          <w:tcPr>
            <w:tcW w:w="23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(Cust)</w:t>
            </w:r>
          </w:p>
        </w:tc>
        <w:tc>
          <w:tcPr>
            <w:tcW w:w="7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(Minor)</w:t>
            </w:r>
          </w:p>
        </w:tc>
        <w:tc>
          <w:tcPr>
            <w:tcW w:w="0" w:type="dxa"/>
            <w:vAlign w:val="bottom"/>
          </w:tcPr>
          <w:p>
            <w:pPr>
              <w:spacing w:after="0"/>
              <w:rPr>
                <w:sz w:val="1"/>
                <w:szCs w:val="1"/>
                <w:color w:val="auto"/>
              </w:rPr>
            </w:pPr>
          </w:p>
        </w:tc>
      </w:tr>
      <w:tr>
        <w:trPr>
          <w:trHeight w:val="234"/>
        </w:trPr>
        <w:tc>
          <w:tcPr>
            <w:tcW w:w="57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common</w:t>
            </w:r>
          </w:p>
        </w:tc>
        <w:tc>
          <w:tcPr>
            <w:tcW w:w="230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under Uniform Gifts to</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760" w:type="dxa"/>
            <w:vAlign w:val="bottom"/>
          </w:tcPr>
          <w:p>
            <w:pPr>
              <w:spacing w:after="0"/>
              <w:rPr>
                <w:sz w:val="17"/>
                <w:szCs w:val="17"/>
                <w:color w:val="auto"/>
              </w:rPr>
            </w:pPr>
          </w:p>
        </w:tc>
        <w:tc>
          <w:tcPr>
            <w:tcW w:w="230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18"/>
                <w:szCs w:val="18"/>
                <w:color w:val="auto"/>
              </w:rPr>
            </w:pPr>
          </w:p>
        </w:tc>
        <w:tc>
          <w:tcPr>
            <w:tcW w:w="2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Minors Act</w:t>
            </w: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tcPr>
          <w:p>
            <w:pPr>
              <w:spacing w:after="0"/>
              <w:rPr>
                <w:sz w:val="20"/>
                <w:szCs w:val="20"/>
                <w:color w:val="auto"/>
              </w:rPr>
            </w:pPr>
          </w:p>
        </w:tc>
        <w:tc>
          <w:tcPr>
            <w:tcW w:w="230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(State)</w:t>
            </w: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abbreviations, though not in the above list, may also be used.</w:t>
      </w:r>
    </w:p>
    <w:p>
      <w:pPr>
        <w:sectPr>
          <w:pgSz w:w="11900" w:h="16838" w:orient="portrait"/>
          <w:cols w:equalWidth="0" w:num="1">
            <w:col w:w="11420"/>
          </w:cols>
          <w:pgMar w:left="240" w:top="337" w:right="239" w:bottom="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ASSIGNMENT OF SERIES A PREFERRED UNITS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VALUE RECEIVED,</w:t>
            </w:r>
          </w:p>
        </w:tc>
        <w:tc>
          <w:tcPr>
            <w:tcW w:w="90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hereby assigns, conveys, sells and transfers unto</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5720" w:type="dxa"/>
            <w:vAlign w:val="bottom"/>
            <w:tcBorders>
              <w:bottom w:val="single" w:sz="8" w:color="auto"/>
            </w:tcBorders>
            <w:gridSpan w:val="2"/>
          </w:tcPr>
          <w:p>
            <w:pPr>
              <w:spacing w:after="0"/>
              <w:rPr>
                <w:sz w:val="24"/>
                <w:szCs w:val="24"/>
                <w:color w:val="auto"/>
              </w:rPr>
            </w:pPr>
          </w:p>
        </w:tc>
        <w:tc>
          <w:tcPr>
            <w:tcW w:w="220" w:type="dxa"/>
            <w:vAlign w:val="bottom"/>
            <w:vMerge w:val="restart"/>
          </w:tcPr>
          <w:p>
            <w:pPr>
              <w:spacing w:after="0"/>
              <w:rPr>
                <w:sz w:val="24"/>
                <w:szCs w:val="24"/>
                <w:color w:val="auto"/>
              </w:rPr>
            </w:pPr>
          </w:p>
        </w:tc>
        <w:tc>
          <w:tcPr>
            <w:tcW w:w="5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(Please print or typewrite name and address of Assignee)</w:t>
            </w:r>
          </w:p>
        </w:tc>
        <w:tc>
          <w:tcPr>
            <w:tcW w:w="220" w:type="dxa"/>
            <w:vAlign w:val="bottom"/>
            <w:vMerge w:val="continue"/>
          </w:tcPr>
          <w:p>
            <w:pPr>
              <w:spacing w:after="0"/>
              <w:rPr>
                <w:sz w:val="19"/>
                <w:szCs w:val="19"/>
                <w:color w:val="auto"/>
              </w:rPr>
            </w:pPr>
          </w:p>
        </w:tc>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 of Assignee)</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Series A Preferred Units representing limited partner interests evidenced by this Certificate, subject to the Partnership Agreement, and does hereby</w:t>
      </w:r>
    </w:p>
    <w:p>
      <w:pPr>
        <w:spacing w:after="0" w:line="27" w:lineRule="exact"/>
        <w:rPr>
          <w:sz w:val="20"/>
          <w:szCs w:val="20"/>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irrevocably constitute and appoint as its attorney-in-fact with full power of substitution to transfer the same on the books of Plains All American Pipeline, L.P.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060" w:type="dxa"/>
            <w:vAlign w:val="bottom"/>
            <w:tcBorders>
              <w:bottom w:val="single" w:sz="8" w:color="auto"/>
            </w:tcBorders>
          </w:tcPr>
          <w:p>
            <w:pPr>
              <w:spacing w:after="0"/>
              <w:rPr>
                <w:sz w:val="20"/>
                <w:szCs w:val="20"/>
                <w:color w:val="auto"/>
              </w:rPr>
            </w:pP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 The signature to any endorsement hereon must</w:t>
            </w:r>
          </w:p>
        </w:tc>
      </w:tr>
      <w:tr>
        <w:trPr>
          <w:trHeight w:val="178"/>
        </w:trPr>
        <w:tc>
          <w:tcPr>
            <w:tcW w:w="68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4680" w:type="dxa"/>
            <w:vAlign w:val="bottom"/>
          </w:tcPr>
          <w:p>
            <w:pPr>
              <w:ind w:left="220"/>
              <w:spacing w:after="0" w:line="178" w:lineRule="exact"/>
              <w:rPr>
                <w:sz w:val="20"/>
                <w:szCs w:val="20"/>
                <w:color w:val="auto"/>
              </w:rPr>
            </w:pPr>
            <w:r>
              <w:rPr>
                <w:rFonts w:ascii="Times New Roman" w:cs="Times New Roman" w:eastAsia="Times New Roman" w:hAnsi="Times New Roman"/>
                <w:sz w:val="18"/>
                <w:szCs w:val="18"/>
                <w:color w:val="auto"/>
              </w:rPr>
              <w:t>correspond with the name as written upon the face of this</w:t>
            </w:r>
          </w:p>
        </w:tc>
      </w:tr>
      <w:tr>
        <w:trPr>
          <w:trHeight w:val="216"/>
        </w:trPr>
        <w:tc>
          <w:tcPr>
            <w:tcW w:w="68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468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Certificate in every particular, without alteration, enlargement</w:t>
            </w:r>
          </w:p>
        </w:tc>
      </w:tr>
      <w:tr>
        <w:trPr>
          <w:trHeight w:val="234"/>
        </w:trPr>
        <w:tc>
          <w:tcPr>
            <w:tcW w:w="6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4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or change.</w:t>
            </w:r>
          </w:p>
        </w:tc>
      </w:tr>
    </w:tbl>
    <w:p>
      <w:pPr>
        <w:spacing w:after="0" w:line="194" w:lineRule="exact"/>
        <w:rPr>
          <w:sz w:val="20"/>
          <w:szCs w:val="20"/>
          <w:color w:val="auto"/>
        </w:rPr>
      </w:pPr>
    </w:p>
    <w:p>
      <w:pPr>
        <w:sectPr>
          <w:pgSz w:w="11900" w:h="16838" w:orient="portrait"/>
          <w:cols w:equalWidth="0" w:num="1">
            <w:col w:w="11420"/>
          </w:cols>
          <w:pgMar w:left="240" w:top="121" w:right="239" w:bottom="0" w:gutter="0" w:footer="0" w:header="0"/>
        </w:sect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SIGNATURE(S) MUST BE GUARANTEED BY A MEMBER FIRM OF THE NATIONAL ASSOCIATION OF SECURITIES DEALERS, INC. OR BY A COMMERCIAL BANK OR TRUST COMPANY SIGNATURE(S)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34645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-127635</wp:posOffset>
            </wp:positionV>
            <wp:extent cx="346456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5620" w:space="340"/>
            <w:col w:w="5460"/>
          </w:cols>
          <w:pgMar w:left="240" w:top="121" w:right="239" w:bottom="0" w:gutter="0" w:footer="0" w:header="0"/>
          <w:type w:val="continuous"/>
        </w:sectPr>
      </w:pPr>
    </w:p>
    <w:p>
      <w:pPr>
        <w:spacing w:after="0" w:line="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No transfer of the Series A Preferred Units evidenced hereby will be registered on the books of the Partnership, unless the Certificate evidencing the Series A Preferred Units to be transferred is surrendered for registration of transfer.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5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ASSIGNEE CERTIFICATION</w:t>
            </w:r>
          </w:p>
        </w:tc>
      </w:tr>
      <w:tr>
        <w:trPr>
          <w:trHeight w:val="432"/>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Type of Entity (check one):</w:t>
            </w:r>
          </w:p>
        </w:tc>
        <w:tc>
          <w:tcPr>
            <w:tcW w:w="1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w:t>
            </w:r>
          </w:p>
        </w:tc>
        <w:tc>
          <w:tcPr>
            <w:tcW w:w="2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Individual</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w:t>
            </w:r>
          </w:p>
        </w:tc>
        <w:tc>
          <w:tcPr>
            <w:tcW w:w="1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Partnership</w:t>
            </w:r>
          </w:p>
        </w:tc>
        <w:tc>
          <w:tcPr>
            <w:tcW w:w="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t>
            </w:r>
          </w:p>
        </w:tc>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Corporation</w:t>
            </w:r>
          </w:p>
        </w:tc>
      </w:tr>
      <w:tr>
        <w:trPr>
          <w:trHeight w:val="432"/>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o</w:t>
            </w:r>
          </w:p>
        </w:tc>
        <w:tc>
          <w:tcPr>
            <w:tcW w:w="2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Trust</w:t>
            </w:r>
          </w:p>
        </w:tc>
        <w:tc>
          <w:tcPr>
            <w:tcW w:w="11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o</w:t>
            </w:r>
          </w:p>
        </w:tc>
        <w:tc>
          <w:tcPr>
            <w:tcW w:w="17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(specify)</w:t>
            </w:r>
          </w:p>
        </w:tc>
        <w:tc>
          <w:tcPr>
            <w:tcW w:w="70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Nationality (check one):</w:t>
      </w:r>
    </w:p>
    <w:p>
      <w:pPr>
        <w:spacing w:after="0" w:line="225" w:lineRule="exact"/>
        <w:rPr>
          <w:sz w:val="20"/>
          <w:szCs w:val="20"/>
          <w:color w:val="auto"/>
        </w:rPr>
      </w:pPr>
    </w:p>
    <w:p>
      <w:pPr>
        <w:ind w:left="780" w:hanging="772"/>
        <w:spacing w:after="0"/>
        <w:tabs>
          <w:tab w:leader="none" w:pos="78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Citizen, Resident or Domestic Entity</w:t>
      </w:r>
    </w:p>
    <w:p>
      <w:pPr>
        <w:spacing w:after="0" w:line="225" w:lineRule="exact"/>
        <w:rPr>
          <w:sz w:val="20"/>
          <w:szCs w:val="20"/>
          <w:color w:val="auto"/>
        </w:rPr>
      </w:pPr>
    </w:p>
    <w:p>
      <w:pPr>
        <w:spacing w:after="0"/>
        <w:tabs>
          <w:tab w:leader="none" w:pos="760" w:val="left"/>
          <w:tab w:leader="none" w:pos="3440" w:val="left"/>
          <w:tab w:leader="none" w:pos="4140" w:val="left"/>
        </w:tabs>
        <w:rPr>
          <w:sz w:val="20"/>
          <w:szCs w:val="20"/>
          <w:color w:val="auto"/>
        </w:rPr>
      </w:pP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Foreign Corporation</w:t>
      </w:r>
      <w:r>
        <w:rPr>
          <w:sz w:val="20"/>
          <w:szCs w:val="20"/>
          <w:color w:val="auto"/>
        </w:rPr>
        <w:tab/>
      </w:r>
      <w:r>
        <w:rPr>
          <w:rFonts w:ascii="Times New Roman" w:cs="Times New Roman" w:eastAsia="Times New Roman" w:hAnsi="Times New Roman"/>
          <w:sz w:val="18"/>
          <w:szCs w:val="18"/>
          <w:color w:val="auto"/>
        </w:rPr>
        <w:t>o</w:t>
      </w:r>
      <w:r>
        <w:rPr>
          <w:sz w:val="20"/>
          <w:szCs w:val="20"/>
          <w:color w:val="auto"/>
        </w:rPr>
        <w:tab/>
      </w:r>
      <w:r>
        <w:rPr>
          <w:rFonts w:ascii="Times New Roman" w:cs="Times New Roman" w:eastAsia="Times New Roman" w:hAnsi="Times New Roman"/>
          <w:sz w:val="18"/>
          <w:szCs w:val="18"/>
          <w:color w:val="auto"/>
        </w:rPr>
        <w:t>Non-resident Alien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U.S. Citizen, Resident or Domestic Entity box is checked, the following certification must be completed.</w:t>
      </w:r>
    </w:p>
    <w:p>
      <w:pPr>
        <w:spacing w:after="0" w:line="22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Under Section 1445(e) of the Internal Revenue Code of 1986, as amended (the “Code”), the Partnership must withhold tax with respect to certain transfers of property if a holder of an interest in the Partnership is a foreign person. To inform the Partnership that no withholding is required with respect to the undersigned interestholder’s Interest in it, the undersigned hereby certifies the following (or, if applicable, certifies the following on behalf of the interestholder).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Complete Either A or B:</w:t>
      </w:r>
    </w:p>
    <w:p>
      <w:pPr>
        <w:spacing w:after="0" w:line="225" w:lineRule="exact"/>
        <w:rPr>
          <w:sz w:val="20"/>
          <w:szCs w:val="20"/>
          <w:color w:val="auto"/>
        </w:rPr>
      </w:pPr>
    </w:p>
    <w:p>
      <w:pPr>
        <w:ind w:left="660" w:hanging="652"/>
        <w:spacing w:after="0"/>
        <w:tabs>
          <w:tab w:leader="none" w:pos="66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Interestholder</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not a non-resident alien for purposes of U.S. income taxation;</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2.</w:t>
            </w:r>
          </w:p>
        </w:tc>
        <w:tc>
          <w:tcPr>
            <w:tcW w:w="5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My U.S. taxpayer identification number (social security number) is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3.</w:t>
            </w:r>
          </w:p>
        </w:tc>
        <w:tc>
          <w:tcPr>
            <w:tcW w:w="2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My home address is:</w:t>
            </w:r>
          </w:p>
        </w:tc>
        <w:tc>
          <w:tcPr>
            <w:tcW w:w="3340" w:type="dxa"/>
            <w:vAlign w:val="bottom"/>
          </w:tcPr>
          <w:p>
            <w:pPr>
              <w:jc w:val="right"/>
              <w:ind w:right="2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4"/>
                <w:szCs w:val="24"/>
                <w:color w:val="auto"/>
              </w:rPr>
            </w:pPr>
          </w:p>
        </w:tc>
      </w:tr>
    </w:tbl>
    <w:p>
      <w:pPr>
        <w:spacing w:after="0" w:line="198" w:lineRule="exact"/>
        <w:rPr>
          <w:sz w:val="20"/>
          <w:szCs w:val="20"/>
          <w:color w:val="auto"/>
        </w:rPr>
      </w:pPr>
    </w:p>
    <w:p>
      <w:pPr>
        <w:ind w:left="660" w:hanging="652"/>
        <w:spacing w:after="0"/>
        <w:tabs>
          <w:tab w:leader="none" w:pos="6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 Corporation or Other Interestholder</w:t>
      </w:r>
    </w:p>
    <w:p>
      <w:pPr>
        <w:spacing w:after="0" w:line="225" w:lineRule="exact"/>
        <w:rPr>
          <w:sz w:val="20"/>
          <w:szCs w:val="20"/>
          <w:color w:val="auto"/>
        </w:rPr>
      </w:pPr>
    </w:p>
    <w:p>
      <w:pPr>
        <w:ind w:left="1300" w:right="580" w:hanging="644"/>
        <w:spacing w:after="0" w:line="282" w:lineRule="auto"/>
        <w:tabs>
          <w:tab w:leader="none" w:pos="206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 foreign corporation, foreign partnership, foreign trust or foreign estate (as those terms are defined in the Code and Treasury Regulations)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2.</w:t>
            </w:r>
          </w:p>
        </w:tc>
        <w:tc>
          <w:tcPr>
            <w:tcW w:w="4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The interestholder’s U.S. employer identification number is</w:t>
            </w:r>
          </w:p>
        </w:tc>
        <w:tc>
          <w:tcPr>
            <w:tcW w:w="12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r>
      <w:tr>
        <w:trPr>
          <w:trHeight w:val="432"/>
        </w:trPr>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3.</w:t>
            </w:r>
          </w:p>
        </w:tc>
        <w:tc>
          <w:tcPr>
            <w:tcW w:w="6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The interestholder’s office address and place of incorporation (if applicable) is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38" w:orient="portrait"/>
          <w:cols w:equalWidth="0" w:num="1">
            <w:col w:w="11420"/>
          </w:cols>
          <w:pgMar w:left="240" w:top="121" w:right="239" w:bottom="0" w:gutter="0" w:footer="0" w:header="0"/>
          <w:type w:val="continuous"/>
        </w:sectPr>
      </w:pPr>
    </w:p>
    <w:bookmarkStart w:id="71" w:name="page72"/>
    <w:bookmarkEnd w:id="71"/>
    <w:p>
      <w:pPr>
        <w:ind w:left="660"/>
        <w:spacing w:after="0"/>
        <w:rPr>
          <w:sz w:val="20"/>
          <w:szCs w:val="20"/>
          <w:color w:val="auto"/>
        </w:rPr>
      </w:pPr>
      <w:r>
        <w:rPr>
          <w:rFonts w:ascii="Times New Roman" w:cs="Times New Roman" w:eastAsia="Times New Roman" w:hAnsi="Times New Roman"/>
          <w:sz w:val="18"/>
          <w:szCs w:val="18"/>
          <w:color w:val="auto"/>
        </w:rPr>
        <w:t>The interestholder agrees to notify the Partnership within sixty (60) days of the date the interestholder becomes a foreign person.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interestholder understands that this Certificate may be disclosed to the Internal Revenue Service by the Partnership and that any false statement contained herein could be punishable by fine, imprisonment or both.</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Under penalties of perjury, I declare that I have examined this certification and to the best of my knowledge and belief it is true, correct and complete and, if applicable, I further declare that I have authority to sign this document on behalf of:</w:t>
      </w:r>
    </w:p>
    <w:p>
      <w:pPr>
        <w:spacing w:after="0" w:line="39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Name of Interestholder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Signature and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-127635</wp:posOffset>
            </wp:positionV>
            <wp:extent cx="434784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5"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Note: If the assignee is a broker, dealer, bank, trust company, clearing corporation, other nominee holder or an agent of any of the foregoing, and is holding for the account of any other person, this application should be completed by an officer thereof or, in the case of a broker or dealer, by a registered representative who is a member of a registered national securities exchange or a member of the National Association of Securities Dealers, Inc. or, in the case of any other nominee holder, a person performing a similar function. If the Assignee is a broker, dealer, bank, trust company, clearing corporation, other nominee owner or an agent of any of the foregoing, the above certification as to any person for whom the assignee will hold the Series A Preferred Units shall be made to the best of Assignee’s knowledge.</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PURCHASERS NAMED ON SCHEDULE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908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40" w:type="dxa"/>
            <w:vAlign w:val="bottom"/>
          </w:tcPr>
          <w:p>
            <w:pPr>
              <w:spacing w:after="0"/>
              <w:rPr>
                <w:sz w:val="20"/>
                <w:szCs w:val="20"/>
                <w:color w:val="auto"/>
              </w:rPr>
            </w:pPr>
          </w:p>
        </w:tc>
      </w:tr>
      <w:tr>
        <w:trPr>
          <w:trHeight w:val="365"/>
        </w:trPr>
        <w:tc>
          <w:tcPr>
            <w:tcW w:w="1200" w:type="dxa"/>
            <w:vAlign w:val="bottom"/>
          </w:tcPr>
          <w:p>
            <w:pPr>
              <w:spacing w:after="0"/>
              <w:rPr>
                <w:sz w:val="24"/>
                <w:szCs w:val="24"/>
                <w:color w:val="auto"/>
              </w:rPr>
            </w:pPr>
          </w:p>
        </w:tc>
        <w:tc>
          <w:tcPr>
            <w:tcW w:w="9080" w:type="dxa"/>
            <w:vAlign w:val="bottom"/>
          </w:tcPr>
          <w:p>
            <w:pPr>
              <w:spacing w:after="0"/>
              <w:rPr>
                <w:sz w:val="24"/>
                <w:szCs w:val="24"/>
                <w:color w:val="auto"/>
              </w:rPr>
            </w:pPr>
          </w:p>
        </w:tc>
        <w:tc>
          <w:tcPr>
            <w:tcW w:w="11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426"/>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Definitions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Registrable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32"/>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REGISTRATION RIGHTS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Shelf Registration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Piggyback Registration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Underwritten Offering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Further Obligations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Cooperation by Holders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Restrictions on Public Sale by Holders of Registrable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Expenses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Indemnification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Rule 144 Reporting</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Transfer or Assignment of Registration Rights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 on Subsequent Registration Rights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32"/>
        </w:trPr>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MISCELLANEOUS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Communications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Binding Effect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Assignment of Rights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Recapitalization, Exchanges, Etc.</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Aggregation of Registrable Securities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Specific Performance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Counterparts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Governing Law, Submission to Jurisdiction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Waiver of Jury Trial</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Entire Agreement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Amendment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 Presumption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Obligations Limited to Parties to Agreement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90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Interpretation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 Purchaser Name; Notice and Contact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225"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REGISTRATION RIGHTS AGREEMENT</w:t>
      </w:r>
      <w:r>
        <w:rPr>
          <w:rFonts w:ascii="Times New Roman" w:cs="Times New Roman" w:eastAsia="Times New Roman" w:hAnsi="Times New Roman"/>
          <w:sz w:val="18"/>
          <w:szCs w:val="18"/>
          <w:color w:val="auto"/>
        </w:rPr>
        <w:t>, dated as of January 28, 2016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is entered into by and among </w:t>
      </w:r>
      <w:r>
        <w:rPr>
          <w:rFonts w:ascii="Times New Roman" w:cs="Times New Roman" w:eastAsia="Times New Roman" w:hAnsi="Times New Roman"/>
          <w:sz w:val="18"/>
          <w:szCs w:val="18"/>
          <w:b w:val="1"/>
          <w:bCs w:val="1"/>
          <w:color w:val="auto"/>
        </w:rPr>
        <w:t>PLAINS 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AMERICAN PIPELINE, L.P.</w:t>
      </w:r>
      <w:r>
        <w:rPr>
          <w:rFonts w:ascii="Times New Roman" w:cs="Times New Roman" w:eastAsia="Times New Roman" w:hAnsi="Times New Roman"/>
          <w:sz w:val="18"/>
          <w:szCs w:val="18"/>
          <w:color w:val="auto"/>
        </w:rPr>
        <w:t>,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and each of the Persons set forth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WHEREAS, this Agreement is made in connection with the closing of the issuance and sale of the Purchased Units pursuant to the Series A Preferred Unit Purchase Agreement, dated as of January 12, 2016, as amended by Amendment No. 1 thereto dated as of January 21, 2016 (the date of such closing, the “</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by and among the Partnership and the Purchasers (as amended, the “</w:t>
      </w:r>
      <w:r>
        <w:rPr>
          <w:rFonts w:ascii="Times New Roman" w:cs="Times New Roman" w:eastAsia="Times New Roman" w:hAnsi="Times New Roman"/>
          <w:sz w:val="18"/>
          <w:szCs w:val="18"/>
          <w:b w:val="1"/>
          <w:bCs w:val="1"/>
          <w:u w:val="single" w:color="auto"/>
          <w:color w:val="auto"/>
        </w:rPr>
        <w:t>Purchase Agreement</w:t>
      </w:r>
      <w:r>
        <w:rPr>
          <w:rFonts w:ascii="Times New Roman" w:cs="Times New Roman" w:eastAsia="Times New Roman" w:hAnsi="Times New Roman"/>
          <w:sz w:val="18"/>
          <w:szCs w:val="18"/>
          <w:color w:val="auto"/>
        </w:rPr>
        <w:t>”); and</w:t>
      </w:r>
    </w:p>
    <w:p>
      <w:pPr>
        <w:spacing w:after="0" w:line="176"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WHEREAS, the Partnership has agreed to provide the registration and other rights set forth in this Agreement for the benefit of the Purchasers pursuant to the Purchase Agreement.</w:t>
      </w:r>
    </w:p>
    <w:p>
      <w:pPr>
        <w:sectPr>
          <w:pgSz w:w="11900" w:h="16838" w:orient="portrait"/>
          <w:cols w:equalWidth="0" w:num="1">
            <w:col w:w="11420"/>
          </w:cols>
          <w:pgMar w:left="240" w:top="117" w:right="239" w:bottom="0" w:gutter="0" w:footer="0" w:header="0"/>
        </w:sectPr>
      </w:pPr>
    </w:p>
    <w:bookmarkStart w:id="73" w:name="page74"/>
    <w:bookmarkEnd w:id="73"/>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good and valuable consideration, the receipt and sufficiency of which is hereby acknowledged, the parties hereby agree as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have the meanings indicated:</w:t>
      </w:r>
    </w:p>
    <w:p>
      <w:pPr>
        <w:spacing w:after="0" w:line="225" w:lineRule="exact"/>
        <w:rPr>
          <w:sz w:val="20"/>
          <w:szCs w:val="20"/>
          <w:color w:val="auto"/>
        </w:rPr>
      </w:pPr>
    </w:p>
    <w:p>
      <w:pPr>
        <w:ind w:right="140"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in question. As used herein, the term “control” (including, with correlative meanings, “controlled by” and “under common control with”) means the possession, direct or indirect, of the power to direct or cause the direction of the management and policies of a Person, whether through ownership of voting securities, by contract or otherwise. For the avoidance of doubt, for purposes of this Agreement, (a) the GP Entities or the Plains Entities, on the one hand, and any Purchaser, on the other, shall not be considered Affiliates and (b) any fund or account managed, advised or subadvised, directly or indirectly, by a Purchaser or its Affiliates, shall be considered an Affiliate of such Purchaser.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Sunday, any federal legal holiday or day on which banking institutions in the State of New York or State of Texas are authorized or required by law or other governmental action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Units</w:t>
      </w:r>
      <w:r>
        <w:rPr>
          <w:rFonts w:ascii="Times New Roman" w:cs="Times New Roman" w:eastAsia="Times New Roman" w:hAnsi="Times New Roman"/>
          <w:sz w:val="18"/>
          <w:szCs w:val="18"/>
          <w:color w:val="auto"/>
        </w:rPr>
        <w:t>” means the common units representing limited partner interests in the Partnership and having the rights and obligations specified in the Partnership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means the date of effectiveness of any Registration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the rules and regulations of the Commission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means PAA GP LLC, a Delaware limited liability company and the general partner of the Partnership.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GP Entities</w:t>
      </w:r>
      <w:r>
        <w:rPr>
          <w:rFonts w:ascii="Times New Roman" w:cs="Times New Roman" w:eastAsia="Times New Roman" w:hAnsi="Times New Roman"/>
          <w:sz w:val="18"/>
          <w:szCs w:val="18"/>
          <w:color w:val="auto"/>
        </w:rPr>
        <w:t>” means, collectively, the General Partner, GP LLC and Plains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means Plains All American GP LLC, a Delaware limited liability company and the general partner of Plains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w:t>
      </w:r>
      <w:r>
        <w:rPr>
          <w:rFonts w:ascii="Times New Roman" w:cs="Times New Roman" w:eastAsia="Times New Roman" w:hAnsi="Times New Roman"/>
          <w:sz w:val="18"/>
          <w:szCs w:val="18"/>
          <w:color w:val="auto"/>
        </w:rPr>
        <w:t>” means the record holder of any Registrable Securities.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Holder Underwriter 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2.04(q)</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Included Registrable Securities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Initial Distribution Period</w:t>
      </w:r>
      <w:r>
        <w:rPr>
          <w:rFonts w:ascii="Times New Roman" w:cs="Times New Roman" w:eastAsia="Times New Roman" w:hAnsi="Times New Roman"/>
          <w:sz w:val="18"/>
          <w:szCs w:val="18"/>
          <w:color w:val="auto"/>
        </w:rPr>
        <w:t>” has the meaning specified in the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Liquidated Damages</w:t>
      </w:r>
      <w:r>
        <w:rPr>
          <w:rFonts w:ascii="Times New Roman" w:cs="Times New Roman" w:eastAsia="Times New Roman" w:hAnsi="Times New Roman"/>
          <w:sz w:val="18"/>
          <w:szCs w:val="18"/>
          <w:color w:val="auto"/>
        </w:rPr>
        <w:t>” has the meaning specified therefor in Section 2.01(b).</w:t>
      </w:r>
    </w:p>
    <w:p>
      <w:pPr>
        <w:spacing w:after="0" w:line="22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Liquidated Damages Multiplier</w:t>
      </w:r>
      <w:r>
        <w:rPr>
          <w:rFonts w:ascii="Times New Roman" w:cs="Times New Roman" w:eastAsia="Times New Roman" w:hAnsi="Times New Roman"/>
          <w:sz w:val="18"/>
          <w:szCs w:val="18"/>
          <w:color w:val="auto"/>
        </w:rPr>
        <w:t>” means the product of (i) the Purchased Unit Price and (ii) the number of Registrable Securities then held by the applicable Holder and included on the applicable Registration Statement.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Losses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Managing Underwriter</w:t>
      </w:r>
      <w:r>
        <w:rPr>
          <w:rFonts w:ascii="Times New Roman" w:cs="Times New Roman" w:eastAsia="Times New Roman" w:hAnsi="Times New Roman"/>
          <w:sz w:val="18"/>
          <w:szCs w:val="18"/>
          <w:color w:val="auto"/>
        </w:rPr>
        <w:t>” means, with respect to any Underwritten Offering, the book running lead manager of such Underwritten Offering.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Other Holder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 Agreement</w:t>
      </w:r>
      <w:r>
        <w:rPr>
          <w:rFonts w:ascii="Times New Roman" w:cs="Times New Roman" w:eastAsia="Times New Roman" w:hAnsi="Times New Roman"/>
          <w:sz w:val="18"/>
          <w:szCs w:val="18"/>
          <w:color w:val="auto"/>
        </w:rPr>
        <w:t>” means the Fifth Amended and Restated Agreement of Limited Partnership of the Partnership, dated as of the date hereof, as amended.</w:t>
      </w:r>
    </w:p>
    <w:p>
      <w:pPr>
        <w:spacing w:after="0" w:line="155" w:lineRule="exact"/>
        <w:rPr>
          <w:sz w:val="20"/>
          <w:szCs w:val="20"/>
          <w:color w:val="auto"/>
        </w:rPr>
      </w:pPr>
    </w:p>
    <w:p>
      <w:pPr>
        <w:ind w:right="9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company, voluntary association, partnership, joint venture, trust, limited liability company, unincorporated organization,</w:t>
      </w:r>
    </w:p>
    <w:p>
      <w:pPr>
        <w:sectPr>
          <w:pgSz w:w="11900" w:h="16838" w:orient="portrait"/>
          <w:cols w:equalWidth="0" w:num="1">
            <w:col w:w="11420"/>
          </w:cols>
          <w:pgMar w:left="240" w:top="121" w:right="239" w:bottom="104" w:gutter="0" w:footer="0" w:header="0"/>
        </w:sectPr>
      </w:pP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4"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government or any agency, instrumentality or political subdivision thereof or any other form of entity.</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Opt-Out Notice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PIK Units</w:t>
      </w:r>
      <w:r>
        <w:rPr>
          <w:rFonts w:ascii="Times New Roman" w:cs="Times New Roman" w:eastAsia="Times New Roman" w:hAnsi="Times New Roman"/>
          <w:sz w:val="18"/>
          <w:szCs w:val="18"/>
          <w:color w:val="auto"/>
        </w:rPr>
        <w:t>” means additional Series A Preferred Units issued by the Partnership to the Purchasers as in-kind distributions pursuant to the terms of the Partnership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means Plains AAP, L.P., a Delaware limited partnership, which owns a 100% membership interest in the General Partner.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Agreement</w:t>
      </w:r>
      <w:r>
        <w:rPr>
          <w:rFonts w:ascii="Times New Roman" w:cs="Times New Roman" w:eastAsia="Times New Roman" w:hAnsi="Times New Roman"/>
          <w:sz w:val="18"/>
          <w:szCs w:val="18"/>
          <w:color w:val="auto"/>
        </w:rPr>
        <w:t>” has the meaning set forth in the Recitals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Purchased Units</w:t>
      </w:r>
      <w:r>
        <w:rPr>
          <w:rFonts w:ascii="Times New Roman" w:cs="Times New Roman" w:eastAsia="Times New Roman" w:hAnsi="Times New Roman"/>
          <w:sz w:val="18"/>
          <w:szCs w:val="18"/>
          <w:color w:val="auto"/>
        </w:rPr>
        <w:t>” means the Series A Preferred Units to be issued and sold to the Purchasers pursuant to the Purchase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Purchased Unit Price</w:t>
      </w:r>
      <w:r>
        <w:rPr>
          <w:rFonts w:ascii="Times New Roman" w:cs="Times New Roman" w:eastAsia="Times New Roman" w:hAnsi="Times New Roman"/>
          <w:sz w:val="18"/>
          <w:szCs w:val="18"/>
          <w:color w:val="auto"/>
        </w:rPr>
        <w:t>” means $26.25 per unit.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Quarter</w:t>
      </w:r>
      <w:r>
        <w:rPr>
          <w:rFonts w:ascii="Times New Roman" w:cs="Times New Roman" w:eastAsia="Times New Roman" w:hAnsi="Times New Roman"/>
          <w:sz w:val="18"/>
          <w:szCs w:val="18"/>
          <w:color w:val="auto"/>
        </w:rPr>
        <w:t>” has the meaning specified in the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has the meaning specified in the Partnership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w:t>
      </w:r>
      <w:r>
        <w:rPr>
          <w:rFonts w:ascii="Times New Roman" w:cs="Times New Roman" w:eastAsia="Times New Roman" w:hAnsi="Times New Roman"/>
          <w:sz w:val="18"/>
          <w:szCs w:val="18"/>
          <w:color w:val="auto"/>
        </w:rPr>
        <w:t>” means any registration pursuant to this Agreement, including pursuant to a Registration Statement or a Piggyback Registration.</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xml:space="preserve">” means the Common Units issuable upon conversion of the Purchased Units and the PIK Units, all of which are subject to the rights provided herein until such time as such securities cease to be Registrable Securities pursuant to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and regulations of the Commission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Expenses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w:t>
      </w:r>
      <w:r>
        <w:rPr>
          <w:rFonts w:ascii="Times New Roman" w:cs="Times New Roman" w:eastAsia="Times New Roman" w:hAnsi="Times New Roman"/>
          <w:sz w:val="18"/>
          <w:szCs w:val="18"/>
          <w:color w:val="auto"/>
        </w:rPr>
        <w:t>” means a Holder who is selling Registrable Securities pursuant to a registration statement.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Selling Holder Indemnified Persons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2.08(a)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Series A Conversion Date</w:t>
      </w:r>
      <w:r>
        <w:rPr>
          <w:rFonts w:ascii="Times New Roman" w:cs="Times New Roman" w:eastAsia="Times New Roman" w:hAnsi="Times New Roman"/>
          <w:sz w:val="18"/>
          <w:szCs w:val="18"/>
          <w:color w:val="auto"/>
        </w:rPr>
        <w:t>” means the date on which all of the Purchased Units are convertible into Common Units pursuant to the terms of the Partnership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Series A Conversion Rate</w:t>
      </w:r>
      <w:r>
        <w:rPr>
          <w:rFonts w:ascii="Times New Roman" w:cs="Times New Roman" w:eastAsia="Times New Roman" w:hAnsi="Times New Roman"/>
          <w:sz w:val="18"/>
          <w:szCs w:val="18"/>
          <w:color w:val="auto"/>
        </w:rPr>
        <w:t>” has the meaning specified in the Partnership Agreement.</w:t>
      </w:r>
    </w:p>
    <w:p>
      <w:pPr>
        <w:spacing w:after="0" w:line="225" w:lineRule="exact"/>
        <w:rPr>
          <w:sz w:val="20"/>
          <w:szCs w:val="20"/>
          <w:color w:val="auto"/>
        </w:rPr>
      </w:pPr>
    </w:p>
    <w:p>
      <w:pPr>
        <w:ind w:right="2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Series A Preferred Units</w:t>
      </w:r>
      <w:r>
        <w:rPr>
          <w:rFonts w:ascii="Times New Roman" w:cs="Times New Roman" w:eastAsia="Times New Roman" w:hAnsi="Times New Roman"/>
          <w:sz w:val="18"/>
          <w:szCs w:val="18"/>
          <w:color w:val="auto"/>
        </w:rPr>
        <w:t>” means the Series A Preferred Units representing limited partner interests in the Partnership and having the rights and obligations specified in the Partnership Agreement.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Target Effective Date</w:t>
      </w:r>
      <w:r>
        <w:rPr>
          <w:rFonts w:ascii="Times New Roman" w:cs="Times New Roman" w:eastAsia="Times New Roman" w:hAnsi="Times New Roman"/>
          <w:sz w:val="18"/>
          <w:szCs w:val="18"/>
          <w:color w:val="auto"/>
        </w:rPr>
        <w:t xml:space="preserve">” has the meaning specified therefor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Underwritten Offering</w:t>
      </w:r>
      <w:r>
        <w:rPr>
          <w:rFonts w:ascii="Times New Roman" w:cs="Times New Roman" w:eastAsia="Times New Roman" w:hAnsi="Times New Roman"/>
          <w:sz w:val="18"/>
          <w:szCs w:val="18"/>
          <w:color w:val="auto"/>
        </w:rPr>
        <w:t>” means an offering (including an offering pursuant to a Registration Statement) in which Common Units are sold to an underwriter on a firm commitment basis for reoffering to the public or an offering that is a “bought deal” with one or more investment banks.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WKSI</w:t>
      </w:r>
      <w:r>
        <w:rPr>
          <w:rFonts w:ascii="Times New Roman" w:cs="Times New Roman" w:eastAsia="Times New Roman" w:hAnsi="Times New Roman"/>
          <w:sz w:val="18"/>
          <w:szCs w:val="18"/>
          <w:color w:val="auto"/>
        </w:rPr>
        <w:t>” means a well-known seasoned issuer (as defined in the rules and regulations of the Commission).</w:t>
      </w:r>
    </w:p>
    <w:p>
      <w:pPr>
        <w:spacing w:after="0" w:line="225"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xml:space="preserve">. Any Registrable Security will cease to be a Registrable Security upon the earliest to occur of the following: (a) when a registration statement covering such Registrable Security becomes or has been declared effective by the Commission and such Registrable Security has been sold or disposed of pursuant to such effective registration statement, (b) when such Registrable Security has been disposed of (excluding transfers or assignments by a Holder to an Affiliate or to another Holder or any of its Affiliates or to any assignee or transferee to whom the rights under this Agreement have been transferred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pursuant to any section of Rule 144 (or any similar provision then in effect) under the Securities Act, (c) when such Registrable Security is held by the Partnership or one of its direct or indirect subsidiaries and (d) when such Registrable Security has been sold or disposed of in a private transaction in which the transferor’s rights under this Agreement are not assigned to the transferee of such securities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In addition, a Holder will cease to have rights to require registration of any Registrable Securities held by that Holder under this Agreement on the later of (i) the fourth anniversary of the date on which all Series A Preferred Units have been converted into Common Units pursuant to Article V of the Partnership Agreement and (ii) the earlier of (x) the date on which such Holder is no longer an “affiliate” as such term is defined in Rule 144 promulgated under the Securities Act and (y) the tenth anniversary of the date hereof.</w:t>
      </w:r>
    </w:p>
    <w:p>
      <w:pPr>
        <w:sectPr>
          <w:pgSz w:w="11900" w:h="16838" w:orient="portrait"/>
          <w:cols w:equalWidth="0" w:num="1">
            <w:col w:w="11340"/>
          </w:cols>
          <w:pgMar w:left="240" w:top="337" w:right="319" w:bottom="66" w:gutter="0" w:footer="0" w:header="0"/>
        </w:sectPr>
      </w:pPr>
    </w:p>
    <w:bookmarkStart w:id="75" w:name="page76"/>
    <w:bookmarkEnd w:id="75"/>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0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8"/>
          <w:szCs w:val="18"/>
          <w:b w:val="1"/>
          <w:bCs w:val="1"/>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56"/>
        <w:spacing w:after="0" w:line="262" w:lineRule="auto"/>
        <w:tabs>
          <w:tab w:leader="none" w:pos="1294"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Shelf Registration</w:t>
      </w:r>
      <w:r>
        <w:rPr>
          <w:rFonts w:ascii="Times New Roman" w:cs="Times New Roman" w:eastAsia="Times New Roman" w:hAnsi="Times New Roman"/>
          <w:sz w:val="18"/>
          <w:szCs w:val="18"/>
          <w:color w:val="auto"/>
        </w:rPr>
        <w:t>. The Partnership shall use its commercially reasonable efforts to (i) prepare and file an initial registration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to permit the public resale of Registrable Securities from time to time as permitted by Rule 415 (or any similar provision adopted by the Commission then in effect) of the Securities Act (a “</w:t>
      </w:r>
      <w:r>
        <w:rPr>
          <w:rFonts w:ascii="Times New Roman" w:cs="Times New Roman" w:eastAsia="Times New Roman" w:hAnsi="Times New Roman"/>
          <w:sz w:val="18"/>
          <w:szCs w:val="18"/>
          <w:b w:val="1"/>
          <w:bCs w:val="1"/>
          <w:u w:val="single" w:color="auto"/>
          <w:color w:val="auto"/>
        </w:rPr>
        <w:t>Registration Statement</w:t>
      </w:r>
      <w:r>
        <w:rPr>
          <w:rFonts w:ascii="Times New Roman" w:cs="Times New Roman" w:eastAsia="Times New Roman" w:hAnsi="Times New Roman"/>
          <w:sz w:val="18"/>
          <w:szCs w:val="18"/>
          <w:color w:val="auto"/>
        </w:rPr>
        <w:t>”) and (ii) cause such initial Registration Statement to become effective no later than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8"/>
          <w:szCs w:val="18"/>
          <w:color w:val="auto"/>
        </w:rPr>
        <w:t>the earlier of (A) the Record Date with respect to the Quarter ending on the last day of the Initial Distribution Period and (B) the second anniversary of the date hereof (the “</w:t>
      </w:r>
      <w:r>
        <w:rPr>
          <w:rFonts w:ascii="Times New Roman" w:cs="Times New Roman" w:eastAsia="Times New Roman" w:hAnsi="Times New Roman"/>
          <w:sz w:val="18"/>
          <w:szCs w:val="18"/>
          <w:b w:val="1"/>
          <w:bCs w:val="1"/>
          <w:u w:val="single" w:color="auto"/>
          <w:color w:val="auto"/>
        </w:rPr>
        <w:t>Target Effective Date</w:t>
      </w:r>
      <w:r>
        <w:rPr>
          <w:rFonts w:ascii="Times New Roman" w:cs="Times New Roman" w:eastAsia="Times New Roman" w:hAnsi="Times New Roman"/>
          <w:sz w:val="18"/>
          <w:szCs w:val="18"/>
          <w:color w:val="auto"/>
        </w:rPr>
        <w:t xml:space="preserve">”). The Partnership will use its commercially reasonable efforts to cause such initial Registration Statement filed pursuant to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to be continuously effective under the Securities Act, with respect to any Holder, until the earliest to occur of the following:</w:t>
      </w:r>
    </w:p>
    <w:p>
      <w:pPr>
        <w:spacing w:after="0" w:line="2" w:lineRule="exact"/>
        <w:rPr>
          <w:sz w:val="20"/>
          <w:szCs w:val="20"/>
          <w:color w:val="auto"/>
        </w:rPr>
      </w:pPr>
    </w:p>
    <w:p>
      <w:pPr>
        <w:ind w:right="40" w:firstLine="8"/>
        <w:spacing w:after="0" w:line="250" w:lineRule="auto"/>
        <w:tabs>
          <w:tab w:leader="none" w:pos="29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all Registrable Securities covered by the Registration Statement have been distributed in the manner set forth and as contemplated in such Registration Statement, (B) the date on which there are no longer any Registrable Securities outstanding and (C) the later of (1) the fourth anniversary of the date on which all Series A Preferred Units have been converted into Common Units pursuant to Article V of the Partnership Agreement and (2) if and only if the Holder is an “affiliate” (as such term is defined in Rule 144 promulgated under the Securities Act) of the Partnership, the earlier of (x) the date on which such Holder is no longer an “affiliate” (as such term is defined in Rule 144 promulgated under the Securities Act) of the Partnership and (y) the tenth anniversary of the date hereof (in each case of clause (A), (B) or (C), the “</w:t>
      </w:r>
      <w:r>
        <w:rPr>
          <w:rFonts w:ascii="Times New Roman" w:cs="Times New Roman" w:eastAsia="Times New Roman" w:hAnsi="Times New Roman"/>
          <w:sz w:val="18"/>
          <w:szCs w:val="18"/>
          <w:b w:val="1"/>
          <w:bCs w:val="1"/>
          <w:u w:val="single" w:color="auto"/>
          <w:color w:val="auto"/>
        </w:rPr>
        <w:t>Effectiveness Period</w:t>
      </w:r>
      <w:r>
        <w:rPr>
          <w:rFonts w:ascii="Times New Roman" w:cs="Times New Roman" w:eastAsia="Times New Roman" w:hAnsi="Times New Roman"/>
          <w:sz w:val="18"/>
          <w:szCs w:val="18"/>
          <w:color w:val="auto"/>
        </w:rPr>
        <w:t>”). A Registration Statement filed pursuant to this</w:t>
      </w:r>
    </w:p>
    <w:p>
      <w:pPr>
        <w:spacing w:after="0" w:line="2" w:lineRule="exact"/>
        <w:rPr>
          <w:rFonts w:ascii="Times New Roman" w:cs="Times New Roman" w:eastAsia="Times New Roman" w:hAnsi="Times New Roman"/>
          <w:sz w:val="18"/>
          <w:szCs w:val="18"/>
          <w:color w:val="auto"/>
        </w:rPr>
      </w:pPr>
    </w:p>
    <w:p>
      <w:pPr>
        <w:ind w:right="1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shall be on such appropriate registration form of the Commission as shall be selected by the Partnership; provided that, if the Partnership is then eligible, it shall file such Registration Statement on Form S-3. A Registration Statement when declared effective (including the 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(and, in the case of any prospectus contained in such Registration Statement, in the light of the circumstances under which a statement is made). As soon as practicable following the date that a Registration Statement becomes effective, but in any event within three (3) Business Days of such date, the Partnership shall provide the Holders with written notice of the effectiveness of a Registration Statement.</w:t>
      </w:r>
    </w:p>
    <w:p>
      <w:pPr>
        <w:spacing w:after="0" w:line="185" w:lineRule="exact"/>
        <w:rPr>
          <w:rFonts w:ascii="Times New Roman" w:cs="Times New Roman" w:eastAsia="Times New Roman" w:hAnsi="Times New Roman"/>
          <w:sz w:val="18"/>
          <w:szCs w:val="18"/>
          <w:color w:val="auto"/>
        </w:rPr>
      </w:pPr>
    </w:p>
    <w:p>
      <w:pPr>
        <w:ind w:right="120" w:firstLine="656"/>
        <w:spacing w:after="0" w:line="254" w:lineRule="auto"/>
        <w:tabs>
          <w:tab w:leader="none" w:pos="130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Failure to Become Effective</w:t>
      </w:r>
      <w:r>
        <w:rPr>
          <w:rFonts w:ascii="Times New Roman" w:cs="Times New Roman" w:eastAsia="Times New Roman" w:hAnsi="Times New Roman"/>
          <w:sz w:val="18"/>
          <w:szCs w:val="18"/>
          <w:color w:val="auto"/>
        </w:rPr>
        <w:t>. If a Registration Statement required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become or is not declared effective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Target Effective Date, then each Holder shall be entitled to a payment (with respect to each of the Holder’s Registrable Securities which are included in such Registration Statement), as liquidated damages and not as a penalty, (i) for each non-overlapping 30-day period for the first 60 days following the Target Effective Date, an amount equal to 0.25% of the Liquidated Damages Multiplier, which shall accrue daily, and (ii) for each non-overlapping 30-day period beginning on the 61st day following the Target Effective Date, an amount equal to the amount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 additional 0.25% of the Liquidated Damages Multiplier for each subsequent 60 days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0.5% for 61-120 days, 0.75% for 121-180 days, and 1.0% thereafter), which shall accrue daily, up to a maximum amount equal to 1.0% of the Liquidated Damages Multiplier per non-overlapping 30 day period (the “</w:t>
      </w:r>
      <w:r>
        <w:rPr>
          <w:rFonts w:ascii="Times New Roman" w:cs="Times New Roman" w:eastAsia="Times New Roman" w:hAnsi="Times New Roman"/>
          <w:sz w:val="18"/>
          <w:szCs w:val="18"/>
          <w:b w:val="1"/>
          <w:bCs w:val="1"/>
          <w:u w:val="single" w:color="auto"/>
          <w:color w:val="auto"/>
        </w:rPr>
        <w:t>Liquidated Damages</w:t>
      </w:r>
      <w:r>
        <w:rPr>
          <w:rFonts w:ascii="Times New Roman" w:cs="Times New Roman" w:eastAsia="Times New Roman" w:hAnsi="Times New Roman"/>
          <w:sz w:val="18"/>
          <w:szCs w:val="18"/>
          <w:color w:val="auto"/>
        </w:rPr>
        <w:t>”), until such time as such Registration Statement is declared or becomes effective or there are no longer any Registrable Securities outstanding. The Liquidated Damages shall be payable within 10 Business Days after the end of each such 30 day period in immediately available funds to the account or accounts specified by the applicable Holders. Any amount of Liquidated Damages shall be prorated for any period of less than 30 days accruing during any period for which a Holder is entitled to Liquidated Damages hereunder.</w:t>
      </w:r>
    </w:p>
    <w:p>
      <w:pPr>
        <w:spacing w:after="0" w:line="183" w:lineRule="exact"/>
        <w:rPr>
          <w:rFonts w:ascii="Times New Roman" w:cs="Times New Roman" w:eastAsia="Times New Roman" w:hAnsi="Times New Roman"/>
          <w:sz w:val="18"/>
          <w:szCs w:val="18"/>
          <w:color w:val="auto"/>
        </w:rPr>
      </w:pPr>
    </w:p>
    <w:p>
      <w:pPr>
        <w:ind w:right="40" w:firstLine="656"/>
        <w:spacing w:after="0" w:line="286" w:lineRule="auto"/>
        <w:tabs>
          <w:tab w:leader="none" w:pos="1307"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Liquidated Damages</w:t>
      </w:r>
      <w:r>
        <w:rPr>
          <w:rFonts w:ascii="Times New Roman" w:cs="Times New Roman" w:eastAsia="Times New Roman" w:hAnsi="Times New Roman"/>
          <w:sz w:val="18"/>
          <w:szCs w:val="18"/>
          <w:color w:val="auto"/>
        </w:rPr>
        <w:t>. If the Partnership is unable to cause a Registration Statement to become effective on or before the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Effective Date, then the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Partnership may request a waiver of the Liquidated Damages, which may be granted by the consent of the Holders of 75% of the outstanding Registrable Securities that have been included on such Registration Statement, in their sole discretion, and which such waiver shall apply to all the Holders of Registrable Securities included on such Registration Statement.</w:t>
      </w:r>
    </w:p>
    <w:p>
      <w:pPr>
        <w:spacing w:after="0" w:line="172" w:lineRule="exact"/>
        <w:rPr>
          <w:sz w:val="20"/>
          <w:szCs w:val="20"/>
          <w:color w:val="auto"/>
        </w:rPr>
      </w:pPr>
    </w:p>
    <w:p>
      <w:pPr>
        <w:ind w:firstLine="656"/>
        <w:spacing w:after="0" w:line="253" w:lineRule="auto"/>
        <w:tabs>
          <w:tab w:leader="none" w:pos="1304"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Delay Rights</w:t>
      </w:r>
      <w:r>
        <w:rPr>
          <w:rFonts w:ascii="Times New Roman" w:cs="Times New Roman" w:eastAsia="Times New Roman" w:hAnsi="Times New Roman"/>
          <w:sz w:val="18"/>
          <w:szCs w:val="18"/>
          <w:color w:val="auto"/>
        </w:rPr>
        <w:t>. Notwithstanding anything to the contrary contained herein, the Partnership may, upon written notice to any Selling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whose Registrable Securities are included in a Registration Statement, suspend such Selling Holder’s use of any prospectus which is a part of such Registration Statement (in which event the Selling Holder shall suspend sales of the Registrable Securities pursuant to such Registration Statement) if (i) the Partnership is pursuing an acquisition, merger, reorganization, disposition or other similar transaction and the Partnership determines in good faith that the Partnership’s ability to pursue or consummate such a transaction would be materially and adversely affected by any required disclosure of such transaction in such Registration Statement or (ii) the Partnership has experienced some other material non-public event, the disclosure of which at such time, in the good faith judgment of the Partnership, would materially and adversely affect the Partnership;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in no event shall the Selling Holders be suspended from selling Registrable Securities pursuant to such Registration Statement for a period that exceeds an aggregate of sixty (60) days in any 180-day period or ninety (90) days in any 365-day period. Upon disclosure of such information or the termination of the condition described above, the Partnership shall provide prompt notice to the Selling Holders whose Registrable Securities are included in such Registration Statement, and shall promptly terminate any suspension of sales it has put into effect and shall take such other actions necessary or appropriate to permit registered sales of Registrable Securities as contemplated in this Agreement.</w:t>
      </w:r>
    </w:p>
    <w:p>
      <w:pPr>
        <w:spacing w:after="0" w:line="19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b w:val="1"/>
          <w:bCs w:val="1"/>
          <w:u w:val="single" w:color="auto"/>
          <w:color w:val="auto"/>
        </w:rPr>
        <w:t>Piggyback Registration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656"/>
        <w:spacing w:after="0" w:line="256" w:lineRule="auto"/>
        <w:tabs>
          <w:tab w:leader="none" w:pos="1294"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Participation</w:t>
      </w:r>
      <w:r>
        <w:rPr>
          <w:rFonts w:ascii="Times New Roman" w:cs="Times New Roman" w:eastAsia="Times New Roman" w:hAnsi="Times New Roman"/>
          <w:sz w:val="18"/>
          <w:szCs w:val="18"/>
          <w:color w:val="auto"/>
        </w:rPr>
        <w:t>. If at any time the Partnership proposes to file (i) a Registration Statement (other than a Registration Statement contemplated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on behalf of any other Persons who have or have been granted registration rights (the “</w:t>
      </w:r>
      <w:r>
        <w:rPr>
          <w:rFonts w:ascii="Times New Roman" w:cs="Times New Roman" w:eastAsia="Times New Roman" w:hAnsi="Times New Roman"/>
          <w:sz w:val="18"/>
          <w:szCs w:val="18"/>
          <w:b w:val="1"/>
          <w:bCs w:val="1"/>
          <w:u w:val="single" w:color="auto"/>
          <w:color w:val="auto"/>
        </w:rPr>
        <w:t>Other Holders</w:t>
      </w:r>
      <w:r>
        <w:rPr>
          <w:rFonts w:ascii="Times New Roman" w:cs="Times New Roman" w:eastAsia="Times New Roman" w:hAnsi="Times New Roman"/>
          <w:sz w:val="18"/>
          <w:szCs w:val="18"/>
          <w:color w:val="auto"/>
        </w:rPr>
        <w:t xml:space="preserve">”) or (ii) following the Series A Conversion Date, a prospectus supplement relating to the sale of Common Units by any Other Holders to an effective “automatic” registration statement, so long as the Partnership is a WKSI at such time or, whether or not the Partnership is a WKSI, so long as the Registrable Securities were previously included in the underlying shelf Registration Statement or are included on an effective Registration Statement, or in any case in which Holders may participate in such offering without the filing of a post-effective amendment, in each case, for the sale of Common Units by Other Holders in an Underwritten Offering (including an Underwritten Offering undertaken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then the Partnership shall give not less than three Business Days’ notice</w:t>
      </w:r>
    </w:p>
    <w:p>
      <w:pPr>
        <w:sectPr>
          <w:pgSz w:w="11900" w:h="16908" w:orient="portrait"/>
          <w:cols w:equalWidth="0" w:num="1">
            <w:col w:w="11420"/>
          </w:cols>
          <w:pgMar w:left="240" w:top="117" w:right="239" w:bottom="0" w:gutter="0" w:footer="0" w:header="0"/>
        </w:sectPr>
      </w:pPr>
    </w:p>
    <w:bookmarkStart w:id="76" w:name="page77"/>
    <w:bookmarkEnd w:id="76"/>
    <w:p>
      <w:pPr>
        <w:spacing w:after="0" w:line="67"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(including, but not limited to, notification by electronic mail) (the “</w:t>
      </w:r>
      <w:r>
        <w:rPr>
          <w:rFonts w:ascii="Times New Roman" w:cs="Times New Roman" w:eastAsia="Times New Roman" w:hAnsi="Times New Roman"/>
          <w:sz w:val="18"/>
          <w:szCs w:val="18"/>
          <w:b w:val="1"/>
          <w:bCs w:val="1"/>
          <w:u w:val="single" w:color="auto"/>
          <w:color w:val="auto"/>
        </w:rPr>
        <w:t>Piggyback Notice</w:t>
      </w:r>
      <w:r>
        <w:rPr>
          <w:rFonts w:ascii="Times New Roman" w:cs="Times New Roman" w:eastAsia="Times New Roman" w:hAnsi="Times New Roman"/>
          <w:sz w:val="18"/>
          <w:szCs w:val="18"/>
          <w:color w:val="auto"/>
        </w:rPr>
        <w:t>”) of such proposed Underwritten Offering to each Holder (together with its Affiliates) owning more than $100 million of Common Units, calculated on the basis of the Purchased Unit Price, and such Piggyback Notice shall offer such Holder the opportunity to include in such Underwritten Offering for Other Holders such number of Registrable Securities (the “</w:t>
      </w:r>
      <w:r>
        <w:rPr>
          <w:rFonts w:ascii="Times New Roman" w:cs="Times New Roman" w:eastAsia="Times New Roman" w:hAnsi="Times New Roman"/>
          <w:sz w:val="18"/>
          <w:szCs w:val="18"/>
          <w:b w:val="1"/>
          <w:bCs w:val="1"/>
          <w:u w:val="single" w:color="auto"/>
          <w:color w:val="auto"/>
        </w:rPr>
        <w:t>Included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Registrable Securities</w:t>
      </w:r>
      <w:r>
        <w:rPr>
          <w:rFonts w:ascii="Times New Roman" w:cs="Times New Roman" w:eastAsia="Times New Roman" w:hAnsi="Times New Roman"/>
          <w:sz w:val="18"/>
          <w:szCs w:val="18"/>
          <w:color w:val="auto"/>
        </w:rPr>
        <w:t>”) as such Holder may request in writing (a “</w:t>
      </w:r>
      <w:r>
        <w:rPr>
          <w:rFonts w:ascii="Times New Roman" w:cs="Times New Roman" w:eastAsia="Times New Roman" w:hAnsi="Times New Roman"/>
          <w:sz w:val="18"/>
          <w:szCs w:val="18"/>
          <w:b w:val="1"/>
          <w:bCs w:val="1"/>
          <w:u w:val="single" w:color="auto"/>
          <w:color w:val="auto"/>
        </w:rPr>
        <w:t>Piggyback Registration</w:t>
      </w:r>
      <w:r>
        <w:rPr>
          <w:rFonts w:ascii="Times New Roman" w:cs="Times New Roman" w:eastAsia="Times New Roman" w:hAnsi="Times New Roman"/>
          <w:sz w:val="18"/>
          <w:szCs w:val="18"/>
          <w:color w:val="auto"/>
        </w:rPr>
        <w: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however, that the Partnership shall not be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offer such opportunity (A) to such Holders if the Holders, together with their Affiliates, do not offer a minimum of $50 million of Registrable Securities, in the aggregate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(determined by multiplying the number of Registrable Securities owned by the average of the closing price on the NYSE for the Common Units for the ten trading days preceding the date of such notice), or (B) to such Holders if and to the extent that the Partnership has been advised by the Managing Underwriter that the inclusion of Registrable Securities for sale for the benefit of such Holders will have an adverse effect on the price, timing or distribution of the Common Units in such Underwritten Offering, then the amount of Registrable Securities to be offered for the accounts of Holders shall be determined based on the provisions of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Each Piggyback Notice shall be provided to Holders on a Business Day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Each such Holder will have two Business Days (or one Business Day in connection with any overnight or bought Underwritten Offering) after such Piggyback Notice has been delivered to request in writing the inclusion of Registrable Securities in the Underwritten Offering for Other Holders. If no request for inclusion from a Holder is received within the specified time, such Holder shall have no further right to participate in such Underwritten Offering. If, at any time after giving written notice of its intention to undertake an Underwritten Offering for Other Holders and prior to the closing of such Underwritten Offering, the Partnership shall determine for any reason not to undertake or to delay such Underwritten Offering, the Partnership may, at its election, give written notice of such determination to the Selling Holders and, (1) in the case of a determination not to undertake such Underwritten Offering, shall be relieved of its obligation to sell any Included Registrable Securities in connection with such terminated Underwritten Offering for Other Holders, and (2) in the case of a determination to delay such Underwritten Offering, shall be permitted to delay offering any Included Registrable Securities for the same period as the delay in the Underwritten Offering for Other Holders. Any Selling Holder shall have the right to withdraw such Selling Holder’s request for inclusion of such Selling Holder’s Registrable Securities in such Underwritten Offering by giving written notice to the Partnership of such withdrawal at least one Business Day prior to the time of pricing of such Underwritten Offering. Any Holder may deliver written notice (a “</w:t>
      </w:r>
      <w:r>
        <w:rPr>
          <w:rFonts w:ascii="Times New Roman" w:cs="Times New Roman" w:eastAsia="Times New Roman" w:hAnsi="Times New Roman"/>
          <w:sz w:val="18"/>
          <w:szCs w:val="18"/>
          <w:b w:val="1"/>
          <w:bCs w:val="1"/>
          <w:u w:val="single" w:color="auto"/>
          <w:color w:val="auto"/>
        </w:rPr>
        <w:t>Piggyback Opt-Out Notice</w:t>
      </w:r>
      <w:r>
        <w:rPr>
          <w:rFonts w:ascii="Times New Roman" w:cs="Times New Roman" w:eastAsia="Times New Roman" w:hAnsi="Times New Roman"/>
          <w:sz w:val="18"/>
          <w:szCs w:val="18"/>
          <w:color w:val="auto"/>
        </w:rPr>
        <w:t>”) to the Partnership requesting that such Holder not receive notice from the Partnership of any proposed Underwritten Offering for Other Holders;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such Holder may later revoke any such Piggyback Opt-Out Notice in writing. Following receipt of a Piggyback Opt-Out Notice from a Holder (unless subsequently revoked), the Partnership shall not be required to deliver any notice to such Holder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and such Holder shall no longer be entitled to participate in Underwritten Offerings for Other Holders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unless such Piggyback Opt-Out Notice is revoked by such Holder.</w:t>
      </w:r>
    </w:p>
    <w:p>
      <w:pPr>
        <w:spacing w:after="0" w:line="187" w:lineRule="exact"/>
        <w:rPr>
          <w:sz w:val="20"/>
          <w:szCs w:val="20"/>
          <w:color w:val="auto"/>
        </w:rPr>
      </w:pPr>
    </w:p>
    <w:p>
      <w:pPr>
        <w:ind w:right="100" w:firstLine="656"/>
        <w:spacing w:after="0" w:line="255" w:lineRule="auto"/>
        <w:tabs>
          <w:tab w:leader="none" w:pos="1304"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Priority of Piggyback Registration</w:t>
      </w:r>
      <w:r>
        <w:rPr>
          <w:rFonts w:ascii="Times New Roman" w:cs="Times New Roman" w:eastAsia="Times New Roman" w:hAnsi="Times New Roman"/>
          <w:sz w:val="18"/>
          <w:szCs w:val="18"/>
          <w:color w:val="auto"/>
        </w:rPr>
        <w:t>. If the Managing Underwriter or Underwriters of any proposed Underwritten Offering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Holders advise the Partnership that the total amount of Registrable Securities that the Selling Holders and any Other Holders intend to include in such offering exceeds the number that can be sold in such offering without being likely to have an adverse effect on the price, timing or distribution of the Common Units offered or the market for the Common Units, then the Common Units to be included in such Underwritten Offering shall include the number of Registrable Securities that such Managing Underwriter or Underwriters advise the Partnership can be sold without having such adverse effect, with such number to be allocated pro rata among the Selling Holders and the Other Holders who have requested such Underwritten Offering or participation in the Piggyback Registration (based, for each such Selling Holder or Other Holder, on the percentage derived by dividing (A) the number of Common Units proposed to be sold by such Selling Holder or such</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Other Holder in such offering by (B) the aggregate number of Common Units proposed to be sold by all Selling Holders and all Other Holders in the Piggyback Registration).</w:t>
      </w:r>
    </w:p>
    <w:p>
      <w:pPr>
        <w:spacing w:after="0" w:line="158"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2.03</w:t>
      </w:r>
      <w:r>
        <w:rPr>
          <w:sz w:val="20"/>
          <w:szCs w:val="20"/>
          <w:color w:val="auto"/>
        </w:rPr>
        <w:tab/>
      </w:r>
      <w:r>
        <w:rPr>
          <w:rFonts w:ascii="Times New Roman" w:cs="Times New Roman" w:eastAsia="Times New Roman" w:hAnsi="Times New Roman"/>
          <w:sz w:val="17"/>
          <w:szCs w:val="17"/>
          <w:b w:val="1"/>
          <w:bCs w:val="1"/>
          <w:u w:val="single" w:color="auto"/>
          <w:color w:val="auto"/>
        </w:rPr>
        <w:t>Underwritten Offering</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656"/>
        <w:spacing w:after="0" w:line="252" w:lineRule="auto"/>
        <w:tabs>
          <w:tab w:leader="none" w:pos="129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S-3 Registration</w:t>
      </w:r>
      <w:r>
        <w:rPr>
          <w:rFonts w:ascii="Times New Roman" w:cs="Times New Roman" w:eastAsia="Times New Roman" w:hAnsi="Times New Roman"/>
          <w:sz w:val="18"/>
          <w:szCs w:val="18"/>
          <w:color w:val="auto"/>
        </w:rPr>
        <w:t>. In the event that any of (i) EnCap Investments L.P. and its Affiliates (which, for purposes of this Section 2.03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EnCap Flatrock Midstream Fund III, L.P.), (ii) The Energy Minerals Group and its Affiliates or (iii) Kayne Anderson Capital Advisors and its Affiliates (which, for purposes of this Section 2.03 includes FR KA Plains Holdings LLC) elect to dispose of Registrable Securities under a Registration Statement pursuant to an Underwritten Offering and reasonably expect gross proceeds of at least $150 million from such Underwritten Offering (together with any Registrable Securities to be disposed of by a Selling Holder who has elected to participate in such Underwritten Offering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the Partnership shall, at the request of such Selling Holder(s), enter into an underwriting agreement in a form as is customary in Underwritten Offerings of securities by the Partnership with the Managing Underwriter or Underwriters selected by the Partnership, which shall include, among other provisions, indemnities to the effect and to the extent provided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and shall take all such other reasonable actions as are requested by the Managing Underwriter in order to expedite or facilitate the disposition of such Registrable Securities;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shall have no obligation to facilitate or participate in, including entering into any underwriting agreement, more than three (3) Underwritten Offerings requested by each of (i) EnCap Investments L.P. and its Affiliates (which, for purposes of this Section 2.03 includes EnCap Flatrock Midstream Fund III, L.P.), (ii) The Energy Minerals Group and its Affiliates and (iii) Kayne Anderson Capital Advisors and its Affiliates (which, for purposes of this Section 2.03 includes FR KA Plains Holdings LLC); provided, further, that if the Partnership is conducting or actively pursuing a securities offering with anticipated offering proceeds of at least $150 million (other than in connection with any at-the-market offering or similar continuous offering program), then the Partnership may suspend such Selling Holder’s right to require the Partnership to conduct an Underwritten Offering on such Selling Holder’s behalf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provided, however, that the Partnership may only suspend such Selling Holder’s right to require the Partnership to conduct an Underwritten Offering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once in any six month period.</w:t>
      </w:r>
    </w:p>
    <w:p>
      <w:pPr>
        <w:spacing w:after="0" w:line="194" w:lineRule="exact"/>
        <w:rPr>
          <w:rFonts w:ascii="Times New Roman" w:cs="Times New Roman" w:eastAsia="Times New Roman" w:hAnsi="Times New Roman"/>
          <w:sz w:val="18"/>
          <w:szCs w:val="18"/>
          <w:color w:val="auto"/>
        </w:rPr>
      </w:pPr>
    </w:p>
    <w:p>
      <w:pPr>
        <w:ind w:right="40" w:firstLine="656"/>
        <w:spacing w:after="0" w:line="255" w:lineRule="auto"/>
        <w:tabs>
          <w:tab w:leader="none" w:pos="130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General Procedures</w:t>
      </w:r>
      <w:r>
        <w:rPr>
          <w:rFonts w:ascii="Times New Roman" w:cs="Times New Roman" w:eastAsia="Times New Roman" w:hAnsi="Times New Roman"/>
          <w:sz w:val="18"/>
          <w:szCs w:val="18"/>
          <w:color w:val="auto"/>
        </w:rPr>
        <w:t>. In connection with any Underwritten Offering contemplated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the underwriting agreement into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which each Selling Holder and the Partnership shall enter shall contain such representations, covenants, indemnities (subject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other rights and obligations as are customary in Underwritten Offerings of securities by the Partnership. No Selling Holder shall be required to make any representations or warranties to or agreements with the Partnership or the underwriters other than representations, warranties or agreements regarding such Selling Holder’s authority to enter into such underwriting agreement and to sell, and its ownership of, the securities being registered on its behalf, its intended method of distribution and any other representation required by law. If any Selling Holder disapproves of the terms of an Underwritten Offering contemplated by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such Selling Holder may elect to withdraw therefrom by notice to the Partnership and the Managing Underwriter;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such withdrawal must be made at least one Business Day prior to the time of pricing of such Underwritten Offering to be effective. No</w:t>
      </w:r>
    </w:p>
    <w:p>
      <w:pPr>
        <w:sectPr>
          <w:pgSz w:w="11900" w:h="16906" w:orient="portrait"/>
          <w:cols w:equalWidth="0" w:num="1">
            <w:col w:w="11380"/>
          </w:cols>
          <w:pgMar w:left="240" w:top="117" w:right="279" w:bottom="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withdrawal or abandonment shall affect the Partnership’s obligation to pay Registration Expenses.</w:t>
      </w:r>
    </w:p>
    <w:p>
      <w:pPr>
        <w:spacing w:after="0" w:line="22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2.04</w:t>
      </w:r>
      <w:r>
        <w:rPr>
          <w:sz w:val="20"/>
          <w:szCs w:val="20"/>
          <w:color w:val="auto"/>
        </w:rPr>
        <w:tab/>
      </w:r>
      <w:r>
        <w:rPr>
          <w:rFonts w:ascii="Times New Roman" w:cs="Times New Roman" w:eastAsia="Times New Roman" w:hAnsi="Times New Roman"/>
          <w:sz w:val="18"/>
          <w:szCs w:val="18"/>
          <w:b w:val="1"/>
          <w:bCs w:val="1"/>
          <w:u w:val="single" w:color="auto"/>
          <w:color w:val="auto"/>
        </w:rPr>
        <w:t>Further Obligations</w:t>
      </w:r>
      <w:r>
        <w:rPr>
          <w:rFonts w:ascii="Times New Roman" w:cs="Times New Roman" w:eastAsia="Times New Roman" w:hAnsi="Times New Roman"/>
          <w:sz w:val="18"/>
          <w:szCs w:val="18"/>
          <w:color w:val="auto"/>
        </w:rPr>
        <w:t>. In connection with its obligations under this</w:t>
      </w:r>
      <w:r>
        <w:rPr>
          <w:rFonts w:ascii="Times New Roman" w:cs="Times New Roman" w:eastAsia="Times New Roman" w:hAnsi="Times New Roman"/>
          <w:sz w:val="18"/>
          <w:szCs w:val="18"/>
          <w:b w:val="1"/>
          <w:bCs w:val="1"/>
          <w:u w:val="single" w:color="auto"/>
          <w:color w:val="auto"/>
        </w:rPr>
        <w:t xml:space="preserve">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the Partnership will:</w:t>
      </w:r>
    </w:p>
    <w:p>
      <w:pPr>
        <w:spacing w:after="0" w:line="229" w:lineRule="exact"/>
        <w:rPr>
          <w:sz w:val="20"/>
          <w:szCs w:val="20"/>
          <w:color w:val="auto"/>
        </w:rPr>
      </w:pPr>
    </w:p>
    <w:p>
      <w:pPr>
        <w:ind w:right="80" w:firstLine="656"/>
        <w:spacing w:after="0" w:line="266" w:lineRule="auto"/>
        <w:tabs>
          <w:tab w:leader="none" w:pos="129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and file with the Commission such amendments and supplements to a Registration Statement and the prospectus used in connection therewith as may be necessary to keep such Registration Statement effective for the Effectiveness Period and as may be necessary to comply with the provisions of the Securities Act with respect to the disposition of all Registrable Securities covered by such Registration Statement;</w:t>
      </w:r>
    </w:p>
    <w:p>
      <w:pPr>
        <w:spacing w:after="0" w:line="176" w:lineRule="exact"/>
        <w:rPr>
          <w:rFonts w:ascii="Times New Roman" w:cs="Times New Roman" w:eastAsia="Times New Roman" w:hAnsi="Times New Roman"/>
          <w:sz w:val="18"/>
          <w:szCs w:val="18"/>
          <w:color w:val="auto"/>
        </w:rPr>
      </w:pPr>
    </w:p>
    <w:p>
      <w:pPr>
        <w:jc w:val="both"/>
        <w:ind w:right="200" w:firstLine="656"/>
        <w:spacing w:after="0" w:line="261" w:lineRule="auto"/>
        <w:tabs>
          <w:tab w:leader="none" w:pos="130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prospectus supplement will be used in connection with the marketing of an Underwritten Offering under a Registration Statement and the Managing Underwriter at any time shall notify the Partnership in writing that, in the sole judgment of such Managing Underwriter, inclusion of detailed information to be used in such prospectus supplement is of material importance to the success of such Underwritten Offering, the Partnership shall use its commercially reasonable efforts to include such information in such prospectus supplement;</w:t>
      </w:r>
    </w:p>
    <w:p>
      <w:pPr>
        <w:spacing w:after="0" w:line="180" w:lineRule="exact"/>
        <w:rPr>
          <w:rFonts w:ascii="Times New Roman" w:cs="Times New Roman" w:eastAsia="Times New Roman" w:hAnsi="Times New Roman"/>
          <w:sz w:val="18"/>
          <w:szCs w:val="18"/>
          <w:color w:val="auto"/>
        </w:rPr>
      </w:pPr>
    </w:p>
    <w:p>
      <w:pPr>
        <w:ind w:firstLine="656"/>
        <w:spacing w:after="0" w:line="254" w:lineRule="auto"/>
        <w:tabs>
          <w:tab w:leader="none" w:pos="130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each Selling Holder (i) as far in advance as reasonably practicable before filing a Registration Statement or any other registration statement contemplated by this Agreement or any supplement or amendment thereto, upon request, copies of reasonably complete drafts of all such documents proposed to be filed (including exhibits and each document incorporated by reference therein to the extent then required by the rules and regulations of the Commission), and provide each such Selling Holder the opportunity to object to any information pertaining to such Selling Holder and its plan of distribution that is contained therein and, to the extent timely received, make the corrections reasonably requested by such Selling Holder with respect to such information prior to filing such Registration Statement or such other registration statement and the prospectus included therein or any supplement or amendment thereto, and (ii) such number of copies of such Registration Statement or such other registration statement and the prospectus included therein and any supplements and amendments thereto as such Persons may reasonably request in order to facilitate the public sale or other disposition of the Registrable Securities covered by such Registration Statement or other registration statement;</w:t>
      </w:r>
    </w:p>
    <w:p>
      <w:pPr>
        <w:spacing w:after="0" w:line="189" w:lineRule="exact"/>
        <w:rPr>
          <w:rFonts w:ascii="Times New Roman" w:cs="Times New Roman" w:eastAsia="Times New Roman" w:hAnsi="Times New Roman"/>
          <w:sz w:val="18"/>
          <w:szCs w:val="18"/>
          <w:color w:val="auto"/>
        </w:rPr>
      </w:pPr>
    </w:p>
    <w:p>
      <w:pPr>
        <w:ind w:right="120" w:firstLine="656"/>
        <w:spacing w:after="0" w:line="258" w:lineRule="auto"/>
        <w:tabs>
          <w:tab w:leader="none" w:pos="130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use its commercially reasonable efforts to promptly register or qualify the Registrable Securities covered by any Registration Statement or any other registration statement contemplated by this Agreement under the securities or blue sky laws of such jurisdictions as the Selling Holders or, in the case of an Underwritten Offering, the Managing Underwriter, shall reasonably request;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will not be required to qualify generally to transact business in any jurisdiction where it is not then required to so qualify or to take any action that would subject it to general service of process in any such jurisdiction where it is not then so subject;</w:t>
      </w:r>
    </w:p>
    <w:p>
      <w:pPr>
        <w:spacing w:after="0" w:line="183" w:lineRule="exact"/>
        <w:rPr>
          <w:rFonts w:ascii="Times New Roman" w:cs="Times New Roman" w:eastAsia="Times New Roman" w:hAnsi="Times New Roman"/>
          <w:sz w:val="18"/>
          <w:szCs w:val="18"/>
          <w:color w:val="auto"/>
        </w:rPr>
      </w:pPr>
    </w:p>
    <w:p>
      <w:pPr>
        <w:ind w:right="320" w:firstLine="656"/>
        <w:spacing w:after="0" w:line="282" w:lineRule="auto"/>
        <w:tabs>
          <w:tab w:leader="none" w:pos="130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Selling Holder, at any time when a prospectus relating thereto is required to be delivered by any of them under the Securities Act, of (i) the filing of a Registration Statement or any other registration statement contemplated by this Agreement 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any prospectus or prospectus supplement to be used in connection therewith, or any amendment or supplement thereto, and, with respect to a Registration Statement or any other registration statement or any post-effective amendment thereto, when the same has become effective; and (ii) the receipt of any written comments from the Commission with respect to any filing referred to in clause (i) and any written request by the Commission for amendments or supplements to any such Registration Statement or any other registration statement or any prospectus or prospectus supplement thereto;</w:t>
      </w:r>
    </w:p>
    <w:p>
      <w:pPr>
        <w:spacing w:after="0" w:line="180" w:lineRule="exact"/>
        <w:rPr>
          <w:sz w:val="20"/>
          <w:szCs w:val="20"/>
          <w:color w:val="auto"/>
        </w:rPr>
      </w:pPr>
    </w:p>
    <w:p>
      <w:pPr>
        <w:ind w:firstLine="656"/>
        <w:spacing w:after="0" w:line="253" w:lineRule="auto"/>
        <w:tabs>
          <w:tab w:leader="none" w:pos="1301"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notify each Selling Holder, at any time when a prospectus relating thereto is required to be delivered by any of them under the Securities Act, of (i) the happening of any event as a result of which the prospectus or prospectus supplement contained in a Registration Statement or any other registration statement contemplated by this Agreement, as then in effect, includes an untrue statement of a material fact or omits to state any material fact required to be stated therein or necessary to make the statements therein not misleading (in the case of any prospectus contained therein, in the light of the circumstances under which a statement is made); (ii) the issuance or express threat of issuance by the Commission of any stop order suspending the effectiveness of a Registration Statement or any other registration statement contemplated by this Agreement, or the initiation of any proceedings for that purpose; or (iii) the receipt by the Partnership of any notification with respect to the suspension of the qualification of any Registrable Securities for sale under the applicable securities or blue sky laws of any jurisdiction. Following the provision of such notice, the Partnership agrees to, as promptly as practicable, amend or supplement the prospectus or prospectus supplement or take other appropriate action so that the prospectus or prospectus supplement does not include an untrue statement of a material fact or omit to state a material fact required to be stated therein or necessary to make the statements therein not misleading in the light of the circumstances then existing and to take such other action as is reasonably necessary to remove a stop order, suspension, threat thereof or proceedings related thereto;</w:t>
      </w:r>
    </w:p>
    <w:p>
      <w:pPr>
        <w:spacing w:after="0" w:line="190" w:lineRule="exact"/>
        <w:rPr>
          <w:rFonts w:ascii="Times New Roman" w:cs="Times New Roman" w:eastAsia="Times New Roman" w:hAnsi="Times New Roman"/>
          <w:sz w:val="18"/>
          <w:szCs w:val="18"/>
          <w:color w:val="auto"/>
        </w:rPr>
      </w:pPr>
    </w:p>
    <w:p>
      <w:pPr>
        <w:ind w:right="40" w:firstLine="656"/>
        <w:spacing w:after="0" w:line="266" w:lineRule="auto"/>
        <w:tabs>
          <w:tab w:leader="none" w:pos="1317"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and subject to appropriate confidentiality obligations, furnish to each Selling Holder copies of any and all transmittal letters or other correspondence with the Commission or any other governmental agency or self-regulatory body or other body having jurisdiction (including any domestic or foreign securities exchange) relating to such offering of Registrable Securities;</w:t>
      </w:r>
    </w:p>
    <w:p>
      <w:pPr>
        <w:spacing w:after="0" w:line="176" w:lineRule="exact"/>
        <w:rPr>
          <w:rFonts w:ascii="Times New Roman" w:cs="Times New Roman" w:eastAsia="Times New Roman" w:hAnsi="Times New Roman"/>
          <w:sz w:val="18"/>
          <w:szCs w:val="18"/>
          <w:color w:val="auto"/>
        </w:rPr>
      </w:pPr>
    </w:p>
    <w:p>
      <w:pPr>
        <w:ind w:firstLine="656"/>
        <w:spacing w:after="0" w:line="255" w:lineRule="auto"/>
        <w:tabs>
          <w:tab w:leader="none" w:pos="1304"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Underwritten Offering, furnish, or use its reasonable efforts to cause to be furnished, upon request, (i) an opinion of counsel for the Partnership addressed to the underwriters, dated the date of the closing under the applicable underwriting agreement and (ii) a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addressed to the underwriters, dated the pricing date of such Underwritten Offering and a letter of like kind dated the date of the closing under the applicable underwriting agreement, in each case, signed by the independent public accountants who have certified the Partnership’s financial statements included or incorporated by reference into the applicable registration statement, and each of the opinion and the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shall be in customary form and covering substantially the same matters with respect to such registration statement (and the prospectus and any prospectus supplement) as have been customarily covered in opinions of issuer’s counsel and in accountants’ letters delivered to the underwriters in Underwritten Offerings of securities by the Partnership and such other matters as such underwriters may reasonably request;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252" w:gutter="0" w:footer="0" w:header="0"/>
        </w:sectPr>
      </w:pPr>
    </w:p>
    <w:bookmarkStart w:id="78" w:name="page79"/>
    <w:bookmarkEnd w:id="78"/>
    <w:p>
      <w:pPr>
        <w:ind w:left="1320" w:hanging="664"/>
        <w:spacing w:after="0"/>
        <w:tabs>
          <w:tab w:leader="none" w:pos="13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w:t>
      </w:r>
    </w:p>
    <w:p>
      <w:pPr>
        <w:spacing w:after="0" w:line="225" w:lineRule="exact"/>
        <w:rPr>
          <w:rFonts w:ascii="Times New Roman" w:cs="Times New Roman" w:eastAsia="Times New Roman" w:hAnsi="Times New Roman"/>
          <w:sz w:val="18"/>
          <w:szCs w:val="18"/>
          <w:color w:val="auto"/>
        </w:rPr>
      </w:pPr>
    </w:p>
    <w:p>
      <w:pPr>
        <w:ind w:right="140" w:firstLine="656"/>
        <w:spacing w:after="0" w:line="261" w:lineRule="auto"/>
        <w:tabs>
          <w:tab w:leader="none" w:pos="13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available to the appropriate representatives of the Managing Underwriter during normal business hours access to such information and Partnership personnel as is reasonable and customary to enable such parties to establish a due diligence defense under the Securities Act;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need not disclose any non-public information to any such representative unless and until such representative has entered into a confidentiality agreement with the Partnership;</w:t>
      </w:r>
    </w:p>
    <w:p>
      <w:pPr>
        <w:spacing w:after="0" w:line="180" w:lineRule="exact"/>
        <w:rPr>
          <w:rFonts w:ascii="Times New Roman" w:cs="Times New Roman" w:eastAsia="Times New Roman" w:hAnsi="Times New Roman"/>
          <w:sz w:val="18"/>
          <w:szCs w:val="18"/>
          <w:color w:val="auto"/>
        </w:rPr>
      </w:pPr>
    </w:p>
    <w:p>
      <w:pPr>
        <w:ind w:right="600" w:firstLine="656"/>
        <w:spacing w:after="0" w:line="282" w:lineRule="auto"/>
        <w:tabs>
          <w:tab w:leader="none" w:pos="13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Registrable Securities registered pursuant to this Agreement to be listed on each securities exchange or nationally recognized quotation system on which similar securities issued by the Partnership are then listed;</w:t>
      </w:r>
    </w:p>
    <w:p>
      <w:pPr>
        <w:spacing w:after="0" w:line="161" w:lineRule="exact"/>
        <w:rPr>
          <w:rFonts w:ascii="Times New Roman" w:cs="Times New Roman" w:eastAsia="Times New Roman" w:hAnsi="Times New Roman"/>
          <w:sz w:val="18"/>
          <w:szCs w:val="18"/>
          <w:color w:val="auto"/>
        </w:rPr>
      </w:pPr>
    </w:p>
    <w:p>
      <w:pPr>
        <w:jc w:val="both"/>
        <w:ind w:right="500" w:firstLine="656"/>
        <w:spacing w:after="0" w:line="266" w:lineRule="auto"/>
        <w:tabs>
          <w:tab w:leader="none" w:pos="1318"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Registrable Securities to be registered with or approved by such other governmental agencies or authorities as may be necessary by virtue of the business and operations of the Partnership to enable the Selling Holders to consummate the disposition of such Registrable Securities;</w:t>
      </w:r>
    </w:p>
    <w:p>
      <w:pPr>
        <w:spacing w:after="0" w:line="176" w:lineRule="exact"/>
        <w:rPr>
          <w:rFonts w:ascii="Times New Roman" w:cs="Times New Roman" w:eastAsia="Times New Roman" w:hAnsi="Times New Roman"/>
          <w:sz w:val="18"/>
          <w:szCs w:val="18"/>
          <w:color w:val="auto"/>
        </w:rPr>
      </w:pPr>
    </w:p>
    <w:p>
      <w:pPr>
        <w:ind w:right="160" w:firstLine="656"/>
        <w:spacing w:after="0" w:line="282" w:lineRule="auto"/>
        <w:tabs>
          <w:tab w:leader="none" w:pos="13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covered by any Registration Statement not later than the Effective Date of such Registration Statement;</w:t>
      </w:r>
    </w:p>
    <w:p>
      <w:pPr>
        <w:spacing w:after="0" w:line="161" w:lineRule="exact"/>
        <w:rPr>
          <w:rFonts w:ascii="Times New Roman" w:cs="Times New Roman" w:eastAsia="Times New Roman" w:hAnsi="Times New Roman"/>
          <w:sz w:val="18"/>
          <w:szCs w:val="18"/>
          <w:color w:val="auto"/>
        </w:rPr>
      </w:pPr>
    </w:p>
    <w:p>
      <w:pPr>
        <w:ind w:right="120" w:firstLine="656"/>
        <w:spacing w:after="0" w:line="261" w:lineRule="auto"/>
        <w:tabs>
          <w:tab w:leader="none" w:pos="13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customary agreements and take such other actions as are reasonably requested by the Selling Holders or the underwriters, if any, in order to expedite or facilitate the disposition of Registrable Securities (including making appropriate officers of GP LLC available to participate in customary marketing activities); provided, however, that the officers of GP LLC shall not be required to dedicate an unreasonably burdensome amount of time in connection with any roadshow and related marketing activities for any Underwritten Offering;</w:t>
      </w:r>
    </w:p>
    <w:p>
      <w:pPr>
        <w:spacing w:after="0" w:line="180" w:lineRule="exact"/>
        <w:rPr>
          <w:rFonts w:ascii="Times New Roman" w:cs="Times New Roman" w:eastAsia="Times New Roman" w:hAnsi="Times New Roman"/>
          <w:sz w:val="18"/>
          <w:szCs w:val="18"/>
          <w:color w:val="auto"/>
        </w:rPr>
      </w:pPr>
    </w:p>
    <w:p>
      <w:pPr>
        <w:ind w:right="280" w:firstLine="656"/>
        <w:spacing w:after="0" w:line="258" w:lineRule="auto"/>
        <w:tabs>
          <w:tab w:leader="none" w:pos="13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requested by a Selling Holder, (i) incorporate in a prospectus supplement or post-effective amendment such information as such Selling Holder reasonably requests to be included therein relating to the sale and distribution of Registrable Securities, including information with respect to the number of Registrable Securities being offered or sold, the purchase price being paid therefor and any other terms of the offering of the Registrable Securities to be sold in such offering; and (ii) make all required filings of such prospectus supplement or post-effective amendment after being notified of the matters to be incorporated in such prospectus supplement or post-effective amendment;</w:t>
      </w:r>
    </w:p>
    <w:p>
      <w:pPr>
        <w:spacing w:after="0" w:line="183" w:lineRule="exact"/>
        <w:rPr>
          <w:rFonts w:ascii="Times New Roman" w:cs="Times New Roman" w:eastAsia="Times New Roman" w:hAnsi="Times New Roman"/>
          <w:sz w:val="18"/>
          <w:szCs w:val="18"/>
          <w:color w:val="auto"/>
        </w:rPr>
      </w:pPr>
    </w:p>
    <w:p>
      <w:pPr>
        <w:ind w:right="160" w:firstLine="656"/>
        <w:spacing w:after="0" w:line="266" w:lineRule="auto"/>
        <w:tabs>
          <w:tab w:leader="none" w:pos="13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reasonably required by the Partnership’s transfer agent, the Partnership shall promptly deliver any authorizations, certificates and directions required by the transfer agent which authorize and direct the transfer agent to transfer such Registrable Securities without legend upon sale by the Holder of such Registrable Securities under the Registration Statement; and</w:t>
      </w:r>
    </w:p>
    <w:p>
      <w:pPr>
        <w:spacing w:after="0" w:line="172" w:lineRule="exact"/>
        <w:rPr>
          <w:rFonts w:ascii="Times New Roman" w:cs="Times New Roman" w:eastAsia="Times New Roman" w:hAnsi="Times New Roman"/>
          <w:sz w:val="18"/>
          <w:szCs w:val="18"/>
          <w:color w:val="auto"/>
        </w:rPr>
      </w:pPr>
    </w:p>
    <w:p>
      <w:pPr>
        <w:ind w:right="120" w:firstLine="656"/>
        <w:spacing w:after="0" w:line="268" w:lineRule="auto"/>
        <w:tabs>
          <w:tab w:leader="none" w:pos="13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could reasonably be deemed to be an “</w:t>
      </w:r>
      <w:r>
        <w:rPr>
          <w:rFonts w:ascii="Times New Roman" w:cs="Times New Roman" w:eastAsia="Times New Roman" w:hAnsi="Times New Roman"/>
          <w:sz w:val="18"/>
          <w:szCs w:val="18"/>
          <w:b w:val="1"/>
          <w:bCs w:val="1"/>
          <w:u w:val="single" w:color="auto"/>
          <w:color w:val="auto"/>
        </w:rPr>
        <w:t>underwriter,</w:t>
      </w:r>
      <w:r>
        <w:rPr>
          <w:rFonts w:ascii="Times New Roman" w:cs="Times New Roman" w:eastAsia="Times New Roman" w:hAnsi="Times New Roman"/>
          <w:sz w:val="18"/>
          <w:szCs w:val="18"/>
          <w:color w:val="auto"/>
        </w:rPr>
        <w:t>” as defined in Section 2(a)(11) of the Securities Act, in connection with the Registration Statement and any amendment or supplement thereof (a “</w:t>
      </w:r>
      <w:r>
        <w:rPr>
          <w:rFonts w:ascii="Times New Roman" w:cs="Times New Roman" w:eastAsia="Times New Roman" w:hAnsi="Times New Roman"/>
          <w:sz w:val="18"/>
          <w:szCs w:val="18"/>
          <w:b w:val="1"/>
          <w:bCs w:val="1"/>
          <w:u w:val="single" w:color="auto"/>
          <w:color w:val="auto"/>
        </w:rPr>
        <w:t>Holder Underwriter Registration Statement</w:t>
      </w:r>
      <w:r>
        <w:rPr>
          <w:rFonts w:ascii="Times New Roman" w:cs="Times New Roman" w:eastAsia="Times New Roman" w:hAnsi="Times New Roman"/>
          <w:sz w:val="18"/>
          <w:szCs w:val="18"/>
          <w:color w:val="auto"/>
        </w:rPr>
        <w:t>”), then the Partnership will reasonably cooperate with such Holder in allowing such Holder to conduct</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customary “</w:t>
      </w:r>
      <w:r>
        <w:rPr>
          <w:rFonts w:ascii="Times New Roman" w:cs="Times New Roman" w:eastAsia="Times New Roman" w:hAnsi="Times New Roman"/>
          <w:sz w:val="18"/>
          <w:szCs w:val="18"/>
          <w:b w:val="1"/>
          <w:bCs w:val="1"/>
          <w:u w:val="single" w:color="auto"/>
          <w:color w:val="auto"/>
        </w:rPr>
        <w:t>underwriter’s due diligence</w:t>
      </w:r>
      <w:r>
        <w:rPr>
          <w:rFonts w:ascii="Times New Roman" w:cs="Times New Roman" w:eastAsia="Times New Roman" w:hAnsi="Times New Roman"/>
          <w:sz w:val="18"/>
          <w:szCs w:val="18"/>
          <w:color w:val="auto"/>
        </w:rPr>
        <w:t>” with respect to the Partnership and satisfy its obligations in respect thereof. In addition, at any Holder’s request, the Partnership will furnish to such Holder, on the date of the effectiveness of the Holder Underwriter Registration Statement and thereafter from time to time on such dates as such Holder may reasonably request (provided that such request shall not be more frequently than on an annual basis unless such Holder is offering Registrable Securities pursuant to a Holder Underwriter Registration Statement), (i) a “</w:t>
      </w:r>
      <w:r>
        <w:rPr>
          <w:rFonts w:ascii="Times New Roman" w:cs="Times New Roman" w:eastAsia="Times New Roman" w:hAnsi="Times New Roman"/>
          <w:sz w:val="18"/>
          <w:szCs w:val="18"/>
          <w:b w:val="1"/>
          <w:bCs w:val="1"/>
          <w:u w:val="single" w:color="auto"/>
          <w:color w:val="auto"/>
        </w:rPr>
        <w:t>comfort</w:t>
      </w:r>
      <w:r>
        <w:rPr>
          <w:rFonts w:ascii="Times New Roman" w:cs="Times New Roman" w:eastAsia="Times New Roman" w:hAnsi="Times New Roman"/>
          <w:sz w:val="18"/>
          <w:szCs w:val="18"/>
          <w:color w:val="auto"/>
        </w:rPr>
        <w:t>” letter, dated such date, from the Partnership’s independent certified public accountants in form and substance as has been customarily given by independent certified public accountants to underwriters in Underwritten Public Offerings of securities by the Partnership, addressed to such Holder, (ii) an opinion, dated as of such date, of counsel representing the Partnership for purposes of the Holder Underwriter Registration Statement, in form, scope and substance as has been customarily given in Underwritten Public Offerings of securities by the Partnership, including standard “</w:t>
      </w:r>
      <w:r>
        <w:rPr>
          <w:rFonts w:ascii="Times New Roman" w:cs="Times New Roman" w:eastAsia="Times New Roman" w:hAnsi="Times New Roman"/>
          <w:sz w:val="18"/>
          <w:szCs w:val="18"/>
          <w:b w:val="1"/>
          <w:bCs w:val="1"/>
          <w:u w:val="single" w:color="auto"/>
          <w:color w:val="auto"/>
        </w:rPr>
        <w:t>10b-5</w:t>
      </w:r>
      <w:r>
        <w:rPr>
          <w:rFonts w:ascii="Times New Roman" w:cs="Times New Roman" w:eastAsia="Times New Roman" w:hAnsi="Times New Roman"/>
          <w:sz w:val="18"/>
          <w:szCs w:val="18"/>
          <w:color w:val="auto"/>
        </w:rPr>
        <w:t>” negative assurance for such offerings, addressed to such Holder and (iii) a standard officer’s certificate from the chief executive officer or chief financial officer, or other officers serving such functions, of GP LLC addressed to the Holder, as has been customarily given by such officers in Underwritten Public Offerings of securities by the Partnership. The Partnership will also use its reasonable efforts to provide legal counsel to such Holder with an opportunity to review and comment upon any such Holder Underwriter Registration Statement, and any amendments and supplements thereto, prior to its filing with the Commission.</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Partnership will not name a Holder as an underwriter (as defined in Section 2(a)</w:t>
      </w:r>
    </w:p>
    <w:p>
      <w:pPr>
        <w:spacing w:after="0" w:line="27" w:lineRule="exact"/>
        <w:rPr>
          <w:sz w:val="20"/>
          <w:szCs w:val="20"/>
          <w:color w:val="auto"/>
        </w:rPr>
      </w:pPr>
    </w:p>
    <w:p>
      <w:pPr>
        <w:ind w:right="60" w:firstLine="8"/>
        <w:spacing w:after="0" w:line="252" w:lineRule="auto"/>
        <w:tabs>
          <w:tab w:leader="none" w:pos="338"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Securities Act) in any Registration Statement or Holder Underwriter Registration Statement, as applicable, without such Holder’s consent. If the staff of the Commission requires the Partnership to name any Holder as an underwriter (as defined in Section 2(a)(11) of the Securities Act), and such Holder does not consent thereto, then such Holder’s Registrable Securities shall not be included on the applicable Registration Statement and the Partnership shall have no further obligations hereunder with respect to Registrable Securities held by such Holder, unless such Holder has not had an opportunity to conduct customary underwriter’s due diligence as set forth in </w:t>
      </w:r>
      <w:r>
        <w:rPr>
          <w:rFonts w:ascii="Times New Roman" w:cs="Times New Roman" w:eastAsia="Times New Roman" w:hAnsi="Times New Roman"/>
          <w:sz w:val="18"/>
          <w:szCs w:val="18"/>
          <w:u w:val="single" w:color="auto"/>
          <w:color w:val="auto"/>
        </w:rPr>
        <w:t>subsection (q)</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with respect to the Partnership at the time such Holder’s consent is sought.</w:t>
      </w:r>
    </w:p>
    <w:p>
      <w:pPr>
        <w:spacing w:after="0" w:line="190"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Each Selling Holder, upon receipt of notice from the Partnership of the happening of any event of the kind described in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shall forthwith discontinue offers and sales of the Registrable Securities by means of a prospectus or prospectus supplement until such Selling Holder’s receipt of the copies of the supplemented or amended prospectus contemplated by </w:t>
      </w:r>
      <w:r>
        <w:rPr>
          <w:rFonts w:ascii="Times New Roman" w:cs="Times New Roman" w:eastAsia="Times New Roman" w:hAnsi="Times New Roman"/>
          <w:sz w:val="18"/>
          <w:szCs w:val="18"/>
          <w:u w:val="single" w:color="auto"/>
          <w:color w:val="auto"/>
        </w:rPr>
        <w:t>subsection (f)</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or until it is advised in writing by the Partnership that the use of the prospectus may be resumed and has received copies of any additional or supplemental filings incorporated by reference in the prospectus, and, if so directed by the Partnership, such Selling Holder will, or will request the Managing Underwriter or Managing Underwriters, if any, to deliver to the Partnership (at the Partnership’s expense) all copies in their possession or control, other than permanent file copies then in such Selling Holder’s possession, of the prospectus covering such Registrable Securities current at the time of receipt of such notice.</w:t>
      </w:r>
    </w:p>
    <w:p>
      <w:pPr>
        <w:spacing w:after="0" w:line="185" w:lineRule="exact"/>
        <w:rPr>
          <w:sz w:val="20"/>
          <w:szCs w:val="20"/>
          <w:color w:val="auto"/>
        </w:rPr>
      </w:pPr>
    </w:p>
    <w:p>
      <w:pPr>
        <w:ind w:right="8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b w:val="1"/>
          <w:bCs w:val="1"/>
          <w:u w:val="single" w:color="auto"/>
          <w:color w:val="auto"/>
        </w:rPr>
        <w:t>Cooperation by Holders</w:t>
      </w:r>
      <w:r>
        <w:rPr>
          <w:rFonts w:ascii="Times New Roman" w:cs="Times New Roman" w:eastAsia="Times New Roman" w:hAnsi="Times New Roman"/>
          <w:sz w:val="18"/>
          <w:szCs w:val="18"/>
          <w:color w:val="auto"/>
        </w:rPr>
        <w:t>. The Partnership shall have no obligation to include Registrable Securities of a Holder in a Registration Statement or in an Underwritten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04" w:gutter="0" w:footer="0" w:header="0"/>
        </w:sectPr>
      </w:pPr>
    </w:p>
    <w:bookmarkStart w:id="79" w:name="page80"/>
    <w:bookmarkEnd w:id="79"/>
    <w:p>
      <w:pPr>
        <w:spacing w:after="0" w:line="6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Offering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who has failed to timely furnish such information that the Partnership determines, after consultation with its counsel, is reasonably required in order for any registration statement or prospectus supplement, as applicable, to comply with the Securities Act.</w:t>
      </w:r>
    </w:p>
    <w:p>
      <w:pPr>
        <w:spacing w:after="0" w:line="158"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b w:val="1"/>
          <w:bCs w:val="1"/>
          <w:u w:val="single" w:color="auto"/>
          <w:color w:val="auto"/>
        </w:rPr>
        <w:t>Restrictions on Public Sale by Holders of Registrable Securities</w:t>
      </w:r>
      <w:r>
        <w:rPr>
          <w:rFonts w:ascii="Times New Roman" w:cs="Times New Roman" w:eastAsia="Times New Roman" w:hAnsi="Times New Roman"/>
          <w:sz w:val="18"/>
          <w:szCs w:val="18"/>
          <w:color w:val="auto"/>
        </w:rPr>
        <w:t>. Each Holder of Registrable Securities participating in an Underwriting Offering included in a Registration Statement agrees to enter into a customary letter agreement with underwriters providing that such Holder will not effect any public sale or distribution of Registrable Securities during the forty-five (45) calendar day period beginning on the date of a prospectus or prospectus supplement filed with the Commission with respect to the pricing of such Underwritten Offering;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 the duration of the foregoing restrictions shall be no longer than the duration of the shortest restriction generally imposed by the underwriters on the Partnership or the officers, directors or any other Affiliate of the Partnership on whom a restriction is imposed and (ii) the restrictions set forth in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shall not apply to any Registrable Securities that are included in such Underwritten Offering by such Holder.</w:t>
      </w:r>
    </w:p>
    <w:p>
      <w:pPr>
        <w:spacing w:after="0" w:line="18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2.07</w:t>
      </w:r>
      <w:r>
        <w:rPr>
          <w:sz w:val="20"/>
          <w:szCs w:val="20"/>
          <w:color w:val="auto"/>
        </w:rPr>
        <w:tab/>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6"/>
        <w:spacing w:after="0" w:line="255" w:lineRule="auto"/>
        <w:tabs>
          <w:tab w:leader="none" w:pos="129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Definitions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Registration Expenses</w:t>
      </w:r>
      <w:r>
        <w:rPr>
          <w:rFonts w:ascii="Times New Roman" w:cs="Times New Roman" w:eastAsia="Times New Roman" w:hAnsi="Times New Roman"/>
          <w:sz w:val="18"/>
          <w:szCs w:val="18"/>
          <w:color w:val="auto"/>
        </w:rPr>
        <w:t>” shall not include Selling Expenses but otherwise means all expenses incident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Partnership’s performance under or compliance with this Agreement to effect the registration of Registrable Securities on a Registration Statement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 Piggyback Registration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or an Underwritten Offering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and the disposition of such Registrable Securities, including, without limitation, all registration, filing, securities exchange listing and NYSE fees, all registration, filing, qualification and other fees and expenses of complying with securities or blue sky laws, fees of the Financial Industry Regulatory Authority, fees of transfer agents and registrars, all word processing, duplicating and printing expenses, and the fees and disbursements of counsel and independent public accountants for the Partnership, including the expenses of any special audits or “cold comfort” letters required by or incident to such performance and compliance. “</w:t>
      </w:r>
      <w:r>
        <w:rPr>
          <w:rFonts w:ascii="Times New Roman" w:cs="Times New Roman" w:eastAsia="Times New Roman" w:hAnsi="Times New Roman"/>
          <w:sz w:val="18"/>
          <w:szCs w:val="18"/>
          <w:b w:val="1"/>
          <w:bCs w:val="1"/>
          <w:u w:val="single" w:color="auto"/>
          <w:color w:val="auto"/>
        </w:rPr>
        <w:t>Selling Expenses</w:t>
      </w:r>
      <w:r>
        <w:rPr>
          <w:rFonts w:ascii="Times New Roman" w:cs="Times New Roman" w:eastAsia="Times New Roman" w:hAnsi="Times New Roman"/>
          <w:sz w:val="18"/>
          <w:szCs w:val="18"/>
          <w:color w:val="auto"/>
        </w:rPr>
        <w:t>” means all underwriting fees, discounts and selling commissions and transfer taxes allocable to the sale of the Registrable Securities, plus any costs or expenses related to any roadshows conducted in connection with the marketing of any Underwritten Offering.</w:t>
      </w:r>
    </w:p>
    <w:p>
      <w:pPr>
        <w:spacing w:after="0" w:line="181" w:lineRule="exact"/>
        <w:rPr>
          <w:rFonts w:ascii="Times New Roman" w:cs="Times New Roman" w:eastAsia="Times New Roman" w:hAnsi="Times New Roman"/>
          <w:sz w:val="18"/>
          <w:szCs w:val="18"/>
          <w:color w:val="auto"/>
        </w:rPr>
      </w:pPr>
    </w:p>
    <w:p>
      <w:pPr>
        <w:jc w:val="both"/>
        <w:ind w:right="100" w:firstLine="656"/>
        <w:spacing w:after="0" w:line="259" w:lineRule="auto"/>
        <w:tabs>
          <w:tab w:leader="none" w:pos="130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The Partnership will pay all reasonable Registration Expenses, as determined in good faith, in connection with a shelf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a Piggyback Registration or an Underwritten Offering, whether or not any sale is made pursuant to such shelf Registration, Piggyback Registration or Underwritten Offering. Each Selling Holder shall pay its pro rata share of all Selling Expenses in connection with any sale of its Registrable Securities hereunder. In addition, except as otherwise provided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Partnership shall not be responsible for professional fees (including legal fees) incurred by Holders in connection with the exercise of such Holders’ rights hereunder.</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18"/>
          <w:szCs w:val="18"/>
          <w:color w:val="auto"/>
        </w:rPr>
        <w:t>Section 2.08</w:t>
      </w:r>
      <w:r>
        <w:rPr>
          <w:sz w:val="20"/>
          <w:szCs w:val="20"/>
          <w:color w:val="auto"/>
        </w:rPr>
        <w:tab/>
      </w: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656"/>
        <w:spacing w:after="0" w:line="252" w:lineRule="auto"/>
        <w:tabs>
          <w:tab w:leader="none" w:pos="129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By the Partnership</w:t>
      </w:r>
      <w:r>
        <w:rPr>
          <w:rFonts w:ascii="Times New Roman" w:cs="Times New Roman" w:eastAsia="Times New Roman" w:hAnsi="Times New Roman"/>
          <w:sz w:val="18"/>
          <w:szCs w:val="18"/>
          <w:color w:val="auto"/>
        </w:rPr>
        <w:t>. In the event of a registration of any Registrable Securities under the Securities Act pursuant to this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will indemnify and hold harmless each Selling Holder thereunder, its directors, officers, managers, partners, employees and agents and each Person, if any, who controls such Selling Holder within the meaning of the Securities Act and the Exchange Act, and its directors, officers, managers, partners, employees or agents (collectively, the “</w:t>
      </w:r>
      <w:r>
        <w:rPr>
          <w:rFonts w:ascii="Times New Roman" w:cs="Times New Roman" w:eastAsia="Times New Roman" w:hAnsi="Times New Roman"/>
          <w:sz w:val="18"/>
          <w:szCs w:val="18"/>
          <w:b w:val="1"/>
          <w:bCs w:val="1"/>
          <w:u w:val="single" w:color="auto"/>
          <w:color w:val="auto"/>
        </w:rPr>
        <w:t>Selling Holder Indemnified Persons</w:t>
      </w:r>
      <w:r>
        <w:rPr>
          <w:rFonts w:ascii="Times New Roman" w:cs="Times New Roman" w:eastAsia="Times New Roman" w:hAnsi="Times New Roman"/>
          <w:sz w:val="18"/>
          <w:szCs w:val="18"/>
          <w:color w:val="auto"/>
        </w:rPr>
        <w:t>”), against any losses, claims, damages, expenses or liabilities (including reasonable attorneys’ fees and expenses) (collectively, “</w:t>
      </w:r>
      <w:r>
        <w:rPr>
          <w:rFonts w:ascii="Times New Roman" w:cs="Times New Roman" w:eastAsia="Times New Roman" w:hAnsi="Times New Roman"/>
          <w:sz w:val="18"/>
          <w:szCs w:val="18"/>
          <w:b w:val="1"/>
          <w:bCs w:val="1"/>
          <w:u w:val="single" w:color="auto"/>
          <w:color w:val="auto"/>
        </w:rPr>
        <w:t>Losses</w:t>
      </w:r>
      <w:r>
        <w:rPr>
          <w:rFonts w:ascii="Times New Roman" w:cs="Times New Roman" w:eastAsia="Times New Roman" w:hAnsi="Times New Roman"/>
          <w:sz w:val="18"/>
          <w:szCs w:val="18"/>
          <w:color w:val="auto"/>
        </w:rPr>
        <w:t>”), joint or several, to which such Selling Holder Indemnified Person may become subject under the Securities Act, the Exchange Act or otherwise, insofar as such Losses (or actions or proceedings, whether commenced or threatened, in respect thereof) arise out of or are based upon any untrue statement or alleged untrue statement of any material fact (in the case of any prospectus, in light of the circumstances under which such statement is made) contained in (which, for the avoidance of doubt, includes documents incorporated by reference in) the applicable Registration Statement or other registration statement contemplated by this Agreement, any preliminary prospectus, prospectus supplement or final prospectus contained therein, or any amendment or supplement thereof, or any free writing prospectus relating thereto, or arise out of or are based upon the omission or alleged omission to state therein a material fact required to be stated therein or necessary to make the statements therein (in the case of a prospectus, in light of the circumstances under which they were made) not misleading, and will reimburse each such Selling Holder Indemnified Person for any legal or other expenses reasonably incurred by them in connection with investigating, defending or resolving any such Loss or actions or proceedings;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Partnership will not be liable in any such case if and to the extent that any such Loss arises out of or is based upon an untrue statement or alleged untrue statement or omission or alleged omission so made in conformity with information furnished by such Selling Holder Indemnified Person in writing specifically for use in the applicable Registration Statement or other registration statement, or prospectus supplement, as applicable. Such indemnity shall remain in full force and effect regardless of any investigation made by or on behalf of such Selling Holder Indemnified Person, and shall survive the transfer of such securities by such Selling Holder.</w:t>
      </w:r>
    </w:p>
    <w:p>
      <w:pPr>
        <w:spacing w:after="0" w:line="193" w:lineRule="exact"/>
        <w:rPr>
          <w:rFonts w:ascii="Times New Roman" w:cs="Times New Roman" w:eastAsia="Times New Roman" w:hAnsi="Times New Roman"/>
          <w:sz w:val="18"/>
          <w:szCs w:val="18"/>
          <w:color w:val="auto"/>
        </w:rPr>
      </w:pPr>
    </w:p>
    <w:p>
      <w:pPr>
        <w:ind w:right="40" w:firstLine="656"/>
        <w:spacing w:after="0" w:line="255" w:lineRule="auto"/>
        <w:tabs>
          <w:tab w:leader="none" w:pos="1304"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By Each Selling Holder</w:t>
      </w:r>
      <w:r>
        <w:rPr>
          <w:rFonts w:ascii="Times New Roman" w:cs="Times New Roman" w:eastAsia="Times New Roman" w:hAnsi="Times New Roman"/>
          <w:sz w:val="18"/>
          <w:szCs w:val="18"/>
          <w:color w:val="auto"/>
        </w:rPr>
        <w:t>. Each Selling Holder agrees severally and not jointly to indemnify and hold harmless the Partnership,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 the GP Entities, GP LLC’s directors, officers, employees and agents and each Person, who, directly or indirectly, controls the Partnership within the meaning of the Securities Act or of the Exchange Act to the same extent as the foregoing indemnity from the Partnership to the Selling Holders, but only with respect to information regarding such Selling Holder furnished in writing by or on behalf of such Selling Holder expressly for inclusion in a Registration Statement or any other registration statement contemplated by this Agreement, any preliminary prospectus, prospectus supplement or final prospectus contained therein, or any amendment or supplement thereto or any free writing prospectus relating thereto;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the liability of each Selling Holder shall not be greater in amount than the dollar amount of the proceeds (net of any Selling Expenses) received by such Selling Holder from the sale of the Registrable Securities giving rise to such indemnification.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firstLine="656"/>
        <w:spacing w:after="0" w:line="255" w:lineRule="auto"/>
        <w:tabs>
          <w:tab w:leader="none" w:pos="1307"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Promptly after receipt by an indemnified party hereunder of notice of the commencement of any action, such indemnified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if a claim in respect thereof is to be made against the indemnifying party hereunder, notify the indemnifying party in writing thereof, but the omission to so notify the indemnifying party shall not relieve it from any liability that it may have to any indemnified party other than under this </w:t>
      </w:r>
      <w:r>
        <w:rPr>
          <w:rFonts w:ascii="Times New Roman" w:cs="Times New Roman" w:eastAsia="Times New Roman" w:hAnsi="Times New Roman"/>
          <w:sz w:val="18"/>
          <w:szCs w:val="18"/>
          <w:u w:val="single" w:color="auto"/>
          <w:color w:val="auto"/>
        </w:rPr>
        <w:t>Section 2.08(c)</w:t>
      </w:r>
      <w:r>
        <w:rPr>
          <w:rFonts w:ascii="Times New Roman" w:cs="Times New Roman" w:eastAsia="Times New Roman" w:hAnsi="Times New Roman"/>
          <w:sz w:val="18"/>
          <w:szCs w:val="18"/>
          <w:color w:val="auto"/>
        </w:rPr>
        <w:t xml:space="preserve"> except to the extent that the indemnifying party is materially prejudiced by such failure. In any action brought against any indemnified party, it shall notify the indemnifying party of the commencement thereof. The indemnifying party shall be entitled to participate in and, to the extent it shall wish, to assume and undertake the defense thereof with counsel reasonably satisfactory to such indemnified party and, after notice from the indemnifying party to such indemnified party of its election so to assume and undertake the defense thereof, the indemnifying party shall not be liable to such indemnified party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for any legal expenses subsequently incurred by such indemnified party in connection with the defense thereof other than reasonable costs of</w:t>
      </w:r>
    </w:p>
    <w:p>
      <w:pPr>
        <w:sectPr>
          <w:pgSz w:w="11900" w:h="16906" w:orient="portrait"/>
          <w:cols w:equalWidth="0" w:num="1">
            <w:col w:w="11420"/>
          </w:cols>
          <w:pgMar w:left="240" w:top="337" w:right="239" w:bottom="0" w:gutter="0" w:footer="0" w:header="0"/>
        </w:sectPr>
      </w:pPr>
    </w:p>
    <w:bookmarkStart w:id="80" w:name="page81"/>
    <w:bookmarkEnd w:id="80"/>
    <w:p>
      <w:pPr>
        <w:spacing w:after="0" w:line="254" w:lineRule="auto"/>
        <w:rPr>
          <w:sz w:val="20"/>
          <w:szCs w:val="20"/>
          <w:color w:val="auto"/>
        </w:rPr>
      </w:pPr>
      <w:r>
        <w:rPr>
          <w:rFonts w:ascii="Times New Roman" w:cs="Times New Roman" w:eastAsia="Times New Roman" w:hAnsi="Times New Roman"/>
          <w:sz w:val="18"/>
          <w:szCs w:val="18"/>
          <w:color w:val="auto"/>
        </w:rPr>
        <w:t>investigation and of liaison with counsel so selected;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 if the indemnifying party has failed to assume the defense or employ counsel reasonably satisfactory to the indemnified party or (ii) if the defendants in any such action include both the indemnified party and the indemnifying party and counsel to the indemnified party shall have concluded that there may be reasonable defenses available to the indemnified party that are different from or additional to those available to the indemnifying party, or if the interests of the indemnified party reasonably may be deemed to conflict with the interests of the indemnifying party, then the indemnified party shall have the right to select a separate counsel and to assume such legal defense and otherwise to participate in the defense of such action, with the reasonable expenses and fees of such separate counsel and other reasonable expenses related to such participation to be reimbursed by the indemnifying party as incurred. Notwithstanding any other provision of this Agreement, no indemnifying party shall settle any action brought against any indemnified party with respect to which such indemnified party may be entitled to indemnification hereunder without the consent of the indemnified party, unless the settlement thereof imposes no liability or obligation on, includes a complete and unconditional release from liability of, and does not contain any admission of wrongdoing by, the indemnified party.</w:t>
      </w:r>
    </w:p>
    <w:p>
      <w:pPr>
        <w:spacing w:after="0" w:line="184" w:lineRule="exact"/>
        <w:rPr>
          <w:sz w:val="20"/>
          <w:szCs w:val="20"/>
          <w:color w:val="auto"/>
        </w:rPr>
      </w:pPr>
    </w:p>
    <w:p>
      <w:pPr>
        <w:ind w:right="40" w:firstLine="656"/>
        <w:spacing w:after="0" w:line="254" w:lineRule="auto"/>
        <w:tabs>
          <w:tab w:leader="none" w:pos="1304"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If the indemnification provided for in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held by a court or government agency of competent jurisdiction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unavailable to any indemnified party or is insufficient to hold them harmless in respect of any Losses, then each such indemnifying party, in lieu of indemnifying such indemnified party, shall contribute to the amount paid or payable by such indemnified party as a result of such Losses in such proportion as is appropriate to reflect the relative fault of the indemnifying party, on the one hand, and of the indemnified party, on the other hand, in connection with the statements or omissions that resulted in such Losses, as well as any other relevant equitable considerations;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in no event shall any Selling Holder be required to contribute an aggregate amount in excess of the dollar amount of proceeds (net of Selling Expenses) received by such Selling Holder from the sale of Registrable Securities giving rise to such indemnification. The relative fault of the indemnifying party, on the one hand, and the indemnified party, on the other, shall be determined by reference to, among other things, whether the untrue or alleged untrue statement of a material fact or the omission or alleged omission to state a material fact has been made by, or relates to, information supplied by such party, and the parties’ relative intent, knowledge, access to information and opportunity to correct or prevent such statement or omission. The parties hereto agree that it would not be just and equitable if contributions pursuant to this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paragraph were to be determined by pro rata allocation or by any other method of allocation that does not take account of the equitable considerations referred to herein. The amount paid by an indemnified party as a result of the Losses referred to in the first sentence of this paragraph shall be deemed to include any legal and other expenses reasonably incurred by such indemnified party in connection with investigating, defending or resolving any Loss that is the subject of this paragraph. No person guilty of fraudulent misrepresentation (within the meaning of Section 11(f) of the Securities Act) shall be entitled to contribution from any Person who is not guilty of such fraudulent misrepresentation.</w:t>
      </w:r>
    </w:p>
    <w:p>
      <w:pPr>
        <w:spacing w:after="0" w:line="180" w:lineRule="exact"/>
        <w:rPr>
          <w:sz w:val="20"/>
          <w:szCs w:val="20"/>
          <w:color w:val="auto"/>
        </w:rPr>
      </w:pPr>
    </w:p>
    <w:p>
      <w:pPr>
        <w:ind w:right="140" w:firstLine="656"/>
        <w:spacing w:after="0" w:line="286" w:lineRule="auto"/>
        <w:tabs>
          <w:tab w:leader="none" w:pos="1307"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Other Indemnification</w:t>
      </w:r>
      <w:r>
        <w:rPr>
          <w:rFonts w:ascii="Times New Roman" w:cs="Times New Roman" w:eastAsia="Times New Roman" w:hAnsi="Times New Roman"/>
          <w:sz w:val="18"/>
          <w:szCs w:val="18"/>
          <w:color w:val="auto"/>
        </w:rPr>
        <w:t>.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be in addition to any other rights to indemnification or contribution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indemnified party may have pursuant to law, equity, contract or otherwise.</w:t>
      </w:r>
    </w:p>
    <w:p>
      <w:pPr>
        <w:spacing w:after="0" w:line="155" w:lineRule="exact"/>
        <w:rPr>
          <w:sz w:val="20"/>
          <w:szCs w:val="20"/>
          <w:color w:val="auto"/>
        </w:rPr>
      </w:pPr>
    </w:p>
    <w:p>
      <w:pPr>
        <w:ind w:right="2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b w:val="1"/>
          <w:bCs w:val="1"/>
          <w:u w:val="single" w:color="auto"/>
          <w:color w:val="auto"/>
        </w:rPr>
        <w:t>Rule 144 Reporting</w:t>
      </w:r>
      <w:r>
        <w:rPr>
          <w:rFonts w:ascii="Times New Roman" w:cs="Times New Roman" w:eastAsia="Times New Roman" w:hAnsi="Times New Roman"/>
          <w:sz w:val="18"/>
          <w:szCs w:val="18"/>
          <w:color w:val="auto"/>
        </w:rPr>
        <w:t>. With a view to making available the benefits of certain rules and regulations of the Commission that may permit the sale of the Registrable Securities to the public without registration, the Partnership agrees to use its commercially reasonable efforts to:</w:t>
      </w:r>
    </w:p>
    <w:p>
      <w:pPr>
        <w:spacing w:after="0" w:line="159" w:lineRule="exact"/>
        <w:rPr>
          <w:sz w:val="20"/>
          <w:szCs w:val="20"/>
          <w:color w:val="auto"/>
        </w:rPr>
      </w:pPr>
    </w:p>
    <w:p>
      <w:pPr>
        <w:ind w:right="380" w:firstLine="656"/>
        <w:spacing w:after="0" w:line="282" w:lineRule="auto"/>
        <w:tabs>
          <w:tab w:leader="none" w:pos="129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public information regarding the Partnership available, as those terms are understood and defined in Rule 144 under the Securities Act (or any similar provision then in effect), at all times from and after the date hereof;</w:t>
      </w:r>
    </w:p>
    <w:p>
      <w:pPr>
        <w:spacing w:after="0" w:line="161" w:lineRule="exact"/>
        <w:rPr>
          <w:rFonts w:ascii="Times New Roman" w:cs="Times New Roman" w:eastAsia="Times New Roman" w:hAnsi="Times New Roman"/>
          <w:sz w:val="18"/>
          <w:szCs w:val="18"/>
          <w:color w:val="auto"/>
        </w:rPr>
      </w:pPr>
    </w:p>
    <w:p>
      <w:pPr>
        <w:ind w:right="260" w:firstLine="656"/>
        <w:spacing w:after="0" w:line="282" w:lineRule="auto"/>
        <w:tabs>
          <w:tab w:leader="none" w:pos="1304"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Commission in a timely manner all reports and other documents required of the Partnership under the Securities Act and the Exchange Act at all times from and after the date hereof; and</w:t>
      </w:r>
    </w:p>
    <w:p>
      <w:pPr>
        <w:spacing w:after="0" w:line="161" w:lineRule="exact"/>
        <w:rPr>
          <w:rFonts w:ascii="Times New Roman" w:cs="Times New Roman" w:eastAsia="Times New Roman" w:hAnsi="Times New Roman"/>
          <w:sz w:val="18"/>
          <w:szCs w:val="18"/>
          <w:color w:val="auto"/>
        </w:rPr>
      </w:pPr>
    </w:p>
    <w:p>
      <w:pPr>
        <w:ind w:right="180" w:firstLine="656"/>
        <w:spacing w:after="0" w:line="258" w:lineRule="auto"/>
        <w:tabs>
          <w:tab w:leader="none" w:pos="130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 Holder owns any Registrable Securities, furnish (i) to the extent accurate, forthwith upon request, a written statement of the Partnership that it has complied with the reporting requirements of Rule 144 under the Securities Act (or any similar provision then in effect) and (ii) unless otherwise available via the Commission’s EDGAR filing system, to such Holder forthwith upon request a copy of the most recent annual or quarterly report of the Partnership, and such other reports and documents so filed as such Holder may reasonably request in availing itself of any rule or regulation of the Commission allowing such Holder to sell any such securities without registration.</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b w:val="1"/>
          <w:bCs w:val="1"/>
          <w:u w:val="single" w:color="auto"/>
          <w:color w:val="auto"/>
        </w:rPr>
        <w:t>Transfer or Assignment of Registration Rights</w:t>
      </w:r>
      <w:r>
        <w:rPr>
          <w:rFonts w:ascii="Times New Roman" w:cs="Times New Roman" w:eastAsia="Times New Roman" w:hAnsi="Times New Roman"/>
          <w:sz w:val="18"/>
          <w:szCs w:val="18"/>
          <w:color w:val="auto"/>
        </w:rPr>
        <w:t xml:space="preserve">. The rights to cause the Partnership to register Registrable Securities under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may be transferred or assigned by each Holder to one or more transferees or assignees of Registrable Securities or securities convertible into Registrable Securities;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(a) unless any such transferee or assignee is an Affiliate of, and after such transfer or assignment continues to be an Affiliate of, such Holder, the amount of Registrable Securities or securities convertible into Registrable Securities, as applicable, transferred or assigned to such transferee or assignee shall represent at least $50 million of Registrable Securities on an as-converted basis (determined by multiplying the number of Registrable Securities (on an as-converted basis) owned by the average of the closing price on the NYSE for the Common Units for the ten (10) trading days preceding the date of such transfer or assignment), (b) the Partnership is given written notice prior to any said transfer or assignment, stating the name and address of each such transferee or assignee and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identifying the securities with respect to which such registration rights are being transferred or assigned and (c) each such transferee or assignee assumes in writing responsibility for its portion of the obligations of such transferring Holder under this Agreement.</w:t>
      </w:r>
    </w:p>
    <w:p>
      <w:pPr>
        <w:spacing w:after="0" w:line="158"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b w:val="1"/>
          <w:bCs w:val="1"/>
          <w:u w:val="single" w:color="auto"/>
          <w:color w:val="auto"/>
        </w:rPr>
        <w:t>Limitation on Subsequent Registration Rights</w:t>
      </w:r>
      <w:r>
        <w:rPr>
          <w:rFonts w:ascii="Times New Roman" w:cs="Times New Roman" w:eastAsia="Times New Roman" w:hAnsi="Times New Roman"/>
          <w:sz w:val="18"/>
          <w:szCs w:val="18"/>
          <w:color w:val="auto"/>
        </w:rPr>
        <w:t>. From and after the date hereof, the Partnership shall not, without the prior written consent of the Holders of a majority of the outstanding Registrable Securities or securities convertible into Registrable Securities, as applicable, enter into any agreement with any current or future holder of any securities of the Partnership that would allow such current or future holder to require the Partnership to include securities in any registration statement filed by the Partnership for Other Holders on a basis other than pari passu with, or expressly subordinate to, the piggyback rights of the Holders of Registrable Securities hereunder.</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ectPr>
          <w:pgSz w:w="11900" w:h="16838" w:orient="portrait"/>
          <w:cols w:equalWidth="0" w:num="1">
            <w:col w:w="11420"/>
          </w:cols>
          <w:pgMar w:left="240" w:top="119" w:right="239" w:bottom="0" w:gutter="0" w:footer="0" w:header="0"/>
        </w:sectPr>
      </w:pPr>
    </w:p>
    <w:bookmarkStart w:id="81" w:name="page82"/>
    <w:bookmarkEnd w:id="81"/>
    <w:p>
      <w:pPr>
        <w:spacing w:after="0" w:line="9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b w:val="1"/>
          <w:bCs w:val="1"/>
          <w:u w:val="single" w:color="auto"/>
          <w:color w:val="auto"/>
        </w:rPr>
        <w:t>Communications</w:t>
      </w:r>
      <w:r>
        <w:rPr>
          <w:rFonts w:ascii="Times New Roman" w:cs="Times New Roman" w:eastAsia="Times New Roman" w:hAnsi="Times New Roman"/>
          <w:sz w:val="18"/>
          <w:szCs w:val="18"/>
          <w:color w:val="auto"/>
        </w:rPr>
        <w:t>. All notices and demands provided for hereunder shall be in writing and shall be given by registered or certified mail, return receipt requested, telecopy, air courier guaranteeing overnight delivery, personal delivery or (in the case of any notice given by the Partnership to the Purchasers) email to the following addresses:</w:t>
      </w:r>
    </w:p>
    <w:p>
      <w:pPr>
        <w:spacing w:after="0" w:line="175" w:lineRule="exact"/>
        <w:rPr>
          <w:sz w:val="20"/>
          <w:szCs w:val="20"/>
          <w:color w:val="auto"/>
        </w:rPr>
      </w:pPr>
    </w:p>
    <w:p>
      <w:pPr>
        <w:ind w:left="1940" w:hanging="635"/>
        <w:spacing w:after="0"/>
        <w:tabs>
          <w:tab w:leader="none" w:pos="194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Purchasers, to the addresses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with a copy to (which shall not constitute notice):</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Botts L.L.P.</w:t>
      </w:r>
    </w:p>
    <w:p>
      <w:pPr>
        <w:spacing w:after="0" w:line="27" w:lineRule="exact"/>
        <w:rPr>
          <w:rFonts w:ascii="Times New Roman" w:cs="Times New Roman" w:eastAsia="Times New Roman" w:hAnsi="Times New Roman"/>
          <w:sz w:val="18"/>
          <w:szCs w:val="18"/>
          <w:color w:val="auto"/>
        </w:rPr>
      </w:pPr>
    </w:p>
    <w:p>
      <w:pPr>
        <w:ind w:left="1960" w:right="74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 Louisiana St. Houston, Texas 77002 Attention: Joshua Davidson Facsimile: (713) 229-2727</w:t>
      </w:r>
    </w:p>
    <w:p>
      <w:pPr>
        <w:spacing w:after="0" w:line="1"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joshua.davidson@bakerbotts.com</w:t>
      </w:r>
    </w:p>
    <w:p>
      <w:pPr>
        <w:spacing w:after="0" w:line="20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Partnership:</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All American Pipeline, L.P.</w:t>
      </w:r>
    </w:p>
    <w:p>
      <w:pPr>
        <w:spacing w:after="0" w:line="27" w:lineRule="exact"/>
        <w:rPr>
          <w:rFonts w:ascii="Times New Roman" w:cs="Times New Roman" w:eastAsia="Times New Roman" w:hAnsi="Times New Roman"/>
          <w:sz w:val="18"/>
          <w:szCs w:val="18"/>
          <w:color w:val="auto"/>
        </w:rPr>
      </w:pPr>
    </w:p>
    <w:p>
      <w:pPr>
        <w:ind w:left="1960" w:right="74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333 Clay Street Suite 1600 Houston, Texas 77002 Attention: Richard McGee Email: rkmcgee@paalp.com</w:t>
      </w:r>
    </w:p>
    <w:p>
      <w:pPr>
        <w:spacing w:after="0" w:line="187"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1001 Fannin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Suite 2500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77002-6760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Alan Beck</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 615-5620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abeck@velaw.com</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or to such other address as the Partnership or the Purchasers may designate to each other in writing from time to time or, if to a transferee or assignee of the Purchasers or any transferee or assignee thereof, to such transferee or assignee at the address provided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All notices and communications shall be deemed to have been duly given: at the time delivered by hand, if personally delivered; upon actual receipt if sent by certified or registered mail, return receipt requested, or regular mail, if mailed; upon actual receipt of the facsimile or email copy, if sent via facsimile or email; and upon actual receipt when delivered to an air courier guaranteeing overnight delivery.</w:t>
      </w:r>
    </w:p>
    <w:p>
      <w:pPr>
        <w:spacing w:after="0" w:line="180"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the Partnership, each of the Purchasers and their respective successors and permitted assigns, including subsequent Holders of Registrable Securities to the extent permitted herein. Except as expressly provided in this Agreement, this Agreement shall not be construed so as to confer any right or benefit upon any Person other than the parties to this Agreement and their respective successors and permitted assigns.</w:t>
      </w:r>
    </w:p>
    <w:p>
      <w:pPr>
        <w:spacing w:after="0" w:line="177"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b w:val="1"/>
          <w:bCs w:val="1"/>
          <w:u w:val="single" w:color="auto"/>
          <w:color w:val="auto"/>
        </w:rPr>
        <w:t>Assignment of Rights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neither this Agreement nor any of the rights, benefits or obligations hereunder may be assigned or transferred, by operation of law or otherwise, by any party hereto without the prior written consent of the other party.</w:t>
      </w:r>
    </w:p>
    <w:p>
      <w:pPr>
        <w:spacing w:after="0" w:line="155" w:lineRule="exact"/>
        <w:rPr>
          <w:sz w:val="20"/>
          <w:szCs w:val="20"/>
          <w:color w:val="auto"/>
        </w:rPr>
      </w:pPr>
    </w:p>
    <w:p>
      <w:pPr>
        <w:ind w:right="32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b w:val="1"/>
          <w:bCs w:val="1"/>
          <w:u w:val="single" w:color="auto"/>
          <w:color w:val="auto"/>
        </w:rPr>
        <w:t>Recapitalization, Exchanges, Etc. Affecting Units</w:t>
      </w:r>
      <w:r>
        <w:rPr>
          <w:rFonts w:ascii="Times New Roman" w:cs="Times New Roman" w:eastAsia="Times New Roman" w:hAnsi="Times New Roman"/>
          <w:sz w:val="18"/>
          <w:szCs w:val="18"/>
          <w:color w:val="auto"/>
        </w:rPr>
        <w:t>. The provisions of this Agreement shall apply to the full extent set forth herein with respect to any and all units of the Partnership or any successor or assign of the Partnership (whether by merger, consolidation, sale of assets or otherwise) that may be issued in respect of, in exchange for or in substitution of, the Registrable Securities, and shall be appropriately adjusted for combinations, unit splits, recapitalizations, pro rata distributions of units and the like occurring after the date of this Agreement.</w:t>
      </w:r>
    </w:p>
    <w:p>
      <w:pPr>
        <w:spacing w:after="0" w:line="177" w:lineRule="exact"/>
        <w:rPr>
          <w:sz w:val="20"/>
          <w:szCs w:val="20"/>
          <w:color w:val="auto"/>
        </w:rPr>
      </w:pPr>
    </w:p>
    <w:p>
      <w:pPr>
        <w:ind w:right="16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b w:val="1"/>
          <w:bCs w:val="1"/>
          <w:u w:val="single" w:color="auto"/>
          <w:color w:val="auto"/>
        </w:rPr>
        <w:t>Aggregation of Registrable Securities</w:t>
      </w:r>
      <w:r>
        <w:rPr>
          <w:rFonts w:ascii="Times New Roman" w:cs="Times New Roman" w:eastAsia="Times New Roman" w:hAnsi="Times New Roman"/>
          <w:sz w:val="18"/>
          <w:szCs w:val="18"/>
          <w:color w:val="auto"/>
        </w:rPr>
        <w:t>. All Registrable Securities held or acquired by Persons who are Affiliates of one another shall be aggregated together for the purpose of determining the availability of any rights under this Agreement.</w:t>
      </w:r>
    </w:p>
    <w:p>
      <w:pPr>
        <w:spacing w:after="0" w:line="1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color w:val="auto"/>
        </w:rPr>
        <w:t>. Damages in the event of breach of this Agreement by a party hereto may be difficult, if not impossible, to ascertain, and it is therefore agreed that each such Person, in addition to and without limiting any other remedy or right it may have, will have the right to seek an injunction or other equitable relief in any court of competent jurisdiction, enjoining any such breach, and enforcing specifically the terms and provisions hereof, and each of the parties hereto hereby waives any and all defenses it may have on the</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ground of lack of jurisdiction or competence of the court to grant such an injunction or other equitable relief. The existence of this right will not preclude any such Person from pursuing any other rights and remedies at law or in equity that such Person may have.</w:t>
      </w:r>
    </w:p>
    <w:p>
      <w:pPr>
        <w:spacing w:after="0" w:line="158" w:lineRule="exact"/>
        <w:rPr>
          <w:sz w:val="20"/>
          <w:szCs w:val="20"/>
          <w:color w:val="auto"/>
        </w:rPr>
      </w:pPr>
    </w:p>
    <w:p>
      <w:pPr>
        <w:ind w:right="340" w:firstLine="648"/>
        <w:spacing w:after="0" w:line="268"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7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b w:val="1"/>
          <w:bCs w:val="1"/>
          <w:u w:val="single" w:color="auto"/>
          <w:color w:val="auto"/>
        </w:rPr>
        <w:t>Governing Law, Submission to Jurisdiction</w:t>
      </w:r>
      <w:r>
        <w:rPr>
          <w:rFonts w:ascii="Times New Roman" w:cs="Times New Roman" w:eastAsia="Times New Roman" w:hAnsi="Times New Roman"/>
          <w:sz w:val="18"/>
          <w:szCs w:val="18"/>
          <w:color w:val="auto"/>
        </w:rPr>
        <w:t>. This Agreement, and all claims or causes of action (whether in contract or tort) that may be based upon, arise out of or relate to this Agreement or the negotiation, execution or performance of this Agreement (including any claim or cause of</w:t>
      </w:r>
    </w:p>
    <w:p>
      <w:pPr>
        <w:sectPr>
          <w:pgSz w:w="11900" w:h="16936" w:orient="portrait"/>
          <w:cols w:equalWidth="0" w:num="1">
            <w:col w:w="11420"/>
          </w:cols>
          <w:pgMar w:left="240" w:top="117" w:right="239" w:bottom="0" w:gutter="0" w:footer="0" w:header="0"/>
        </w:sectPr>
      </w:pPr>
    </w:p>
    <w:bookmarkStart w:id="82" w:name="page83"/>
    <w:bookmarkEnd w:id="82"/>
    <w:p>
      <w:pPr>
        <w:spacing w:after="0" w:line="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action based upon, arising out of or related to any representation or warranty made in or in connection with this Agreement), will be construed in accordance with and governed by the laws of the State of Delaware without regard to principles of conflicts of laws. Any action against any party relating to the foregoing shall be brought in any federal or state court of competent jurisdiction located within the State of Delaware, and the parties hereto hereby irrevocably submit to the non-exclusive jurisdiction of any federal or state court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85"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TO THIS AGREEMENT EACH HEREBY WAIVE, AND AGREE TO CAUSE THEIR AFFILIATES TO WAIVE, TO THE FULLEST EXTENT PERMITTED BY LAW, ANY RIGHT TO TRIAL BY JURY OF ANY CLAIM, DEMAND, ACTION OR CAUSE OF ACTION (A) ARISING UNDER THIS AGREEMENT OR (B) IN ANY WAY CONNECTED WITH OR RELATED OR 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spacing w:after="0" w:line="182" w:lineRule="exact"/>
        <w:rPr>
          <w:sz w:val="20"/>
          <w:szCs w:val="20"/>
          <w:color w:val="auto"/>
        </w:rPr>
      </w:pPr>
    </w:p>
    <w:p>
      <w:pPr>
        <w:ind w:right="1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color w:val="auto"/>
        </w:rPr>
        <w:t>. This Agreement, the Purchase Agreement and the other agreements and documents referred to 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or referred to herein or in the Purchase Agreement with respect to the rights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granted by the Partnership or any of its Affiliates or the Purchasers or any of their respective Affiliates set forth herein or therein. This Agreement, the Purchase Agreement and the other agreements and documents referred to herein or therein supersede all prior agreements and understandings between the parties with respect to such subject matter.</w:t>
      </w:r>
    </w:p>
    <w:p>
      <w:pPr>
        <w:spacing w:after="0" w:line="172" w:lineRule="exact"/>
        <w:rPr>
          <w:sz w:val="20"/>
          <w:szCs w:val="20"/>
          <w:color w:val="auto"/>
        </w:rPr>
      </w:pPr>
    </w:p>
    <w:p>
      <w:pPr>
        <w:ind w:right="40" w:firstLine="648"/>
        <w:spacing w:after="0" w:line="257"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This Agreement may be amended only by means of a written amendment signed by the Partnership and the Holders of a majority of the outstanding Registrable Securities or securities convertible into Registrable Securities, as applicable;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 that no such amendment shall adversely affect the rights of any Holder hereunder without the consent of such Holder. Any amendment, supplement or modification of or to any provision of this Agreement, any waiver of any provision of this Agreement, and any consent to any departure by the Partnership or any Purchaser from the terms of any provision of this Agreement shall be effective only in the specific instance and for the specific purpose for which such amendment, supplement, modification, waiver or consent has been made or given.</w:t>
      </w:r>
    </w:p>
    <w:p>
      <w:pPr>
        <w:spacing w:after="0" w:line="183"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b w:val="1"/>
          <w:bCs w:val="1"/>
          <w:u w:val="single" w:color="auto"/>
          <w:color w:val="auto"/>
        </w:rPr>
        <w:t>No Presumption</w:t>
      </w:r>
      <w:r>
        <w:rPr>
          <w:rFonts w:ascii="Times New Roman" w:cs="Times New Roman" w:eastAsia="Times New Roman" w:hAnsi="Times New Roman"/>
          <w:sz w:val="18"/>
          <w:szCs w:val="18"/>
          <w:color w:val="auto"/>
        </w:rPr>
        <w:t>. This Agreement has been reviewed and negotiated by sophisticated parties with access to legal counsel and shall not be construed against the drafter.</w:t>
      </w:r>
    </w:p>
    <w:p>
      <w:pPr>
        <w:spacing w:after="0" w:line="155"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b w:val="1"/>
          <w:bCs w:val="1"/>
          <w:u w:val="single" w:color="auto"/>
          <w:color w:val="auto"/>
        </w:rPr>
        <w:t>Obligations Limited to Parties to Agreement</w:t>
      </w:r>
      <w:r>
        <w:rPr>
          <w:rFonts w:ascii="Times New Roman" w:cs="Times New Roman" w:eastAsia="Times New Roman" w:hAnsi="Times New Roman"/>
          <w:sz w:val="18"/>
          <w:szCs w:val="18"/>
          <w:color w:val="auto"/>
        </w:rPr>
        <w:t>. Each of the parties hereto covenants, agrees and acknowledges that, other than as set forth herein, no Person other than the Purchasers, the Selling Holders, their respective permitted assignees and the Partnership shall have any obligation hereunder and that, notwithstanding that one or more of such Persons may be a corporation, partnership or limited liability company, no recourse under this Agreement or under any documents or instruments delivered in connection herewith shall be had against any former, current or future director, officer, employee, agent, general or limited partner, manager, member, stockholder or Affiliate of any of such Persons or their respective permitted assignees, or any former, current or future director, officer, employee, agent, general or limited partner, manager, member, stockholder or Affiliate of any of the foregoing, whether by the enforcement of any assessment or by any legal or equitable proceeding, or by virtue of any applicable law, it being expressly agreed and acknowledged that no personal liability whatsoever shall attach to, be imposed on or otherwise be incurred by any former, current or future director, officer, employee, agent, general or limited partner, manager, member, stockholder or Affiliate of any of such Persons or any of their respective assignees, or any former, current or future director, officer, employee, agent, general or limited partner, manager, member, stockholder or Affiliate of any of the foregoing, as such, for any obligations of such Persons or their respective permitted assignees under this Agreement or any documents or instruments delivered in connection herewith or for any claim based on, in respect of or by reason of such obligation or its creation, except, in each case, for any assignee of any Purchaser or a Selling Holder hereunder.</w:t>
      </w:r>
    </w:p>
    <w:p>
      <w:pPr>
        <w:spacing w:after="0" w:line="189"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Article, Section and Schedule references in this Agreement are references to the corresponding Article, Section or Schedule to this Agreement, unless otherwise specified. All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follows to the specific or similar items or matters immediately following it. Whenever the Partnership has an obligation under this Agreement, the expense of complying with that obligation shall be an expense of the Partnership unless otherwise specified. Any reference in this Agreement to “$” shall mean U.S. dollars. Whenever any determination, consent or approval is to be made or given by a Purchaser, such action shall be in such Purchaser’s sole discretion, unless otherwise specified in this Agreement. If any provision in this Agreement is held to be illegal, invalid, not binding or unenforceable, (a) such provision shall be fully severable and this Agreement shall be construed and enforced as if such illegal, invalid, not binding or unenforceable provision had never comprised a part of this Agreement, and the remaining provisions shall remain in full force and effect, and (b)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this Agreement, the date that is the reference date in calculating such period shall be excluded. If the last day of such period is a non-Business Day, the period in question shall end on the next succeeding Business Day. Any words imparting the singular number only shall include the plural and vice versa. The words such as “herein,” “hereinafter,” “hereof” and “hereunder” refer to this Agreement as a</w:t>
      </w:r>
    </w:p>
    <w:p>
      <w:pPr>
        <w:sectPr>
          <w:pgSz w:w="11900" w:h="16921" w:orient="portrait"/>
          <w:cols w:equalWidth="0" w:num="1">
            <w:col w:w="11400"/>
          </w:cols>
          <w:pgMar w:left="240" w:top="121" w:right="259" w:bottom="0" w:gutter="0" w:footer="0" w:header="0"/>
        </w:sectPr>
      </w:pPr>
    </w:p>
    <w:bookmarkStart w:id="83" w:name="page84"/>
    <w:bookmarkEnd w:id="83"/>
    <w:p>
      <w:pPr>
        <w:ind w:right="40"/>
        <w:spacing w:after="0" w:line="266" w:lineRule="auto"/>
        <w:rPr>
          <w:sz w:val="20"/>
          <w:szCs w:val="20"/>
          <w:color w:val="auto"/>
        </w:rPr>
      </w:pPr>
      <w:r>
        <w:rPr>
          <w:rFonts w:ascii="Times New Roman" w:cs="Times New Roman" w:eastAsia="Times New Roman" w:hAnsi="Times New Roman"/>
          <w:sz w:val="18"/>
          <w:szCs w:val="18"/>
          <w:color w:val="auto"/>
        </w:rPr>
        <w:t>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execute this Agreement, effective as of the date first above written.</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PAA GP LLC, its general partner</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Plains AAP, L.P., its sole member</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r>
      <w:tr>
        <w:trPr>
          <w:trHeight w:val="432"/>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 Swanson</w:t>
            </w:r>
          </w:p>
        </w:tc>
      </w:tr>
      <w:tr>
        <w:trPr>
          <w:trHeight w:val="191"/>
        </w:trPr>
        <w:tc>
          <w:tcPr>
            <w:tcW w:w="700" w:type="dxa"/>
            <w:vAlign w:val="bottom"/>
          </w:tcPr>
          <w:p>
            <w:pPr>
              <w:spacing w:after="0"/>
              <w:rPr>
                <w:sz w:val="16"/>
                <w:szCs w:val="16"/>
                <w:color w:val="auto"/>
              </w:rPr>
            </w:pPr>
          </w:p>
        </w:tc>
        <w:tc>
          <w:tcPr>
            <w:tcW w:w="5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Al Swanson</w:t>
            </w:r>
          </w:p>
        </w:tc>
      </w:tr>
      <w:tr>
        <w:trPr>
          <w:trHeight w:val="216"/>
        </w:trPr>
        <w:tc>
          <w:tcPr>
            <w:tcW w:w="7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Title:  Executive Vice President and Chief</w:t>
            </w:r>
          </w:p>
        </w:tc>
      </w:tr>
      <w:tr>
        <w:trPr>
          <w:trHeight w:val="234"/>
        </w:trPr>
        <w:tc>
          <w:tcPr>
            <w:tcW w:w="700" w:type="dxa"/>
            <w:vAlign w:val="bottom"/>
          </w:tcPr>
          <w:p>
            <w:pPr>
              <w:spacing w:after="0"/>
              <w:rPr>
                <w:sz w:val="20"/>
                <w:szCs w:val="20"/>
                <w:color w:val="auto"/>
              </w:rPr>
            </w:pPr>
          </w:p>
        </w:tc>
        <w:tc>
          <w:tcPr>
            <w:tcW w:w="5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Financial Officer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ENCAP ENERGY CAPITAL FUND X,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EnCap Equity Fund X GP, L.P., General</w:t>
            </w:r>
          </w:p>
        </w:tc>
      </w:tr>
      <w:tr>
        <w:trPr>
          <w:trHeight w:val="216"/>
        </w:trPr>
        <w:tc>
          <w:tcPr>
            <w:tcW w:w="480" w:type="dxa"/>
            <w:vAlign w:val="bottom"/>
          </w:tcPr>
          <w:p>
            <w:pPr>
              <w:spacing w:after="0"/>
              <w:rPr>
                <w:sz w:val="18"/>
                <w:szCs w:val="18"/>
                <w:color w:val="auto"/>
              </w:rPr>
            </w:pP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Partner of EnCap Energy Capital Fund X,</w:t>
            </w:r>
          </w:p>
        </w:tc>
      </w:tr>
      <w:tr>
        <w:trPr>
          <w:trHeight w:val="234"/>
        </w:trPr>
        <w:tc>
          <w:tcPr>
            <w:tcW w:w="480" w:type="dxa"/>
            <w:vAlign w:val="bottom"/>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L.P.</w:t>
            </w:r>
          </w:p>
        </w:tc>
        <w:tc>
          <w:tcPr>
            <w:tcW w:w="4380" w:type="dxa"/>
            <w:vAlign w:val="bottom"/>
          </w:tcPr>
          <w:p>
            <w:pPr>
              <w:spacing w:after="0"/>
              <w:rPr>
                <w:sz w:val="20"/>
                <w:szCs w:val="20"/>
                <w:color w:val="auto"/>
              </w:rPr>
            </w:pP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EnCap Investments L.P., General Partner of</w:t>
            </w:r>
          </w:p>
        </w:tc>
      </w:tr>
      <w:tr>
        <w:trPr>
          <w:trHeight w:val="234"/>
        </w:trPr>
        <w:tc>
          <w:tcPr>
            <w:tcW w:w="480" w:type="dxa"/>
            <w:vAlign w:val="bottom"/>
          </w:tcPr>
          <w:p>
            <w:pPr>
              <w:spacing w:after="0"/>
              <w:rPr>
                <w:sz w:val="20"/>
                <w:szCs w:val="20"/>
                <w:color w:val="auto"/>
              </w:rPr>
            </w:pP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EnCap Equity Fund X GP, L.P.</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EnCap Investments GP, L.L.C.,</w:t>
            </w:r>
          </w:p>
        </w:tc>
      </w:tr>
      <w:tr>
        <w:trPr>
          <w:trHeight w:val="234"/>
        </w:trPr>
        <w:tc>
          <w:tcPr>
            <w:tcW w:w="480" w:type="dxa"/>
            <w:vAlign w:val="bottom"/>
          </w:tcPr>
          <w:p>
            <w:pPr>
              <w:spacing w:after="0"/>
              <w:rPr>
                <w:sz w:val="20"/>
                <w:szCs w:val="20"/>
                <w:color w:val="auto"/>
              </w:rPr>
            </w:pP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General Partner of EnCap Investments L.P.</w:t>
            </w:r>
          </w:p>
        </w:tc>
      </w:tr>
      <w:tr>
        <w:trPr>
          <w:trHeight w:val="432"/>
        </w:trPr>
        <w:tc>
          <w:tcPr>
            <w:tcW w:w="480" w:type="dxa"/>
            <w:vAlign w:val="bottom"/>
          </w:tcPr>
          <w:p>
            <w:pPr>
              <w:spacing w:after="0"/>
              <w:rPr>
                <w:sz w:val="24"/>
                <w:szCs w:val="24"/>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 Martin Phillips</w:t>
            </w:r>
          </w:p>
        </w:tc>
      </w:tr>
      <w:tr>
        <w:trPr>
          <w:trHeight w:val="191"/>
        </w:trPr>
        <w:tc>
          <w:tcPr>
            <w:tcW w:w="480" w:type="dxa"/>
            <w:vAlign w:val="bottom"/>
          </w:tcPr>
          <w:p>
            <w:pPr>
              <w:spacing w:after="0"/>
              <w:rPr>
                <w:sz w:val="16"/>
                <w:szCs w:val="16"/>
                <w:color w:val="auto"/>
              </w:rPr>
            </w:pPr>
          </w:p>
        </w:tc>
        <w:tc>
          <w:tcPr>
            <w:tcW w:w="8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 Martin Phillips</w:t>
            </w:r>
          </w:p>
        </w:tc>
      </w:tr>
      <w:tr>
        <w:trPr>
          <w:trHeight w:val="234"/>
        </w:trPr>
        <w:tc>
          <w:tcPr>
            <w:tcW w:w="480" w:type="dxa"/>
            <w:vAlign w:val="bottom"/>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ENCAP FLATROCK MIDSTREAM FUND III, L.P.</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EnCap Flatrock Midstream Fund III GP,</w:t>
            </w:r>
          </w:p>
        </w:tc>
      </w:tr>
      <w:tr>
        <w:trPr>
          <w:trHeight w:val="216"/>
        </w:trPr>
        <w:tc>
          <w:tcPr>
            <w:tcW w:w="480" w:type="dxa"/>
            <w:vAlign w:val="bottom"/>
          </w:tcPr>
          <w:p>
            <w:pPr>
              <w:spacing w:after="0"/>
              <w:rPr>
                <w:sz w:val="18"/>
                <w:szCs w:val="18"/>
                <w:color w:val="auto"/>
              </w:rPr>
            </w:pP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L.P., General Partner of EnCap Flatrock</w:t>
            </w:r>
          </w:p>
        </w:tc>
      </w:tr>
      <w:tr>
        <w:trPr>
          <w:trHeight w:val="234"/>
        </w:trPr>
        <w:tc>
          <w:tcPr>
            <w:tcW w:w="480" w:type="dxa"/>
            <w:vAlign w:val="bottom"/>
          </w:tcPr>
          <w:p>
            <w:pPr>
              <w:spacing w:after="0"/>
              <w:rPr>
                <w:sz w:val="20"/>
                <w:szCs w:val="20"/>
                <w:color w:val="auto"/>
              </w:rPr>
            </w:pP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Midstream Fund III, L.P.</w:t>
            </w:r>
          </w:p>
        </w:tc>
      </w:tr>
      <w:tr>
        <w:trPr>
          <w:trHeight w:val="41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EnCap Flatrock Midstream Fund III GP,</w:t>
            </w:r>
          </w:p>
        </w:tc>
      </w:tr>
      <w:tr>
        <w:trPr>
          <w:trHeight w:val="216"/>
        </w:trPr>
        <w:tc>
          <w:tcPr>
            <w:tcW w:w="480" w:type="dxa"/>
            <w:vAlign w:val="bottom"/>
          </w:tcPr>
          <w:p>
            <w:pPr>
              <w:spacing w:after="0"/>
              <w:rPr>
                <w:sz w:val="18"/>
                <w:szCs w:val="18"/>
                <w:color w:val="auto"/>
              </w:rPr>
            </w:pP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LLC General Partner of EnCap Flatrock</w:t>
            </w:r>
          </w:p>
        </w:tc>
      </w:tr>
      <w:tr>
        <w:trPr>
          <w:trHeight w:val="234"/>
        </w:trPr>
        <w:tc>
          <w:tcPr>
            <w:tcW w:w="480" w:type="dxa"/>
            <w:vAlign w:val="bottom"/>
          </w:tcPr>
          <w:p>
            <w:pPr>
              <w:spacing w:after="0"/>
              <w:rPr>
                <w:sz w:val="20"/>
                <w:szCs w:val="20"/>
                <w:color w:val="auto"/>
              </w:rPr>
            </w:pPr>
          </w:p>
        </w:tc>
        <w:tc>
          <w:tcPr>
            <w:tcW w:w="52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Midstream Fund III GP, L.P.</w:t>
            </w:r>
          </w:p>
        </w:tc>
      </w:tr>
      <w:tr>
        <w:trPr>
          <w:trHeight w:val="648"/>
        </w:trPr>
        <w:tc>
          <w:tcPr>
            <w:tcW w:w="480" w:type="dxa"/>
            <w:vAlign w:val="bottom"/>
          </w:tcPr>
          <w:p>
            <w:pPr>
              <w:spacing w:after="0"/>
              <w:rPr>
                <w:sz w:val="24"/>
                <w:szCs w:val="24"/>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R. Lemmons, Jr.</w:t>
            </w:r>
          </w:p>
        </w:tc>
      </w:tr>
      <w:tr>
        <w:trPr>
          <w:trHeight w:val="191"/>
        </w:trPr>
        <w:tc>
          <w:tcPr>
            <w:tcW w:w="480" w:type="dxa"/>
            <w:vAlign w:val="bottom"/>
          </w:tcPr>
          <w:p>
            <w:pPr>
              <w:spacing w:after="0"/>
              <w:rPr>
                <w:sz w:val="16"/>
                <w:szCs w:val="16"/>
                <w:color w:val="auto"/>
              </w:rPr>
            </w:pPr>
          </w:p>
        </w:tc>
        <w:tc>
          <w:tcPr>
            <w:tcW w:w="8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R. Lemmons, Jr.</w:t>
            </w:r>
          </w:p>
        </w:tc>
      </w:tr>
      <w:tr>
        <w:trPr>
          <w:trHeight w:val="234"/>
        </w:trPr>
        <w:tc>
          <w:tcPr>
            <w:tcW w:w="480" w:type="dxa"/>
            <w:vAlign w:val="bottom"/>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EMG FUND IV PAA HOLDINGS, LLC</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 Raymond</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 Raymond</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ectPr>
          <w:pgSz w:w="11900" w:h="16838" w:orient="portrait"/>
          <w:cols w:equalWidth="0" w:num="1">
            <w:col w:w="11420"/>
          </w:cols>
          <w:pgMar w:left="240" w:top="121" w:right="239" w:bottom="0" w:gutter="0" w:footer="0" w:header="0"/>
        </w:sectPr>
      </w:pPr>
    </w:p>
    <w:bookmarkStart w:id="84" w:name="page85"/>
    <w:bookmarkEnd w:id="84"/>
    <w:p>
      <w:pPr>
        <w:ind w:left="45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 KA PLAINS HOLDINGS LLC</w:t>
      </w:r>
    </w:p>
    <w:p>
      <w:pPr>
        <w:spacing w:after="0" w:line="200" w:lineRule="exact"/>
        <w:rPr>
          <w:sz w:val="20"/>
          <w:szCs w:val="20"/>
          <w:color w:val="auto"/>
        </w:rPr>
      </w:pPr>
    </w:p>
    <w:p>
      <w:pPr>
        <w:spacing w:after="0" w:line="245"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Baker</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C. Baker</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Authorized Person</w:t>
            </w:r>
          </w:p>
        </w:tc>
      </w:tr>
    </w:tbl>
    <w:p>
      <w:pPr>
        <w:spacing w:after="0" w:line="200" w:lineRule="exact"/>
        <w:rPr>
          <w:sz w:val="20"/>
          <w:szCs w:val="20"/>
          <w:color w:val="auto"/>
        </w:rPr>
      </w:pPr>
    </w:p>
    <w:p>
      <w:pPr>
        <w:spacing w:after="0" w:line="210" w:lineRule="exact"/>
        <w:rPr>
          <w:sz w:val="20"/>
          <w:szCs w:val="20"/>
          <w:color w:val="auto"/>
        </w:rPr>
      </w:pPr>
    </w:p>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MASSACHUSETTS MUTUAL LIFE INSURANCE COMPANY</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KA Fund Advisors, LLC, as Manager</w:t>
            </w:r>
          </w:p>
        </w:tc>
      </w:tr>
      <w:tr>
        <w:trPr>
          <w:trHeight w:val="432"/>
        </w:trPr>
        <w:tc>
          <w:tcPr>
            <w:tcW w:w="46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Baker</w:t>
            </w:r>
          </w:p>
        </w:tc>
      </w:tr>
      <w:tr>
        <w:trPr>
          <w:trHeight w:val="191"/>
        </w:trPr>
        <w:tc>
          <w:tcPr>
            <w:tcW w:w="460" w:type="dxa"/>
            <w:vAlign w:val="bottom"/>
          </w:tcPr>
          <w:p>
            <w:pPr>
              <w:spacing w:after="0"/>
              <w:rPr>
                <w:sz w:val="16"/>
                <w:szCs w:val="16"/>
                <w:color w:val="auto"/>
              </w:rPr>
            </w:pPr>
          </w:p>
        </w:tc>
        <w:tc>
          <w:tcPr>
            <w:tcW w:w="86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James C. Baker</w:t>
            </w:r>
          </w:p>
        </w:tc>
      </w:tr>
      <w:tr>
        <w:trPr>
          <w:trHeight w:val="234"/>
        </w:trPr>
        <w:tc>
          <w:tcPr>
            <w:tcW w:w="46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KAYNE SELECT MIDSTREAM RECOVERY FUND, L.P.</w:t>
      </w:r>
    </w:p>
    <w:p>
      <w:pPr>
        <w:spacing w:after="0" w:line="229"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Kayne Anderson Capital Advisors, L.P.,</w:t>
            </w:r>
          </w:p>
        </w:tc>
      </w:tr>
      <w:tr>
        <w:trPr>
          <w:trHeight w:val="234"/>
        </w:trPr>
        <w:tc>
          <w:tcPr>
            <w:tcW w:w="460" w:type="dxa"/>
            <w:vAlign w:val="bottom"/>
          </w:tcPr>
          <w:p>
            <w:pPr>
              <w:spacing w:after="0"/>
              <w:rPr>
                <w:sz w:val="20"/>
                <w:szCs w:val="20"/>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its General Partner</w:t>
            </w:r>
          </w:p>
        </w:tc>
      </w:tr>
      <w:tr>
        <w:trPr>
          <w:trHeight w:val="432"/>
        </w:trPr>
        <w:tc>
          <w:tcPr>
            <w:tcW w:w="46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460" w:type="dxa"/>
            <w:vAlign w:val="bottom"/>
          </w:tcPr>
          <w:p>
            <w:pPr>
              <w:spacing w:after="0"/>
              <w:rPr>
                <w:sz w:val="16"/>
                <w:szCs w:val="16"/>
                <w:color w:val="auto"/>
              </w:rPr>
            </w:pPr>
          </w:p>
        </w:tc>
        <w:tc>
          <w:tcPr>
            <w:tcW w:w="86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46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48"/>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KAYNE ANDERSON MLP FUND, L.P.</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Kayne Anderson Capital Advisors, L.P.,</w:t>
            </w:r>
          </w:p>
        </w:tc>
      </w:tr>
      <w:tr>
        <w:trPr>
          <w:trHeight w:val="234"/>
        </w:trPr>
        <w:tc>
          <w:tcPr>
            <w:tcW w:w="460" w:type="dxa"/>
            <w:vAlign w:val="bottom"/>
          </w:tcPr>
          <w:p>
            <w:pPr>
              <w:spacing w:after="0"/>
              <w:rPr>
                <w:sz w:val="20"/>
                <w:szCs w:val="20"/>
                <w:color w:val="auto"/>
              </w:rPr>
            </w:pPr>
          </w:p>
        </w:tc>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 its General Partner</w:t>
            </w:r>
          </w:p>
        </w:tc>
      </w:tr>
      <w:tr>
        <w:trPr>
          <w:trHeight w:val="432"/>
        </w:trPr>
        <w:tc>
          <w:tcPr>
            <w:tcW w:w="46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460" w:type="dxa"/>
            <w:vAlign w:val="bottom"/>
          </w:tcPr>
          <w:p>
            <w:pPr>
              <w:spacing w:after="0"/>
              <w:rPr>
                <w:sz w:val="16"/>
                <w:szCs w:val="16"/>
                <w:color w:val="auto"/>
              </w:rPr>
            </w:pPr>
          </w:p>
        </w:tc>
        <w:tc>
          <w:tcPr>
            <w:tcW w:w="86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3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460" w:type="dxa"/>
            <w:vAlign w:val="bottom"/>
          </w:tcPr>
          <w:p>
            <w:pPr>
              <w:spacing w:after="0"/>
              <w:rPr>
                <w:sz w:val="20"/>
                <w:szCs w:val="20"/>
                <w:color w:val="auto"/>
              </w:rPr>
            </w:pPr>
          </w:p>
        </w:tc>
        <w:tc>
          <w:tcPr>
            <w:tcW w:w="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KAYNE ANDERSON MIDSTREAM</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INSTITUTIONAL FUND, L.P.</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Kayne Anderson Capital Advisors, L.P.,</w:t>
            </w:r>
          </w:p>
        </w:tc>
      </w:tr>
      <w:tr>
        <w:trPr>
          <w:trHeight w:val="234"/>
        </w:trPr>
        <w:tc>
          <w:tcPr>
            <w:tcW w:w="460" w:type="dxa"/>
            <w:vAlign w:val="bottom"/>
          </w:tcPr>
          <w:p>
            <w:pPr>
              <w:spacing w:after="0"/>
              <w:rPr>
                <w:sz w:val="20"/>
                <w:szCs w:val="20"/>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 its General Partner</w:t>
            </w:r>
          </w:p>
        </w:tc>
      </w:tr>
      <w:tr>
        <w:trPr>
          <w:trHeight w:val="432"/>
        </w:trPr>
        <w:tc>
          <w:tcPr>
            <w:tcW w:w="460" w:type="dxa"/>
            <w:vAlign w:val="bottom"/>
          </w:tcPr>
          <w:p>
            <w:pPr>
              <w:spacing w:after="0"/>
              <w:rPr>
                <w:sz w:val="24"/>
                <w:szCs w:val="24"/>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460" w:type="dxa"/>
            <w:vAlign w:val="bottom"/>
          </w:tcPr>
          <w:p>
            <w:pPr>
              <w:spacing w:after="0"/>
              <w:rPr>
                <w:sz w:val="16"/>
                <w:szCs w:val="16"/>
                <w:color w:val="auto"/>
              </w:rPr>
            </w:pPr>
          </w:p>
        </w:tc>
        <w:tc>
          <w:tcPr>
            <w:tcW w:w="8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460" w:type="dxa"/>
            <w:vAlign w:val="bottom"/>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KAYNE ANDERSON NON-TRADITIONAL</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INVESTMENTS, L.P.</w:t>
      </w:r>
    </w:p>
    <w:p>
      <w:pPr>
        <w:spacing w:after="0" w:line="207" w:lineRule="exact"/>
        <w:rPr>
          <w:sz w:val="20"/>
          <w:szCs w:val="20"/>
          <w:color w:val="auto"/>
        </w:rPr>
      </w:pPr>
    </w:p>
    <w:tbl>
      <w:tblPr>
        <w:tblLayout w:type="fixed"/>
        <w:tblInd w:w="452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Kayne Anderson Capital Advisors, L.P.,</w:t>
            </w:r>
          </w:p>
        </w:tc>
      </w:tr>
      <w:tr>
        <w:trPr>
          <w:trHeight w:val="234"/>
        </w:trPr>
        <w:tc>
          <w:tcPr>
            <w:tcW w:w="460" w:type="dxa"/>
            <w:vAlign w:val="bottom"/>
          </w:tcPr>
          <w:p>
            <w:pPr>
              <w:spacing w:after="0"/>
              <w:rPr>
                <w:sz w:val="20"/>
                <w:szCs w:val="20"/>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 its General Partner</w:t>
            </w:r>
          </w:p>
        </w:tc>
      </w:tr>
      <w:tr>
        <w:trPr>
          <w:trHeight w:val="432"/>
        </w:trPr>
        <w:tc>
          <w:tcPr>
            <w:tcW w:w="460" w:type="dxa"/>
            <w:vAlign w:val="bottom"/>
          </w:tcPr>
          <w:p>
            <w:pPr>
              <w:spacing w:after="0"/>
              <w:rPr>
                <w:sz w:val="24"/>
                <w:szCs w:val="24"/>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460" w:type="dxa"/>
            <w:vAlign w:val="bottom"/>
          </w:tcPr>
          <w:p>
            <w:pPr>
              <w:spacing w:after="0"/>
              <w:rPr>
                <w:sz w:val="16"/>
                <w:szCs w:val="16"/>
                <w:color w:val="auto"/>
              </w:rPr>
            </w:pPr>
          </w:p>
        </w:tc>
        <w:tc>
          <w:tcPr>
            <w:tcW w:w="8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460" w:type="dxa"/>
            <w:vAlign w:val="bottom"/>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r>
        <w:trPr>
          <w:trHeight w:val="648"/>
        </w:trPr>
        <w:tc>
          <w:tcPr>
            <w:tcW w:w="5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KANTI (QP), L.P.</w:t>
            </w:r>
          </w:p>
        </w:tc>
      </w:tr>
      <w:tr>
        <w:trPr>
          <w:trHeight w:val="41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Kayne Anderson Capital Advisors, L.P.,</w:t>
            </w:r>
          </w:p>
        </w:tc>
      </w:tr>
      <w:tr>
        <w:trPr>
          <w:trHeight w:val="234"/>
        </w:trPr>
        <w:tc>
          <w:tcPr>
            <w:tcW w:w="460" w:type="dxa"/>
            <w:vAlign w:val="bottom"/>
          </w:tcPr>
          <w:p>
            <w:pPr>
              <w:spacing w:after="0"/>
              <w:rPr>
                <w:sz w:val="20"/>
                <w:szCs w:val="20"/>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 its General Partner</w:t>
            </w:r>
          </w:p>
        </w:tc>
      </w:tr>
      <w:tr>
        <w:trPr>
          <w:trHeight w:val="432"/>
        </w:trPr>
        <w:tc>
          <w:tcPr>
            <w:tcW w:w="460" w:type="dxa"/>
            <w:vAlign w:val="bottom"/>
          </w:tcPr>
          <w:p>
            <w:pPr>
              <w:spacing w:after="0"/>
              <w:rPr>
                <w:sz w:val="24"/>
                <w:szCs w:val="24"/>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460" w:type="dxa"/>
            <w:vAlign w:val="bottom"/>
          </w:tcPr>
          <w:p>
            <w:pPr>
              <w:spacing w:after="0"/>
              <w:rPr>
                <w:sz w:val="16"/>
                <w:szCs w:val="16"/>
                <w:color w:val="auto"/>
              </w:rPr>
            </w:pPr>
          </w:p>
        </w:tc>
        <w:tc>
          <w:tcPr>
            <w:tcW w:w="8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460" w:type="dxa"/>
            <w:vAlign w:val="bottom"/>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ectPr>
          <w:pgSz w:w="11900" w:h="16838" w:orient="portrait"/>
          <w:cols w:equalWidth="0" w:num="1">
            <w:col w:w="10220"/>
          </w:cols>
          <w:pgMar w:left="1440" w:top="725" w:right="239" w:bottom="22" w:gutter="0" w:footer="0" w:header="0"/>
        </w:sectPr>
      </w:pPr>
    </w:p>
    <w:bookmarkStart w:id="85" w:name="page86"/>
    <w:bookmarkEnd w:id="85"/>
    <w:p>
      <w:pPr>
        <w:ind w:left="5720"/>
        <w:spacing w:after="0"/>
        <w:rPr>
          <w:sz w:val="20"/>
          <w:szCs w:val="20"/>
          <w:color w:val="auto"/>
        </w:rPr>
      </w:pPr>
      <w:r>
        <w:rPr>
          <w:rFonts w:ascii="Times New Roman" w:cs="Times New Roman" w:eastAsia="Times New Roman" w:hAnsi="Times New Roman"/>
          <w:sz w:val="18"/>
          <w:szCs w:val="18"/>
          <w:b w:val="1"/>
          <w:bCs w:val="1"/>
          <w:color w:val="auto"/>
        </w:rPr>
        <w:t>KAISER FOUNDATION HOSPITALS</w:t>
      </w:r>
    </w:p>
    <w:p>
      <w:pPr>
        <w:spacing w:after="0" w:line="229" w:lineRule="exact"/>
        <w:rPr>
          <w:sz w:val="20"/>
          <w:szCs w:val="20"/>
          <w:color w:val="auto"/>
        </w:rPr>
      </w:pPr>
    </w:p>
    <w:tbl>
      <w:tblPr>
        <w:tblLayout w:type="fixed"/>
        <w:tblInd w:w="5720" w:type="dxa"/>
        <w:tblCellMar>
          <w:top w:w="0" w:type="dxa"/>
          <w:left w:w="0" w:type="dxa"/>
          <w:bottom w:w="0" w:type="dxa"/>
          <w:right w:w="0" w:type="dxa"/>
        </w:tblCellMar>
      </w:tblP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Kayne Anderson Capital Advisors, L.P.,</w:t>
            </w:r>
          </w:p>
        </w:tc>
      </w:tr>
      <w:tr>
        <w:trPr>
          <w:trHeight w:val="234"/>
        </w:trPr>
        <w:tc>
          <w:tcPr>
            <w:tcW w:w="460" w:type="dxa"/>
            <w:vAlign w:val="bottom"/>
          </w:tcPr>
          <w:p>
            <w:pPr>
              <w:spacing w:after="0"/>
              <w:rPr>
                <w:sz w:val="20"/>
                <w:szCs w:val="20"/>
                <w:color w:val="auto"/>
              </w:rPr>
            </w:pP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as its Manager</w:t>
            </w:r>
          </w:p>
        </w:tc>
      </w:tr>
      <w:tr>
        <w:trPr>
          <w:trHeight w:val="648"/>
        </w:trPr>
        <w:tc>
          <w:tcPr>
            <w:tcW w:w="460" w:type="dxa"/>
            <w:vAlign w:val="bottom"/>
          </w:tcPr>
          <w:p>
            <w:pPr>
              <w:spacing w:after="0"/>
              <w:rPr>
                <w:sz w:val="24"/>
                <w:szCs w:val="24"/>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460" w:type="dxa"/>
            <w:vAlign w:val="bottom"/>
          </w:tcPr>
          <w:p>
            <w:pPr>
              <w:spacing w:after="0"/>
              <w:rPr>
                <w:sz w:val="16"/>
                <w:szCs w:val="16"/>
                <w:color w:val="auto"/>
              </w:rPr>
            </w:pPr>
          </w:p>
        </w:tc>
        <w:tc>
          <w:tcPr>
            <w:tcW w:w="8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460" w:type="dxa"/>
            <w:vAlign w:val="bottom"/>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STONEPEAK PARTNERS LP, on behalf of STONEPEAK</w:t>
      </w:r>
    </w:p>
    <w:p>
      <w:pPr>
        <w:spacing w:after="0" w:line="3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INFRASTRUCTURE FUND LP and STONEPEAK</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INFRASTRUCTURE FUND II LP</w:t>
      </w:r>
    </w:p>
    <w:p>
      <w:pPr>
        <w:spacing w:after="0" w:line="207" w:lineRule="exact"/>
        <w:rPr>
          <w:sz w:val="20"/>
          <w:szCs w:val="20"/>
          <w:color w:val="auto"/>
        </w:rPr>
      </w:pPr>
    </w:p>
    <w:tbl>
      <w:tblPr>
        <w:tblLayout w:type="fixed"/>
        <w:tblInd w:w="57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Stonepeak Partners LLC, its general partner</w:t>
            </w:r>
          </w:p>
        </w:tc>
      </w:tr>
      <w:tr>
        <w:trPr>
          <w:trHeight w:val="648"/>
        </w:trPr>
        <w:tc>
          <w:tcPr>
            <w:tcW w:w="460" w:type="dxa"/>
            <w:vAlign w:val="bottom"/>
          </w:tcPr>
          <w:p>
            <w:pPr>
              <w:spacing w:after="0"/>
              <w:rPr>
                <w:sz w:val="24"/>
                <w:szCs w:val="24"/>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By:</w:t>
            </w:r>
          </w:p>
        </w:tc>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Dorrell</w:t>
            </w:r>
          </w:p>
        </w:tc>
      </w:tr>
      <w:tr>
        <w:trPr>
          <w:trHeight w:val="191"/>
        </w:trPr>
        <w:tc>
          <w:tcPr>
            <w:tcW w:w="460" w:type="dxa"/>
            <w:vAlign w:val="bottom"/>
          </w:tcPr>
          <w:p>
            <w:pPr>
              <w:spacing w:after="0"/>
              <w:rPr>
                <w:sz w:val="16"/>
                <w:szCs w:val="16"/>
                <w:color w:val="auto"/>
              </w:rPr>
            </w:pPr>
          </w:p>
        </w:tc>
        <w:tc>
          <w:tcPr>
            <w:tcW w:w="84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Dorrell</w:t>
            </w:r>
          </w:p>
        </w:tc>
      </w:tr>
      <w:tr>
        <w:trPr>
          <w:trHeight w:val="234"/>
        </w:trPr>
        <w:tc>
          <w:tcPr>
            <w:tcW w:w="460" w:type="dxa"/>
            <w:vAlign w:val="bottom"/>
          </w:tcPr>
          <w:p>
            <w:pPr>
              <w:spacing w:after="0"/>
              <w:rPr>
                <w:sz w:val="20"/>
                <w:szCs w:val="20"/>
                <w:color w:val="auto"/>
              </w:rPr>
            </w:pPr>
          </w:p>
        </w:tc>
        <w:tc>
          <w:tcPr>
            <w:tcW w:w="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Title:</w:t>
            </w: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w:t>
            </w:r>
          </w:p>
        </w:tc>
      </w:tr>
    </w:tbl>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6140" w:type="dxa"/>
            <w:vAlign w:val="bottom"/>
            <w:gridSpan w:val="4"/>
          </w:tcPr>
          <w:p>
            <w:pPr>
              <w:jc w:val="center"/>
              <w:ind w:right="5194"/>
              <w:spacing w:after="0"/>
              <w:rPr>
                <w:sz w:val="20"/>
                <w:szCs w:val="20"/>
                <w:color w:val="auto"/>
              </w:rPr>
            </w:pPr>
            <w:r>
              <w:rPr>
                <w:rFonts w:ascii="Times New Roman" w:cs="Times New Roman" w:eastAsia="Times New Roman" w:hAnsi="Times New Roman"/>
                <w:sz w:val="18"/>
                <w:szCs w:val="18"/>
                <w:b w:val="1"/>
                <w:bCs w:val="1"/>
                <w:color w:val="auto"/>
                <w:w w:val="99"/>
              </w:rPr>
              <w:t>Schedule A</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0" w:type="dxa"/>
            <w:vAlign w:val="bottom"/>
            <w:gridSpan w:val="5"/>
          </w:tcPr>
          <w:p>
            <w:pPr>
              <w:jc w:val="center"/>
              <w:ind w:right="3534"/>
              <w:spacing w:after="0"/>
              <w:rPr>
                <w:sz w:val="20"/>
                <w:szCs w:val="20"/>
                <w:color w:val="auto"/>
              </w:rPr>
            </w:pPr>
            <w:r>
              <w:rPr>
                <w:rFonts w:ascii="Times New Roman" w:cs="Times New Roman" w:eastAsia="Times New Roman" w:hAnsi="Times New Roman"/>
                <w:sz w:val="18"/>
                <w:szCs w:val="18"/>
                <w:b w:val="1"/>
                <w:bCs w:val="1"/>
                <w:color w:val="auto"/>
              </w:rPr>
              <w:t>Purchaser Name; Notice and Contact Information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80" w:type="dxa"/>
            <w:vAlign w:val="bottom"/>
          </w:tcPr>
          <w:p>
            <w:pPr>
              <w:ind w:left="1860"/>
              <w:spacing w:after="0"/>
              <w:rPr>
                <w:sz w:val="20"/>
                <w:szCs w:val="20"/>
                <w:color w:val="auto"/>
              </w:rPr>
            </w:pPr>
            <w:r>
              <w:rPr>
                <w:rFonts w:ascii="Times New Roman" w:cs="Times New Roman" w:eastAsia="Times New Roman" w:hAnsi="Times New Roman"/>
                <w:sz w:val="14"/>
                <w:szCs w:val="14"/>
                <w:b w:val="1"/>
                <w:bCs w:val="1"/>
                <w:color w:val="auto"/>
              </w:rPr>
              <w:t>Contact Information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6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EnCap Energy Capital Fund X, L.P.</w:t>
            </w:r>
          </w:p>
        </w:tc>
        <w:tc>
          <w:tcPr>
            <w:tcW w:w="16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auto"/>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1100 Louisiana, Suite 4900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Houston, TX 77002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Brad Thielemann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BThielemann@encapinvestments.com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EnCap Flatrock Midstream Fund III, L.P.</w:t>
            </w: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1100 Louisiana, Suite 4900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Houston, TX 77002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Sam Pitts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sp@efmidstream.com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EMG PAA Holdings, LLC</w:t>
            </w: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c/o The Energy &amp; Minerals Group LP</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811 Main Street, Suite 4200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Houston, TX 77002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John T. Raymond and Laura L. Tyson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jraymond@emgtx.com;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ltyson@emgtx.com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FR KA Plains Holdings LLC</w:t>
            </w: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600 Travis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Suite 6000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Gary D. Reaves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Houston, TX 77002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greaves@firstreserve.com;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jbaker@kaynecapital.com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Massachusetts Mutual Life Insurance Company</w:t>
            </w: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1800 Avenue of the Stars, 3rd Floor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David Shladovsky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 Angeles, CA 90067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jbaker@kaynecapital.com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6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Kayne Select Midstream Recovery Fund,L.P.</w:t>
            </w:r>
          </w:p>
        </w:tc>
        <w:tc>
          <w:tcPr>
            <w:tcW w:w="1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0" w:type="dxa"/>
            <w:vAlign w:val="bottom"/>
            <w:gridSpan w:val="3"/>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1800 Avenue of the Stars, 3rd Floor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David Shladovsky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 Angeles, CA 90067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jbaker@kaynecapital.com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800" w:type="dxa"/>
            <w:vAlign w:val="bottom"/>
            <w:gridSpan w:val="5"/>
          </w:tcPr>
          <w:p>
            <w:pPr>
              <w:jc w:val="center"/>
              <w:ind w:right="3534"/>
              <w:spacing w:after="0"/>
              <w:rPr>
                <w:sz w:val="20"/>
                <w:szCs w:val="20"/>
                <w:color w:val="auto"/>
              </w:rPr>
            </w:pPr>
            <w:r>
              <w:rPr>
                <w:rFonts w:ascii="Times New Roman" w:cs="Times New Roman" w:eastAsia="Times New Roman" w:hAnsi="Times New Roman"/>
                <w:sz w:val="18"/>
                <w:szCs w:val="18"/>
                <w:color w:val="auto"/>
                <w:w w:val="99"/>
              </w:rPr>
              <w:t>Schedule A-1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600" w:type="dxa"/>
            <w:vAlign w:val="bottom"/>
            <w:tcBorders>
              <w:bottom w:val="single" w:sz="8" w:color="808080"/>
            </w:tcBorders>
          </w:tcPr>
          <w:p>
            <w:pPr>
              <w:spacing w:after="0"/>
              <w:rPr>
                <w:sz w:val="11"/>
                <w:szCs w:val="11"/>
                <w:color w:val="auto"/>
              </w:rPr>
            </w:pPr>
          </w:p>
        </w:tc>
        <w:tc>
          <w:tcPr>
            <w:tcW w:w="16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7" w:right="199" w:bottom="10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17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58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Contact Information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Kayne Anderson MLP Fund, L.P.</w:t>
            </w: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1800 Avenue of the Stars, 3rd Floor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David Shladovsky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 Angeles, CA 90067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jbaker@kaynecapital.com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Kayne Anderson Midstream Institutional Fund, L.P.</w:t>
            </w:r>
          </w:p>
        </w:tc>
        <w:tc>
          <w:tcPr>
            <w:tcW w:w="114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1800 Avenue of the Stars, 3rd Floor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David Shladovsky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 Angeles, CA 90067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jbaker@kaynecapital.com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Kayne Anderson Non-Traditional Investments, L.P.</w:t>
            </w:r>
          </w:p>
        </w:tc>
        <w:tc>
          <w:tcPr>
            <w:tcW w:w="114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1800 Avenue of the Stars, 3rd Floor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David Shladovsky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 Angeles, CA 90067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jbaker@kaynecapital.com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Kanti (QP), L.P.</w:t>
            </w:r>
          </w:p>
        </w:tc>
        <w:tc>
          <w:tcPr>
            <w:tcW w:w="114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1800 Avenue of the Stars, 3rd Floor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David Shladovsky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 Angeles, CA 90067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jbaker@kaynecapital.com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Kaiser Foundation Hospitals</w:t>
            </w:r>
          </w:p>
        </w:tc>
        <w:tc>
          <w:tcPr>
            <w:tcW w:w="114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1800 Avenue of the Stars, 3rd Floor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David Shladovsky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 Angeles, CA 90067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5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jbaker@kaynecapital.com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Stonepeak Infrastructure Fund LP</w:t>
            </w:r>
          </w:p>
        </w:tc>
        <w:tc>
          <w:tcPr>
            <w:tcW w:w="1140" w:type="dxa"/>
            <w:vAlign w:val="bottom"/>
            <w:shd w:val="clear" w:color="auto" w:fill="CCEEFF"/>
          </w:tcPr>
          <w:p>
            <w:pPr>
              <w:spacing w:after="0"/>
              <w:rPr>
                <w:sz w:val="17"/>
                <w:szCs w:val="17"/>
                <w:color w:val="auto"/>
              </w:rPr>
            </w:pPr>
          </w:p>
        </w:tc>
        <w:tc>
          <w:tcPr>
            <w:tcW w:w="5800" w:type="dxa"/>
            <w:vAlign w:val="bottom"/>
            <w:gridSpan w:val="2"/>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717 Fifth Avenue, 25th Floor</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York, NY 10022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Adrienne Saunders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saunders@stonepeakpartners.com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Jack Howell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howell@stonepeakpartners.com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9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Schedule A-2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80" w:type="dxa"/>
            <w:vAlign w:val="bottom"/>
            <w:tcBorders>
              <w:bottom w:val="single" w:sz="8" w:color="808080"/>
            </w:tcBorders>
            <w:gridSpan w:val="2"/>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44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Purchaser</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8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Contact Information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4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Stonepeak Infrastructure Fund II LP</w:t>
            </w: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55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717 Fifth Avenue, 25th Floor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New York, NY 10022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Adrienne Saunders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saunders@stonepeakpartners.com</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Attn: Jack Howell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5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Email: howell@stonepeakpartners.com</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9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Schedule A-3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55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-1821815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-1821815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1" w:right="199" w:bottom="1440" w:gutter="0" w:footer="0" w:header="0"/>
        </w:sectPr>
      </w:pPr>
    </w:p>
    <w:bookmarkStart w:id="87" w:name="page88"/>
    <w:bookmarkEnd w:id="87"/>
    <w:p>
      <w:pPr>
        <w:spacing w:after="0" w:line="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SERIES A PREFERRED UNIT</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PURCHASERS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440" w:type="dxa"/>
            <w:vAlign w:val="bottom"/>
          </w:tcPr>
          <w:p>
            <w:pPr>
              <w:spacing w:after="0"/>
              <w:rPr>
                <w:sz w:val="15"/>
                <w:szCs w:val="15"/>
                <w:color w:val="auto"/>
              </w:rPr>
            </w:pPr>
          </w:p>
        </w:tc>
        <w:tc>
          <w:tcPr>
            <w:tcW w:w="8960" w:type="dxa"/>
            <w:vAlign w:val="bottom"/>
          </w:tcPr>
          <w:p>
            <w:pPr>
              <w:spacing w:after="0"/>
              <w:rPr>
                <w:sz w:val="15"/>
                <w:szCs w:val="15"/>
                <w:color w:val="auto"/>
              </w:rPr>
            </w:pPr>
          </w:p>
        </w:tc>
        <w:tc>
          <w:tcPr>
            <w:tcW w:w="10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Page</w:t>
            </w:r>
          </w:p>
        </w:tc>
        <w:tc>
          <w:tcPr>
            <w:tcW w:w="40" w:type="dxa"/>
            <w:vAlign w:val="bottom"/>
          </w:tcPr>
          <w:p>
            <w:pPr>
              <w:spacing w:after="0"/>
              <w:rPr>
                <w:sz w:val="15"/>
                <w:szCs w:val="15"/>
                <w:color w:val="auto"/>
              </w:rPr>
            </w:pPr>
          </w:p>
        </w:tc>
      </w:tr>
      <w:tr>
        <w:trPr>
          <w:trHeight w:val="426"/>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4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Procedures and Interpretation</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432"/>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AGREEMENT TO SELL AND PURCHASE</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4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Deliveries at the Closing</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Independent Nature of Purchasers’ Obligations and Rights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432"/>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 AND COVENANTS RELATED TO THE PARTNERSHIP</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4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Existence</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Capitalization and Valid Issuance of Units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Partners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Ownership of the Material Subsidiaries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Plains SEC Documents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Material Adverse Change</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3.07</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Registration Required</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3.08</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Registration Rights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3.09</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3.10</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Default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3.11</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Conflicts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3.12</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Authority; Enforceability</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3.13</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Approvals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3.14</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Distribution Restrictions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3.15</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MLP Status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3.16</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3.17</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Certain Fees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3.18</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Labor Disputes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3.19</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3.20</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Books and Records; Sarbanes-Oxley Compliance</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3.21</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Listing and Maintenance Requirements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3.22</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3.23</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 Environmental Laws; Pipeline Safety Laws; Permits; and Environmental Permits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3.24</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Title to Property</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3.25</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Rights-of-Way</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3.26</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S-3 Eligibility</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3.27</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FCPA</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3.28</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Laundering Laws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3.29</w:t>
            </w:r>
          </w:p>
        </w:tc>
        <w:tc>
          <w:tcPr>
            <w:tcW w:w="8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OFAC</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432"/>
        </w:trPr>
        <w:tc>
          <w:tcPr>
            <w:tcW w:w="1440" w:type="dxa"/>
            <w:vAlign w:val="bottom"/>
          </w:tcPr>
          <w:p>
            <w:pPr>
              <w:spacing w:after="0"/>
              <w:rPr>
                <w:sz w:val="24"/>
                <w:szCs w:val="24"/>
                <w:color w:val="auto"/>
              </w:rPr>
            </w:pPr>
          </w:p>
        </w:tc>
        <w:tc>
          <w:tcPr>
            <w:tcW w:w="8960" w:type="dxa"/>
            <w:vAlign w:val="bottom"/>
          </w:tcPr>
          <w:p>
            <w:pPr>
              <w:ind w:left="4240"/>
              <w:spacing w:after="0"/>
              <w:rPr>
                <w:sz w:val="20"/>
                <w:szCs w:val="20"/>
                <w:color w:val="auto"/>
              </w:rPr>
            </w:pPr>
            <w:r>
              <w:rPr>
                <w:rFonts w:ascii="Times New Roman" w:cs="Times New Roman" w:eastAsia="Times New Roman" w:hAnsi="Times New Roman"/>
                <w:sz w:val="18"/>
                <w:szCs w:val="18"/>
                <w:color w:val="auto"/>
              </w:rPr>
              <w:t>i</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0400" w:type="dxa"/>
            <w:vAlign w:val="bottom"/>
            <w:tcBorders>
              <w:bottom w:val="single" w:sz="8" w:color="808080"/>
            </w:tcBorders>
            <w:gridSpan w:val="2"/>
          </w:tcPr>
          <w:p>
            <w:pPr>
              <w:spacing w:after="0"/>
              <w:rPr>
                <w:sz w:val="11"/>
                <w:szCs w:val="11"/>
                <w:color w:val="auto"/>
              </w:rPr>
            </w:pPr>
          </w:p>
        </w:tc>
        <w:tc>
          <w:tcPr>
            <w:tcW w:w="1060" w:type="dxa"/>
            <w:vAlign w:val="bottom"/>
            <w:tcBorders>
              <w:bottom w:val="single" w:sz="8" w:color="808080"/>
            </w:tcBorders>
            <w:gridSpan w:val="2"/>
          </w:tcPr>
          <w:p>
            <w:pPr>
              <w:spacing w:after="0"/>
              <w:rPr>
                <w:sz w:val="11"/>
                <w:szCs w:val="11"/>
                <w:color w:val="auto"/>
              </w:rPr>
            </w:pPr>
          </w:p>
        </w:tc>
      </w:tr>
      <w:tr>
        <w:trPr>
          <w:trHeight w:val="780"/>
        </w:trPr>
        <w:tc>
          <w:tcPr>
            <w:tcW w:w="10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REPRESENTATIONS AND WARRANTIES AND COVENANTS OF THE PURCHASERS</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41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Existence</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89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 Breach</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-1073150</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-1073150</wp:posOffset>
            </wp:positionV>
            <wp:extent cx="1270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117" w:right="199" w:bottom="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Fees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4.05</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Unregistered Securities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4.06</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Sufficient Funds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COVENANTS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41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Conduct of Business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Listing of Units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Cooperation; Further Assurances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Lock-up Agreement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5.05</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Estimates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INDEMNIFICATION, COSTS AND EXPENSES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1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Indemnification by the Partnership</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6.02</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Indemnification by the Purchasers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Indemnification Procedure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Tax Matters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TERMINATION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Termination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Certain Effects of Termination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32"/>
        </w:trPr>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Expenses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Interpretation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Survival of Provisions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Waiver; Modifications in Writing</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Binding Effect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8.06</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Non-Disclosure</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8.07</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Communications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Removal of Legend</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8.09</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Entire Agreement</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Governing Law; Submission to Jurisdiction</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Waiver of Jury Trial</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8.12</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Exclusive Remedy</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8.13</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8.14</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4"/>
        </w:trPr>
        <w:tc>
          <w:tcPr>
            <w:tcW w:w="1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8.15</w:t>
            </w:r>
          </w:p>
        </w:tc>
        <w:tc>
          <w:tcPr>
            <w:tcW w:w="6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Execution in Counterparts</w:t>
            </w:r>
          </w:p>
        </w:tc>
        <w:tc>
          <w:tcPr>
            <w:tcW w:w="3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Opinion of Vinson &amp; Elkins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 — Form of General Partner Waiver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 — Form of Director Designation Amendment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A — Purchase Price Allocation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B — Material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PREFERRED UNIT PURCHASE AGREEMENT</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SERIES A PREFERRED UNIT PURCHASE AGREEMENT</w:t>
      </w:r>
      <w:r>
        <w:rPr>
          <w:rFonts w:ascii="Times New Roman" w:cs="Times New Roman" w:eastAsia="Times New Roman" w:hAnsi="Times New Roman"/>
          <w:sz w:val="18"/>
          <w:szCs w:val="18"/>
          <w:color w:val="auto"/>
        </w:rPr>
        <w:t>, dated as of January 12, 2016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is entered into by and among </w:t>
      </w:r>
      <w:r>
        <w:rPr>
          <w:rFonts w:ascii="Times New Roman" w:cs="Times New Roman" w:eastAsia="Times New Roman" w:hAnsi="Times New Roman"/>
          <w:sz w:val="18"/>
          <w:szCs w:val="18"/>
          <w:b w:val="1"/>
          <w:bCs w:val="1"/>
          <w:color w:val="auto"/>
        </w:rPr>
        <w:t>PLAINS ALL AMERICAN PIPELINE, L.P.</w:t>
      </w:r>
      <w:r>
        <w:rPr>
          <w:rFonts w:ascii="Times New Roman" w:cs="Times New Roman" w:eastAsia="Times New Roman" w:hAnsi="Times New Roman"/>
          <w:sz w:val="18"/>
          <w:szCs w:val="18"/>
          <w:color w:val="auto"/>
        </w:rPr>
        <w:t>,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xml:space="preserve">”), and the purchasers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WHEREAS, the Partnership desires to issue and sell to the Purchasers, and the Purchasers desire to purchase from the Partnership, certain of the Partnership’s Series A Preferred Units (as defined below), in accordance with the provisions of this Agreement; and</w:t>
      </w:r>
    </w:p>
    <w:p>
      <w:pPr>
        <w:spacing w:after="0" w:line="162"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WHEREAS, the Partnership has agreed to provide the Purchasers with certain registration rights with respect to the Conversion Units (as defined below) and the Additional Conversion Units (as defined below) underlying the Series A Preferred Units acquired pursuant hereto and the PIK Units (as defined below), respectively.</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good and valuable consideration, the receipt and sufficiency of which is hereby acknowledged, the parties hereby agree as follows:</w:t>
      </w:r>
    </w:p>
    <w:p>
      <w:pPr>
        <w:sectPr>
          <w:pgSz w:w="11900" w:h="16838" w:orient="portrait"/>
          <w:cols w:equalWidth="0" w:num="1">
            <w:col w:w="11420"/>
          </w:cols>
          <w:pgMar w:left="240" w:top="121" w:right="239" w:bottom="0" w:gutter="0" w:footer="0" w:header="0"/>
        </w:sectPr>
      </w:pPr>
    </w:p>
    <w:bookmarkStart w:id="89" w:name="page90"/>
    <w:bookmarkEnd w:id="89"/>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3"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As used in this Agreement, the following terms have the meanings indicated: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Additional Conversion Units</w:t>
      </w:r>
      <w:r>
        <w:rPr>
          <w:rFonts w:ascii="Times New Roman" w:cs="Times New Roman" w:eastAsia="Times New Roman" w:hAnsi="Times New Roman"/>
          <w:sz w:val="18"/>
          <w:szCs w:val="18"/>
          <w:color w:val="auto"/>
        </w:rPr>
        <w:t>” means the Common Units issuable upon conversion of any PIK Units.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means, with respect to any Person, any other Person that directly or indirectly through one or more intermediaries controls, is controlled by or is under common control with, the Person in question. As used herein, the term “control” means the possession, direct or indirect, of the power to direct or cause the direction of the management and policies of a Person, whether through ownership of voting securities, by contract or otherwise. For the avoidance of doubt, for purposes of this Agreement, (a) the GP Entities or the Plains Entities, on the one hand, and any Purchaser, on the other, shall not be considered Affiliates and (b) any fund or account managed, advised or subadvised, directly or indirectly, by a Purchaser or its Affiliates, shall be considered an Affiliate of such Purchaser.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2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means any day other than a Saturday, Sunday, any federal legal holiday or day on which banking institutions in the State of New York or State of Texas are authorized or required by Law or other governmental action to close.</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Date</w:t>
      </w:r>
      <w:r>
        <w:rPr>
          <w:rFonts w:ascii="Times New Roman" w:cs="Times New Roman" w:eastAsia="Times New Roman" w:hAnsi="Times New Roman"/>
          <w:sz w:val="18"/>
          <w:szCs w:val="18"/>
          <w:color w:val="auto"/>
        </w:rPr>
        <w:t>” means January 28, 2016.</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Units</w:t>
      </w:r>
      <w:r>
        <w:rPr>
          <w:rFonts w:ascii="Times New Roman" w:cs="Times New Roman" w:eastAsia="Times New Roman" w:hAnsi="Times New Roman"/>
          <w:sz w:val="18"/>
          <w:szCs w:val="18"/>
          <w:color w:val="auto"/>
        </w:rPr>
        <w:t>” means common units representing limited partner interests in the Partnership.</w:t>
      </w:r>
    </w:p>
    <w:p>
      <w:pPr>
        <w:spacing w:after="0" w:line="22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Confidentiality Agreements</w:t>
      </w:r>
      <w:r>
        <w:rPr>
          <w:rFonts w:ascii="Times New Roman" w:cs="Times New Roman" w:eastAsia="Times New Roman" w:hAnsi="Times New Roman"/>
          <w:sz w:val="18"/>
          <w:szCs w:val="18"/>
          <w:color w:val="auto"/>
        </w:rPr>
        <w:t>” means the Confidentiality Agreements, dated on or about December 28, 2015, entered into by the Partnership and each of the Purchasers or their Affiliates, as applicable, as may be amended from time to time.</w:t>
      </w:r>
    </w:p>
    <w:p>
      <w:pPr>
        <w:spacing w:after="0" w:line="155" w:lineRule="exact"/>
        <w:rPr>
          <w:sz w:val="20"/>
          <w:szCs w:val="20"/>
          <w:color w:val="auto"/>
        </w:rPr>
      </w:pPr>
    </w:p>
    <w:p>
      <w:pPr>
        <w:ind w:right="3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Contract</w:t>
      </w:r>
      <w:r>
        <w:rPr>
          <w:rFonts w:ascii="Times New Roman" w:cs="Times New Roman" w:eastAsia="Times New Roman" w:hAnsi="Times New Roman"/>
          <w:sz w:val="18"/>
          <w:szCs w:val="18"/>
          <w:color w:val="auto"/>
        </w:rPr>
        <w:t>” means any contract, agreement, indenture, note, bond, mortgage, deed of trust, loan, instrument, lease, license, commitment or other arrangement, understanding, undertaking, commitment or obligation, whether written or oral.</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Conversion Units</w:t>
      </w:r>
      <w:r>
        <w:rPr>
          <w:rFonts w:ascii="Times New Roman" w:cs="Times New Roman" w:eastAsia="Times New Roman" w:hAnsi="Times New Roman"/>
          <w:sz w:val="18"/>
          <w:szCs w:val="18"/>
          <w:color w:val="auto"/>
        </w:rPr>
        <w:t>” means the Common Units issuable upon conversion of the Purchased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Credit Facilities</w:t>
      </w:r>
      <w:r>
        <w:rPr>
          <w:rFonts w:ascii="Times New Roman" w:cs="Times New Roman" w:eastAsia="Times New Roman" w:hAnsi="Times New Roman"/>
          <w:sz w:val="18"/>
          <w:szCs w:val="18"/>
          <w:color w:val="auto"/>
        </w:rPr>
        <w:t>” means the Hedged Inventory Facility, the PAA Facility, the Plains AAP Facility and the 364-Day Facility.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Delaware LP Act</w:t>
      </w:r>
      <w:r>
        <w:rPr>
          <w:rFonts w:ascii="Times New Roman" w:cs="Times New Roman" w:eastAsia="Times New Roman" w:hAnsi="Times New Roman"/>
          <w:sz w:val="18"/>
          <w:szCs w:val="18"/>
          <w:color w:val="auto"/>
        </w:rPr>
        <w:t>” means the Delaware Revised Uniform Limited Partnership Act.</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Director Designation Amendment</w:t>
      </w:r>
      <w:r>
        <w:rPr>
          <w:rFonts w:ascii="Times New Roman" w:cs="Times New Roman" w:eastAsia="Times New Roman" w:hAnsi="Times New Roman"/>
          <w:sz w:val="18"/>
          <w:szCs w:val="18"/>
          <w:color w:val="auto"/>
        </w:rPr>
        <w:t xml:space="preserve">” means the amendment to the Sixth Amended and Restated Limited Liability Company Agreement of GP LLC, dated as of October 21, 2013, to be executed and adopted in connection with the Closing, in substantially the form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6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Environmental Law</w:t>
      </w:r>
      <w:r>
        <w:rPr>
          <w:rFonts w:ascii="Times New Roman" w:cs="Times New Roman" w:eastAsia="Times New Roman" w:hAnsi="Times New Roman"/>
          <w:sz w:val="18"/>
          <w:szCs w:val="18"/>
          <w:color w:val="auto"/>
        </w:rPr>
        <w:t>” means any Laws pertaining to protection of the environment (including natural resources), the prevention of pollution, the remediation of contamination, the restoration of environmental quality, or occupational health and workplace safety, including all Laws addressing any release into the environment of, any exposure to, or any remediation of Hazardous Substance.</w:t>
      </w:r>
    </w:p>
    <w:p>
      <w:pPr>
        <w:spacing w:after="0" w:line="171" w:lineRule="exact"/>
        <w:rPr>
          <w:sz w:val="20"/>
          <w:szCs w:val="20"/>
          <w:color w:val="auto"/>
        </w:rPr>
      </w:pPr>
    </w:p>
    <w:p>
      <w:pPr>
        <w:ind w:right="5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Environmental Permits</w:t>
      </w:r>
      <w:r>
        <w:rPr>
          <w:rFonts w:ascii="Times New Roman" w:cs="Times New Roman" w:eastAsia="Times New Roman" w:hAnsi="Times New Roman"/>
          <w:sz w:val="18"/>
          <w:szCs w:val="18"/>
          <w:color w:val="auto"/>
        </w:rPr>
        <w:t>” means all approvals, authorizations, consents, licenses, permits, variances, waivers, exemptions, registrations of a Governmental Authority required under any Environmental Laws for the operation of the business of the Plains Entities.</w:t>
      </w:r>
    </w:p>
    <w:p>
      <w:pPr>
        <w:spacing w:after="0" w:line="155"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means the Securities Exchange Act of 1934, as amended from time to time, and the rules and regulations of the Commission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Fifth A&amp;R LPA</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Funding Obligation</w:t>
      </w:r>
      <w:r>
        <w:rPr>
          <w:rFonts w:ascii="Times New Roman" w:cs="Times New Roman" w:eastAsia="Times New Roman" w:hAnsi="Times New Roman"/>
          <w:sz w:val="18"/>
          <w:szCs w:val="18"/>
          <w:color w:val="auto"/>
        </w:rPr>
        <w:t xml:space="preserve">” means an amount equal to the Purchase Price multiplied by the number of Purchased Units to be purchased by the Purchaser on the Closing Date, as set forth opposite a Purchaser’s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 as of the date hereof; provided that for the financial statements of the Partnership prepared as of a certain date, GAAP referenced therein shall be GAAP as of the date of such financial statements.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means PAA GP LLC, a Delaware limited liability company and the general partner of the Partnership.</w:t>
      </w:r>
    </w:p>
    <w:p>
      <w:pPr>
        <w:spacing w:after="0" w:line="225" w:lineRule="exact"/>
        <w:rPr>
          <w:sz w:val="20"/>
          <w:szCs w:val="20"/>
          <w:color w:val="auto"/>
        </w:rPr>
      </w:pPr>
    </w:p>
    <w:p>
      <w:pPr>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Governmental Authority</w:t>
      </w:r>
      <w:r>
        <w:rPr>
          <w:rFonts w:ascii="Times New Roman" w:cs="Times New Roman" w:eastAsia="Times New Roman" w:hAnsi="Times New Roman"/>
          <w:sz w:val="18"/>
          <w:szCs w:val="18"/>
          <w:color w:val="auto"/>
        </w:rPr>
        <w:t>” means, with respect to a particular Person, any country, state, county, city and political subdivision in which such Person or such Person’s Property is located or which exercises valid jurisdiction over any such Person or such Person’s Property, and any court, agency, department, commission, board, bureau or instrumentality of any of them and any monetary authority which exercises valid jurisdiction over any such Person</w:t>
      </w:r>
    </w:p>
    <w:p>
      <w:pPr>
        <w:sectPr>
          <w:pgSz w:w="11900" w:h="16838" w:orient="portrait"/>
          <w:cols w:equalWidth="0" w:num="1">
            <w:col w:w="11360"/>
          </w:cols>
          <w:pgMar w:left="240" w:top="117" w:right="299" w:bottom="0" w:gutter="0" w:footer="0" w:header="0"/>
        </w:sectPr>
      </w:pPr>
    </w:p>
    <w:bookmarkStart w:id="90" w:name="page91"/>
    <w:bookmarkEnd w:id="90"/>
    <w:p>
      <w:pPr>
        <w:spacing w:after="0" w:line="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or such Person’s Property. Unless otherwise specified, all references to Governmental Authority herein with respect to the Partnership means a Governmental Authority having jurisdiction over the GP Entities and the Plains Entities or any of their respective Properties.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GP Entities</w:t>
      </w:r>
      <w:r>
        <w:rPr>
          <w:rFonts w:ascii="Times New Roman" w:cs="Times New Roman" w:eastAsia="Times New Roman" w:hAnsi="Times New Roman"/>
          <w:sz w:val="18"/>
          <w:szCs w:val="18"/>
          <w:color w:val="auto"/>
        </w:rPr>
        <w:t>” means, collectively, the General Partner, GP LLC and Plains AAP.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GP LLC</w:t>
      </w:r>
      <w:r>
        <w:rPr>
          <w:rFonts w:ascii="Times New Roman" w:cs="Times New Roman" w:eastAsia="Times New Roman" w:hAnsi="Times New Roman"/>
          <w:sz w:val="18"/>
          <w:szCs w:val="18"/>
          <w:color w:val="auto"/>
        </w:rPr>
        <w:t>” means Plains All American GP LLC, a Delaware limited liability company and the general partner of Plains AAP.</w:t>
      </w:r>
    </w:p>
    <w:p>
      <w:pPr>
        <w:spacing w:after="0" w:line="225" w:lineRule="exact"/>
        <w:rPr>
          <w:sz w:val="20"/>
          <w:szCs w:val="20"/>
          <w:color w:val="auto"/>
        </w:rPr>
      </w:pPr>
    </w:p>
    <w:p>
      <w:pPr>
        <w:ind w:right="40"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Hazardous Substances</w:t>
      </w:r>
      <w:r>
        <w:rPr>
          <w:rFonts w:ascii="Times New Roman" w:cs="Times New Roman" w:eastAsia="Times New Roman" w:hAnsi="Times New Roman"/>
          <w:sz w:val="18"/>
          <w:szCs w:val="18"/>
          <w:color w:val="auto"/>
        </w:rPr>
        <w:t>” means (a) any “hazardous substance” as defined in the Comprehensive Environmental Response, Compensation and Liability Act of 1980, as amended, (b) any “hazardous waste” as defined in the Resource Conservation and Recovery Act, as amended, (c) any petroleum, petroleum products, natural gas, oil and gas waste, and oil and any components or derivatives thereof, (d) any polychlorinated biphenyl, and (e) any pollutant, contaminant or hazardous or toxic, material, waste or substance regulated under any other Environmental Law.</w:t>
      </w:r>
    </w:p>
    <w:p>
      <w:pPr>
        <w:spacing w:after="0" w:line="177" w:lineRule="exact"/>
        <w:rPr>
          <w:sz w:val="20"/>
          <w:szCs w:val="20"/>
          <w:color w:val="auto"/>
        </w:rPr>
      </w:pPr>
    </w:p>
    <w:p>
      <w:pPr>
        <w:ind w:right="6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Hedged Inventory Facility</w:t>
      </w:r>
      <w:r>
        <w:rPr>
          <w:rFonts w:ascii="Times New Roman" w:cs="Times New Roman" w:eastAsia="Times New Roman" w:hAnsi="Times New Roman"/>
          <w:sz w:val="18"/>
          <w:szCs w:val="18"/>
          <w:color w:val="auto"/>
        </w:rPr>
        <w:t>” means the Third Amended and Restated Credit Agreement dated August 19, 2011, as amended, among Plains Marketing, L.P., Bank of America, N.A., as administrative agent thereunder, and the lenders from time to time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Incentive Distribution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Indenture</w:t>
      </w:r>
      <w:r>
        <w:rPr>
          <w:rFonts w:ascii="Times New Roman" w:cs="Times New Roman" w:eastAsia="Times New Roman" w:hAnsi="Times New Roman"/>
          <w:sz w:val="18"/>
          <w:szCs w:val="18"/>
          <w:color w:val="auto"/>
        </w:rPr>
        <w:t>” means that certain indenture dated as of September 25, 2002, among the Partnership, PAA Finance Corp., a Delaware corporation, and U.S. Bank National Association, as successor trustee, as amended and supplemented from time to time.</w:t>
      </w:r>
    </w:p>
    <w:p>
      <w:pPr>
        <w:spacing w:after="0" w:line="155" w:lineRule="exact"/>
        <w:rPr>
          <w:sz w:val="20"/>
          <w:szCs w:val="20"/>
          <w:color w:val="auto"/>
        </w:rPr>
      </w:pPr>
    </w:p>
    <w:p>
      <w:pPr>
        <w:ind w:right="2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Law</w:t>
      </w:r>
      <w:r>
        <w:rPr>
          <w:rFonts w:ascii="Times New Roman" w:cs="Times New Roman" w:eastAsia="Times New Roman" w:hAnsi="Times New Roman"/>
          <w:sz w:val="18"/>
          <w:szCs w:val="18"/>
          <w:color w:val="auto"/>
        </w:rPr>
        <w:t>” means any federal, state, local or foreign order, writ, injunction, judgment, settlement, award, decree, statute, law (including common law), rule or regulation.</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Lead Purchaser</w:t>
      </w:r>
      <w:r>
        <w:rPr>
          <w:rFonts w:ascii="Times New Roman" w:cs="Times New Roman" w:eastAsia="Times New Roman" w:hAnsi="Times New Roman"/>
          <w:sz w:val="18"/>
          <w:szCs w:val="18"/>
          <w:color w:val="auto"/>
        </w:rPr>
        <w:t>” means EnCap Energy Capital Fund X, L.P., in its capacity as lead purchaser for the Purchasers under this Agreement.</w:t>
      </w:r>
    </w:p>
    <w:p>
      <w:pPr>
        <w:spacing w:after="0" w:line="225" w:lineRule="exact"/>
        <w:rPr>
          <w:sz w:val="20"/>
          <w:szCs w:val="20"/>
          <w:color w:val="auto"/>
        </w:rPr>
      </w:pPr>
    </w:p>
    <w:p>
      <w:pPr>
        <w:ind w:right="28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Lien</w:t>
      </w:r>
      <w:r>
        <w:rPr>
          <w:rFonts w:ascii="Times New Roman" w:cs="Times New Roman" w:eastAsia="Times New Roman" w:hAnsi="Times New Roman"/>
          <w:sz w:val="18"/>
          <w:szCs w:val="18"/>
          <w:color w:val="auto"/>
        </w:rPr>
        <w:t>” means any mortgage, claim, encumbrance, pledge, lien (statutory or otherwise), security agreement, conditional sale or trust receipt or a lease, consignment or bailment, preference or priority, assessment, deed of trust, charge, easement, servitude or other encumbrance upon or with respect to any property of any kind.</w:t>
      </w:r>
    </w:p>
    <w:p>
      <w:pPr>
        <w:spacing w:after="0" w:line="171" w:lineRule="exact"/>
        <w:rPr>
          <w:sz w:val="20"/>
          <w:szCs w:val="20"/>
          <w:color w:val="auto"/>
        </w:rPr>
      </w:pPr>
    </w:p>
    <w:p>
      <w:pPr>
        <w:ind w:firstLine="648"/>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Material Adverse Effect</w:t>
      </w:r>
      <w:r>
        <w:rPr>
          <w:rFonts w:ascii="Times New Roman" w:cs="Times New Roman" w:eastAsia="Times New Roman" w:hAnsi="Times New Roman"/>
          <w:sz w:val="17"/>
          <w:szCs w:val="17"/>
          <w:color w:val="auto"/>
        </w:rPr>
        <w:t>” means any change, event or effect that, individually or together with any other changes, events or effects, has or would reasonably be expected to have a material adverse effect on (a) the condition (financial or otherwise), business, prospects, properties, assets, net worth or results of operations of the Plains Entities, taken as a whole, or (b) the ability of the Partnership or the General Partner to perform their obligations under the Transaction Documents; provided, however, that a Material Adverse Effect shall not include any adverse effect on the foregoing to the extent such adverse effect results from, arises out of, or relates to (i) a general deterioration in the economy or changes in the general state of the markets or industries in which any of the GP Entities or the Plains Entities operates (including, for the avoidance of doubt, adverse changes (A) in commodity prices, (B) in capital spending by energy sector participants or their customers, (C) in production profiles in oil and gas producing basins in North America and (D) otherwise associated with the effects of current distress in the energy sector and the resulting effect on the Plains Entities, taken as a whole), except to the extent that such entities, taken as a whole, are adversely affected in a disproportionate manner as compared to other industry participants, (ii) any deterioration in the condition of the capital markets or any inability on the part of the Plains Entities to access the capital markets, (iii) the outbreak or escalation of hostilities involving the United States, the declaration by the United States of a national emergency or war or the occurrence of any other calamity or crisis, including acts of terrorism, (iv) any change in accounting requirements or principles imposed upon any of the GP Entities or the Plains Entities or their respective businesses or any change in applicable Law, or the interpretation thereof, other than a change that would result in the Partnership being treated as a corporation for federal Tax purposes, (v) any change in the credit rating and/or outlook of any of the Plains Entities or any of their securities (except that the underlying causes of any such changes may be considered in determining whether a Material Adverse Effect has occurred), (vi) changes in the market price or trading volume of the Common Units (except that the underlying causes of any such changes may be considered in determining whether a Material Adverse Effect has occurred) or</w:t>
      </w:r>
    </w:p>
    <w:p>
      <w:pPr>
        <w:ind w:right="300" w:firstLine="8"/>
        <w:spacing w:after="0" w:line="261" w:lineRule="auto"/>
        <w:tabs>
          <w:tab w:leader="none" w:pos="35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the Partnership to meet any internal or external projections, forecasts or estimates of revenue or earnings for any period (except that the underlying causes of any such failures may be considered in determining whether a Material Adverse Effect has occurred).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Material Subsidiaries</w:t>
      </w:r>
      <w:r>
        <w:rPr>
          <w:rFonts w:ascii="Times New Roman" w:cs="Times New Roman" w:eastAsia="Times New Roman" w:hAnsi="Times New Roman"/>
          <w:sz w:val="18"/>
          <w:szCs w:val="18"/>
          <w:color w:val="auto"/>
        </w:rPr>
        <w:t xml:space="preserve">” means the subsidiaries of the Partnership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Organizational Documents</w:t>
      </w:r>
      <w:r>
        <w:rPr>
          <w:rFonts w:ascii="Times New Roman" w:cs="Times New Roman" w:eastAsia="Times New Roman" w:hAnsi="Times New Roman"/>
          <w:sz w:val="18"/>
          <w:szCs w:val="18"/>
          <w:color w:val="auto"/>
        </w:rPr>
        <w:t>” means, as applicable, an entity’s agreement or certificate of limited partnership, limited liability company agreement, certificate of formation, certificate or articles of incorporation, bylaws or other similar organizational documents.</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PAA Facility</w:t>
      </w:r>
      <w:r>
        <w:rPr>
          <w:rFonts w:ascii="Times New Roman" w:cs="Times New Roman" w:eastAsia="Times New Roman" w:hAnsi="Times New Roman"/>
          <w:sz w:val="18"/>
          <w:szCs w:val="18"/>
          <w:color w:val="auto"/>
        </w:rPr>
        <w:t>” means the Credit Agreement dated as of August 19, 2011, as amended, by and among the Partnership, certain Subsidiaries of the Partnership from time to time party thereto and Bank of America, N.A., as administrative agent, and the other lenders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 Agreement</w:t>
      </w:r>
      <w:r>
        <w:rPr>
          <w:rFonts w:ascii="Times New Roman" w:cs="Times New Roman" w:eastAsia="Times New Roman" w:hAnsi="Times New Roman"/>
          <w:sz w:val="18"/>
          <w:szCs w:val="18"/>
          <w:color w:val="auto"/>
        </w:rPr>
        <w:t>” means Fourth Amended and Restated Agreement of Limited Partnership of the Partnership, dated as of May 17, 2012, as amended from time to time in accordance with the terms thereof, including as the context requires, the Fifth A&amp;R LPA.</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 Related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ectPr>
          <w:pgSz w:w="11900" w:h="16866" w:orient="portrait"/>
          <w:cols w:equalWidth="0" w:num="1">
            <w:col w:w="11420"/>
          </w:cols>
          <w:pgMar w:left="240" w:top="121" w:right="239" w:bottom="0" w:gutter="0" w:footer="0" w:header="0"/>
        </w:sectPr>
      </w:pPr>
    </w:p>
    <w:bookmarkStart w:id="91" w:name="page92"/>
    <w:bookmarkEnd w:id="91"/>
    <w:p>
      <w:pPr>
        <w:ind w:right="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Permits</w:t>
      </w:r>
      <w:r>
        <w:rPr>
          <w:rFonts w:ascii="Times New Roman" w:cs="Times New Roman" w:eastAsia="Times New Roman" w:hAnsi="Times New Roman"/>
          <w:sz w:val="18"/>
          <w:szCs w:val="18"/>
          <w:color w:val="auto"/>
        </w:rPr>
        <w:t>” means any approvals, authorizations, consents, licenses, permits, variances, waivers, grants, franchises, concessions, exemptions, orders, registrations or certificates of a Governmental Authority.</w:t>
      </w:r>
    </w:p>
    <w:p>
      <w:pPr>
        <w:spacing w:after="0" w:line="155" w:lineRule="exact"/>
        <w:rPr>
          <w:sz w:val="20"/>
          <w:szCs w:val="20"/>
          <w:color w:val="auto"/>
        </w:rPr>
      </w:pPr>
    </w:p>
    <w:p>
      <w:pPr>
        <w:ind w:right="8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means any individual, corporation, company, voluntary association, partnership, joint venture, trust, limited liability company, unincorporated organization, government or any agency, instrumentality or political subdivision thereof or any other form of entity.</w:t>
      </w:r>
    </w:p>
    <w:p>
      <w:pPr>
        <w:spacing w:after="0" w:line="155" w:lineRule="exact"/>
        <w:rPr>
          <w:sz w:val="20"/>
          <w:szCs w:val="20"/>
          <w:color w:val="auto"/>
        </w:rPr>
      </w:pPr>
    </w:p>
    <w:p>
      <w:pPr>
        <w:ind w:right="1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PIK Units</w:t>
      </w:r>
      <w:r>
        <w:rPr>
          <w:rFonts w:ascii="Times New Roman" w:cs="Times New Roman" w:eastAsia="Times New Roman" w:hAnsi="Times New Roman"/>
          <w:sz w:val="18"/>
          <w:szCs w:val="18"/>
          <w:color w:val="auto"/>
        </w:rPr>
        <w:t>” means additional Series A Preferred Units issued by the Partnership to the Purchasers as in-kind distributions pursuant to the terms of the Fifth A&amp;R LPA.</w:t>
      </w:r>
    </w:p>
    <w:p>
      <w:pPr>
        <w:spacing w:after="0" w:line="155"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Pipeline Safety Law</w:t>
      </w:r>
      <w:r>
        <w:rPr>
          <w:rFonts w:ascii="Times New Roman" w:cs="Times New Roman" w:eastAsia="Times New Roman" w:hAnsi="Times New Roman"/>
          <w:sz w:val="18"/>
          <w:szCs w:val="18"/>
          <w:color w:val="auto"/>
        </w:rPr>
        <w:t>” means any Law applicable to the Plains Entities or the operation of their business in any way relating to the safety of owning, operating or managing pipelines or other facilities used for processing, storing or transporting natural gas, liquids, oil or their by-products, including, but not limited to, the Pipeline Inspection, Protection, Enforcement and Safety Act (49 U.S.C. Chapter 601), the Hazardous Liquid Pipeline Safety Act (49 U.S.C. Chapter 601), the Natural Gas Pipeline Safety Act (49 U.S.C. Chapter 601) and the Pipeline Safety Improvement Act (49 U.S.C. Chapter 601).</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Plains AAP</w:t>
      </w:r>
      <w:r>
        <w:rPr>
          <w:rFonts w:ascii="Times New Roman" w:cs="Times New Roman" w:eastAsia="Times New Roman" w:hAnsi="Times New Roman"/>
          <w:sz w:val="18"/>
          <w:szCs w:val="18"/>
          <w:color w:val="auto"/>
        </w:rPr>
        <w:t>” means Plains AAP, L.P., a Delaware limited partnership, which owns a 100% membership interest in the General Partner.</w:t>
      </w:r>
    </w:p>
    <w:p>
      <w:pPr>
        <w:spacing w:after="0" w:line="225" w:lineRule="exact"/>
        <w:rPr>
          <w:sz w:val="20"/>
          <w:szCs w:val="20"/>
          <w:color w:val="auto"/>
        </w:rPr>
      </w:pPr>
    </w:p>
    <w:p>
      <w:pPr>
        <w:ind w:right="1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Plains AAP Facility</w:t>
      </w:r>
      <w:r>
        <w:rPr>
          <w:rFonts w:ascii="Times New Roman" w:cs="Times New Roman" w:eastAsia="Times New Roman" w:hAnsi="Times New Roman"/>
          <w:sz w:val="18"/>
          <w:szCs w:val="18"/>
          <w:color w:val="auto"/>
        </w:rPr>
        <w:t>” means the Second Amended and Restated Credit Agreement dated September 26, 2013, as amended, by and among Plains AAP, Citibank, N.A., as administrative agent, and the lenders party thereto.</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Plains Entities</w:t>
      </w:r>
      <w:r>
        <w:rPr>
          <w:rFonts w:ascii="Times New Roman" w:cs="Times New Roman" w:eastAsia="Times New Roman" w:hAnsi="Times New Roman"/>
          <w:sz w:val="18"/>
          <w:szCs w:val="18"/>
          <w:color w:val="auto"/>
        </w:rPr>
        <w:t>” means, collectively the Partnership and the Partnership’s majority owned Subsidiaries.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Plains SEC Documents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Property</w:t>
      </w:r>
      <w:r>
        <w:rPr>
          <w:rFonts w:ascii="Times New Roman" w:cs="Times New Roman" w:eastAsia="Times New Roman" w:hAnsi="Times New Roman"/>
          <w:sz w:val="18"/>
          <w:szCs w:val="18"/>
          <w:color w:val="auto"/>
        </w:rPr>
        <w:t>” means any interest in any kind of property or asset, whether real, personal or mixed, or tangible or intangible (including intellectual property rights).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Purchased Units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Purchaser Related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 has the meaning set forth in the introductory paragraph of this Agreement.</w:t>
      </w:r>
    </w:p>
    <w:p>
      <w:pPr>
        <w:spacing w:after="0" w:line="225" w:lineRule="exact"/>
        <w:rPr>
          <w:sz w:val="20"/>
          <w:szCs w:val="20"/>
          <w:color w:val="auto"/>
        </w:rPr>
      </w:pPr>
    </w:p>
    <w:p>
      <w:pPr>
        <w:ind w:right="3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Registration Rights Agreement</w:t>
      </w:r>
      <w:r>
        <w:rPr>
          <w:rFonts w:ascii="Times New Roman" w:cs="Times New Roman" w:eastAsia="Times New Roman" w:hAnsi="Times New Roman"/>
          <w:sz w:val="18"/>
          <w:szCs w:val="18"/>
          <w:color w:val="auto"/>
        </w:rPr>
        <w:t>” means the Registration Rights Agreement, to be entered into at the Closing, between the Partnership and the Purchasers, in the form agreed by the parties as of the date hereof.</w:t>
      </w:r>
    </w:p>
    <w:p>
      <w:pPr>
        <w:spacing w:after="0" w:line="155" w:lineRule="exact"/>
        <w:rPr>
          <w:sz w:val="20"/>
          <w:szCs w:val="20"/>
          <w:color w:val="auto"/>
        </w:rPr>
      </w:pPr>
    </w:p>
    <w:p>
      <w:pPr>
        <w:ind w:right="40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Representatives</w:t>
      </w:r>
      <w:r>
        <w:rPr>
          <w:rFonts w:ascii="Times New Roman" w:cs="Times New Roman" w:eastAsia="Times New Roman" w:hAnsi="Times New Roman"/>
          <w:sz w:val="18"/>
          <w:szCs w:val="18"/>
          <w:color w:val="auto"/>
        </w:rPr>
        <w:t>” means, with respect to a specified Person, the investors, officers, directors, managers, employees, agents, advisors, counsel, accountants, investment bankers and other representatives of such Person.</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means the Securities Act of 1933, as amended from time to time, and the rules and regulations of the Commission promulgated thereunder.</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Series A Preferred Units</w:t>
      </w:r>
      <w:r>
        <w:rPr>
          <w:rFonts w:ascii="Times New Roman" w:cs="Times New Roman" w:eastAsia="Times New Roman" w:hAnsi="Times New Roman"/>
          <w:sz w:val="18"/>
          <w:szCs w:val="18"/>
          <w:color w:val="auto"/>
        </w:rPr>
        <w:t>” means the Partnership’s Series A Preferred Units.</w:t>
      </w:r>
    </w:p>
    <w:p>
      <w:pPr>
        <w:spacing w:after="0" w:line="225"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means, as to any Person, any corporation or other entity of which: (a) such Person or a Subsidiary of such Person is a general partner or, in the case of a limited liability company, the managing member or manager thereof; (b) at least a majority of the outstanding equity interest having by the terms thereof ordinary voting power to elect a majority of the board of directors or similar governing body of such corporation or other entity (irrespective of whether or not at the time any equity interest of any other class or classes of such corporation or other entity shall have or might have voting power by reason of the happening of any contingency) is at the time directly or indirectly owned or controlled by such Person or one or more of its Subsidiaries; or (c) any corporation or other entity as to which such Person consolidates for accounting purposes.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 Return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Third-Party Claim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Total Funding Obligation</w:t>
      </w:r>
      <w:r>
        <w:rPr>
          <w:rFonts w:ascii="Times New Roman" w:cs="Times New Roman" w:eastAsia="Times New Roman" w:hAnsi="Times New Roman"/>
          <w:sz w:val="18"/>
          <w:szCs w:val="18"/>
          <w:color w:val="auto"/>
        </w:rPr>
        <w:t>” means the sum of all of the Purchaser’s Funding Obligations.</w:t>
      </w:r>
    </w:p>
    <w:p>
      <w:pPr>
        <w:spacing w:after="0" w:line="225" w:lineRule="exact"/>
        <w:rPr>
          <w:sz w:val="20"/>
          <w:szCs w:val="20"/>
          <w:color w:val="auto"/>
        </w:rPr>
      </w:pPr>
    </w:p>
    <w:p>
      <w:pPr>
        <w:ind w:right="40"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Transaction Documents</w:t>
      </w:r>
      <w:r>
        <w:rPr>
          <w:rFonts w:ascii="Times New Roman" w:cs="Times New Roman" w:eastAsia="Times New Roman" w:hAnsi="Times New Roman"/>
          <w:sz w:val="18"/>
          <w:szCs w:val="18"/>
          <w:color w:val="auto"/>
        </w:rPr>
        <w:t>” means, collectively, this Agreement, the Registration Rights Agreement, the Fifth A&amp;R LPA, the Director Designation Amendment and any and all other agreements or instruments executed and delivered to the Purchasers by the Partnership or the General Partner hereunder or thereunder, as applicable.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Transaction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3" w:right="299" w:bottom="104" w:gutter="0" w:footer="0" w:header="0"/>
        </w:sectPr>
      </w:pPr>
    </w:p>
    <w:bookmarkStart w:id="92" w:name="page93"/>
    <w:bookmarkEnd w:id="92"/>
    <w:p>
      <w:pPr>
        <w:spacing w:after="0" w:line="13"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364-Day Facility</w:t>
      </w:r>
      <w:r>
        <w:rPr>
          <w:rFonts w:ascii="Times New Roman" w:cs="Times New Roman" w:eastAsia="Times New Roman" w:hAnsi="Times New Roman"/>
          <w:sz w:val="18"/>
          <w:szCs w:val="18"/>
          <w:color w:val="auto"/>
        </w:rPr>
        <w:t>” means the 364-Day Credit Agreement dated January 16, 2015, as amended, by and among the Partnership, Bank of America, N.A., as administrative agent, and the lenders party thereto.</w:t>
      </w:r>
    </w:p>
    <w:p>
      <w:pPr>
        <w:spacing w:after="0" w:line="155" w:lineRule="exact"/>
        <w:rPr>
          <w:sz w:val="20"/>
          <w:szCs w:val="20"/>
          <w:color w:val="auto"/>
        </w:rPr>
      </w:pPr>
    </w:p>
    <w:p>
      <w:pPr>
        <w:ind w:firstLine="895"/>
        <w:spacing w:after="0" w:line="257"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b w:val="1"/>
          <w:bCs w:val="1"/>
          <w:u w:val="single" w:color="auto"/>
          <w:color w:val="auto"/>
        </w:rPr>
        <w:t>Accounting Procedures and Interpretation</w:t>
      </w:r>
      <w:r>
        <w:rPr>
          <w:rFonts w:ascii="Times New Roman" w:cs="Times New Roman" w:eastAsia="Times New Roman" w:hAnsi="Times New Roman"/>
          <w:sz w:val="18"/>
          <w:szCs w:val="18"/>
          <w:color w:val="auto"/>
        </w:rPr>
        <w:t>. Unless otherwise specified herein, all accounting terms used herein shall be interpreted, all determinations with respect to accounting matters hereunder shall be made, and all financial statements of the Partnership and certificates and reports as to financial matters required to be furnished to the Purchasers hereunder shall be prepared, in accordance with GAAP applied on a consistent basis during the periods involved (except as may be indicated in the notes thereto or, in the case of unaudited statements, as permitted by Form 10-Q promulgated by the Commission) and in compliance as to form in all material respects with applicable accounting requirements and with the published rules and regulations of the Commission with respect thereto.</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AGREEMENT TO SELL AND PURCHASE</w:t>
      </w:r>
    </w:p>
    <w:p>
      <w:pPr>
        <w:spacing w:after="0" w:line="203"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2.01</w:t>
      </w:r>
      <w:r>
        <w:rPr>
          <w:sz w:val="20"/>
          <w:szCs w:val="20"/>
          <w:color w:val="auto"/>
        </w:rPr>
        <w:tab/>
      </w:r>
      <w:r>
        <w:rPr>
          <w:rFonts w:ascii="Times New Roman" w:cs="Times New Roman" w:eastAsia="Times New Roman" w:hAnsi="Times New Roman"/>
          <w:sz w:val="17"/>
          <w:szCs w:val="17"/>
          <w:b w:val="1"/>
          <w:bCs w:val="1"/>
          <w:u w:val="single" w:color="auto"/>
          <w:color w:val="auto"/>
        </w:rPr>
        <w:t>Closing</w:t>
      </w:r>
      <w:r>
        <w:rPr>
          <w:rFonts w:ascii="Times New Roman" w:cs="Times New Roman" w:eastAsia="Times New Roman" w:hAnsi="Times New Roman"/>
          <w:sz w:val="17"/>
          <w:szCs w:val="17"/>
          <w:color w:val="auto"/>
        </w:rPr>
        <w:t>. On the Closing Date, subject to the terms and conditions hereof, each Purchaser hereby agrees to purchase from</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the Partnership, and the Partnership hereby agrees to issue and sell to each Purchaser, the number of Series A Preferred Units under the Purchased Units column set forth opposite each Purchaser’s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Purchased Units</w:t>
      </w:r>
      <w:r>
        <w:rPr>
          <w:rFonts w:ascii="Times New Roman" w:cs="Times New Roman" w:eastAsia="Times New Roman" w:hAnsi="Times New Roman"/>
          <w:sz w:val="18"/>
          <w:szCs w:val="18"/>
          <w:color w:val="auto"/>
        </w:rPr>
        <w:t>”) for a cash purchase price of $26.25 per Series A Preferred Unit (the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xml:space="preserve">”); provided, however, that EMG Fund IV PAA Holdings, LLC may, upon delivery of written notice to the Partnership that is received by the Partnership on or before 5:00 pm on January 14, 2016 Houston, Texas time, increase the number of Purchased Units to be purchased by it on the Closing Date by up to an additional 3,887,269 Purchased Units, and upon the timely receipt by the Partnership of such notice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shall be deemed to have been amended to reflect the increased number of Purchased Units and associated Funding Obligation for EMG Fund IV PAA Holdings, LLC, as applicable based on such notice. The consummation of the purchase and sale of the Purchased Units hereunder (the “</w:t>
      </w:r>
      <w:r>
        <w:rPr>
          <w:rFonts w:ascii="Times New Roman" w:cs="Times New Roman" w:eastAsia="Times New Roman" w:hAnsi="Times New Roman"/>
          <w:sz w:val="18"/>
          <w:szCs w:val="18"/>
          <w:b w:val="1"/>
          <w:bCs w:val="1"/>
          <w:u w:val="single" w:color="auto"/>
          <w:color w:val="auto"/>
        </w:rPr>
        <w:t>Closing</w:t>
      </w:r>
      <w:r>
        <w:rPr>
          <w:rFonts w:ascii="Times New Roman" w:cs="Times New Roman" w:eastAsia="Times New Roman" w:hAnsi="Times New Roman"/>
          <w:sz w:val="18"/>
          <w:szCs w:val="18"/>
          <w:color w:val="auto"/>
        </w:rPr>
        <w:t>”) shall take place on Closing Date at the offices of Vinson &amp; Elkins L.L.P., 1001 Fannin, Suite 2500, Houston, Texas 77002.</w:t>
      </w:r>
    </w:p>
    <w:p>
      <w:pPr>
        <w:spacing w:after="0" w:line="184"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2.02</w:t>
      </w:r>
      <w:r>
        <w:rPr>
          <w:sz w:val="20"/>
          <w:szCs w:val="20"/>
          <w:color w:val="auto"/>
        </w:rPr>
        <w:tab/>
      </w:r>
      <w:r>
        <w:rPr>
          <w:rFonts w:ascii="Times New Roman" w:cs="Times New Roman" w:eastAsia="Times New Roman" w:hAnsi="Times New Roman"/>
          <w:sz w:val="17"/>
          <w:szCs w:val="17"/>
          <w:b w:val="1"/>
          <w:bCs w:val="1"/>
          <w:u w:val="single" w:color="auto"/>
          <w:color w:val="auto"/>
        </w:rPr>
        <w:t>Deliveries at the Closing</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left="1940" w:hanging="635"/>
        <w:spacing w:after="0"/>
        <w:tabs>
          <w:tab w:leader="none" w:pos="194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 of the Partnership at the Closing</w:t>
      </w:r>
      <w:r>
        <w:rPr>
          <w:rFonts w:ascii="Times New Roman" w:cs="Times New Roman" w:eastAsia="Times New Roman" w:hAnsi="Times New Roman"/>
          <w:sz w:val="18"/>
          <w:szCs w:val="18"/>
          <w:color w:val="auto"/>
        </w:rPr>
        <w:t>. At the Closing, the Partnership shall deliver or cause to be delivered to the Purchasers:</w:t>
      </w:r>
    </w:p>
    <w:p>
      <w:pPr>
        <w:spacing w:after="0" w:line="225" w:lineRule="exact"/>
        <w:rPr>
          <w:sz w:val="20"/>
          <w:szCs w:val="20"/>
          <w:color w:val="auto"/>
        </w:rPr>
      </w:pPr>
    </w:p>
    <w:p>
      <w:pPr>
        <w:ind w:right="640" w:firstLine="1953"/>
        <w:spacing w:after="0" w:line="282" w:lineRule="auto"/>
        <w:tabs>
          <w:tab w:leader="none" w:pos="261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from Vinson &amp; Elkins L.L.P., counsel for the Partnership,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shall be addressed to the Purchasers and dated the Closing Date;</w:t>
      </w:r>
    </w:p>
    <w:p>
      <w:pPr>
        <w:spacing w:after="0" w:line="161" w:lineRule="exact"/>
        <w:rPr>
          <w:rFonts w:ascii="Times New Roman" w:cs="Times New Roman" w:eastAsia="Times New Roman" w:hAnsi="Times New Roman"/>
          <w:sz w:val="18"/>
          <w:szCs w:val="18"/>
          <w:color w:val="auto"/>
        </w:rPr>
      </w:pPr>
    </w:p>
    <w:p>
      <w:pPr>
        <w:ind w:right="160" w:firstLine="1953"/>
        <w:spacing w:after="0" w:line="282" w:lineRule="auto"/>
        <w:tabs>
          <w:tab w:leader="none" w:pos="2624"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the Fifth Amended and Restated Agreement of Limited Partnership of the Partnership, in the form agreed by the parties as of the date hereof (the “</w:t>
      </w:r>
      <w:r>
        <w:rPr>
          <w:rFonts w:ascii="Times New Roman" w:cs="Times New Roman" w:eastAsia="Times New Roman" w:hAnsi="Times New Roman"/>
          <w:sz w:val="18"/>
          <w:szCs w:val="18"/>
          <w:b w:val="1"/>
          <w:bCs w:val="1"/>
          <w:u w:val="single" w:color="auto"/>
          <w:color w:val="auto"/>
        </w:rPr>
        <w:t>Fifth A&amp;R LPA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“Supplemental Listing Application” approving the Conversion Units for listing by the NYSE;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953"/>
        <w:spacing w:after="0" w:line="266" w:lineRule="auto"/>
        <w:tabs>
          <w:tab w:leader="none" w:pos="261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issuance of the Purchased Units credited to book-entry accounts maintained by the Partnership, bearing a restrictive notation meeting the requirements of the Partnership Agreement, free and clear of any Liens, other than transfer restrictions under the Partnership Agreement or the Delaware LP Act and applicable federal and state securities laws;</w:t>
      </w:r>
    </w:p>
    <w:p>
      <w:pPr>
        <w:spacing w:after="0" w:line="176" w:lineRule="exact"/>
        <w:rPr>
          <w:rFonts w:ascii="Times New Roman" w:cs="Times New Roman" w:eastAsia="Times New Roman" w:hAnsi="Times New Roman"/>
          <w:sz w:val="18"/>
          <w:szCs w:val="18"/>
          <w:color w:val="auto"/>
        </w:rPr>
      </w:pPr>
    </w:p>
    <w:p>
      <w:pPr>
        <w:ind w:right="40" w:firstLine="1953"/>
        <w:spacing w:after="0" w:line="258" w:lineRule="auto"/>
        <w:tabs>
          <w:tab w:leader="none" w:pos="26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the Secretary or Assistant Secretary of GP LLC, on behalf of the Partnership, dated the Closing Date, certifying as to and attaching (A) the certificate of formation of the Partnership, (B) the Partnership Agreement, (C) board resolutions authorizing the execution and delivery of the Transaction Documents and the consummation of the transactions contemplated thereby, including the issuance of the Purchased Units, the PIK Units and the Conversion Units, and (D) the incumbency of the officers authorized to execute the Transaction Documents on behalf of the Partnership or the General Partner, as applicable, setting forth the name and title and bearing the signatures of such officers;</w:t>
      </w:r>
    </w:p>
    <w:p>
      <w:pPr>
        <w:spacing w:after="0" w:line="183" w:lineRule="exact"/>
        <w:rPr>
          <w:rFonts w:ascii="Times New Roman" w:cs="Times New Roman" w:eastAsia="Times New Roman" w:hAnsi="Times New Roman"/>
          <w:sz w:val="18"/>
          <w:szCs w:val="18"/>
          <w:color w:val="auto"/>
        </w:rPr>
      </w:pPr>
    </w:p>
    <w:p>
      <w:pPr>
        <w:ind w:right="180" w:firstLine="1953"/>
        <w:spacing w:after="0" w:line="266" w:lineRule="auto"/>
        <w:tabs>
          <w:tab w:leader="none" w:pos="261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cross-receipt executed by the Partnership and delivered to the Purchasers certifying that it has received from the Purchasers an amount in cash equal to the Total Funding Obligation and that the Partnership has paid to the Purchasers the Transaction Fee (which payment will be made by netting the Transaction Fee due to each Purchaser from such Purchaser’s Funding Obligation);</w:t>
      </w:r>
    </w:p>
    <w:p>
      <w:pPr>
        <w:spacing w:after="0" w:line="176" w:lineRule="exact"/>
        <w:rPr>
          <w:rFonts w:ascii="Times New Roman" w:cs="Times New Roman" w:eastAsia="Times New Roman" w:hAnsi="Times New Roman"/>
          <w:sz w:val="18"/>
          <w:szCs w:val="18"/>
          <w:color w:val="auto"/>
        </w:rPr>
      </w:pPr>
    </w:p>
    <w:p>
      <w:pPr>
        <w:ind w:right="260" w:firstLine="1953"/>
        <w:spacing w:after="0" w:line="282" w:lineRule="auto"/>
        <w:tabs>
          <w:tab w:leader="none" w:pos="2619"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duly executed waiver of the General Partner with respect to certain of its rights under the Partnership Agreement,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640" w:hanging="687"/>
        <w:spacing w:after="0"/>
        <w:tabs>
          <w:tab w:leader="none" w:pos="264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which shall have been duly executed by the Partnership;</w:t>
      </w:r>
    </w:p>
    <w:p>
      <w:pPr>
        <w:spacing w:after="0" w:line="225"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 Designation Amendment, which shall have been duly executed by Plains GP Holdings, L.P., a Delaware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partnership; and</w:t>
      </w:r>
    </w:p>
    <w:p>
      <w:pPr>
        <w:spacing w:after="0" w:line="206"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relating to the transactions contemplated by this Agreement as the Purchasers or their counsel may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request.</w:t>
      </w:r>
    </w:p>
    <w:p>
      <w:pPr>
        <w:spacing w:after="0" w:line="20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Deliveries of Each Purchaser at the Closing</w:t>
      </w:r>
      <w:r>
        <w:rPr>
          <w:rFonts w:ascii="Times New Roman" w:cs="Times New Roman" w:eastAsia="Times New Roman" w:hAnsi="Times New Roman"/>
          <w:sz w:val="18"/>
          <w:szCs w:val="18"/>
          <w:color w:val="auto"/>
        </w:rPr>
        <w:t>. At the Closing, each Purchaser shall deliver or cause to be delivered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w:t>
      </w:r>
    </w:p>
    <w:p>
      <w:pPr>
        <w:spacing w:after="0" w:line="206" w:lineRule="exact"/>
        <w:rPr>
          <w:rFonts w:ascii="Times New Roman" w:cs="Times New Roman" w:eastAsia="Times New Roman" w:hAnsi="Times New Roman"/>
          <w:sz w:val="18"/>
          <w:szCs w:val="18"/>
          <w:color w:val="auto"/>
        </w:rPr>
      </w:pPr>
    </w:p>
    <w:p>
      <w:pPr>
        <w:ind w:left="2620" w:hanging="667"/>
        <w:spacing w:after="0"/>
        <w:tabs>
          <w:tab w:leader="none" w:pos="262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Rights Agreement, which shall have been duly executed by such Purchaser;</w:t>
      </w:r>
    </w:p>
    <w:p>
      <w:pPr>
        <w:spacing w:after="0" w:line="225" w:lineRule="exact"/>
        <w:rPr>
          <w:rFonts w:ascii="Times New Roman" w:cs="Times New Roman" w:eastAsia="Times New Roman" w:hAnsi="Times New Roman"/>
          <w:sz w:val="18"/>
          <w:szCs w:val="18"/>
          <w:color w:val="auto"/>
        </w:rPr>
      </w:pPr>
    </w:p>
    <w:p>
      <w:pPr>
        <w:ind w:right="500" w:firstLine="1953"/>
        <w:spacing w:after="0" w:line="282" w:lineRule="auto"/>
        <w:tabs>
          <w:tab w:leader="none" w:pos="2624"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cross-receipt executed by such Purchaser and delivered to the Partnership certifying that it has received from the Partnership the number of Series A Preferred Units set forth opposite such Purchaser’s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40" w:firstLine="1953"/>
        <w:spacing w:after="0" w:line="266" w:lineRule="auto"/>
        <w:tabs>
          <w:tab w:leader="none" w:pos="2633"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such Purchaser’s Funding Obligation (which payment will be made by netting the Transaction Fee due to such Purchaser from such Purchaser’s Funding Obligation) payable by wire transfer of immediately available funds to an account designated in advance of the Closing Date by the Partnership; and</w:t>
      </w:r>
    </w:p>
    <w:p>
      <w:pPr>
        <w:sectPr>
          <w:pgSz w:w="11900" w:h="16852" w:orient="portrait"/>
          <w:cols w:equalWidth="0" w:num="1">
            <w:col w:w="11400"/>
          </w:cols>
          <w:pgMar w:left="240" w:top="333" w:right="259" w:bottom="0" w:gutter="0" w:footer="0" w:header="0"/>
        </w:sectPr>
      </w:pPr>
    </w:p>
    <w:bookmarkStart w:id="93" w:name="page94"/>
    <w:bookmarkEnd w:id="93"/>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667"/>
        <w:spacing w:after="0"/>
        <w:tabs>
          <w:tab w:leader="none" w:pos="262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documents relating to the transactions contemplated by this Agreement as the Partnership or its counsel may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reasonably request.</w:t>
      </w:r>
    </w:p>
    <w:p>
      <w:pPr>
        <w:spacing w:after="0" w:line="203" w:lineRule="exact"/>
        <w:rPr>
          <w:sz w:val="20"/>
          <w:szCs w:val="20"/>
          <w:color w:val="auto"/>
        </w:rPr>
      </w:pPr>
    </w:p>
    <w:p>
      <w:pPr>
        <w:ind w:right="20" w:firstLine="895"/>
        <w:spacing w:after="0" w:line="253"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b w:val="1"/>
          <w:bCs w:val="1"/>
          <w:u w:val="single" w:color="auto"/>
          <w:color w:val="auto"/>
        </w:rPr>
        <w:t>Independent Nature of Purchasers’ Obligations and Rights</w:t>
      </w:r>
      <w:r>
        <w:rPr>
          <w:rFonts w:ascii="Times New Roman" w:cs="Times New Roman" w:eastAsia="Times New Roman" w:hAnsi="Times New Roman"/>
          <w:sz w:val="18"/>
          <w:szCs w:val="18"/>
          <w:color w:val="auto"/>
        </w:rPr>
        <w:t xml:space="preserve">. The obligations of each Purchaser under any Transaction Document are several and not joint with the obligations of any other Purchaser, and no Purchaser shall be responsible in any way for the performance of the obligations of any other Purchaser under any Transaction Document. Each Purchaser acknowledges by executing this Agreement that such Purchaser is irrevocably committed to purchase the Purchased Units in accordance with the terms of this Agreement, and such purchase is not subject to any conditions precedent other than the deliverables contemplated by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The failure or waiver of performance under any Transaction Document of any Purchaser by the Partnership does not excuse performance by any other Purchaser and the waiver of performance of the Partnership by any Purchaser does not excuse performance by the Partnership with respect to each other Purchaser. Nothing contained herein or in any other Transaction Document, and no action taken by any Purchaser pursuant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the rights arising out of this Agreement or out of the other Transaction Documents, and it shall not be necessary for any other Purchaser to be joined as an additional party in any proceeding for such purpose.</w:t>
      </w:r>
    </w:p>
    <w:p>
      <w:pPr>
        <w:spacing w:after="0" w:line="191" w:lineRule="exact"/>
        <w:rPr>
          <w:sz w:val="20"/>
          <w:szCs w:val="20"/>
          <w:color w:val="auto"/>
        </w:rPr>
      </w:pPr>
    </w:p>
    <w:p>
      <w:pPr>
        <w:jc w:val="both"/>
        <w:ind w:right="240" w:firstLine="895"/>
        <w:spacing w:after="0" w:line="268"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b w:val="1"/>
          <w:bCs w:val="1"/>
          <w:u w:val="single" w:color="auto"/>
          <w:color w:val="auto"/>
        </w:rPr>
        <w:t>Further Assurances</w:t>
      </w:r>
      <w:r>
        <w:rPr>
          <w:rFonts w:ascii="Times New Roman" w:cs="Times New Roman" w:eastAsia="Times New Roman" w:hAnsi="Times New Roman"/>
          <w:sz w:val="18"/>
          <w:szCs w:val="18"/>
          <w:color w:val="auto"/>
        </w:rPr>
        <w:t>. From time to time after the date hereof, without further consideration, the Partnership and each Purchaser shall use their commercially reasonable efforts to take, or cause to be taken, all actions necessary or appropriate to consummate the transactions contemplated by this Agreement.</w:t>
      </w:r>
    </w:p>
    <w:p>
      <w:pPr>
        <w:spacing w:after="0" w:line="1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REPRESENTATIONS AND WARRANTIES 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COVENANTS RELATED TO THE PARTNERSHIP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hereof, the Partnership represents and warrants to and covenants with the Purchasers as follows:</w:t>
      </w:r>
    </w:p>
    <w:p>
      <w:pPr>
        <w:spacing w:after="0" w:line="221"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3.01</w:t>
      </w:r>
      <w:r>
        <w:rPr>
          <w:sz w:val="20"/>
          <w:szCs w:val="20"/>
          <w:color w:val="auto"/>
        </w:rPr>
        <w:tab/>
      </w:r>
      <w:r>
        <w:rPr>
          <w:rFonts w:ascii="Times New Roman" w:cs="Times New Roman" w:eastAsia="Times New Roman" w:hAnsi="Times New Roman"/>
          <w:sz w:val="18"/>
          <w:szCs w:val="18"/>
          <w:b w:val="1"/>
          <w:bCs w:val="1"/>
          <w:u w:val="single" w:color="auto"/>
          <w:color w:val="auto"/>
        </w:rPr>
        <w:t>Existence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1305"/>
        <w:spacing w:after="0" w:line="255" w:lineRule="auto"/>
        <w:tabs>
          <w:tab w:leader="none" w:pos="1942"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Partnership, GP Entities and Material Subsidiaries has been duly incorporated or formed, as the case may be, and is validly existing as a limited liability company, limited partnership or corporation, as the case may be, in good standing under the Laws of its jurisdiction of incorporation or formation, as the case may be, and has the full limited liability company, limited partnership or corporate, as the case may be, power and authority to own or lease its Properties and assets and to conduct the businesses in all material respects which it is engaged, and is duly registered or qualified as a foreign limited liability company, limited partnership or corporation, as the case may be, for the transaction of business under the laws of each jurisdiction in which the character of the business conducted by it or the nature or location of the properties owned or leased by it makes such registration or qualification necessary, except</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where the failure to so register or qualify would not (i) reasonably be expected to have a Material Adverse Effect or (ii) subject the limited partners of the Partnership to any material liability or disability.</w:t>
      </w:r>
    </w:p>
    <w:p>
      <w:pPr>
        <w:spacing w:after="0" w:line="162" w:lineRule="exact"/>
        <w:rPr>
          <w:sz w:val="20"/>
          <w:szCs w:val="20"/>
          <w:color w:val="auto"/>
        </w:rPr>
      </w:pPr>
    </w:p>
    <w:p>
      <w:pPr>
        <w:ind w:left="1960" w:hanging="655"/>
        <w:spacing w:after="0"/>
        <w:tabs>
          <w:tab w:leader="none" w:pos="196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Partnership, the GP Entities or the Material Subsidiaries is in violation of its Organizational Documents in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respect.</w:t>
      </w:r>
    </w:p>
    <w:p>
      <w:pPr>
        <w:spacing w:after="0" w:line="207" w:lineRule="exact"/>
        <w:rPr>
          <w:sz w:val="20"/>
          <w:szCs w:val="20"/>
          <w:color w:val="auto"/>
        </w:rPr>
      </w:pPr>
    </w:p>
    <w:p>
      <w:pPr>
        <w:ind w:right="60" w:firstLine="1305"/>
        <w:spacing w:after="0" w:line="255" w:lineRule="auto"/>
        <w:tabs>
          <w:tab w:leader="none" w:pos="1955"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agreement or limited liability company agreement, as applicable, of each of the Partnership, the GP Entities and the Material Subsidiaries has been, and in the case of the Fifth A&amp;R LPA for the Partnership, at the Closing will be, duly authorized, executed and delivered by any GP Entity or Plains Entity party thereto and is, and in the case of the Fifth A&amp;R LPA, at the Closing will be, a valid and legally binding agreement of such party thereto, enforceable against such party thereto in accordance with their respective terms; provided,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85"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3.02</w:t>
      </w:r>
      <w:r>
        <w:rPr>
          <w:sz w:val="20"/>
          <w:szCs w:val="20"/>
          <w:color w:val="auto"/>
        </w:rPr>
        <w:tab/>
      </w:r>
      <w:r>
        <w:rPr>
          <w:rFonts w:ascii="Times New Roman" w:cs="Times New Roman" w:eastAsia="Times New Roman" w:hAnsi="Times New Roman"/>
          <w:sz w:val="17"/>
          <w:szCs w:val="17"/>
          <w:b w:val="1"/>
          <w:bCs w:val="1"/>
          <w:u w:val="single" w:color="auto"/>
          <w:color w:val="auto"/>
        </w:rPr>
        <w:t>Capitalization and Valid Issuance of Units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5"/>
        <w:spacing w:after="0" w:line="277" w:lineRule="auto"/>
        <w:tabs>
          <w:tab w:leader="none" w:pos="1942"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date hereof, and prior to the issuance and sale of the Purchased Units, the issued and outstanding limited partner interests of the Partnership consist of 397,727,624 Common Units and the incentive distribution rights (as defined in the Partnership Agreement, the “</w:t>
      </w:r>
      <w:r>
        <w:rPr>
          <w:rFonts w:ascii="Times New Roman" w:cs="Times New Roman" w:eastAsia="Times New Roman" w:hAnsi="Times New Roman"/>
          <w:sz w:val="17"/>
          <w:szCs w:val="17"/>
          <w:b w:val="1"/>
          <w:bCs w:val="1"/>
          <w:u w:val="single" w:color="auto"/>
          <w:color w:val="auto"/>
        </w:rPr>
        <w:t>Incentive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Distribution Rights</w:t>
      </w:r>
      <w:r>
        <w:rPr>
          <w:rFonts w:ascii="Times New Roman" w:cs="Times New Roman" w:eastAsia="Times New Roman" w:hAnsi="Times New Roman"/>
          <w:sz w:val="17"/>
          <w:szCs w:val="17"/>
          <w:color w:val="auto"/>
        </w:rPr>
        <w:t>”). All outstanding Common Units, Incentive Distribution Rights and the limited partner interests represented thereby have been duly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authorized and validly issued in accordance with the Partnership Agreement and are fully paid (to the extent required under the Partnership Agreement) and nonassessable (except as such nonassessability may be affected by matters described in Sections 17-303, 17-607 and 17-804 of the Delaware LP Act).</w:t>
      </w:r>
    </w:p>
    <w:p>
      <w:pPr>
        <w:spacing w:after="0" w:line="168" w:lineRule="exact"/>
        <w:rPr>
          <w:rFonts w:ascii="Times New Roman" w:cs="Times New Roman" w:eastAsia="Times New Roman" w:hAnsi="Times New Roman"/>
          <w:sz w:val="17"/>
          <w:szCs w:val="17"/>
          <w:color w:val="auto"/>
        </w:rPr>
      </w:pPr>
    </w:p>
    <w:p>
      <w:pPr>
        <w:ind w:right="40" w:firstLine="1305"/>
        <w:spacing w:after="0" w:line="256" w:lineRule="auto"/>
        <w:tabs>
          <w:tab w:leader="none" w:pos="1952"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their ownership of the equity interests of the General Partner, the GP Entities hold a 2.0% general partner interest in the Partnership; such general partner interest has been duly authorized and validly issued in accordance with the Partnership Agreement and the General Partner owns such interest free and clear of all Liens (except (i) as disclosed in the Plains SEC Documents, (ii) for Liens created, arising under or securing any of the Credit Facilities, (iii) for Liens arising under the Partnership Agreement or the Delaware LP Act and (iv) such as would not reasonably be expected to result in a change of control of the Partnership or reasonably be expected to materially adversely affect the ability of the Plains Entities considered as a whole to conduct their businesses as currently conducted).</w:t>
      </w:r>
    </w:p>
    <w:p>
      <w:pPr>
        <w:spacing w:after="0" w:line="187" w:lineRule="exact"/>
        <w:rPr>
          <w:rFonts w:ascii="Times New Roman" w:cs="Times New Roman" w:eastAsia="Times New Roman" w:hAnsi="Times New Roman"/>
          <w:sz w:val="18"/>
          <w:szCs w:val="18"/>
          <w:color w:val="auto"/>
        </w:rPr>
      </w:pPr>
    </w:p>
    <w:p>
      <w:pPr>
        <w:ind w:right="280" w:firstLine="1305"/>
        <w:spacing w:after="0" w:line="282" w:lineRule="auto"/>
        <w:tabs>
          <w:tab w:leader="none" w:pos="1955"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Purchased Units being purchased by the Purchasers hereunder and the limited partner interests represented thereby will be duly authorized by the Partnership pursuant to the Partnership Agreement prior to the Closing and, when issued and delivered to the Purchasers against</w:t>
      </w:r>
    </w:p>
    <w:p>
      <w:pPr>
        <w:sectPr>
          <w:pgSz w:w="11900" w:h="16933" w:orient="portrait"/>
          <w:cols w:equalWidth="0" w:num="1">
            <w:col w:w="11360"/>
          </w:cols>
          <w:pgMar w:left="240" w:top="337" w:right="299" w:bottom="0" w:gutter="0" w:footer="0" w:header="0"/>
        </w:sectPr>
      </w:pPr>
    </w:p>
    <w:bookmarkStart w:id="94" w:name="page95"/>
    <w:bookmarkEnd w:id="94"/>
    <w:p>
      <w:pPr>
        <w:ind w:right="100"/>
        <w:spacing w:after="0" w:line="282" w:lineRule="auto"/>
        <w:rPr>
          <w:sz w:val="20"/>
          <w:szCs w:val="20"/>
          <w:color w:val="auto"/>
        </w:rPr>
      </w:pPr>
      <w:r>
        <w:rPr>
          <w:rFonts w:ascii="Times New Roman" w:cs="Times New Roman" w:eastAsia="Times New Roman" w:hAnsi="Times New Roman"/>
          <w:sz w:val="18"/>
          <w:szCs w:val="18"/>
          <w:color w:val="auto"/>
        </w:rPr>
        <w:t>payment therefor in accordance with the terms of this Agreement, will be validly issued, fully paid (to the extent required by the Partnership Agreement) and nonassessable (except as such nonassessability may be affected by matters described in Sections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17-303, 17-607 and 17-804 of the Delaware LP Act) and will be free of any and all Liens and restrictions on transfer, other than (i) restrictions on transfer under the Partnership Agreement or this Agreement and under applicable state and federal securities laws, (ii) such Liens as are created by the Purchasers, and (iii) such Liens as arise under the Partnership Agreement or the Delaware LP Act.</w:t>
      </w:r>
    </w:p>
    <w:p>
      <w:pPr>
        <w:spacing w:after="0" w:line="176" w:lineRule="exact"/>
        <w:rPr>
          <w:sz w:val="20"/>
          <w:szCs w:val="20"/>
          <w:color w:val="auto"/>
        </w:rPr>
      </w:pPr>
    </w:p>
    <w:p>
      <w:pPr>
        <w:ind w:right="160" w:firstLine="1305"/>
        <w:spacing w:after="0" w:line="258" w:lineRule="auto"/>
        <w:tabs>
          <w:tab w:leader="none" w:pos="1952"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preemptive rights that have been waived or as disclosed in the Plains SEC Documents, there are no persons entitled to statutory, preemptive or other similar contractual rights to subscribe for the Purchased Units; and, except (i) for the Purchased Units to be issued pursuant to this Agreement, (ii) for awards issued pursuant to the Partnership’s long-term incentive plans or (iii) as disclosed in the Plains SEC Documents, no options, warrants or other rights to purchase, agreements or other obligations to issue, or rights to convert any obligations into or exchange any securities for, partnership securities or ownership interests in the Partnership are outstanding.</w:t>
      </w:r>
    </w:p>
    <w:p>
      <w:pPr>
        <w:spacing w:after="0" w:line="183" w:lineRule="exact"/>
        <w:rPr>
          <w:rFonts w:ascii="Times New Roman" w:cs="Times New Roman" w:eastAsia="Times New Roman" w:hAnsi="Times New Roman"/>
          <w:sz w:val="18"/>
          <w:szCs w:val="18"/>
          <w:color w:val="auto"/>
        </w:rPr>
      </w:pPr>
    </w:p>
    <w:p>
      <w:pPr>
        <w:ind w:right="40" w:firstLine="1305"/>
        <w:spacing w:after="0" w:line="258" w:lineRule="auto"/>
        <w:tabs>
          <w:tab w:leader="none" w:pos="195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issuance in accordance with this Agreement and the Partnership Agreement, the PIK Units, the Conversion Units and the Additional Conversion Units will be duly authorized, validly issued, fully paid (to the extent required by the Partnership Agreement) and nonassessable (except as such nonassessability may be affected by matters described in Sections 17-303, 17-607 and 17-804 of the Delaware LP Act) and will be free of any and all Liens and restrictions on transfer, other than (i) restrictions on transfer under the Transaction Documents and under applicable state and federal securities laws, (ii) such Liens as are created by the Purchasers, and (iii) such Liens as arise under the Partnership Agreement or the Delaware LP Act.</w:t>
      </w:r>
    </w:p>
    <w:p>
      <w:pPr>
        <w:spacing w:after="0" w:line="180" w:lineRule="exact"/>
        <w:rPr>
          <w:sz w:val="20"/>
          <w:szCs w:val="20"/>
          <w:color w:val="auto"/>
        </w:rPr>
      </w:pPr>
    </w:p>
    <w:p>
      <w:pPr>
        <w:jc w:val="both"/>
        <w:ind w:right="120" w:firstLine="895"/>
        <w:spacing w:after="0" w:line="268"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b w:val="1"/>
          <w:bCs w:val="1"/>
          <w:u w:val="single" w:color="auto"/>
          <w:color w:val="auto"/>
        </w:rPr>
        <w:t>General Partners</w:t>
      </w:r>
      <w:r>
        <w:rPr>
          <w:rFonts w:ascii="Times New Roman" w:cs="Times New Roman" w:eastAsia="Times New Roman" w:hAnsi="Times New Roman"/>
          <w:sz w:val="18"/>
          <w:szCs w:val="18"/>
          <w:color w:val="auto"/>
        </w:rPr>
        <w:t>. 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Plains SEC Documents.</w:t>
      </w:r>
    </w:p>
    <w:p>
      <w:pPr>
        <w:spacing w:after="0" w:line="171" w:lineRule="exact"/>
        <w:rPr>
          <w:sz w:val="20"/>
          <w:szCs w:val="20"/>
          <w:color w:val="auto"/>
        </w:rPr>
      </w:pPr>
    </w:p>
    <w:p>
      <w:pPr>
        <w:ind w:right="20" w:firstLine="895"/>
        <w:spacing w:after="0" w:line="254"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b w:val="1"/>
          <w:bCs w:val="1"/>
          <w:u w:val="single" w:color="auto"/>
          <w:color w:val="auto"/>
        </w:rPr>
        <w:t>Ownership of the Material Subsidiaries</w:t>
      </w:r>
      <w:r>
        <w:rPr>
          <w:rFonts w:ascii="Times New Roman" w:cs="Times New Roman" w:eastAsia="Times New Roman" w:hAnsi="Times New Roman"/>
          <w:sz w:val="18"/>
          <w:szCs w:val="18"/>
          <w:color w:val="auto"/>
        </w:rPr>
        <w:t>. All of the outstanding shares of capital stock or other equity interests of each Material Subsidiary (a)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entity formed under the laws of a foreign jurisdiction, as such nonassessability may be affected by similar provisions of such jurisdiction’s corporate, partnership or limited liability company statute, if any, as applicable) and (b) are owned, directly or indirectly, by the Partnership, free and clear of all Liens. The Subsidiaries other than the Material Subsidiaries would not have, individually or in the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aggregate, accounted for (i) more than 10% of the total assets of the Plains Entities, taken as a whole, as of the most recent fiscal year end or (ii) more than 10% of the net income of the Plains Entities, taken as a whole, for the most recent fiscal year.</w:t>
      </w:r>
    </w:p>
    <w:p>
      <w:pPr>
        <w:spacing w:after="0" w:line="158" w:lineRule="exact"/>
        <w:rPr>
          <w:sz w:val="20"/>
          <w:szCs w:val="20"/>
          <w:color w:val="auto"/>
        </w:rPr>
      </w:pPr>
    </w:p>
    <w:p>
      <w:pPr>
        <w:ind w:firstLine="895"/>
        <w:spacing w:after="0" w:line="252"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b w:val="1"/>
          <w:bCs w:val="1"/>
          <w:u w:val="single" w:color="auto"/>
          <w:color w:val="auto"/>
        </w:rPr>
        <w:t>Plains SEC Documents</w:t>
      </w:r>
      <w:r>
        <w:rPr>
          <w:rFonts w:ascii="Times New Roman" w:cs="Times New Roman" w:eastAsia="Times New Roman" w:hAnsi="Times New Roman"/>
          <w:sz w:val="18"/>
          <w:szCs w:val="18"/>
          <w:color w:val="auto"/>
        </w:rPr>
        <w:t>. Except as disclosed in the Plains SEC Documents, since January 1, 2015, the Partnership’s forms, registration statements, reports, schedules and statements required to be filed by it under the Exchange Act or the Securities Act (all such documents filed prior to the date hereof, collectively the “</w:t>
      </w:r>
      <w:r>
        <w:rPr>
          <w:rFonts w:ascii="Times New Roman" w:cs="Times New Roman" w:eastAsia="Times New Roman" w:hAnsi="Times New Roman"/>
          <w:sz w:val="18"/>
          <w:szCs w:val="18"/>
          <w:b w:val="1"/>
          <w:bCs w:val="1"/>
          <w:u w:val="single" w:color="auto"/>
          <w:color w:val="auto"/>
        </w:rPr>
        <w:t>Plains SEC Documents</w:t>
      </w:r>
      <w:r>
        <w:rPr>
          <w:rFonts w:ascii="Times New Roman" w:cs="Times New Roman" w:eastAsia="Times New Roman" w:hAnsi="Times New Roman"/>
          <w:sz w:val="18"/>
          <w:szCs w:val="18"/>
          <w:color w:val="auto"/>
        </w:rPr>
        <w:t>”) have been filed with the Commission on a timely basis. The Plains SEC Documents, at the time filed (or in the case of registration statements, solely on the dates of effectiveness) (except to the extent corrected by a subsequent Plains SEC Document) (a) did not contain any untrue statement of a material fact or omit to state a material fact required to be stated therein or necessary in order to make the statements therein, in light of the circumstances under which they were made in the case of any such documents other than a registration statement, not misleading, (b) complied as to form in all material respects with the applicable requirements of the Exchange Act and the Securities Act, as the case may be, and (c) complied as to form in all material respects with applicable accounting requirements and with the published rules and regulations of the Commission with respect thereto. The financial statements of the Partnership and other financial information included in the Plains SEC Documents were prepared in accordance with GAAP applied on a consistent basis during the periods involved (except as may be indicated in the notes thereto or, in the case of unaudited statements, as permitted by Form 10-Q of the Commission), and fairly present (subject in the case of unaudited statements to normal and recurring and year-end audit adjustments) in all material respects the consolidated financial position of the Partnership and its consolidated Subsidiaries as of the dates thereof and the consolidated results of its operations and cash flows of the Partnership and its consolidated Subsidiaries for the periods then ended. The independent auditor of the Partnership as of the date of the most recent audited balance sheet of the Partnership is an independent registered public accounting firm with respect to the Partnership and has not resigned or been dismissed as independent registered public accountants of the Partnership as a result of or in connection with any disagreement with the Partnership on any matter of accounting principles or practices, financial statement disclosure or auditing scope or procedures. Since the date of the most recent balance sheet of the Partnership audited by such auditor, (i) the interactive data in eXtensible Business Reporting Language included or incorporated by reference in the Plains SEC Documents fairly presents the information called for in all material respects and has been prepared in accordance with the Commission’s rules and guidelines applicable thereto and (ii) based on an annual evaluation of disclosure controls and procedures, the Partnership is not aware of (x) any significant deficiency or material weakness in the design or operation of internal controls over financial reporting that are likely to adversely affect its ability to record, process, summarize and report financial data or (y) any fraud, whether or not material, that involves management or other employees who have a significant role in the internal controls over financial reporting of the Partnership.</w:t>
      </w:r>
    </w:p>
    <w:p>
      <w:pPr>
        <w:spacing w:after="0" w:line="189" w:lineRule="exact"/>
        <w:rPr>
          <w:sz w:val="20"/>
          <w:szCs w:val="20"/>
          <w:color w:val="auto"/>
        </w:rPr>
      </w:pPr>
    </w:p>
    <w:p>
      <w:pPr>
        <w:ind w:right="360" w:firstLine="895"/>
        <w:spacing w:after="0" w:line="28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b w:val="1"/>
          <w:bCs w:val="1"/>
          <w:u w:val="single" w:color="auto"/>
          <w:color w:val="auto"/>
        </w:rPr>
        <w:t>No Material Adverse Change</w:t>
      </w:r>
      <w:r>
        <w:rPr>
          <w:rFonts w:ascii="Times New Roman" w:cs="Times New Roman" w:eastAsia="Times New Roman" w:hAnsi="Times New Roman"/>
          <w:sz w:val="18"/>
          <w:szCs w:val="18"/>
          <w:color w:val="auto"/>
        </w:rPr>
        <w:t>. Except as expressly set forth in or contemplated by the Plains SEC Documents, since September 30, 2015 through the date hereof no Material Adverse Effect has occurred.</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468" w:gutter="0" w:footer="0" w:header="0"/>
        </w:sectPr>
      </w:pPr>
    </w:p>
    <w:bookmarkStart w:id="95" w:name="page96"/>
    <w:bookmarkEnd w:id="95"/>
    <w:p>
      <w:pPr>
        <w:spacing w:after="0" w:line="98" w:lineRule="exact"/>
        <w:rPr>
          <w:sz w:val="20"/>
          <w:szCs w:val="20"/>
          <w:color w:val="auto"/>
        </w:rPr>
      </w:pPr>
    </w:p>
    <w:p>
      <w:pPr>
        <w:ind w:firstLine="895"/>
        <w:spacing w:after="0" w:line="262"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b w:val="1"/>
          <w:bCs w:val="1"/>
          <w:u w:val="single" w:color="auto"/>
          <w:color w:val="auto"/>
        </w:rPr>
        <w:t>No Registration Required</w:t>
      </w:r>
      <w:r>
        <w:rPr>
          <w:rFonts w:ascii="Times New Roman" w:cs="Times New Roman" w:eastAsia="Times New Roman" w:hAnsi="Times New Roman"/>
          <w:sz w:val="18"/>
          <w:szCs w:val="18"/>
          <w:color w:val="auto"/>
        </w:rPr>
        <w:t xml:space="preserve">. Assuming the accuracy of the representations and warranties of each Purchaser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the issuance and sale of the Purchased Units pursuant to this Agreement is exempt from registration requirements of the Securities Act, and neither the Partnership nor, to the knowledge of the Partnership, any authorized Representative acting on its behalf has taken or will take any action hereafter that would cause the loss of such exemption.</w:t>
      </w:r>
    </w:p>
    <w:p>
      <w:pPr>
        <w:spacing w:after="0" w:line="177" w:lineRule="exact"/>
        <w:rPr>
          <w:sz w:val="20"/>
          <w:szCs w:val="20"/>
          <w:color w:val="auto"/>
        </w:rPr>
      </w:pPr>
    </w:p>
    <w:p>
      <w:pPr>
        <w:ind w:right="80" w:firstLine="895"/>
        <w:spacing w:after="0" w:line="268"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b w:val="1"/>
          <w:bCs w:val="1"/>
          <w:u w:val="single" w:color="auto"/>
          <w:color w:val="auto"/>
        </w:rPr>
        <w:t>No Registration Rights</w:t>
      </w:r>
      <w:r>
        <w:rPr>
          <w:rFonts w:ascii="Times New Roman" w:cs="Times New Roman" w:eastAsia="Times New Roman" w:hAnsi="Times New Roman"/>
          <w:sz w:val="18"/>
          <w:szCs w:val="18"/>
          <w:color w:val="auto"/>
        </w:rPr>
        <w:t>. None of the sale of the Series A Preferred Units as contemplated by this Agreement, the entry into the Registration Rights Agreement and the filing of any registration statement contemplated by the Registration Rights Agreement give rise to any rights for or relating to the registration of any other securities of the Partnership, except such rights as have been waived or satisfied.</w:t>
      </w:r>
    </w:p>
    <w:p>
      <w:pPr>
        <w:spacing w:after="0" w:line="171" w:lineRule="exact"/>
        <w:rPr>
          <w:sz w:val="20"/>
          <w:szCs w:val="20"/>
          <w:color w:val="auto"/>
        </w:rPr>
      </w:pPr>
    </w:p>
    <w:p>
      <w:pPr>
        <w:ind w:right="60" w:firstLine="895"/>
        <w:spacing w:after="0" w:line="256"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b w:val="1"/>
          <w:bCs w:val="1"/>
          <w:u w:val="single" w:color="auto"/>
          <w:color w:val="auto"/>
        </w:rPr>
        <w:t>Litigation</w:t>
      </w:r>
      <w:r>
        <w:rPr>
          <w:rFonts w:ascii="Times New Roman" w:cs="Times New Roman" w:eastAsia="Times New Roman" w:hAnsi="Times New Roman"/>
          <w:sz w:val="18"/>
          <w:szCs w:val="18"/>
          <w:color w:val="auto"/>
        </w:rPr>
        <w:t>. Except as set forth in the Plains SEC Documents, there are (i) no legal or governmental proceedings pending or, to the knowledge of the Partnership, threatened, against any of the Plains Entities or the GP Entities or to which any Property or asset of any such entity is subject and (ii) no injunction, restraining order or order of any nature issued by a federal or state court or foreign court of competent jurisdiction to which any of the Partnership, the GP Entities or the Material Subsidiaries is or may be subject, that would reasonably be expected to have, individually or in the aggregate, a Material Adverse Effect or which challenges the validity of any of the Transaction Documents or the right of any of the Partnership or the General Partner to enter into any of the Transaction Documents or to consummate the transactions contemplated hereby and thereby and, to the knowledge of the Partnership, no such proceedings are threatened by Governmental Authorities or others.</w:t>
      </w:r>
    </w:p>
    <w:p>
      <w:pPr>
        <w:spacing w:after="0" w:line="183" w:lineRule="exact"/>
        <w:rPr>
          <w:sz w:val="20"/>
          <w:szCs w:val="20"/>
          <w:color w:val="auto"/>
        </w:rPr>
      </w:pPr>
    </w:p>
    <w:p>
      <w:pPr>
        <w:ind w:right="200" w:firstLine="895"/>
        <w:spacing w:after="0" w:line="263"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b w:val="1"/>
          <w:bCs w:val="1"/>
          <w:u w:val="single" w:color="auto"/>
          <w:color w:val="auto"/>
        </w:rPr>
        <w:t>No Default</w:t>
      </w:r>
      <w:r>
        <w:rPr>
          <w:rFonts w:ascii="Times New Roman" w:cs="Times New Roman" w:eastAsia="Times New Roman" w:hAnsi="Times New Roman"/>
          <w:sz w:val="18"/>
          <w:szCs w:val="18"/>
          <w:color w:val="auto"/>
        </w:rPr>
        <w:t>. (i) None of the Partnership, the GP Entities or the Material Subsidiaries is in violation of any law, statute, ordinance, administrative or governmental rule or regulation applicable to it or of any decree of any Governmental Authority having jurisdiction over it and</w:t>
      </w:r>
    </w:p>
    <w:p>
      <w:pPr>
        <w:spacing w:after="0" w:line="1" w:lineRule="exact"/>
        <w:rPr>
          <w:sz w:val="20"/>
          <w:szCs w:val="20"/>
          <w:color w:val="auto"/>
        </w:rPr>
      </w:pPr>
    </w:p>
    <w:p>
      <w:pPr>
        <w:ind w:right="60" w:firstLine="8"/>
        <w:spacing w:after="0" w:line="253" w:lineRule="auto"/>
        <w:tabs>
          <w:tab w:leader="none" w:pos="26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would, if continued, reasonably be expected to have a Material Adverse Effect or materially impair the ability of any of the Partnership or the GP Entities to perform its obligations under the Transaction Documents.</w:t>
      </w:r>
    </w:p>
    <w:p>
      <w:pPr>
        <w:spacing w:after="0" w:line="183" w:lineRule="exact"/>
        <w:rPr>
          <w:sz w:val="20"/>
          <w:szCs w:val="20"/>
          <w:color w:val="auto"/>
        </w:rPr>
      </w:pPr>
    </w:p>
    <w:p>
      <w:pPr>
        <w:ind w:right="60" w:firstLine="895"/>
        <w:spacing w:after="0" w:line="257"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b w:val="1"/>
          <w:bCs w:val="1"/>
          <w:u w:val="single" w:color="auto"/>
          <w:color w:val="auto"/>
        </w:rPr>
        <w:t>No Conflicts</w:t>
      </w:r>
      <w:r>
        <w:rPr>
          <w:rFonts w:ascii="Times New Roman" w:cs="Times New Roman" w:eastAsia="Times New Roman" w:hAnsi="Times New Roman"/>
          <w:sz w:val="18"/>
          <w:szCs w:val="18"/>
          <w:color w:val="auto"/>
        </w:rPr>
        <w:t>. None of (a) the offering, issuance and sale by the Partnership of the Purchased Units and the application of the proceeds therefrom, (b) the execution, delivery and performance of the Transaction Documents, or (c) the consummation of the transactions contemplated thereby (i) constitutes or will constitute a violation of the Organizational Documents of any of the Partnership or the GP Entities, (ii) constitutes or will constitute a breach or violation of, or a default (or an event which, with notice or lapse of time or both, would constitute such a default) under, any indenture, mortgage, deed of trust, loan agreement, lease or other agreement or instrument to which any of the Partnership or the GP Entities is a party or by which any of them or any of their respective properties may be bound, (iii) violates or will violate any statute, Law, Permit or regulation or any order, judgment, decree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or injunction of any court or Governmental Authority or body having jurisdiction over of the Partnership or the GP Entities or any of their properties in a proceeding to which any of them or their property is or was a party, or (iv) results or will result in the creation or imposition of any Lien upon any property or assets of any of the Partnership or the GP Entities, which conflicts, breaches, violations, defaults or liens, in the case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would, individually or in the aggregate, reasonably be expected to have a Material Adverse Effect or materially impair the ability of the Partnership to consummate the transactions contemplated by this Agreement.</w:t>
      </w:r>
    </w:p>
    <w:p>
      <w:pPr>
        <w:spacing w:after="0" w:line="180" w:lineRule="exact"/>
        <w:rPr>
          <w:sz w:val="20"/>
          <w:szCs w:val="20"/>
          <w:color w:val="auto"/>
        </w:rPr>
      </w:pPr>
    </w:p>
    <w:p>
      <w:pPr>
        <w:ind w:right="120" w:firstLine="895"/>
        <w:spacing w:after="0" w:line="25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b w:val="1"/>
          <w:bCs w:val="1"/>
          <w:u w:val="single" w:color="auto"/>
          <w:color w:val="auto"/>
        </w:rPr>
        <w:t>Authority; Enforceability</w:t>
      </w:r>
      <w:r>
        <w:rPr>
          <w:rFonts w:ascii="Times New Roman" w:cs="Times New Roman" w:eastAsia="Times New Roman" w:hAnsi="Times New Roman"/>
          <w:sz w:val="18"/>
          <w:szCs w:val="18"/>
          <w:color w:val="auto"/>
        </w:rPr>
        <w:t>. The Partnership has all requisite power and authority to issue, sell and deliver the Purchased Units, in accordance with and upon the terms and conditions set forth in this Agreement and the Partnership Agreement. All partnership or limited liability company action, as the case may be, required to be taken by the GP Entities and the Partnership for the authorization, issuance, sale and delivery of the Purchased Units, the execution and delivery of the Transaction Documents and the consummation of the transactions contemplated thereby shall have been validly taken. No approval from the holders of outstanding Common Units is required under the Partnership Agreement or the rules of the NYSE in connection with the Partnership’s issuance and sale of the Purchased Units to the Purchasers. Each of the Transaction Documents has been duly and validly authorized and has been or, with respect to the Transaction Documents to be delivered at the Closing, will be, validly executed and delivered by the Partnership or the General Partner, as the case may be, and constitutes, or will constitute, the legal, valid and binding obligations of the Partnership or the General Partner, as the case may be, enforceable in accordance with its terms, except as such enforceability may be limited by bankruptcy, insolvency, reorganization and other laws of general applicability relating to or affecting creditors’ rights and by general principles of equity.</w:t>
      </w:r>
    </w:p>
    <w:p>
      <w:pPr>
        <w:spacing w:after="0" w:line="186" w:lineRule="exact"/>
        <w:rPr>
          <w:sz w:val="20"/>
          <w:szCs w:val="20"/>
          <w:color w:val="auto"/>
        </w:rPr>
      </w:pPr>
    </w:p>
    <w:p>
      <w:pPr>
        <w:ind w:right="40" w:firstLine="895"/>
        <w:spacing w:after="0" w:line="256"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b w:val="1"/>
          <w:bCs w:val="1"/>
          <w:u w:val="single" w:color="auto"/>
          <w:color w:val="auto"/>
        </w:rPr>
        <w:t>Approvals</w:t>
      </w:r>
      <w:r>
        <w:rPr>
          <w:rFonts w:ascii="Times New Roman" w:cs="Times New Roman" w:eastAsia="Times New Roman" w:hAnsi="Times New Roman"/>
          <w:sz w:val="18"/>
          <w:szCs w:val="18"/>
          <w:color w:val="auto"/>
        </w:rPr>
        <w:t xml:space="preserve">. Excluding any matters covered by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no authorization, consent, approval, waiver, license, qualification or written exemption from, nor any filing, declaration, qualification or registration with, any Governmental Authority or any other Person is required in connection with the execution, delivery or performance by the Partnership of any of the Transaction Documents or the Partnership’s issuance and sale of the Purchased Units, except (a) as required by the Commission in connection with the Partnership’s obligations under the Registration Rights Agreement, (b) as may be required under the state securities or “Blue Sky” Laws, or (c) where the failure to receive such authorization, consent, approval, waiver, license, qualification or written exemption or to make such filing, declaration, qualification or registration would not, individually or in the aggregate, reasonably be expected to have a Material Adverse Effect.</w:t>
      </w:r>
    </w:p>
    <w:p>
      <w:pPr>
        <w:spacing w:after="0" w:line="183" w:lineRule="exact"/>
        <w:rPr>
          <w:sz w:val="20"/>
          <w:szCs w:val="20"/>
          <w:color w:val="auto"/>
        </w:rPr>
      </w:pPr>
    </w:p>
    <w:p>
      <w:pPr>
        <w:ind w:right="120" w:firstLine="895"/>
        <w:spacing w:after="0" w:line="259"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b w:val="1"/>
          <w:bCs w:val="1"/>
          <w:u w:val="single" w:color="auto"/>
          <w:color w:val="auto"/>
        </w:rPr>
        <w:t>Distribution Restrictions</w:t>
      </w:r>
      <w:r>
        <w:rPr>
          <w:rFonts w:ascii="Times New Roman" w:cs="Times New Roman" w:eastAsia="Times New Roman" w:hAnsi="Times New Roman"/>
          <w:sz w:val="18"/>
          <w:szCs w:val="18"/>
          <w:color w:val="auto"/>
        </w:rPr>
        <w:t>. No Subsidiary is currently prohibited, directly or indirectly, from making any distributions to the 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Plains SEC Documents, (ii) such prohibitions mandated by the laws of each such Subsidiary’s state of formation and the</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terms of any such Subsidiary’s Organizational Documents and (iii) where such prohibition would not reasonably be expected to have a Material Adverse Effect.</w:t>
      </w:r>
    </w:p>
    <w:p>
      <w:pPr>
        <w:spacing w:after="0" w:line="158" w:lineRule="exact"/>
        <w:rPr>
          <w:sz w:val="20"/>
          <w:szCs w:val="20"/>
          <w:color w:val="auto"/>
        </w:rPr>
      </w:pPr>
    </w:p>
    <w:p>
      <w:pPr>
        <w:ind w:right="100" w:firstLine="895"/>
        <w:spacing w:after="0" w:line="286"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b w:val="1"/>
          <w:bCs w:val="1"/>
          <w:u w:val="single" w:color="auto"/>
          <w:color w:val="auto"/>
        </w:rPr>
        <w:t>MLP Status</w:t>
      </w:r>
      <w:r>
        <w:rPr>
          <w:rFonts w:ascii="Times New Roman" w:cs="Times New Roman" w:eastAsia="Times New Roman" w:hAnsi="Times New Roman"/>
          <w:sz w:val="18"/>
          <w:szCs w:val="18"/>
          <w:color w:val="auto"/>
        </w:rPr>
        <w:t>. The Partnership has, for each taxable year ending after November 17, 1998, during which the Partnership was in existence, met the gross income requirements of Section 7704(c)(2) of the Internal Revenue Code of 1986, as amended (the “</w:t>
      </w:r>
      <w:r>
        <w:rPr>
          <w:rFonts w:ascii="Times New Roman" w:cs="Times New Roman" w:eastAsia="Times New Roman" w:hAnsi="Times New Roman"/>
          <w:sz w:val="18"/>
          <w:szCs w:val="18"/>
          <w:b w:val="1"/>
          <w:bCs w:val="1"/>
          <w:u w:val="single" w:color="auto"/>
          <w:color w:val="auto"/>
        </w:rPr>
        <w:t>Code</w:t>
      </w:r>
      <w:r>
        <w:rPr>
          <w:rFonts w:ascii="Times New Roman" w:cs="Times New Roman" w:eastAsia="Times New Roman" w:hAnsi="Times New Roman"/>
          <w:sz w:val="18"/>
          <w:szCs w:val="18"/>
          <w:color w:val="auto"/>
        </w:rPr>
        <w:t>”). The Partnership</w:t>
      </w:r>
    </w:p>
    <w:p>
      <w:pPr>
        <w:sectPr>
          <w:pgSz w:w="11900" w:h="16936" w:orient="portrait"/>
          <w:cols w:equalWidth="0" w:num="1">
            <w:col w:w="11420"/>
          </w:cols>
          <w:pgMar w:left="240" w:top="117" w:right="239" w:bottom="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expects to meet the gross income requirements of Section 7704(c)(2) of the Code for its taxable year ending December 31, 2016.</w:t>
      </w:r>
    </w:p>
    <w:p>
      <w:pPr>
        <w:spacing w:after="0" w:line="221" w:lineRule="exact"/>
        <w:rPr>
          <w:sz w:val="20"/>
          <w:szCs w:val="20"/>
          <w:color w:val="auto"/>
        </w:rPr>
      </w:pPr>
    </w:p>
    <w:p>
      <w:pPr>
        <w:jc w:val="both"/>
        <w:ind w:right="100" w:firstLine="895"/>
        <w:spacing w:after="0" w:line="259"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b w:val="1"/>
          <w:bCs w:val="1"/>
          <w:u w:val="single" w:color="auto"/>
          <w:color w:val="auto"/>
        </w:rPr>
        <w:t>Investment Company Status</w:t>
      </w:r>
      <w:r>
        <w:rPr>
          <w:rFonts w:ascii="Times New Roman" w:cs="Times New Roman" w:eastAsia="Times New Roman" w:hAnsi="Times New Roman"/>
          <w:sz w:val="18"/>
          <w:szCs w:val="18"/>
          <w:color w:val="auto"/>
        </w:rPr>
        <w:t>. None of the Plains Entities is now, and immediately after the sale of the Purchased Units hereunder and the application of the net proceeds from such sale none of the Plains Entities will be, (i) an “investment company” or a company controlled by an “investment company” within the meaning of the Investment Company Act of 1940, as amended (ii) a “gas utility,” within the meaning of Tex. Util. Code</w:t>
      </w:r>
    </w:p>
    <w:p>
      <w:pPr>
        <w:ind w:right="260" w:firstLine="8"/>
        <w:spacing w:after="0" w:line="290" w:lineRule="auto"/>
        <w:tabs>
          <w:tab w:leader="none" w:pos="135"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w:t>
      </w:r>
    </w:p>
    <w:p>
      <w:pPr>
        <w:spacing w:after="0" w:line="154" w:lineRule="exact"/>
        <w:rPr>
          <w:sz w:val="20"/>
          <w:szCs w:val="20"/>
          <w:color w:val="auto"/>
        </w:rPr>
      </w:pPr>
    </w:p>
    <w:p>
      <w:pPr>
        <w:ind w:right="40" w:firstLine="895"/>
        <w:spacing w:after="0" w:line="257" w:lineRule="auto"/>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b w:val="1"/>
          <w:bCs w:val="1"/>
          <w:u w:val="single" w:color="auto"/>
          <w:color w:val="auto"/>
        </w:rPr>
        <w:t>Certain Fees</w:t>
      </w:r>
      <w:r>
        <w:rPr>
          <w:rFonts w:ascii="Times New Roman" w:cs="Times New Roman" w:eastAsia="Times New Roman" w:hAnsi="Times New Roman"/>
          <w:sz w:val="18"/>
          <w:szCs w:val="18"/>
          <w:color w:val="auto"/>
        </w:rPr>
        <w:t>. Except for fees to be paid by the Partnership to the Purchasers or their designee pursuant to this Agreement, no fees or commissions are or will be payable by the Partnership to brokers, finders or investment bankers with respect to the sale of any of the Purchased Units or the consummation of the transactions contemplated by this Agreement. The Partnership agrees that it will indemnify and hold harmless the Purchasers from and against any and all claims, demands, or liabilities for broker’s, finder’s, placement, or other similar fees or commissions incurred by the Partnership or alleged to have been incurred by the Partnership in connection with the sale of the Purchased Units or the consummation of the transactions contemplated by this Agreement.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Section 3.18</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 Labor Disputes</w:t>
            </w:r>
            <w:r>
              <w:rPr>
                <w:rFonts w:ascii="Times New Roman" w:cs="Times New Roman" w:eastAsia="Times New Roman" w:hAnsi="Times New Roman"/>
                <w:sz w:val="18"/>
                <w:szCs w:val="18"/>
                <w:color w:val="auto"/>
              </w:rPr>
              <w:t>. No labor dispute with the employees of any of the Plains Entities or the GP Entities exists or, to the</w:t>
            </w:r>
          </w:p>
        </w:tc>
      </w:tr>
      <w:tr>
        <w:trPr>
          <w:trHeight w:val="20"/>
        </w:trPr>
        <w:tc>
          <w:tcPr>
            <w:tcW w:w="2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r>
        <w:trPr>
          <w:trHeight w:val="237"/>
        </w:trPr>
        <w:tc>
          <w:tcPr>
            <w:tcW w:w="1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knowledge of the Partnership, is imminent, that would reasonably be expected to have a Material Adverse Effect.</w:t>
            </w:r>
          </w:p>
        </w:tc>
      </w:tr>
      <w:tr>
        <w:trPr>
          <w:trHeight w:val="392"/>
        </w:trPr>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Section 3.19</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The Partnership maintains or is entitled to the benefits of insurance from reputable insurers covering its</w:t>
            </w:r>
          </w:p>
        </w:tc>
      </w:tr>
      <w:tr>
        <w:trPr>
          <w:trHeight w:val="20"/>
        </w:trPr>
        <w:tc>
          <w:tcPr>
            <w:tcW w:w="2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r>
    </w:tbl>
    <w:p>
      <w:pPr>
        <w:spacing w:after="0" w:line="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properties, operations, personnel and businesses against such losses and risks as are reasonably adequate to protect it and its businesses in a commercially reasonable manner. All such insurance is outstanding and duly in force on the date hereof, except for such insurance for which the failure to be outstanding and duly in force would not reasonably be expected to have a Material Adverse Effect.</w:t>
      </w:r>
    </w:p>
    <w:p>
      <w:pPr>
        <w:spacing w:after="0" w:line="172"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3.20</w:t>
      </w:r>
      <w:r>
        <w:rPr>
          <w:sz w:val="20"/>
          <w:szCs w:val="20"/>
          <w:color w:val="auto"/>
        </w:rPr>
        <w:tab/>
      </w:r>
      <w:r>
        <w:rPr>
          <w:rFonts w:ascii="Times New Roman" w:cs="Times New Roman" w:eastAsia="Times New Roman" w:hAnsi="Times New Roman"/>
          <w:sz w:val="18"/>
          <w:szCs w:val="18"/>
          <w:b w:val="1"/>
          <w:bCs w:val="1"/>
          <w:u w:val="single" w:color="auto"/>
          <w:color w:val="auto"/>
        </w:rPr>
        <w:t>Books and Records; Sarbanes-Oxley Compliance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1305"/>
        <w:spacing w:after="0" w:line="261" w:lineRule="auto"/>
        <w:tabs>
          <w:tab w:leader="none" w:pos="1942"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maintains systems of internal accounting controls sufficient to provide reasonable assurance that (i) transactions are executed in accordance with management’s general or specific authorizations, (ii) transactions are recorded as necessary to permit preparation of the Partnership consolidated financial statements in conformity with GAAP and to maintain accountability for its assets, (iii) access to the assets is permitted only in</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accordance with management’s general or specific authorization, and (iv) the recorded accountability for assets is compared with existing assets at reasonable intervals and appropriate action is taken with respect to any differences.</w:t>
      </w:r>
    </w:p>
    <w:p>
      <w:pPr>
        <w:spacing w:after="0" w:line="162" w:lineRule="exact"/>
        <w:rPr>
          <w:sz w:val="20"/>
          <w:szCs w:val="20"/>
          <w:color w:val="auto"/>
        </w:rPr>
      </w:pPr>
    </w:p>
    <w:p>
      <w:pPr>
        <w:ind w:firstLine="1305"/>
        <w:spacing w:after="0" w:line="255" w:lineRule="auto"/>
        <w:tabs>
          <w:tab w:leader="none" w:pos="1952"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has established and maintains disclosure controls and procedures (to the extent required by and as defined in Rules 13a- 15(e) and 15d-15(e) under the Exchange Act), which are designed to provide reasonable assurance that material information required to be disclosed by the Partnership in reports that it files or submits under the Exchange Act is recorded, processed, summarized and communicated to the Partnership’s management, including its principal executive officer and principal financial officer, as appropriate, to allow for timely decisions regarding required disclosure. The Partnership has carried out evaluations of the effectiveness of its disclosure controls and procedures as of the end of the most recently completed fiscal quarter covered by the Partnership’s periodic reports filed with the Commission, and such disclosure controls and procedures are effective in all material respects to perform the functions for which they were established.</w:t>
      </w:r>
    </w:p>
    <w:p>
      <w:pPr>
        <w:spacing w:after="0" w:line="189" w:lineRule="exact"/>
        <w:rPr>
          <w:rFonts w:ascii="Times New Roman" w:cs="Times New Roman" w:eastAsia="Times New Roman" w:hAnsi="Times New Roman"/>
          <w:sz w:val="18"/>
          <w:szCs w:val="18"/>
          <w:color w:val="auto"/>
        </w:rPr>
      </w:pPr>
    </w:p>
    <w:p>
      <w:pPr>
        <w:ind w:right="100" w:firstLine="1305"/>
        <w:spacing w:after="0" w:line="313" w:lineRule="auto"/>
        <w:tabs>
          <w:tab w:leader="none" w:pos="1955" w:val="left"/>
        </w:tabs>
        <w:numPr>
          <w:ilvl w:val="0"/>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Partnership and, to the Partnership’s knowledge, GP LLC’s directors or officers, in their capacities as such, are in compliance in all material respects with all applicable provisions of the Sarbanes-Oxley Act of 2002 and the rules and regulations promulgated in connection therewith.</w:t>
      </w:r>
    </w:p>
    <w:p>
      <w:pPr>
        <w:spacing w:after="0" w:line="134" w:lineRule="exact"/>
        <w:rPr>
          <w:sz w:val="20"/>
          <w:szCs w:val="20"/>
          <w:color w:val="auto"/>
        </w:rPr>
      </w:pPr>
    </w:p>
    <w:p>
      <w:pPr>
        <w:ind w:right="220" w:firstLine="895"/>
        <w:spacing w:after="0" w:line="268" w:lineRule="auto"/>
        <w:rPr>
          <w:sz w:val="20"/>
          <w:szCs w:val="20"/>
          <w:color w:val="auto"/>
        </w:rPr>
      </w:pPr>
      <w:r>
        <w:rPr>
          <w:rFonts w:ascii="Times New Roman" w:cs="Times New Roman" w:eastAsia="Times New Roman" w:hAnsi="Times New Roman"/>
          <w:sz w:val="18"/>
          <w:szCs w:val="18"/>
          <w:color w:val="auto"/>
        </w:rPr>
        <w:t xml:space="preserve">Section 3.21 </w:t>
      </w:r>
      <w:r>
        <w:rPr>
          <w:rFonts w:ascii="Times New Roman" w:cs="Times New Roman" w:eastAsia="Times New Roman" w:hAnsi="Times New Roman"/>
          <w:sz w:val="18"/>
          <w:szCs w:val="18"/>
          <w:b w:val="1"/>
          <w:bCs w:val="1"/>
          <w:u w:val="single" w:color="auto"/>
          <w:color w:val="auto"/>
        </w:rPr>
        <w:t>Listing and Maintenance Requirements</w:t>
      </w:r>
      <w:r>
        <w:rPr>
          <w:rFonts w:ascii="Times New Roman" w:cs="Times New Roman" w:eastAsia="Times New Roman" w:hAnsi="Times New Roman"/>
          <w:sz w:val="18"/>
          <w:szCs w:val="18"/>
          <w:color w:val="auto"/>
        </w:rPr>
        <w:t>. The Common Units are listed on the NYSE, and the Partnership has not received any notice of delisting. The issuance and sale of the Purchased Units and issuance of Common Units upon conversion of the Purchased Units does not contravene NYSE rules and regulations.</w:t>
      </w:r>
    </w:p>
    <w:p>
      <w:pPr>
        <w:spacing w:after="0" w:line="171"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3.22</w:t>
      </w:r>
      <w:r>
        <w:rPr>
          <w:sz w:val="20"/>
          <w:szCs w:val="20"/>
          <w:color w:val="auto"/>
        </w:rPr>
        <w:tab/>
      </w:r>
      <w:r>
        <w:rPr>
          <w:rFonts w:ascii="Times New Roman" w:cs="Times New Roman" w:eastAsia="Times New Roman" w:hAnsi="Times New Roman"/>
          <w:sz w:val="17"/>
          <w:szCs w:val="17"/>
          <w:b w:val="1"/>
          <w:bCs w:val="1"/>
          <w:u w:val="single" w:color="auto"/>
          <w:color w:val="auto"/>
        </w:rPr>
        <w:t>Taxes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20" w:firstLine="1305"/>
        <w:spacing w:after="0" w:line="254" w:lineRule="auto"/>
        <w:tabs>
          <w:tab w:leader="none" w:pos="194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reasonably be expected to have a Material Adverse Effect, (i) each of the Plains Entities has prepared and timely filed (taking into account any extension of time within which to file) all Tax Returns required to be filed by any of them and all such filed Tax Returns are complete and accurate, (ii) each of the Plains Entities has timely paid all Taxes that are required to be paid by any of them, (iii) there are no audits, examinations, investigations, actions, suits, claims or other proceedings in respect of Taxes pending or threatened in writing nor has any deficiency for any Tax been assessed by any Governmental Authority in writing against any Plains Entity, and (iv) all Taxes required to be withheld by any Plains Entity have been withheld and paid over to the appropriate Tax authority (except, in the case of this clause (iv) or clause (i) or (ii) above, with respect to matters contested in good faith and for which adequate reserves have been established on the Partnership’s financial statements in accordance with GAAP). None of the Plains Entities has entered into any transaction that, as of the date of this Agreement, has been identified by the Internal Revenue Service in published guidance as a “listed transaction” as defined under Section 1.6011-4(b)(2) of the Treasury Regulations promulgated under the Code.</w:t>
      </w:r>
    </w:p>
    <w:p>
      <w:pPr>
        <w:spacing w:after="0" w:line="189" w:lineRule="exact"/>
        <w:rPr>
          <w:rFonts w:ascii="Times New Roman" w:cs="Times New Roman" w:eastAsia="Times New Roman" w:hAnsi="Times New Roman"/>
          <w:sz w:val="18"/>
          <w:szCs w:val="18"/>
          <w:color w:val="auto"/>
        </w:rPr>
      </w:pPr>
    </w:p>
    <w:p>
      <w:pPr>
        <w:ind w:right="540" w:firstLine="1305"/>
        <w:spacing w:after="0" w:line="282" w:lineRule="auto"/>
        <w:tabs>
          <w:tab w:leader="none" w:pos="1952"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(i) “Taxes” means any and all domestic or foreign, federal, state, local or other taxes of any kind (together with any and all interest, penalties, additions to tax and additional amounts imposed with respect thereto) imposed by any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Governmental Authority, including taxes on or with respect to income, franchises, windfall or other profits, gross receipts, property, sales, use, capital stock, payroll, employment, unemployment, social security, workers’ compensation or net worth, and taxes in the nature of excise, withholding, ad valorem or value added, and including any liability in respect of any items described above as a transferee or successor, pursuant to Section 1.1502-6 of the Treasury Regulations (or any similar provision of state, local or foreign Law), or as an indemnitor, guarantor, surety or in a similar capacity under any Contract and</w:t>
      </w:r>
    </w:p>
    <w:p>
      <w:pPr>
        <w:sectPr>
          <w:pgSz w:w="11900" w:h="16838" w:orient="portrait"/>
          <w:cols w:equalWidth="0" w:num="1">
            <w:col w:w="11420"/>
          </w:cols>
          <w:pgMar w:left="240" w:top="121" w:right="239" w:bottom="0" w:gutter="0" w:footer="0" w:header="0"/>
        </w:sectPr>
      </w:pPr>
    </w:p>
    <w:bookmarkStart w:id="97" w:name="page98"/>
    <w:bookmarkEnd w:id="97"/>
    <w:p>
      <w:pPr>
        <w:ind w:right="480" w:firstLine="8"/>
        <w:spacing w:after="0" w:line="282" w:lineRule="auto"/>
        <w:tabs>
          <w:tab w:leader="none" w:pos="26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Return” means any return, report or similar filing (including the attached schedules) filed or required to be filed with respect to Taxes (and any amendments thereto), including any information return, claim for refund or declaration of estimated Taxes.</w:t>
      </w:r>
    </w:p>
    <w:p>
      <w:pPr>
        <w:spacing w:after="0" w:line="158"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3.23</w:t>
      </w:r>
      <w:r>
        <w:rPr>
          <w:sz w:val="20"/>
          <w:szCs w:val="20"/>
          <w:color w:val="auto"/>
        </w:rPr>
        <w:tab/>
      </w:r>
      <w:r>
        <w:rPr>
          <w:rFonts w:ascii="Times New Roman" w:cs="Times New Roman" w:eastAsia="Times New Roman" w:hAnsi="Times New Roman"/>
          <w:sz w:val="17"/>
          <w:szCs w:val="17"/>
          <w:b w:val="1"/>
          <w:bCs w:val="1"/>
          <w:u w:val="single" w:color="auto"/>
          <w:color w:val="auto"/>
        </w:rPr>
        <w:t>Compliance with Laws; Environmental Laws; Pipeline Safety Laws; Permits; and Environmental Permits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00" w:firstLine="1305"/>
        <w:spacing w:after="0" w:line="258" w:lineRule="auto"/>
        <w:tabs>
          <w:tab w:leader="none" w:pos="194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Plains Entities is in violation of any Law applicable to such entity, except as would not, individually or in the aggregate, have a Material Adverse Effect. Each of the Plains Entities possesses all Permits issued by the appropriate regulatory authorities necessary to own its properties and to conduct its business, except where the failure to possess such Permits would not, individually or in the aggregate, have a Material Adverse Effect, and none of the Plains Entities has received any written notice of proceedings relating to the revocation or modification of any such Permit, except where such potential revocation or modification would not, individually or in the aggregate, have a Material Adverse Effect.</w:t>
      </w:r>
    </w:p>
    <w:p>
      <w:pPr>
        <w:spacing w:after="0" w:line="183" w:lineRule="exact"/>
        <w:rPr>
          <w:rFonts w:ascii="Times New Roman" w:cs="Times New Roman" w:eastAsia="Times New Roman" w:hAnsi="Times New Roman"/>
          <w:sz w:val="18"/>
          <w:szCs w:val="18"/>
          <w:color w:val="auto"/>
        </w:rPr>
      </w:pPr>
    </w:p>
    <w:p>
      <w:pPr>
        <w:ind w:right="40" w:firstLine="1305"/>
        <w:spacing w:after="0" w:line="253" w:lineRule="auto"/>
        <w:tabs>
          <w:tab w:leader="none" w:pos="1952"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Plains Entities have timely applied for or obtained and are in compliance with all such obtained material Environmental Permits required for their operations as currently conducted, except as (i) would not reasonably be expected to have, individually or in the aggregate, a Material Adverse Effect or (ii) have been disclosed in Plains SEC Documents. The Partnership has not received written notice of any pending action or proceeding and, to the knowledge of the Partnership, no action or proceeding is threatened, to suspend, revoke, modify or terminate any Environmental Permit held by the Plains Entities that would have a Material Adverse Effect on the Plains Entities. The operations of the Plains Entities are in compliance with all applicable Environmental Laws and, to the knowledge of the Partnership, no occurrences or conditions currently exist that would reasonably be expected to adversely affect the Plains Entities’ continued compliance with such Environmental Laws and any Environmental Permits issued thereunder, except as (A) would not reasonably be expected to have, individually or in the aggregate, a Material Adverse Effect or (B) have been disclosed in Plains SEC Documents. There are no present claims asserted against any of the Plains Entities under applicable Environmental Laws, including claims relating to the release, spill or disposal of any Hazardous Substances resulting from the operations of the Plains Entities, except as such claims (1) would not reasonably be expected to have, individually or in the aggregate, a Material Adverse Effect or (2) have been disclosed in Plains SEC Documents. Notwithstanding any other provision of this Agreement, the representations and warranties set forth in this </w:t>
      </w:r>
      <w:r>
        <w:rPr>
          <w:rFonts w:ascii="Times New Roman" w:cs="Times New Roman" w:eastAsia="Times New Roman" w:hAnsi="Times New Roman"/>
          <w:sz w:val="18"/>
          <w:szCs w:val="18"/>
          <w:u w:val="single" w:color="auto"/>
          <w:color w:val="auto"/>
        </w:rPr>
        <w:t>Section 3.23(b)</w:t>
      </w:r>
      <w:r>
        <w:rPr>
          <w:rFonts w:ascii="Times New Roman" w:cs="Times New Roman" w:eastAsia="Times New Roman" w:hAnsi="Times New Roman"/>
          <w:sz w:val="18"/>
          <w:szCs w:val="18"/>
          <w:color w:val="auto"/>
        </w:rPr>
        <w:t xml:space="preserve"> are the only representations and warranties relating to Environmental Laws or Environmental Permits.</w:t>
      </w:r>
    </w:p>
    <w:p>
      <w:pPr>
        <w:spacing w:after="0" w:line="188" w:lineRule="exact"/>
        <w:rPr>
          <w:rFonts w:ascii="Times New Roman" w:cs="Times New Roman" w:eastAsia="Times New Roman" w:hAnsi="Times New Roman"/>
          <w:sz w:val="18"/>
          <w:szCs w:val="18"/>
          <w:color w:val="auto"/>
        </w:rPr>
      </w:pPr>
    </w:p>
    <w:p>
      <w:pPr>
        <w:ind w:right="480" w:firstLine="1305"/>
        <w:spacing w:after="0" w:line="282" w:lineRule="auto"/>
        <w:tabs>
          <w:tab w:leader="none" w:pos="195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Plains Entities are in compliance with all applicable Pipeline Safety Laws and, to the knowledge of the Partnership, no occurrences or conditions currently exist that would reasonably be expected to adversely affect the Plains Entities’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 xml:space="preserve">continued compliance with such Pipeline Safety Laws, except as (i) would not reasonably be expected to have, individually or in the aggregate, a Material Adverse Effect or (ii) have been disclosed in Plains SEC Documents. Notwithstanding any other provision of this Agreement, the representations and warranties set forth in this </w:t>
      </w:r>
      <w:r>
        <w:rPr>
          <w:rFonts w:ascii="Times New Roman" w:cs="Times New Roman" w:eastAsia="Times New Roman" w:hAnsi="Times New Roman"/>
          <w:sz w:val="18"/>
          <w:szCs w:val="18"/>
          <w:u w:val="single" w:color="auto"/>
          <w:color w:val="auto"/>
        </w:rPr>
        <w:t>Section 3.23(c)</w:t>
      </w:r>
      <w:r>
        <w:rPr>
          <w:rFonts w:ascii="Times New Roman" w:cs="Times New Roman" w:eastAsia="Times New Roman" w:hAnsi="Times New Roman"/>
          <w:sz w:val="18"/>
          <w:szCs w:val="18"/>
          <w:color w:val="auto"/>
        </w:rPr>
        <w:t xml:space="preserve"> are the only representations and warranties relating to Pipeline Safety Laws.</w:t>
      </w:r>
    </w:p>
    <w:p>
      <w:pPr>
        <w:spacing w:after="0" w:line="172" w:lineRule="exact"/>
        <w:rPr>
          <w:sz w:val="20"/>
          <w:szCs w:val="20"/>
          <w:color w:val="auto"/>
        </w:rPr>
      </w:pPr>
    </w:p>
    <w:p>
      <w:pPr>
        <w:jc w:val="both"/>
        <w:ind w:right="100" w:firstLine="1305"/>
        <w:spacing w:after="0" w:line="259" w:lineRule="auto"/>
        <w:tabs>
          <w:tab w:leader="none" w:pos="1952"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Required Disclosures and Descriptions</w:t>
      </w:r>
      <w:r>
        <w:rPr>
          <w:rFonts w:ascii="Times New Roman" w:cs="Times New Roman" w:eastAsia="Times New Roman" w:hAnsi="Times New Roman"/>
          <w:sz w:val="18"/>
          <w:szCs w:val="18"/>
          <w:color w:val="auto"/>
        </w:rPr>
        <w:t>. There are no legal or governmental proceedings pending or, to the knowledge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threatened, against any of the Plains Entities or the GP Entities, or to which any of the Plains Entities or the GP Entities is a party, or to which any of their respective properties is subject, that are required to be described in the Plains SEC Documents but are not described as required, and there are no agreements, contracts, indentures, leases or other instruments that are required to be described in the Plains SEC Documents or to be filed as an exhibit to the Plains SEC Documents that are not described or filed as required by the Securities Act or the Exchange Act.</w:t>
      </w:r>
    </w:p>
    <w:p>
      <w:pPr>
        <w:spacing w:after="0" w:line="180" w:lineRule="exact"/>
        <w:rPr>
          <w:sz w:val="20"/>
          <w:szCs w:val="20"/>
          <w:color w:val="auto"/>
        </w:rPr>
      </w:pPr>
    </w:p>
    <w:p>
      <w:pPr>
        <w:ind w:right="160" w:firstLine="895"/>
        <w:spacing w:after="0" w:line="262" w:lineRule="auto"/>
        <w:rPr>
          <w:sz w:val="20"/>
          <w:szCs w:val="20"/>
          <w:color w:val="auto"/>
        </w:rPr>
      </w:pPr>
      <w:r>
        <w:rPr>
          <w:rFonts w:ascii="Times New Roman" w:cs="Times New Roman" w:eastAsia="Times New Roman" w:hAnsi="Times New Roman"/>
          <w:sz w:val="18"/>
          <w:szCs w:val="18"/>
          <w:color w:val="auto"/>
        </w:rPr>
        <w:t xml:space="preserve">Section 3.24 </w:t>
      </w:r>
      <w:r>
        <w:rPr>
          <w:rFonts w:ascii="Times New Roman" w:cs="Times New Roman" w:eastAsia="Times New Roman" w:hAnsi="Times New Roman"/>
          <w:sz w:val="18"/>
          <w:szCs w:val="18"/>
          <w:b w:val="1"/>
          <w:bCs w:val="1"/>
          <w:u w:val="single" w:color="auto"/>
          <w:color w:val="auto"/>
        </w:rPr>
        <w:t>Title to Property</w:t>
      </w:r>
      <w:r>
        <w:rPr>
          <w:rFonts w:ascii="Times New Roman" w:cs="Times New Roman" w:eastAsia="Times New Roman" w:hAnsi="Times New Roman"/>
          <w:sz w:val="18"/>
          <w:szCs w:val="18"/>
          <w:color w:val="auto"/>
        </w:rPr>
        <w:t>. Each of the Plains Entities has good and indefeasible title to all real property (save and except for Rights-of-Way) and good title to all personal property described in the Plains SEC Documents as owned by such Plains Entity, free and clear of all Liens except such (a) as are described in the Plains SEC Documents, (b) as are created, arise under or secure the Hedged Inventory Facility, or (c) as would not, in the aggregate, reasonably be expected to have a Material Adverse Effect.</w:t>
      </w:r>
    </w:p>
    <w:p>
      <w:pPr>
        <w:spacing w:after="0" w:line="177" w:lineRule="exact"/>
        <w:rPr>
          <w:sz w:val="20"/>
          <w:szCs w:val="20"/>
          <w:color w:val="auto"/>
        </w:rPr>
      </w:pPr>
    </w:p>
    <w:p>
      <w:pPr>
        <w:ind w:firstLine="895"/>
        <w:spacing w:after="0" w:line="255" w:lineRule="auto"/>
        <w:rPr>
          <w:sz w:val="20"/>
          <w:szCs w:val="20"/>
          <w:color w:val="auto"/>
        </w:rPr>
      </w:pPr>
      <w:r>
        <w:rPr>
          <w:rFonts w:ascii="Times New Roman" w:cs="Times New Roman" w:eastAsia="Times New Roman" w:hAnsi="Times New Roman"/>
          <w:sz w:val="18"/>
          <w:szCs w:val="18"/>
          <w:color w:val="auto"/>
        </w:rPr>
        <w:t xml:space="preserve">Section 3.25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Each of the Plains Entities, directly or indirectly, has such consents, easements, rights-of-way or licenses (“</w:t>
      </w:r>
      <w:r>
        <w:rPr>
          <w:rFonts w:ascii="Times New Roman" w:cs="Times New Roman" w:eastAsia="Times New Roman" w:hAnsi="Times New Roman"/>
          <w:sz w:val="18"/>
          <w:szCs w:val="18"/>
          <w:b w:val="1"/>
          <w:bCs w:val="1"/>
          <w:u w:val="single" w:color="auto"/>
          <w:color w:val="auto"/>
        </w:rPr>
        <w:t>Rights-of-Way</w:t>
      </w:r>
      <w:r>
        <w:rPr>
          <w:rFonts w:ascii="Times New Roman" w:cs="Times New Roman" w:eastAsia="Times New Roman" w:hAnsi="Times New Roman"/>
          <w:sz w:val="18"/>
          <w:szCs w:val="18"/>
          <w:color w:val="auto"/>
        </w:rPr>
        <w:t>”) from such persons as are necessary to conduct its business in the manner described in the Plains SEC Documents, subject to such qualifications as may be set forth in the Plains SEC Documents and except for such Rights-of-Way the failure of which to have obtained would not reasonably have been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Plains SEC Documents.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Section 3.26</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Form S-3 Eligibility</w:t>
            </w:r>
            <w:r>
              <w:rPr>
                <w:rFonts w:ascii="Times New Roman" w:cs="Times New Roman" w:eastAsia="Times New Roman" w:hAnsi="Times New Roman"/>
                <w:sz w:val="18"/>
                <w:szCs w:val="18"/>
                <w:color w:val="auto"/>
              </w:rPr>
              <w:t>. The Partnership is eligible to register the Conversion Units for resale by the Purchasers under</w:t>
            </w:r>
          </w:p>
        </w:tc>
      </w:tr>
      <w:tr>
        <w:trPr>
          <w:trHeight w:val="20"/>
        </w:trPr>
        <w:tc>
          <w:tcPr>
            <w:tcW w:w="2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r>
        <w:trPr>
          <w:trHeight w:val="237"/>
        </w:trPr>
        <w:tc>
          <w:tcPr>
            <w:tcW w:w="1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S-3 promulgated under the Securities Act.</w:t>
            </w:r>
          </w:p>
        </w:tc>
      </w:tr>
      <w:tr>
        <w:trPr>
          <w:trHeight w:val="392"/>
        </w:trPr>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Section 3.27</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FCPA</w:t>
            </w:r>
            <w:r>
              <w:rPr>
                <w:rFonts w:ascii="Times New Roman" w:cs="Times New Roman" w:eastAsia="Times New Roman" w:hAnsi="Times New Roman"/>
                <w:sz w:val="18"/>
                <w:szCs w:val="18"/>
                <w:color w:val="auto"/>
                <w:w w:val="99"/>
              </w:rPr>
              <w:t>. None of the Plains Entities or the GP Entities nor, to the knowledge of the Partnership, any director, officer, agent</w:t>
            </w:r>
          </w:p>
        </w:tc>
      </w:tr>
      <w:tr>
        <w:trPr>
          <w:trHeight w:val="20"/>
        </w:trPr>
        <w:tc>
          <w:tcPr>
            <w:tcW w:w="26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313" w:lineRule="auto"/>
        <w:rPr>
          <w:sz w:val="20"/>
          <w:szCs w:val="20"/>
          <w:color w:val="auto"/>
        </w:rPr>
      </w:pPr>
      <w:r>
        <w:rPr>
          <w:rFonts w:ascii="Times New Roman" w:cs="Times New Roman" w:eastAsia="Times New Roman" w:hAnsi="Times New Roman"/>
          <w:sz w:val="17"/>
          <w:szCs w:val="17"/>
          <w:color w:val="auto"/>
        </w:rPr>
        <w:t>or 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3.28</w:t>
      </w:r>
      <w:r>
        <w:rPr>
          <w:sz w:val="20"/>
          <w:szCs w:val="20"/>
          <w:color w:val="auto"/>
        </w:rPr>
        <w:tab/>
      </w:r>
      <w:r>
        <w:rPr>
          <w:rFonts w:ascii="Times New Roman" w:cs="Times New Roman" w:eastAsia="Times New Roman" w:hAnsi="Times New Roman"/>
          <w:sz w:val="17"/>
          <w:szCs w:val="17"/>
          <w:b w:val="1"/>
          <w:bCs w:val="1"/>
          <w:u w:val="single" w:color="auto"/>
          <w:color w:val="auto"/>
        </w:rPr>
        <w:t>Money Laundering Laws</w:t>
      </w:r>
      <w:r>
        <w:rPr>
          <w:rFonts w:ascii="Times New Roman" w:cs="Times New Roman" w:eastAsia="Times New Roman" w:hAnsi="Times New Roman"/>
          <w:sz w:val="17"/>
          <w:szCs w:val="17"/>
          <w:color w:val="auto"/>
        </w:rPr>
        <w:t>. No action, suit or proceeding by or before any court or governmental agency, authority or</w:t>
      </w:r>
    </w:p>
    <w:p>
      <w:pPr>
        <w:spacing w:after="0" w:line="3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body or any arbitrator involving the Plains Entities or the GP Entities that involve allegations of money laundering is pending or, to the knowledge of the Partnership, threatened.</w:t>
      </w:r>
    </w:p>
    <w:p>
      <w:pPr>
        <w:spacing w:after="0" w:line="176" w:lineRule="exact"/>
        <w:rPr>
          <w:sz w:val="20"/>
          <w:szCs w:val="20"/>
          <w:color w:val="auto"/>
        </w:rPr>
      </w:pPr>
    </w:p>
    <w:p>
      <w:pPr>
        <w:jc w:val="both"/>
        <w:ind w:right="340" w:firstLine="895"/>
        <w:spacing w:after="0" w:line="268" w:lineRule="auto"/>
        <w:rPr>
          <w:sz w:val="20"/>
          <w:szCs w:val="20"/>
          <w:color w:val="auto"/>
        </w:rPr>
      </w:pPr>
      <w:r>
        <w:rPr>
          <w:rFonts w:ascii="Times New Roman" w:cs="Times New Roman" w:eastAsia="Times New Roman" w:hAnsi="Times New Roman"/>
          <w:sz w:val="18"/>
          <w:szCs w:val="18"/>
          <w:color w:val="auto"/>
        </w:rPr>
        <w:t xml:space="preserve">Section 3.29 </w:t>
      </w:r>
      <w:r>
        <w:rPr>
          <w:rFonts w:ascii="Times New Roman" w:cs="Times New Roman" w:eastAsia="Times New Roman" w:hAnsi="Times New Roman"/>
          <w:sz w:val="18"/>
          <w:szCs w:val="18"/>
          <w:b w:val="1"/>
          <w:bCs w:val="1"/>
          <w:u w:val="single" w:color="auto"/>
          <w:color w:val="auto"/>
        </w:rPr>
        <w:t>OFAC.</w:t>
      </w:r>
      <w:r>
        <w:rPr>
          <w:rFonts w:ascii="Times New Roman" w:cs="Times New Roman" w:eastAsia="Times New Roman" w:hAnsi="Times New Roman"/>
          <w:sz w:val="18"/>
          <w:szCs w:val="18"/>
          <w:color w:val="auto"/>
        </w:rPr>
        <w:t xml:space="preserve"> None of the Plains Entities or the GP Entities nor, to the knowledge of the Partnership, any director, officer or employee of the Plains Entities or the GP Entities (in their capacity as director, officer or employee) has received notice that it is subject to any sanctions administered by the Office of Foreign Assets Control of the U.S. Treasury Department.</w:t>
      </w:r>
    </w:p>
    <w:p>
      <w:pPr>
        <w:sectPr>
          <w:pgSz w:w="11900" w:h="16838" w:orient="portrait"/>
          <w:cols w:equalWidth="0" w:num="1">
            <w:col w:w="11420"/>
          </w:cols>
          <w:pgMar w:left="240" w:top="121" w:right="239" w:bottom="0" w:gutter="0" w:footer="0" w:header="0"/>
        </w:sectPr>
      </w:pPr>
    </w:p>
    <w:bookmarkStart w:id="98" w:name="page99"/>
    <w:bookmarkEnd w:id="98"/>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160" w:type="dxa"/>
            <w:vAlign w:val="bottom"/>
          </w:tcPr>
          <w:p>
            <w:pPr>
              <w:jc w:val="center"/>
              <w:ind w:right="4370"/>
              <w:spacing w:after="0"/>
              <w:rPr>
                <w:sz w:val="20"/>
                <w:szCs w:val="20"/>
                <w:color w:val="auto"/>
              </w:rPr>
            </w:pPr>
            <w:r>
              <w:rPr>
                <w:rFonts w:ascii="Times New Roman" w:cs="Times New Roman" w:eastAsia="Times New Roman" w:hAnsi="Times New Roman"/>
                <w:sz w:val="18"/>
                <w:szCs w:val="18"/>
                <w:b w:val="1"/>
                <w:bCs w:val="1"/>
                <w:color w:val="auto"/>
                <w:w w:val="99"/>
              </w:rPr>
              <w:t>ARTICLE IV</w:t>
            </w:r>
          </w:p>
        </w:tc>
      </w:tr>
      <w:tr>
        <w:trPr>
          <w:trHeight w:val="216"/>
        </w:trPr>
        <w:tc>
          <w:tcPr>
            <w:tcW w:w="2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700" w:type="dxa"/>
            <w:vAlign w:val="bottom"/>
            <w:gridSpan w:val="2"/>
          </w:tcPr>
          <w:p>
            <w:pPr>
              <w:jc w:val="center"/>
              <w:ind w:right="2810"/>
              <w:spacing w:after="0"/>
              <w:rPr>
                <w:sz w:val="20"/>
                <w:szCs w:val="20"/>
                <w:color w:val="auto"/>
              </w:rPr>
            </w:pPr>
            <w:r>
              <w:rPr>
                <w:rFonts w:ascii="Times New Roman" w:cs="Times New Roman" w:eastAsia="Times New Roman" w:hAnsi="Times New Roman"/>
                <w:sz w:val="18"/>
                <w:szCs w:val="18"/>
                <w:b w:val="1"/>
                <w:bCs w:val="1"/>
                <w:color w:val="auto"/>
                <w:w w:val="98"/>
              </w:rPr>
              <w:t>REPRESENTATIONS AND WARRANTIES AND</w:t>
            </w:r>
          </w:p>
        </w:tc>
      </w:tr>
      <w:tr>
        <w:trPr>
          <w:trHeight w:val="238"/>
        </w:trPr>
        <w:tc>
          <w:tcPr>
            <w:tcW w:w="2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700" w:type="dxa"/>
            <w:vAlign w:val="bottom"/>
            <w:gridSpan w:val="2"/>
          </w:tcPr>
          <w:p>
            <w:pPr>
              <w:jc w:val="center"/>
              <w:ind w:right="2810"/>
              <w:spacing w:after="0"/>
              <w:rPr>
                <w:sz w:val="20"/>
                <w:szCs w:val="20"/>
                <w:color w:val="auto"/>
              </w:rPr>
            </w:pPr>
            <w:r>
              <w:rPr>
                <w:rFonts w:ascii="Times New Roman" w:cs="Times New Roman" w:eastAsia="Times New Roman" w:hAnsi="Times New Roman"/>
                <w:sz w:val="18"/>
                <w:szCs w:val="18"/>
                <w:b w:val="1"/>
                <w:bCs w:val="1"/>
                <w:color w:val="auto"/>
              </w:rPr>
              <w:t>COVENANTS OF THE PURCHASERS</w:t>
            </w:r>
          </w:p>
        </w:tc>
      </w:tr>
      <w:tr>
        <w:trPr>
          <w:trHeight w:val="432"/>
        </w:trPr>
        <w:tc>
          <w:tcPr>
            <w:tcW w:w="1102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Each of the Purchasers, severally but not jointly, represents and warrants and covenants to the Partnership as follows:</w:t>
            </w:r>
          </w:p>
        </w:tc>
      </w:tr>
      <w:tr>
        <w:trPr>
          <w:trHeight w:val="392"/>
        </w:trPr>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Section 4.01</w:t>
            </w: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Existence</w:t>
            </w:r>
            <w:r>
              <w:rPr>
                <w:rFonts w:ascii="Times New Roman" w:cs="Times New Roman" w:eastAsia="Times New Roman" w:hAnsi="Times New Roman"/>
                <w:sz w:val="18"/>
                <w:szCs w:val="18"/>
                <w:color w:val="auto"/>
              </w:rPr>
              <w:t>. Such Purchaser is duly organized and validly existing and in good standing under the laws of its state of</w:t>
            </w:r>
          </w:p>
        </w:tc>
      </w:tr>
      <w:tr>
        <w:trPr>
          <w:trHeight w:val="20"/>
        </w:trPr>
        <w:tc>
          <w:tcPr>
            <w:tcW w:w="2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r>
        <w:trPr>
          <w:trHeight w:val="237"/>
        </w:trPr>
        <w:tc>
          <w:tcPr>
            <w:tcW w:w="11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formation, with all necessary power and authority to own properties and to conduct its business as currently conducted.</w:t>
            </w:r>
          </w:p>
        </w:tc>
      </w:tr>
      <w:tr>
        <w:trPr>
          <w:trHeight w:val="392"/>
        </w:trPr>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Section 4.02</w:t>
            </w:r>
          </w:p>
        </w:tc>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Authorization, Enforceability</w:t>
            </w:r>
            <w:r>
              <w:rPr>
                <w:rFonts w:ascii="Times New Roman" w:cs="Times New Roman" w:eastAsia="Times New Roman" w:hAnsi="Times New Roman"/>
                <w:sz w:val="18"/>
                <w:szCs w:val="18"/>
                <w:color w:val="auto"/>
                <w:w w:val="99"/>
              </w:rPr>
              <w:t>. Such Purchaser has all necessary legal power and authority to enter into, deliver and</w:t>
            </w:r>
          </w:p>
        </w:tc>
      </w:tr>
      <w:tr>
        <w:trPr>
          <w:trHeight w:val="20"/>
        </w:trPr>
        <w:tc>
          <w:tcPr>
            <w:tcW w:w="2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r>
    </w:tbl>
    <w:p>
      <w:pPr>
        <w:spacing w:after="0" w:line="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perform its obligations under the Transaction Documents. The execution, delivery and performance of the Transaction Documents by such Purchaser and the consummation by it of the transactions contemplated thereby have been duly and validly authorized by all necessary legal action, and no further consent or authorization of such Purchaser is required. Each of the Transaction Documents has been duly executed and delivered by such Purchaser, where applicable, and constitutes legal, valid and binding obligations of such Purchaser; provided,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84" w:lineRule="exact"/>
        <w:rPr>
          <w:sz w:val="20"/>
          <w:szCs w:val="20"/>
          <w:color w:val="auto"/>
        </w:rPr>
      </w:pPr>
    </w:p>
    <w:p>
      <w:pPr>
        <w:ind w:right="20" w:firstLine="895"/>
        <w:spacing w:after="0" w:line="256"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b w:val="1"/>
          <w:bCs w:val="1"/>
          <w:u w:val="single" w:color="auto"/>
          <w:color w:val="auto"/>
        </w:rPr>
        <w:t>No Breach</w:t>
      </w:r>
      <w:r>
        <w:rPr>
          <w:rFonts w:ascii="Times New Roman" w:cs="Times New Roman" w:eastAsia="Times New Roman" w:hAnsi="Times New Roman"/>
          <w:sz w:val="18"/>
          <w:szCs w:val="18"/>
          <w:color w:val="auto"/>
        </w:rPr>
        <w:t xml:space="preserve">. The execution, delivery and performance of the Transaction Documents by such Purchaser and the consummation by such Purchaser of the transactions contemplated thereby will not (a) conflict with or result in a breach or violation of any of the terms or provisions of, or constitute a default under, any material agreement to which such Purchaser is a party or by which such Purchaser is bound or to which any of the property or assets of such Purchaser is subject, (b) conflict with or result in any violation of the provisions of the organizational documents of such Purchaser, or (c) violate any statute, order, rule or regulation of any court or governmental agency or body having jurisdiction over such Purchaser or the property or assets of such Purchaser, except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for such conflicts, breaches, violations or defaults as would not prevent the consummation of the transactions contemplated by the Transaction Documents.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4.04</w:t>
      </w:r>
      <w:r>
        <w:rPr>
          <w:sz w:val="20"/>
          <w:szCs w:val="20"/>
          <w:color w:val="auto"/>
        </w:rPr>
        <w:tab/>
      </w:r>
      <w:r>
        <w:rPr>
          <w:rFonts w:ascii="Times New Roman" w:cs="Times New Roman" w:eastAsia="Times New Roman" w:hAnsi="Times New Roman"/>
          <w:sz w:val="18"/>
          <w:szCs w:val="18"/>
          <w:b w:val="1"/>
          <w:bCs w:val="1"/>
          <w:u w:val="single" w:color="auto"/>
          <w:color w:val="auto"/>
        </w:rPr>
        <w:t>Certain Fees</w:t>
      </w:r>
      <w:r>
        <w:rPr>
          <w:rFonts w:ascii="Times New Roman" w:cs="Times New Roman" w:eastAsia="Times New Roman" w:hAnsi="Times New Roman"/>
          <w:sz w:val="18"/>
          <w:szCs w:val="18"/>
          <w:color w:val="auto"/>
        </w:rPr>
        <w:t>. No fees or commissions are or will be payable by such Purchaser to brokers, finders or investment bankers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with respect to the purchase of any of the Purchased Units or the consummation of the transactions contemplated by this Agreement, except for fees or commissions for which the Partnership is not responsible. Each Purchaser agrees that it will indemnify and hold harmless the Partnership from and against any and all claims, demands, or liabilities for broker’s, finder’s, placement, or other similar fees or commissions incurred by such Purchaser or alleged to have been incurred by such Purchaser in connection with the purchase of the Purchased Units or the consummation of the transactions contemplated by this Agreement.</w:t>
      </w:r>
    </w:p>
    <w:p>
      <w:pPr>
        <w:spacing w:after="0" w:line="183"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4.05</w:t>
      </w:r>
      <w:r>
        <w:rPr>
          <w:sz w:val="20"/>
          <w:szCs w:val="20"/>
          <w:color w:val="auto"/>
        </w:rPr>
        <w:tab/>
      </w:r>
      <w:r>
        <w:rPr>
          <w:rFonts w:ascii="Times New Roman" w:cs="Times New Roman" w:eastAsia="Times New Roman" w:hAnsi="Times New Roman"/>
          <w:sz w:val="17"/>
          <w:szCs w:val="17"/>
          <w:b w:val="1"/>
          <w:bCs w:val="1"/>
          <w:u w:val="single" w:color="auto"/>
          <w:color w:val="auto"/>
        </w:rPr>
        <w:t>Unregistered Securities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jc w:val="both"/>
        <w:ind w:firstLine="1305"/>
        <w:spacing w:after="0" w:line="261" w:lineRule="auto"/>
        <w:tabs>
          <w:tab w:leader="none" w:pos="194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 Status; Sophisticated Purchaser</w:t>
      </w:r>
      <w:r>
        <w:rPr>
          <w:rFonts w:ascii="Times New Roman" w:cs="Times New Roman" w:eastAsia="Times New Roman" w:hAnsi="Times New Roman"/>
          <w:sz w:val="18"/>
          <w:szCs w:val="18"/>
          <w:color w:val="auto"/>
        </w:rPr>
        <w:t>. Such Purchaser is an “accredited investor” within the meaning of Rule 501 under the Securities Act and is able to bear the risk of its investment in the Purchased Units and the Conversion Units. Such Purchaser has such knowledge and experience in financial and business matters that it is capable of evaluating the merits and risks of the purchase of the Purchased Units and the Conversion Units.</w:t>
      </w:r>
    </w:p>
    <w:p>
      <w:pPr>
        <w:spacing w:after="0" w:line="180" w:lineRule="exact"/>
        <w:rPr>
          <w:rFonts w:ascii="Times New Roman" w:cs="Times New Roman" w:eastAsia="Times New Roman" w:hAnsi="Times New Roman"/>
          <w:sz w:val="18"/>
          <w:szCs w:val="18"/>
          <w:color w:val="auto"/>
        </w:rPr>
      </w:pPr>
    </w:p>
    <w:p>
      <w:pPr>
        <w:ind w:right="60" w:firstLine="1305"/>
        <w:spacing w:after="0" w:line="255" w:lineRule="auto"/>
        <w:tabs>
          <w:tab w:leader="none" w:pos="195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Such Purchaser and its Representatives have been furnished with all materials relating to the business, finances and operations of the Partnership that have been requested and materials relating to the offer and sale of the Purchased Units and Conversion Units that have been requested by such Purchaser. Such Purchaser and its Representatives have been afforded the opportunity to ask questions of the Partnership. Neither such inquiries nor any other due diligence investigations conducted at any time by such Purchasers and its Representatives shall modify, amend or affect such Purchasers’ right (i) to rely on the Partnership’s representations and warranties contained in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above or (ii) to indemnification or any other remedy based on, or with respect to the accuracy or inaccuracy of, or compliance with, the representations, warranties, covenants and agreements in any Transaction Document. Such Purchaser understands that its purchase of the Purchased Units involves a high degree of risk. Such Purchaser has sought such accounting, legal and tax advice as it has considered necessary to make an informed investment decision with respect to its acquisition of the Purchased Units.</w:t>
      </w:r>
    </w:p>
    <w:p>
      <w:pPr>
        <w:spacing w:after="0" w:line="185" w:lineRule="exact"/>
        <w:rPr>
          <w:rFonts w:ascii="Times New Roman" w:cs="Times New Roman" w:eastAsia="Times New Roman" w:hAnsi="Times New Roman"/>
          <w:sz w:val="18"/>
          <w:szCs w:val="18"/>
          <w:color w:val="auto"/>
        </w:rPr>
      </w:pPr>
    </w:p>
    <w:p>
      <w:pPr>
        <w:ind w:right="760" w:firstLine="1305"/>
        <w:spacing w:after="0" w:line="282" w:lineRule="auto"/>
        <w:tabs>
          <w:tab w:leader="none" w:pos="1955"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Residency</w:t>
      </w:r>
      <w:r>
        <w:rPr>
          <w:rFonts w:ascii="Times New Roman" w:cs="Times New Roman" w:eastAsia="Times New Roman" w:hAnsi="Times New Roman"/>
          <w:sz w:val="18"/>
          <w:szCs w:val="18"/>
          <w:color w:val="auto"/>
        </w:rPr>
        <w:t>. Such Purchaser shall cooperate reasonably with the Partnership to provide any information necessary for any applicable securities filings.</w:t>
      </w:r>
    </w:p>
    <w:p>
      <w:pPr>
        <w:spacing w:after="0" w:line="161" w:lineRule="exact"/>
        <w:rPr>
          <w:rFonts w:ascii="Times New Roman" w:cs="Times New Roman" w:eastAsia="Times New Roman" w:hAnsi="Times New Roman"/>
          <w:sz w:val="18"/>
          <w:szCs w:val="18"/>
          <w:color w:val="auto"/>
        </w:rPr>
      </w:pPr>
    </w:p>
    <w:p>
      <w:pPr>
        <w:ind w:firstLine="1305"/>
        <w:spacing w:after="0" w:line="256" w:lineRule="auto"/>
        <w:tabs>
          <w:tab w:leader="none" w:pos="195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Such Purchaser understands that, until such time as the Purchased Units have been registered pursuant to the provisions of the Securities Act, or the Purchased Units are eligible for resale pursuant to Rule 144 promulgated under the Securities Act without any restriction as to the number of securities as of a particular date that can then be immediately sold, the Purchased Units will bear a restrictive legend as provided in the Partnership Agreement. Each Purchaser understands that, until such time as the Conversion Units have been registered pursuant to the provisions of the Securities Act, or the Conversion Units are eligible for resale pursuant to Rule 144 promulgated under the Securities Act without any restriction as to the number of securities as of a particular date that can then be immediately sold, the Conversion Units will bear a restrictive legend as provided in the Partnership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55" w:lineRule="auto"/>
        <w:tabs>
          <w:tab w:leader="none" w:pos="195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Representation</w:t>
      </w:r>
      <w:r>
        <w:rPr>
          <w:rFonts w:ascii="Times New Roman" w:cs="Times New Roman" w:eastAsia="Times New Roman" w:hAnsi="Times New Roman"/>
          <w:sz w:val="18"/>
          <w:szCs w:val="18"/>
          <w:color w:val="auto"/>
        </w:rPr>
        <w:t xml:space="preserve">. Such Purchaser is purchasing the Purchased Units for its own account and not with a view to distribution in violation of any securities laws. Such Purchaser has been advised and understands that neither the Purchased Units nor the Conversion Units have been registered under the Securities Act or under the “blue sky” laws of any jurisdiction and may be resold only if registered pursuant to the provisions of the Securities Act (or if eligible, pursuant to the provisions of Rule 144 promulgated under the Securities Act or pursuant to another available exemption from the registration requirements of the Securities Act). Such Purchaser has been advised and understands that the Partnership, in issuing the Purchased Units, is relying upon, among other things, the representations and warranties of such Purchaser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in concluding that such issuance is a “private offering” and is exempt from the registration provisions of the Securities Act.</w:t>
      </w:r>
    </w:p>
    <w:p>
      <w:pPr>
        <w:spacing w:after="0" w:line="189" w:lineRule="exact"/>
        <w:rPr>
          <w:rFonts w:ascii="Times New Roman" w:cs="Times New Roman" w:eastAsia="Times New Roman" w:hAnsi="Times New Roman"/>
          <w:sz w:val="18"/>
          <w:szCs w:val="18"/>
          <w:color w:val="auto"/>
        </w:rPr>
      </w:pPr>
    </w:p>
    <w:p>
      <w:pPr>
        <w:jc w:val="both"/>
        <w:ind w:right="440" w:firstLine="1305"/>
        <w:spacing w:after="0" w:line="282" w:lineRule="auto"/>
        <w:tabs>
          <w:tab w:leader="none" w:pos="1949"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Such Purchaser understands that there is no public trading market for the Purchased Units, that none is expected to develop and that the Purchased Units must be held indefinitely unless and until the Conversion Units and the Additional Conversion Units are registered</w:t>
      </w:r>
    </w:p>
    <w:p>
      <w:pPr>
        <w:sectPr>
          <w:pgSz w:w="11900" w:h="16933" w:orient="portrait"/>
          <w:cols w:equalWidth="0" w:num="1">
            <w:col w:w="11420"/>
          </w:cols>
          <w:pgMar w:left="240" w:top="117" w:right="239" w:bottom="0" w:gutter="0" w:footer="0" w:header="0"/>
        </w:sectPr>
      </w:pPr>
    </w:p>
    <w:bookmarkStart w:id="99" w:name="page100"/>
    <w:bookmarkEnd w:id="99"/>
    <w:p>
      <w:pPr>
        <w:ind w:right="560"/>
        <w:spacing w:after="0" w:line="282" w:lineRule="auto"/>
        <w:rPr>
          <w:sz w:val="20"/>
          <w:szCs w:val="20"/>
          <w:color w:val="auto"/>
        </w:rPr>
      </w:pPr>
      <w:r>
        <w:rPr>
          <w:rFonts w:ascii="Times New Roman" w:cs="Times New Roman" w:eastAsia="Times New Roman" w:hAnsi="Times New Roman"/>
          <w:sz w:val="18"/>
          <w:szCs w:val="18"/>
          <w:color w:val="auto"/>
        </w:rPr>
        <w:t>under the Securities Act or an exemption from registration is available. Each Purchaser has been advised of and is aware of the provisions of Rule 144 promulgated under the Securities Act.</w:t>
      </w:r>
    </w:p>
    <w:p>
      <w:pPr>
        <w:spacing w:after="0" w:line="162" w:lineRule="exact"/>
        <w:rPr>
          <w:sz w:val="20"/>
          <w:szCs w:val="20"/>
          <w:color w:val="auto"/>
        </w:rPr>
      </w:pPr>
    </w:p>
    <w:p>
      <w:pPr>
        <w:ind w:right="40" w:firstLine="1305"/>
        <w:spacing w:after="0" w:line="261" w:lineRule="auto"/>
        <w:tabs>
          <w:tab w:leader="none" w:pos="1965"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the Partnership</w:t>
      </w:r>
      <w:r>
        <w:rPr>
          <w:rFonts w:ascii="Times New Roman" w:cs="Times New Roman" w:eastAsia="Times New Roman" w:hAnsi="Times New Roman"/>
          <w:sz w:val="18"/>
          <w:szCs w:val="18"/>
          <w:color w:val="auto"/>
        </w:rPr>
        <w:t>. Such Purchaser understands that the Purchased Units are being offered and sold in reliance on a transactional exemption from the registration requirements of federal and state securities laws and that the Partnership is relying upon the truth and accuracy of the representations, warranties, agreements, acknowledgments and understandings of such Purchaser set forth herein in order to determine the applicability of such exemptions and the suitability of such Purchaser to acquire the Purchased Units and the Conversion Units issuable upon conversion thereof.</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Section 4.06</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Sufficient Funds</w:t>
            </w:r>
            <w:r>
              <w:rPr>
                <w:rFonts w:ascii="Times New Roman" w:cs="Times New Roman" w:eastAsia="Times New Roman" w:hAnsi="Times New Roman"/>
                <w:sz w:val="18"/>
                <w:szCs w:val="18"/>
                <w:color w:val="auto"/>
                <w:w w:val="99"/>
              </w:rPr>
              <w:t>. Such Purchaser will have available to it at the Closing sufficient funds to enable such Purchaser to pay</w:t>
            </w:r>
          </w:p>
        </w:tc>
      </w:tr>
      <w:tr>
        <w:trPr>
          <w:trHeight w:val="20"/>
        </w:trPr>
        <w:tc>
          <w:tcPr>
            <w:tcW w:w="26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r>
        <w:trPr>
          <w:trHeight w:val="237"/>
        </w:trPr>
        <w:tc>
          <w:tcPr>
            <w:tcW w:w="113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 full at the Closing the entire amount of such Purchaser’s Funding Obligation in immediately available cash funds.</w:t>
            </w:r>
          </w:p>
        </w:tc>
      </w:tr>
      <w:tr>
        <w:trPr>
          <w:trHeight w:val="410"/>
        </w:trPr>
        <w:tc>
          <w:tcPr>
            <w:tcW w:w="26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180" w:type="dxa"/>
            <w:vAlign w:val="bottom"/>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w w:val="98"/>
              </w:rPr>
              <w:t>ARTICLE V</w:t>
            </w:r>
          </w:p>
        </w:tc>
      </w:tr>
      <w:tr>
        <w:trPr>
          <w:trHeight w:val="238"/>
        </w:trPr>
        <w:tc>
          <w:tcPr>
            <w:tcW w:w="26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180" w:type="dxa"/>
            <w:vAlign w:val="bottom"/>
          </w:tcPr>
          <w:p>
            <w:pPr>
              <w:jc w:val="center"/>
              <w:ind w:right="3990"/>
              <w:spacing w:after="0"/>
              <w:rPr>
                <w:sz w:val="20"/>
                <w:szCs w:val="20"/>
                <w:color w:val="auto"/>
              </w:rPr>
            </w:pPr>
            <w:r>
              <w:rPr>
                <w:rFonts w:ascii="Times New Roman" w:cs="Times New Roman" w:eastAsia="Times New Roman" w:hAnsi="Times New Roman"/>
                <w:sz w:val="18"/>
                <w:szCs w:val="18"/>
                <w:b w:val="1"/>
                <w:bCs w:val="1"/>
                <w:color w:val="auto"/>
              </w:rPr>
              <w:t>COVENANTS</w:t>
            </w:r>
          </w:p>
        </w:tc>
      </w:tr>
      <w:tr>
        <w:trPr>
          <w:trHeight w:val="392"/>
        </w:trPr>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Section 5.01</w:t>
            </w:r>
          </w:p>
        </w:tc>
        <w:tc>
          <w:tcPr>
            <w:tcW w:w="8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Conduct of Business</w:t>
            </w:r>
            <w:r>
              <w:rPr>
                <w:rFonts w:ascii="Times New Roman" w:cs="Times New Roman" w:eastAsia="Times New Roman" w:hAnsi="Times New Roman"/>
                <w:sz w:val="18"/>
                <w:szCs w:val="18"/>
                <w:color w:val="auto"/>
              </w:rPr>
              <w:t>. During the period commencing on the date of this Agreement and ending on the Closing Date,</w:t>
            </w:r>
          </w:p>
        </w:tc>
      </w:tr>
      <w:tr>
        <w:trPr>
          <w:trHeight w:val="20"/>
        </w:trPr>
        <w:tc>
          <w:tcPr>
            <w:tcW w:w="26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of the Plains Entities will use commercially reasonable efforts to conduct its business in the ordinary course of business, preserve intact its existence and business organization, Permits, goodwill and present business relationships with all material customers, suppliers, licensors, distributors and others having significant business relationships with the Plains Entities (or any of them), to the extent the Partnership believes in its sole discretion that such relationships are and continue to be beneficial to the Plains Entities and their businesses.</w:t>
      </w:r>
    </w:p>
    <w:p>
      <w:pPr>
        <w:spacing w:after="0" w:line="176" w:lineRule="exact"/>
        <w:rPr>
          <w:sz w:val="20"/>
          <w:szCs w:val="20"/>
          <w:color w:val="auto"/>
        </w:rPr>
      </w:pPr>
    </w:p>
    <w:p>
      <w:pPr>
        <w:jc w:val="both"/>
        <w:ind w:right="140" w:firstLine="895"/>
        <w:spacing w:after="0" w:line="268"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b w:val="1"/>
          <w:bCs w:val="1"/>
          <w:u w:val="single" w:color="auto"/>
          <w:color w:val="auto"/>
        </w:rPr>
        <w:t>Listing of Units</w:t>
      </w:r>
      <w:r>
        <w:rPr>
          <w:rFonts w:ascii="Times New Roman" w:cs="Times New Roman" w:eastAsia="Times New Roman" w:hAnsi="Times New Roman"/>
          <w:sz w:val="18"/>
          <w:szCs w:val="18"/>
          <w:color w:val="auto"/>
        </w:rPr>
        <w:t>. Prior to the Closing, the Partnership will use its commercially reasonable efforts to obtain approval for listing, subject to notice of issuance, of the Conversion Units on the NYSE. The Partnership will use its commercially reasonable efforts to obtain approval for listing, subject to notice of issuance, of all Additional Conversion Units 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NYSE prior to each applicable date on which the PIK Units convertible into such Additional Conversion Units are distributed by the Partnership.</w:t>
      </w:r>
    </w:p>
    <w:p>
      <w:pPr>
        <w:spacing w:after="0" w:line="221" w:lineRule="exact"/>
        <w:rPr>
          <w:sz w:val="20"/>
          <w:szCs w:val="20"/>
          <w:color w:val="auto"/>
        </w:rPr>
      </w:pPr>
    </w:p>
    <w:p>
      <w:pPr>
        <w:ind w:firstLine="895"/>
        <w:spacing w:after="0" w:line="259"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b w:val="1"/>
          <w:bCs w:val="1"/>
          <w:u w:val="single" w:color="auto"/>
          <w:color w:val="auto"/>
        </w:rPr>
        <w:t>Cooperation; Further Assurances</w:t>
      </w:r>
      <w:r>
        <w:rPr>
          <w:rFonts w:ascii="Times New Roman" w:cs="Times New Roman" w:eastAsia="Times New Roman" w:hAnsi="Times New Roman"/>
          <w:sz w:val="18"/>
          <w:szCs w:val="18"/>
          <w:color w:val="auto"/>
        </w:rPr>
        <w:t>. Each of the Partnership and the Purchasers shall use its respective commercially reasonable efforts to obtain all approvals and consents required by or necessary to consummate the transactions contemplated by this Agreement and the other Transaction Documents. Each of the Partnership and the Purchasers agrees to execute and deliver all such documents or instruments, to take all appropriate action and to do all other things it determines to be necessary, proper or advisable under applicable Laws and regulations or as otherwise reasonably requested by the other to consummate the transactions contemplated by this Agreement.</w:t>
      </w:r>
    </w:p>
    <w:p>
      <w:pPr>
        <w:spacing w:after="0" w:line="180" w:lineRule="exact"/>
        <w:rPr>
          <w:sz w:val="20"/>
          <w:szCs w:val="20"/>
          <w:color w:val="auto"/>
        </w:rPr>
      </w:pPr>
    </w:p>
    <w:p>
      <w:pPr>
        <w:ind w:firstLine="895"/>
        <w:spacing w:after="0" w:line="25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b w:val="1"/>
          <w:bCs w:val="1"/>
          <w:u w:val="single" w:color="auto"/>
          <w:color w:val="auto"/>
        </w:rPr>
        <w:t>Lock-up Agreement</w:t>
      </w:r>
      <w:r>
        <w:rPr>
          <w:rFonts w:ascii="Times New Roman" w:cs="Times New Roman" w:eastAsia="Times New Roman" w:hAnsi="Times New Roman"/>
          <w:sz w:val="18"/>
          <w:szCs w:val="18"/>
          <w:color w:val="auto"/>
        </w:rPr>
        <w:t xml:space="preserve">. Without the prior written consent of the Partnership, except as specifically provided in this Agreement, each Purchaser and its Affiliates shall not, (a) during the period commencing on the Closing Date and ending on the first anniversary of the Closing Date, offer, sell, contract to sell, sell any option or contract to purchase, purchase any option or contract to sell, grant any option, right or warrant to purchase, lend, or otherwise transfer or dispose of, directly or indirectly, any of the Purchased Units (including any PIK Units received through distributions by the Partnership and any Conversion Units into which the Purchased Units or any such PIK Units may convert), (b) during the period commencing on the Closing Date and ending on the second anniversary of the Closing Date, directly or indirectly engage in any short sales or other derivative or hedging transactions with respect to the Purchased Units (including any PIK Units received through distributions by the Partnership and any Conversion Units into which the Purchased Units or any such PIK Units may convert), (c) transfer any Purchased Units to any non-U.S. resident individual, non-U.S. corporation or partnership, or any other non-U.S. entity, including any foreign governmental entity, including by means of any swap or other transaction or arrangement that transfers or that is designed to, or that might reasonably be expected to, result in the transfer to another, in whole or in part, any of the economic consequences of ownership of any Purchased Units, regardless of whether any transaction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is to be settled by delivery of Series A Preferred Units, Common Units or other securities, in cash or otherwise, or (d) effect any transfer of Purchased Units or Conversion Units in a manner that violates the terms of the Partnership Agreement; provided, however, that such Purchaser may pledge all or any portion of its Purchased Units to any holders of obligations owed by the Purchaser, including to the trustee for, or Representative of, such holders; provided further, that such Purchaser may transfer any Purchased Units or PIK Units to an Affiliate of such Purchaser. Notwithstanding the foregoing, any transferee receiving any Purchased Units pursuant to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shall (i) agree to the restrictions set forth in this </w:t>
      </w:r>
      <w:r>
        <w:rPr>
          <w:rFonts w:ascii="Times New Roman" w:cs="Times New Roman" w:eastAsia="Times New Roman" w:hAnsi="Times New Roman"/>
          <w:sz w:val="18"/>
          <w:szCs w:val="18"/>
          <w:u w:val="single" w:color="auto"/>
          <w:color w:val="auto"/>
        </w:rPr>
        <w:t>Section 5.04</w:t>
      </w:r>
      <w:r>
        <w:rPr>
          <w:rFonts w:ascii="Times New Roman" w:cs="Times New Roman" w:eastAsia="Times New Roman" w:hAnsi="Times New Roman"/>
          <w:sz w:val="18"/>
          <w:szCs w:val="18"/>
          <w:color w:val="auto"/>
        </w:rPr>
        <w:t xml:space="preserve"> and (ii) to the extent still applicable, take all actions necessary to become a party to the Confidentiality Agreement between the transferee of such Purchased Units and the Partnership.</w:t>
      </w:r>
    </w:p>
    <w:p>
      <w:pPr>
        <w:spacing w:after="0" w:line="195" w:lineRule="exact"/>
        <w:rPr>
          <w:sz w:val="20"/>
          <w:szCs w:val="20"/>
          <w:color w:val="auto"/>
        </w:rPr>
      </w:pPr>
    </w:p>
    <w:p>
      <w:pPr>
        <w:ind w:right="20" w:firstLine="895"/>
        <w:spacing w:after="0" w:line="262"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b w:val="1"/>
          <w:bCs w:val="1"/>
          <w:u w:val="single" w:color="auto"/>
          <w:color w:val="auto"/>
        </w:rPr>
        <w:t>Tax Estimates</w:t>
      </w:r>
      <w:r>
        <w:rPr>
          <w:rFonts w:ascii="Times New Roman" w:cs="Times New Roman" w:eastAsia="Times New Roman" w:hAnsi="Times New Roman"/>
          <w:sz w:val="18"/>
          <w:szCs w:val="18"/>
          <w:color w:val="auto"/>
        </w:rPr>
        <w:t>. On or before March 1 of each year, the Partnership shall provide each Purchaser that continues to own Purchased Units a good faith estimate (and reasonable supporting calculations) of whether there was sufficient Unrealized Gain attributable to the Partnership property as of December 31 of the previous year such that, if any of such Purchaser’s Series A Preferred Units were converted to Common Units and such Unrealized Gain was allocated to such Purchaser pursuant to Section 5.5(d)(iii) of the Fifth A&amp;R LPA</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(taking proper account of allocations of higher priority), such Purchaser’s Capital Account in respect of its Common Units would be equal to the Per Unit Capital Amount for an Initial Common Unit without any need for corrective allocations under Section 6.2(i) of the Fifth A&amp;R LPA.</w:t>
      </w:r>
    </w:p>
    <w:p>
      <w:pPr>
        <w:spacing w:after="0" w:line="162"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In addition, following receipt of a written request from a Purchaser that continues to own Purchased Units, the Partnership shall provide such Purchaser with a good faith estimate (and reasonable supporting calculations) of whether there is sufficient Unrealized Gain attributable to the Partnership property on the date of such request such that, if any of such Purchaser’s Series A Preferred Units were converted to Common Units and such Unrealized Gain was allocated to such Purchaser pursuant to Section 5.5(d)(iii) of the Fifth A&amp;R LPA (taking proper account of allocations of higher priority), Purchaser’s Capital Account in respect of its Common Units would be equal to the Per Unit Capital Amount for an Initial Common Unit without any need for corrective allocations under Section 6.2(i) of the Fifth A&amp;R LPA. Each Purchaser shall be entitled to make such a request not more than once per calendar year.</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all capitalized terms used but not defined herein shall have the meanings assigned to them in the Fifth A&amp;R LPA.</w:t>
      </w:r>
    </w:p>
    <w:p>
      <w:pPr>
        <w:sectPr>
          <w:pgSz w:w="11900" w:h="16838" w:orient="portrait"/>
          <w:cols w:equalWidth="0" w:num="1">
            <w:col w:w="11400"/>
          </w:cols>
          <w:pgMar w:left="240" w:top="121" w:right="259" w:bottom="0" w:gutter="0" w:footer="0" w:header="0"/>
        </w:sectPr>
      </w:pPr>
    </w:p>
    <w:bookmarkStart w:id="100" w:name="page101"/>
    <w:bookmarkEnd w:id="100"/>
    <w:p>
      <w:pPr>
        <w:spacing w:after="0" w:line="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INDEMNIFICATION, COSTS AND EXPENSES</w:t>
      </w:r>
    </w:p>
    <w:p>
      <w:pPr>
        <w:spacing w:after="0" w:line="203"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6.01</w:t>
      </w:r>
      <w:r>
        <w:rPr>
          <w:sz w:val="20"/>
          <w:szCs w:val="20"/>
          <w:color w:val="auto"/>
        </w:rPr>
        <w:tab/>
      </w:r>
      <w:r>
        <w:rPr>
          <w:rFonts w:ascii="Times New Roman" w:cs="Times New Roman" w:eastAsia="Times New Roman" w:hAnsi="Times New Roman"/>
          <w:sz w:val="18"/>
          <w:szCs w:val="18"/>
          <w:b w:val="1"/>
          <w:bCs w:val="1"/>
          <w:u w:val="single" w:color="auto"/>
          <w:color w:val="auto"/>
        </w:rPr>
        <w:t>Indemnification by the Partnership</w:t>
      </w:r>
      <w:r>
        <w:rPr>
          <w:rFonts w:ascii="Times New Roman" w:cs="Times New Roman" w:eastAsia="Times New Roman" w:hAnsi="Times New Roman"/>
          <w:sz w:val="18"/>
          <w:szCs w:val="18"/>
          <w:color w:val="auto"/>
        </w:rPr>
        <w:t>. The Partnership agrees to indemnify each Purchaser and its Representatives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(collectively, “</w:t>
      </w:r>
      <w:r>
        <w:rPr>
          <w:rFonts w:ascii="Times New Roman" w:cs="Times New Roman" w:eastAsia="Times New Roman" w:hAnsi="Times New Roman"/>
          <w:sz w:val="18"/>
          <w:szCs w:val="18"/>
          <w:b w:val="1"/>
          <w:bCs w:val="1"/>
          <w:u w:val="single" w:color="auto"/>
          <w:color w:val="auto"/>
        </w:rPr>
        <w:t>Purchaser Related Parties</w:t>
      </w:r>
      <w:r>
        <w:rPr>
          <w:rFonts w:ascii="Times New Roman" w:cs="Times New Roman" w:eastAsia="Times New Roman" w:hAnsi="Times New Roman"/>
          <w:sz w:val="18"/>
          <w:szCs w:val="18"/>
          <w:color w:val="auto"/>
        </w:rPr>
        <w:t xml:space="preserve">”) from costs, losses, liabilities, damages, or expenses of any kind or nature whatsoever, and hold each of them harmless against, any and all actions, suits, proceedings (including any investigations, litigation or inquiries), demands, and causes of action, and, in connection therewith, and promptly upon demand, pay or reimburse each of them for all costs, losses, liabilities, damages, or expenses of any kind or nature whatsoever (including the reasonable fees and disbursements of counsel and all other reasonable expenses incurred in connection with investigating, defending or preparing to defend any such matter that may be incurred by them or asserted against or involve any of them), whether or not involving a Third-Party Claim, as a result of, arising out of, or in any way related to (a) the failure of any of the representations or warranties made by the Partnership contained herein to be true and correct in all material respects as of the date made (except to the extent any representation or warranty includes the word “material,” Material Adverse Effect or words of similar import, with respect to which such representation or warranty, or applicable portions thereof, must have been true and correct) or (b) the breach of any covenants of the Partnership contained herein, provided that, in the case of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such claim for indemnification is made prior to the expiration of the survival period of such representation or warranty; provided, however, that for purposes of determining when an indemnification claim has been made, the date upon which a Purchaser Related Party shall have given notice (stating in reasonable detail the basis of the claim for indemnification) to the Partnership shall constitute the date upon which such claim has been made. No Purchaser Related Party shall be entitled to recover special, indirect, exemplary, incidental, lost profits, speculative or punitive damages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provided, however, that such limitation shall not prevent any Purchaser Related Party from recovering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for any such damages to the extent that such damages are direct damages</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form of diminution in value or are payable to a third party in connection with any Third-Party Claims.</w:t>
      </w:r>
    </w:p>
    <w:p>
      <w:pPr>
        <w:spacing w:after="0" w:line="221" w:lineRule="exact"/>
        <w:rPr>
          <w:sz w:val="20"/>
          <w:szCs w:val="20"/>
          <w:color w:val="auto"/>
        </w:rPr>
      </w:pPr>
    </w:p>
    <w:p>
      <w:pPr>
        <w:ind w:firstLine="895"/>
        <w:spacing w:after="0" w:line="252"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b w:val="1"/>
          <w:bCs w:val="1"/>
          <w:u w:val="single" w:color="auto"/>
          <w:color w:val="auto"/>
        </w:rPr>
        <w:t>Indemnification by the Purchasers</w:t>
      </w:r>
      <w:r>
        <w:rPr>
          <w:rFonts w:ascii="Times New Roman" w:cs="Times New Roman" w:eastAsia="Times New Roman" w:hAnsi="Times New Roman"/>
          <w:sz w:val="18"/>
          <w:szCs w:val="18"/>
          <w:color w:val="auto"/>
        </w:rPr>
        <w:t>. Each Purchaser agrees, severally and not jointly, to indemnify the Partnership, the GP Entities and their respective Representatives (collectively, “</w:t>
      </w:r>
      <w:r>
        <w:rPr>
          <w:rFonts w:ascii="Times New Roman" w:cs="Times New Roman" w:eastAsia="Times New Roman" w:hAnsi="Times New Roman"/>
          <w:sz w:val="18"/>
          <w:szCs w:val="18"/>
          <w:b w:val="1"/>
          <w:bCs w:val="1"/>
          <w:u w:val="single" w:color="auto"/>
          <w:color w:val="auto"/>
        </w:rPr>
        <w:t>Partnership Related Parties</w:t>
      </w:r>
      <w:r>
        <w:rPr>
          <w:rFonts w:ascii="Times New Roman" w:cs="Times New Roman" w:eastAsia="Times New Roman" w:hAnsi="Times New Roman"/>
          <w:sz w:val="18"/>
          <w:szCs w:val="18"/>
          <w:color w:val="auto"/>
        </w:rPr>
        <w:t xml:space="preserve">”) from, costs, losses, liabilities, damages, or expenses of any kind or nature whatsoever, and hold each of them harmless against, any and all actions, suits, proceedings (including any investigations, litigation or inquiries), demands, and causes of action, and, in connection therewith, and promptly upon demand, pay or reimburse each of them for all costs, losses, liabilities, damages, or expenses of any kind or nature whatsoever (including the reasonable fees and disbursements of counsel and all other reasonable expenses incurred in connection with investigating, defending or preparing to defend any such matter that may be incurred by them or asserted against or involve any of them), whether or not involving a Third-Party Claim, as a result of, arising out of, or in any way related to (a) the failure of any of the representations or warranties made by such Purchaser contained herein to be true and correct in all material respects as of the date made or (b) the breach of any of the covenants of such Purchaser contained herein, provided that, in the case of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such claim for indemnification relating to a breach of any representation or warranty is made prior to the expiration of the survival period of such representation or warranty; provided, however, that for purposes of determining when an indemnification claim has been made, the date upon which a Partnership Related Party shall have given notice (stating in reasonable detail the basis of the claim for indemnification) to such Purchaser shall constitute the date upon which such claim has been made; provided, further, that the liability of such Purchasers shall not be greater in amount than the sum of such Purchaser’s Purchase Price plus any distributions paid to such Purchaser with respect to the Purchased Units. No Partnership Related Party shall be entitled to recover special, indirect, exemplary, incidental, lost profits, speculative or punitive damages under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provided, however, that such limitation shall not prevent any Partnership Related Party from recovering under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for any such damages to the extent that such damages are direct damages in the form of diminution in value or payable to a third party in connection with any Third-Party Claims.</w:t>
      </w:r>
    </w:p>
    <w:p>
      <w:pPr>
        <w:spacing w:after="0" w:line="195"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6.03</w:t>
      </w:r>
      <w:r>
        <w:rPr>
          <w:sz w:val="20"/>
          <w:szCs w:val="20"/>
          <w:color w:val="auto"/>
        </w:rPr>
        <w:tab/>
      </w:r>
      <w:r>
        <w:rPr>
          <w:rFonts w:ascii="Times New Roman" w:cs="Times New Roman" w:eastAsia="Times New Roman" w:hAnsi="Times New Roman"/>
          <w:sz w:val="17"/>
          <w:szCs w:val="17"/>
          <w:b w:val="1"/>
          <w:bCs w:val="1"/>
          <w:u w:val="single" w:color="auto"/>
          <w:color w:val="auto"/>
        </w:rPr>
        <w:t>Indemnification Procedure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80" w:firstLine="1305"/>
        <w:spacing w:after="0" w:line="266" w:lineRule="auto"/>
        <w:tabs>
          <w:tab w:leader="none" w:pos="194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claim for indemnification for any matter not involving a Third-Party Claim may be asserted by notice to the party from whom indemnification is sought; provided, however, that failure to so notify the indemnifying party shall not preclude the indemnified party from any indemnification which it may claim in accordance with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72" w:lineRule="exact"/>
        <w:rPr>
          <w:rFonts w:ascii="Times New Roman" w:cs="Times New Roman" w:eastAsia="Times New Roman" w:hAnsi="Times New Roman"/>
          <w:sz w:val="18"/>
          <w:szCs w:val="18"/>
          <w:color w:val="auto"/>
        </w:rPr>
      </w:pPr>
    </w:p>
    <w:p>
      <w:pPr>
        <w:ind w:firstLine="1305"/>
        <w:spacing w:after="0" w:line="259" w:lineRule="auto"/>
        <w:tabs>
          <w:tab w:leader="none" w:pos="1952"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any Partnership Related Party or Purchaser Related Party (hereinafter, the “</w:t>
      </w:r>
      <w:r>
        <w:rPr>
          <w:rFonts w:ascii="Times New Roman" w:cs="Times New Roman" w:eastAsia="Times New Roman" w:hAnsi="Times New Roman"/>
          <w:sz w:val="18"/>
          <w:szCs w:val="18"/>
          <w:b w:val="1"/>
          <w:bCs w:val="1"/>
          <w:u w:val="single" w:color="auto"/>
          <w:color w:val="auto"/>
        </w:rPr>
        <w:t>Indemnified Party</w:t>
      </w:r>
      <w:r>
        <w:rPr>
          <w:rFonts w:ascii="Times New Roman" w:cs="Times New Roman" w:eastAsia="Times New Roman" w:hAnsi="Times New Roman"/>
          <w:sz w:val="18"/>
          <w:szCs w:val="18"/>
          <w:color w:val="auto"/>
        </w:rPr>
        <w:t>”) has received notice of any indemnifiable claim hereunder, or the commencement of any action, suit or proceeding by a third person, which the Indemnified Party believes in good faith is an indemnifiable claim under this Agreement (each a “</w:t>
      </w:r>
      <w:r>
        <w:rPr>
          <w:rFonts w:ascii="Times New Roman" w:cs="Times New Roman" w:eastAsia="Times New Roman" w:hAnsi="Times New Roman"/>
          <w:sz w:val="18"/>
          <w:szCs w:val="18"/>
          <w:b w:val="1"/>
          <w:bCs w:val="1"/>
          <w:u w:val="single" w:color="auto"/>
          <w:color w:val="auto"/>
        </w:rPr>
        <w:t>Third-Party Claim</w:t>
      </w:r>
      <w:r>
        <w:rPr>
          <w:rFonts w:ascii="Times New Roman" w:cs="Times New Roman" w:eastAsia="Times New Roman" w:hAnsi="Times New Roman"/>
          <w:sz w:val="18"/>
          <w:szCs w:val="18"/>
          <w:color w:val="auto"/>
        </w:rPr>
        <w:t>”), the Indemnified Party shall give the indemnitor hereunder (the “</w:t>
      </w:r>
      <w:r>
        <w:rPr>
          <w:rFonts w:ascii="Times New Roman" w:cs="Times New Roman" w:eastAsia="Times New Roman" w:hAnsi="Times New Roman"/>
          <w:sz w:val="18"/>
          <w:szCs w:val="18"/>
          <w:b w:val="1"/>
          <w:bCs w:val="1"/>
          <w:u w:val="single" w:color="auto"/>
          <w:color w:val="auto"/>
        </w:rPr>
        <w:t>Indemnifying Party</w:t>
      </w:r>
      <w:r>
        <w:rPr>
          <w:rFonts w:ascii="Times New Roman" w:cs="Times New Roman" w:eastAsia="Times New Roman" w:hAnsi="Times New Roman"/>
          <w:sz w:val="18"/>
          <w:szCs w:val="18"/>
          <w:color w:val="auto"/>
        </w:rPr>
        <w:t>”) written notice of such Third-Party Claim, but failure to so notify the Indemnifying Party will not relieve the Indemnifying Party from any liability it may have to such</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7"/>
          <w:szCs w:val="17"/>
          <w:color w:val="auto"/>
        </w:rPr>
        <w:t>Indemnified Party hereunder except to the extent that the Indemnifying Party is materially prejudiced by such failure. Such notice shall state the nature and the basis of such Third-Party Claim to the extent then known. The Indemnifying Party shall have the right to defend and settle, at its own expense and by its own counsel who shall be reasonably acceptable to the Indemnified Party, any such matter. If the Indemnifying Party undertakes to defend or settle, it shall promptly, and in no event later than ten (10) days, notify the Indemnified Party of its intention to do so, and the Indemnified Party shall cooperate with the Indemnifying Party and its counsel in all commercially reasonable respects in the defense thereof and the settlement thereof. Such cooperation shall include, but shall not be limited to, furnishing the Indemnifying Party with any books, records and other information reasonably requested by the Indemnifying Party and in the Indemnified Party’s possession or control. Such cooperation of the Indemnified Party shall be at the cost of the Indemnifying Party. After the Indemnifying Party has notified the Indemnified Party of its intention to undertake to defend or settle any such asserted liability, and for so long as the Indemnifying Party diligently pursues such defense, the Indemnifying Party shall not be liable for any additional legal expenses incurred by the Indemnified Party in connection with any defense or settlement of such asserted liability; provided, however, that the Indemnified Party shall be entitled (i) at its expense, to participate in the defense of such asserted liability and the negotiations of the settlement thereof and (ii) if (A) the Indemnifying Party has, within ten</w:t>
      </w:r>
    </w:p>
    <w:p>
      <w:pPr>
        <w:spacing w:after="0" w:line="3" w:lineRule="exact"/>
        <w:rPr>
          <w:sz w:val="20"/>
          <w:szCs w:val="20"/>
          <w:color w:val="auto"/>
        </w:rPr>
      </w:pPr>
    </w:p>
    <w:p>
      <w:pPr>
        <w:ind w:left="360" w:hanging="352"/>
        <w:spacing w:after="0"/>
        <w:tabs>
          <w:tab w:leader="none" w:pos="36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of when the Indemnified Party provides written notice of a Third-Party Claim, failed (1) to assume the defense or employ counsel</w:t>
      </w:r>
    </w:p>
    <w:p>
      <w:pPr>
        <w:spacing w:after="0" w:line="9" w:lineRule="exact"/>
        <w:rPr>
          <w:rFonts w:ascii="Times New Roman" w:cs="Times New Roman" w:eastAsia="Times New Roman" w:hAnsi="Times New Roman"/>
          <w:sz w:val="18"/>
          <w:szCs w:val="18"/>
          <w:color w:val="auto"/>
        </w:rPr>
      </w:pPr>
    </w:p>
    <w:p>
      <w:pPr>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acceptable to the Indemnified Party and (2) notify the Indemnified Party of such assumption or (B) if the defendants in any such action include both the Indemnified Party and the Indemnifying Party and counsel to the Indemnified Party shall have concluded that there may be reasonable defenses available to the Indemnified Party that are different from or in addition to those available to the Indemnifying Party or if the interests of the Indemnified Party reasonably may be deemed to conflict with the interests of the Indemnifying Party, then the Indemnified Party shall have the right to select a separate counsel</w:t>
      </w:r>
    </w:p>
    <w:p>
      <w:pPr>
        <w:sectPr>
          <w:pgSz w:w="11900" w:h="16909" w:orient="portrait"/>
          <w:cols w:equalWidth="0" w:num="1">
            <w:col w:w="11380"/>
          </w:cols>
          <w:pgMar w:left="240" w:top="117" w:right="279" w:bottom="0" w:gutter="0" w:footer="0" w:header="0"/>
        </w:sectPr>
      </w:pPr>
    </w:p>
    <w:bookmarkStart w:id="101" w:name="page102"/>
    <w:bookmarkEnd w:id="101"/>
    <w:p>
      <w:pPr>
        <w:spacing w:after="0" w:line="6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 xml:space="preserve">and to assume such legal defense and otherwise to participate in the defense of such action, with the expenses and fees of such separate counsel and other expenses related to such participation to be reimbursed by the Indemnifying Party as incurred. Notwithstanding any other provision of this Agreement, the Indemnifying Party shall not settle any indemnified claim without the consent of the Indemnified Party, unless the settlement thereof imposes no liability or obligation on, and includes a complete release from liability of, and does not include any admission of wrongdoing or malfeasance by, the Indemnified Party. The remedies provided for in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are cumulative and are not exclusive of any remedies that may be available to a party at law or in equity or otherwise.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Section 6.04</w:t>
            </w: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 All indemnification payments under this Article VI shall be adjustments to the Purchaser’s Purchase Price</w:t>
            </w:r>
          </w:p>
        </w:tc>
      </w:tr>
      <w:tr>
        <w:trPr>
          <w:trHeight w:val="20"/>
        </w:trPr>
        <w:tc>
          <w:tcPr>
            <w:tcW w:w="2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r>
      <w:tr>
        <w:trPr>
          <w:trHeight w:val="237"/>
        </w:trPr>
        <w:tc>
          <w:tcPr>
            <w:tcW w:w="114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except as otherwise required by applicable Law.</w:t>
            </w:r>
          </w:p>
        </w:tc>
      </w:tr>
      <w:tr>
        <w:trPr>
          <w:trHeight w:val="410"/>
        </w:trPr>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0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ARTICLE VII</w:t>
            </w:r>
          </w:p>
        </w:tc>
      </w:tr>
      <w:tr>
        <w:trPr>
          <w:trHeight w:val="238"/>
        </w:trPr>
        <w:tc>
          <w:tcPr>
            <w:tcW w:w="2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900" w:type="dxa"/>
            <w:vAlign w:val="bottom"/>
            <w:gridSpan w:val="3"/>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9"/>
              </w:rPr>
              <w:t>TERMINATION</w:t>
            </w:r>
          </w:p>
        </w:tc>
      </w:tr>
      <w:tr>
        <w:trPr>
          <w:trHeight w:val="392"/>
        </w:trPr>
        <w:tc>
          <w:tcPr>
            <w:tcW w:w="26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Section 7.01</w:t>
            </w:r>
          </w:p>
        </w:tc>
        <w:tc>
          <w:tcPr>
            <w:tcW w:w="8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Termination</w:t>
            </w:r>
            <w:r>
              <w:rPr>
                <w:rFonts w:ascii="Times New Roman" w:cs="Times New Roman" w:eastAsia="Times New Roman" w:hAnsi="Times New Roman"/>
                <w:sz w:val="18"/>
                <w:szCs w:val="18"/>
                <w:color w:val="auto"/>
              </w:rPr>
              <w:t>. This Agreement may be terminated at any time prior to the Closing:</w:t>
            </w:r>
          </w:p>
        </w:tc>
      </w:tr>
      <w:tr>
        <w:trPr>
          <w:trHeight w:val="453"/>
        </w:trPr>
        <w:tc>
          <w:tcPr>
            <w:tcW w:w="2600" w:type="dxa"/>
            <w:vAlign w:val="bottom"/>
          </w:tcPr>
          <w:p>
            <w:pPr>
              <w:spacing w:after="0"/>
              <w:rPr>
                <w:sz w:val="24"/>
                <w:szCs w:val="24"/>
                <w:color w:val="auto"/>
              </w:rPr>
            </w:pPr>
          </w:p>
        </w:tc>
        <w:tc>
          <w:tcPr>
            <w:tcW w:w="960" w:type="dxa"/>
            <w:vAlign w:val="bottom"/>
            <w:tcBorders>
              <w:top w:val="single" w:sz="8" w:color="auto"/>
            </w:tcBorders>
            <w:gridSpan w:val="2"/>
          </w:tcPr>
          <w:p>
            <w:pPr>
              <w:spacing w:after="0"/>
              <w:rPr>
                <w:sz w:val="24"/>
                <w:szCs w:val="24"/>
                <w:color w:val="auto"/>
              </w:rPr>
            </w:pPr>
          </w:p>
        </w:tc>
        <w:tc>
          <w:tcPr>
            <w:tcW w:w="302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w w:val="99"/>
              </w:rPr>
              <w:t>25</w:t>
            </w:r>
          </w:p>
        </w:tc>
        <w:tc>
          <w:tcPr>
            <w:tcW w:w="74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132"/>
        </w:trPr>
        <w:tc>
          <w:tcPr>
            <w:tcW w:w="260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1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940" w:hanging="635"/>
        <w:spacing w:after="0"/>
        <w:tabs>
          <w:tab w:leader="none" w:pos="1940"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consent of the Partnership and the Purchasers representing a majority of the Purchased Units;</w:t>
      </w:r>
    </w:p>
    <w:p>
      <w:pPr>
        <w:spacing w:after="0" w:line="225" w:lineRule="exact"/>
        <w:rPr>
          <w:rFonts w:ascii="Times New Roman" w:cs="Times New Roman" w:eastAsia="Times New Roman" w:hAnsi="Times New Roman"/>
          <w:sz w:val="18"/>
          <w:szCs w:val="18"/>
          <w:color w:val="auto"/>
        </w:rPr>
      </w:pPr>
    </w:p>
    <w:p>
      <w:pPr>
        <w:ind w:right="80" w:firstLine="1305"/>
        <w:spacing w:after="0" w:line="261" w:lineRule="auto"/>
        <w:tabs>
          <w:tab w:leader="none" w:pos="1952"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notice from either the Partnership or the Purchasers representing a majority of the Purchased Units if any Governmental Authority with lawful jurisdiction shall have issued a final order, decree or ruling or taken any other final action restraining, enjoining or otherwise prohibiting the transactions contemplated by the Transaction Documents and such order, decree, ruling or other action is or shall have become final and nonappealable; or</w:t>
      </w:r>
    </w:p>
    <w:p>
      <w:pPr>
        <w:spacing w:after="0" w:line="180" w:lineRule="exact"/>
        <w:rPr>
          <w:rFonts w:ascii="Times New Roman" w:cs="Times New Roman" w:eastAsia="Times New Roman" w:hAnsi="Times New Roman"/>
          <w:sz w:val="18"/>
          <w:szCs w:val="18"/>
          <w:color w:val="auto"/>
        </w:rPr>
      </w:pPr>
    </w:p>
    <w:p>
      <w:pPr>
        <w:ind w:right="400" w:firstLine="1305"/>
        <w:spacing w:after="0" w:line="266" w:lineRule="auto"/>
        <w:tabs>
          <w:tab w:leader="none" w:pos="1955"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written notice from the Partnership or a Purchaser, with respect to itself but not any other Purchaser, if the Closing does not occur by 11:59 p.m. on February 11, 2016 Houston, Texas time; provided, however, that no party may terminate this Agreement pursuant to this </w:t>
      </w:r>
      <w:r>
        <w:rPr>
          <w:rFonts w:ascii="Times New Roman" w:cs="Times New Roman" w:eastAsia="Times New Roman" w:hAnsi="Times New Roman"/>
          <w:sz w:val="18"/>
          <w:szCs w:val="18"/>
          <w:u w:val="single" w:color="auto"/>
          <w:color w:val="auto"/>
        </w:rPr>
        <w:t>Section 7.01(c)</w:t>
      </w:r>
      <w:r>
        <w:rPr>
          <w:rFonts w:ascii="Times New Roman" w:cs="Times New Roman" w:eastAsia="Times New Roman" w:hAnsi="Times New Roman"/>
          <w:sz w:val="18"/>
          <w:szCs w:val="18"/>
          <w:color w:val="auto"/>
        </w:rPr>
        <w:t xml:space="preserve"> if such party is, at the time of providing such written notice, in breach of any of its obligations under this Agreement.</w:t>
      </w:r>
    </w:p>
    <w:p>
      <w:pPr>
        <w:spacing w:after="0" w:line="172"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7.02</w:t>
      </w:r>
      <w:r>
        <w:rPr>
          <w:sz w:val="20"/>
          <w:szCs w:val="20"/>
          <w:color w:val="auto"/>
        </w:rPr>
        <w:tab/>
      </w:r>
      <w:r>
        <w:rPr>
          <w:rFonts w:ascii="Times New Roman" w:cs="Times New Roman" w:eastAsia="Times New Roman" w:hAnsi="Times New Roman"/>
          <w:sz w:val="17"/>
          <w:szCs w:val="17"/>
          <w:b w:val="1"/>
          <w:bCs w:val="1"/>
          <w:u w:val="single" w:color="auto"/>
          <w:color w:val="auto"/>
        </w:rPr>
        <w:t>Certain Effects of Termination</w:t>
      </w:r>
      <w:r>
        <w:rPr>
          <w:rFonts w:ascii="Times New Roman" w:cs="Times New Roman" w:eastAsia="Times New Roman" w:hAnsi="Times New Roman"/>
          <w:sz w:val="17"/>
          <w:szCs w:val="17"/>
          <w:color w:val="auto"/>
        </w:rPr>
        <w:t>. In the event that this Agreement is terminated pursuant to</w:t>
      </w:r>
      <w:r>
        <w:rPr>
          <w:rFonts w:ascii="Times New Roman" w:cs="Times New Roman" w:eastAsia="Times New Roman" w:hAnsi="Times New Roman"/>
          <w:sz w:val="17"/>
          <w:szCs w:val="17"/>
          <w:b w:val="1"/>
          <w:bCs w:val="1"/>
          <w:u w:val="single" w:color="auto"/>
          <w:color w:val="auto"/>
        </w:rPr>
        <w:t xml:space="preserve">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60" w:firstLine="1305"/>
        <w:spacing w:after="0" w:line="282" w:lineRule="auto"/>
        <w:tabs>
          <w:tab w:leader="none" w:pos="194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this Agreement shall become null and void and have no further force or effect, but the parties shall not be released from any liability arising from or in connection with any breach hereof occurring prior to such termination;</w:t>
      </w:r>
    </w:p>
    <w:p>
      <w:pPr>
        <w:spacing w:after="0" w:line="161" w:lineRule="exact"/>
        <w:rPr>
          <w:rFonts w:ascii="Times New Roman" w:cs="Times New Roman" w:eastAsia="Times New Roman" w:hAnsi="Times New Roman"/>
          <w:sz w:val="18"/>
          <w:szCs w:val="18"/>
          <w:color w:val="auto"/>
        </w:rPr>
      </w:pPr>
    </w:p>
    <w:p>
      <w:pPr>
        <w:ind w:right="80" w:firstLine="1305"/>
        <w:spacing w:after="0" w:line="258" w:lineRule="auto"/>
        <w:tabs>
          <w:tab w:leader="none" w:pos="195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regardless of any purported termination of this Agreement, the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all indemnification rights and obligations of the Partnership and the Purchasers thereunder,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remain operative and in full force and effect as between the Partnership and the Purchasers, unless the Partnership and the Purchasers representing a majority of the Purchased Units execute a writing that expressly (with specific references to the applicable Articles, Sections or subsections of this Agreement) terminates such rights and obligations as between the Partnership and the Purchasers; and</w:t>
      </w:r>
    </w:p>
    <w:p>
      <w:pPr>
        <w:spacing w:after="0" w:line="183"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Confidentiality Agreements shall remain in effect until such Confidentiality Agreement expires in accordance with its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w:t>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8.01</w:t>
      </w:r>
      <w:r>
        <w:rPr>
          <w:sz w:val="20"/>
          <w:szCs w:val="20"/>
          <w:color w:val="auto"/>
        </w:rPr>
        <w:tab/>
      </w: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color w:val="auto"/>
        </w:rPr>
        <w:t>. Except as follows, all costs and expenses, including fees and disbursements of counsel, financial advisors and</w:t>
      </w:r>
    </w:p>
    <w:p>
      <w:pPr>
        <w:spacing w:after="0" w:line="3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accountants, incurred in connection with the Transaction Documents and the transactions contemplated thereby shall be paid by the party incurring such costs and expenses:</w:t>
      </w:r>
    </w:p>
    <w:p>
      <w:pPr>
        <w:spacing w:after="0" w:line="180" w:lineRule="exact"/>
        <w:rPr>
          <w:sz w:val="20"/>
          <w:szCs w:val="20"/>
          <w:color w:val="auto"/>
        </w:rPr>
      </w:pPr>
    </w:p>
    <w:p>
      <w:pPr>
        <w:ind w:right="140" w:firstLine="1305"/>
        <w:spacing w:after="0" w:line="266" w:lineRule="auto"/>
        <w:tabs>
          <w:tab w:leader="none" w:pos="1942"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invoice therefore containing reasonable supporting detail, the Partnership shall reimburse the Lead Purchaser for the reasonable fees and expenses of Baker Botts L.L.P. of up to $250,000 (with legal fees and expenses of Baker Botts L.L.P. in excess of $250,000 to be paid pro rata by all the Purchasers in proportion to the aggregate number of Purchased Units purchased by each); and</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20" w:firstLine="1305"/>
        <w:spacing w:after="0" w:line="286" w:lineRule="auto"/>
        <w:tabs>
          <w:tab w:leader="none" w:pos="1952"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shall pay to the Purchasers a transaction fee equal to 2.0% of the Total Funding Obligation (the “</w:t>
      </w:r>
      <w:r>
        <w:rPr>
          <w:rFonts w:ascii="Times New Roman" w:cs="Times New Roman" w:eastAsia="Times New Roman" w:hAnsi="Times New Roman"/>
          <w:sz w:val="18"/>
          <w:szCs w:val="18"/>
          <w:b w:val="1"/>
          <w:bCs w:val="1"/>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Fee</w:t>
      </w:r>
      <w:r>
        <w:rPr>
          <w:rFonts w:ascii="Times New Roman" w:cs="Times New Roman" w:eastAsia="Times New Roman" w:hAnsi="Times New Roman"/>
          <w:sz w:val="18"/>
          <w:szCs w:val="18"/>
          <w:color w:val="auto"/>
        </w:rPr>
        <w:t>”), pro rata. The Transaction Fee will be paid by netting such fee from each Purchaser’s Funding Obligation paid at the Closing;</w:t>
      </w:r>
    </w:p>
    <w:p>
      <w:pPr>
        <w:spacing w:after="0" w:line="15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provided, that for United States federal income tax purposes, payment of the Transaction Fee and the reimbursements described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are, and will be treated by the parties as, adjustments to the Purchase Price paid by the Purchasers for the Purchased Units.</w:t>
      </w:r>
    </w:p>
    <w:p>
      <w:pPr>
        <w:spacing w:after="0" w:line="158" w:lineRule="exact"/>
        <w:rPr>
          <w:sz w:val="20"/>
          <w:szCs w:val="20"/>
          <w:color w:val="auto"/>
        </w:rPr>
      </w:pPr>
    </w:p>
    <w:p>
      <w:pPr>
        <w:ind w:right="40" w:firstLine="895"/>
        <w:spacing w:after="0" w:line="254"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color w:val="auto"/>
        </w:rPr>
        <w:t>. Article, Section, Schedule and Exhibit references in this Agreement are references to the corresponding Article, Section, Schedule or Exhibit to this Agreement, unless otherwise specified. All Exhibits and Schedules to this Agreement are hereby incorporated and made a part hereof as if set forth in full herein and are an integral part of this Agreement. All references to instruments, documents, Contracts and agreements are references to such instruments, documents, Contracts and agreements as the same may be amended, supplemented and otherwise modified from time to time, unless otherwise specified. The word “including” shall mean “including but not limited to” and shall not be construed to limit any general statement that it follows to the specific or similar items or matters immediately following it. Whenever the Partnership has an obligation under the Transaction Documents, the expense of complying with that obligation shall be an expense of the Partnership unless otherwise specified. Any reference in this Agreement to “$” shall mean U.S. dollars. Whenever any determination, consent or approval is to be made or given by a Purchaser, such action shall be in such Purchaser’s sole discretion, unless otherwise specified in this Agreement. If any provision in the Transaction Documents is held to be illegal, invalid, not binding or unenforceable, (a) such provision shall be fully severable and the Transaction Documents shall be construed and enforced as if such illegal, invalid, not binding or unenforceable provision had never comprised a part of the Transaction Documents, and the remaining provisions shall remain in full force and</w:t>
      </w:r>
    </w:p>
    <w:p>
      <w:pPr>
        <w:sectPr>
          <w:pgSz w:w="11900" w:h="16908" w:orient="portrait"/>
          <w:cols w:equalWidth="0" w:num="1">
            <w:col w:w="11460"/>
          </w:cols>
          <w:pgMar w:left="240" w:top="121" w:right="199" w:bottom="0" w:gutter="0" w:footer="0" w:header="0"/>
        </w:sectPr>
      </w:pPr>
    </w:p>
    <w:bookmarkStart w:id="102" w:name="page103"/>
    <w:bookmarkEnd w:id="102"/>
    <w:p>
      <w:pPr>
        <w:spacing w:after="0" w:line="255" w:lineRule="auto"/>
        <w:rPr>
          <w:sz w:val="20"/>
          <w:szCs w:val="20"/>
          <w:color w:val="auto"/>
        </w:rPr>
      </w:pPr>
      <w:r>
        <w:rPr>
          <w:rFonts w:ascii="Times New Roman" w:cs="Times New Roman" w:eastAsia="Times New Roman" w:hAnsi="Times New Roman"/>
          <w:sz w:val="18"/>
          <w:szCs w:val="18"/>
          <w:color w:val="auto"/>
        </w:rPr>
        <w:t>effect, and (b) the parties hereto shall negotiate in good faith to modify the Transaction Documents so as to effect the original intent of the parties as closely as possible in an acceptable manner in order that the transactions contemplated hereby are consummated as originally contemplated to the greatest extent possible. When calculating the period of time before which, within which or following which any act is to be done or step taken pursuant to the Transaction Documents, the date that is the reference date in calculating such period shall be excluded. If the last day of such period is a non-Business Day, the period in question shall end on the next succeeding Business Day. Any words imparting the singular number only shall include the plural and vice versa. The words such as “herein,” “hereinafter,” “hereof” and “hereunder” refer to this Agreement as a whole and not merely to a subdivision in which such words appear unless the context otherwise requires. The provision of a Table of Contents, the division of this Agreement into Articles, Sections and other subdivisions and the insertion of headings are for convenience of reference only and shall not affect or be utilized in construing or interpreting this Agreement.</w:t>
      </w:r>
    </w:p>
    <w:p>
      <w:pPr>
        <w:spacing w:after="0" w:line="181" w:lineRule="exact"/>
        <w:rPr>
          <w:sz w:val="20"/>
          <w:szCs w:val="20"/>
          <w:color w:val="auto"/>
        </w:rPr>
      </w:pPr>
    </w:p>
    <w:p>
      <w:pPr>
        <w:ind w:right="360" w:firstLine="895"/>
        <w:spacing w:after="0" w:line="262"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b w:val="1"/>
          <w:bCs w:val="1"/>
          <w:u w:val="single" w:color="auto"/>
          <w:color w:val="auto"/>
        </w:rPr>
        <w:t>Survival of Provisions</w:t>
      </w:r>
      <w:r>
        <w:rPr>
          <w:rFonts w:ascii="Times New Roman" w:cs="Times New Roman" w:eastAsia="Times New Roman" w:hAnsi="Times New Roman"/>
          <w:sz w:val="18"/>
          <w:szCs w:val="18"/>
          <w:color w:val="auto"/>
        </w:rPr>
        <w:t xml:space="preserve">. The representations and warranties set forth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4.05(a)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hereunder shall survive the execution and delivery of this Agreement indefinitely and the other representations and warranties set forth herein shall survive for a period of eighteen (18) months following the Closing Date, regardless of any investigation made by or on behalf of the Partnership or the Purchasers. The covenants made in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this Agreement or any other Transaction Document shall survive the Closing and remain operative and in full force and effect regardless of acceptance of any of the Purchased Units and payment therefor and repayment, conversion or repurchase thereof. Regardless of any purported general termination of this Agreement, the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all indemnification rights and obligations of the Partnership and the Purchasers thereunder, and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shall remain operative and in full force and effect as between the Partnership and each Purchaser, unless the Partnership and the applicable Purchaser execute a writing that expressly (with specific references to the applicable Section or subsection of this Agreement) terminates such rights and obligations as between the Partnership and such Purchaser.</w:t>
      </w:r>
    </w:p>
    <w:p>
      <w:pPr>
        <w:spacing w:after="0" w:line="184"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8.04</w:t>
      </w:r>
      <w:r>
        <w:rPr>
          <w:sz w:val="20"/>
          <w:szCs w:val="20"/>
          <w:color w:val="auto"/>
        </w:rPr>
        <w:tab/>
      </w:r>
      <w:r>
        <w:rPr>
          <w:rFonts w:ascii="Times New Roman" w:cs="Times New Roman" w:eastAsia="Times New Roman" w:hAnsi="Times New Roman"/>
          <w:sz w:val="17"/>
          <w:szCs w:val="17"/>
          <w:b w:val="1"/>
          <w:bCs w:val="1"/>
          <w:u w:val="single" w:color="auto"/>
          <w:color w:val="auto"/>
        </w:rPr>
        <w:t>No Waiver; Modifications in Writing</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80" w:firstLine="1305"/>
        <w:spacing w:after="0" w:line="261" w:lineRule="auto"/>
        <w:tabs>
          <w:tab w:leader="none" w:pos="194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w:t>
      </w:r>
      <w:r>
        <w:rPr>
          <w:rFonts w:ascii="Times New Roman" w:cs="Times New Roman" w:eastAsia="Times New Roman" w:hAnsi="Times New Roman"/>
          <w:sz w:val="18"/>
          <w:szCs w:val="18"/>
          <w:color w:val="auto"/>
        </w:rPr>
        <w:t>. 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The remedies provided for herein are cumulative and are not exclusive of any remedies that may be available to a party at law or in equity or otherwise.</w:t>
      </w:r>
    </w:p>
    <w:p>
      <w:pPr>
        <w:spacing w:after="0" w:line="180" w:lineRule="exact"/>
        <w:rPr>
          <w:rFonts w:ascii="Times New Roman" w:cs="Times New Roman" w:eastAsia="Times New Roman" w:hAnsi="Times New Roman"/>
          <w:sz w:val="18"/>
          <w:szCs w:val="18"/>
          <w:color w:val="auto"/>
        </w:rPr>
      </w:pPr>
    </w:p>
    <w:p>
      <w:pPr>
        <w:ind w:right="40" w:firstLine="1305"/>
        <w:spacing w:after="0" w:line="272" w:lineRule="auto"/>
        <w:tabs>
          <w:tab w:leader="none" w:pos="1952"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Specific Waiver</w:t>
      </w:r>
      <w:r>
        <w:rPr>
          <w:rFonts w:ascii="Times New Roman" w:cs="Times New Roman" w:eastAsia="Times New Roman" w:hAnsi="Times New Roman"/>
          <w:sz w:val="17"/>
          <w:szCs w:val="17"/>
          <w:color w:val="auto"/>
        </w:rPr>
        <w:t>. Except as otherwise provided herein, no amendment, waiver, consent, modification or termination of any provision of any Transaction Document (except in the case of the Partnership Agreement for amendments adopted pursuant to Article XIII thereof) shall be effective unless signed by each of the parties thereto affected by such amendment, waiver, consent, modification or termination. Any amendment, supplement or modification of or to any provision of any Transaction Document, any waiver of any provision of any Transaction Document and any consent to any departure by the Partnership from the terms of any provision of any Transaction Document shall be effective only in the specific instance and for the specific purpose for which made or given. Except where notice is specifically required by this Agreement, no notice to or demand on the Partnership in any case shall entitle the Partnership to any other or further notice or demand in similar or other circumstances. Any investigation by or on behalf of any party shall not be deemed to constitute a waiver by the party taking such action of compliance with any representation, warranty, covenant or agreement contained herein.</w:t>
      </w:r>
    </w:p>
    <w:p>
      <w:pPr>
        <w:spacing w:after="0" w:line="168" w:lineRule="exact"/>
        <w:rPr>
          <w:sz w:val="20"/>
          <w:szCs w:val="20"/>
          <w:color w:val="auto"/>
        </w:rPr>
      </w:pPr>
    </w:p>
    <w:p>
      <w:pPr>
        <w:ind w:right="180" w:firstLine="895"/>
        <w:spacing w:after="0" w:line="268"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Agreement shall be binding upon the Partnership, each of the Purchasers and their respective successors and permitted assigns. Except as expressly provided in this Agreement, this Agreement shall not be construed so as to confer any right or benefit upon any Person other than the parties to this Agreement and their respective successors and permitted assigns.</w:t>
      </w:r>
    </w:p>
    <w:p>
      <w:pPr>
        <w:spacing w:after="0" w:line="171"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8.06</w:t>
      </w:r>
      <w:r>
        <w:rPr>
          <w:sz w:val="20"/>
          <w:szCs w:val="20"/>
          <w:color w:val="auto"/>
        </w:rPr>
        <w:tab/>
      </w:r>
      <w:r>
        <w:rPr>
          <w:rFonts w:ascii="Times New Roman" w:cs="Times New Roman" w:eastAsia="Times New Roman" w:hAnsi="Times New Roman"/>
          <w:sz w:val="17"/>
          <w:szCs w:val="17"/>
          <w:b w:val="1"/>
          <w:bCs w:val="1"/>
          <w:u w:val="single" w:color="auto"/>
          <w:color w:val="auto"/>
        </w:rPr>
        <w:t>Non-Disclosure</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305"/>
        <w:spacing w:after="0" w:line="282" w:lineRule="auto"/>
        <w:tabs>
          <w:tab w:leader="none" w:pos="1942"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shall not impact the terms and provisions of any of the Confidentiality Agreements. The Confidentiality Agreements shall continue to be in full force and effect, pursuant to the terms and conditions thereof.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56" w:lineRule="auto"/>
        <w:tabs>
          <w:tab w:leader="none" w:pos="1952"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filings made by the Partnership with the Commission, the Partnership and any of its Representatives shall disclose the identity of, or any other information concerning the Purchasers or any of their respective Affiliates only after providing the Purchasers a reasonable opportunity to review and comment on such disclosure (with such comments being incorporated or reflected, to the extent reasonable, in any such disclosure); provided, however, that nothing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shall delay any required filing or other disclosure with the Commission, NYSE or any Governmental Authority or otherwise hinder the GP Entities’, the Plains Entities’ or their Representatives’ ability to timely comply with all laws or rules and regulations of the Commission, NYSE or other Governmental Authority.</w:t>
      </w:r>
    </w:p>
    <w:p>
      <w:pPr>
        <w:spacing w:after="0" w:line="187" w:lineRule="exact"/>
        <w:rPr>
          <w:rFonts w:ascii="Times New Roman" w:cs="Times New Roman" w:eastAsia="Times New Roman" w:hAnsi="Times New Roman"/>
          <w:sz w:val="18"/>
          <w:szCs w:val="18"/>
          <w:color w:val="auto"/>
        </w:rPr>
      </w:pPr>
    </w:p>
    <w:p>
      <w:pPr>
        <w:ind w:right="20" w:firstLine="1305"/>
        <w:spacing w:after="0" w:line="261" w:lineRule="auto"/>
        <w:tabs>
          <w:tab w:leader="none" w:pos="195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the Partnership and the GP Entities agree that the Purchasers may (i) publicize their ownership in the Partnership, as well as the identity of the Partnership, the size of the investment and its pricing terms with respect to the Series A Preferred Units on its internet site or in marketing materials, press releases, published “tombstone” announcements or any other print or electronic medium and (ii) display the Partnership’s corporate logo in conjunction with any such reference.</w:t>
      </w:r>
    </w:p>
    <w:p>
      <w:pPr>
        <w:spacing w:after="0" w:line="176" w:lineRule="exact"/>
        <w:rPr>
          <w:sz w:val="20"/>
          <w:szCs w:val="20"/>
          <w:color w:val="auto"/>
        </w:rPr>
      </w:pPr>
    </w:p>
    <w:p>
      <w:pPr>
        <w:ind w:right="60" w:firstLine="895"/>
        <w:spacing w:after="0" w:line="286"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b w:val="1"/>
          <w:bCs w:val="1"/>
          <w:u w:val="single" w:color="auto"/>
          <w:color w:val="auto"/>
        </w:rPr>
        <w:t>Communications</w:t>
      </w:r>
      <w:r>
        <w:rPr>
          <w:rFonts w:ascii="Times New Roman" w:cs="Times New Roman" w:eastAsia="Times New Roman" w:hAnsi="Times New Roman"/>
          <w:sz w:val="18"/>
          <w:szCs w:val="18"/>
          <w:color w:val="auto"/>
        </w:rPr>
        <w:t>. All notices and demands provided for hereunder shall be in writing and shall be given by registered or certified mail, return receipt requested, telecopy, air courier guaranteeing overnight delivery or personal delivery to the following addresses</w:t>
      </w:r>
    </w:p>
    <w:p>
      <w:pPr>
        <w:spacing w:after="0" w:line="159" w:lineRule="exact"/>
        <w:rPr>
          <w:sz w:val="20"/>
          <w:szCs w:val="20"/>
          <w:color w:val="auto"/>
        </w:rPr>
      </w:pPr>
    </w:p>
    <w:p>
      <w:pPr>
        <w:ind w:left="1940" w:hanging="635"/>
        <w:spacing w:after="0"/>
        <w:tabs>
          <w:tab w:leader="none" w:pos="19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Purchasers, to the addresses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with a copy to (which shall not constitute notice):</w:t>
      </w:r>
    </w:p>
    <w:p>
      <w:pPr>
        <w:spacing w:after="0" w:line="225"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Botts L.L.P.</w:t>
      </w:r>
    </w:p>
    <w:p>
      <w:pPr>
        <w:spacing w:after="0" w:line="27" w:lineRule="exact"/>
        <w:rPr>
          <w:rFonts w:ascii="Times New Roman" w:cs="Times New Roman" w:eastAsia="Times New Roman" w:hAnsi="Times New Roman"/>
          <w:sz w:val="18"/>
          <w:szCs w:val="18"/>
          <w:color w:val="auto"/>
        </w:rPr>
      </w:pPr>
    </w:p>
    <w:p>
      <w:pPr>
        <w:ind w:left="1960" w:right="74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910 Louisiana St. Houston, Texas 77002 Attention: Joshua Davidson</w:t>
      </w:r>
    </w:p>
    <w:p>
      <w:pPr>
        <w:sectPr>
          <w:pgSz w:w="11900" w:h="16838" w:orient="portrait"/>
          <w:cols w:equalWidth="0" w:num="1">
            <w:col w:w="11420"/>
          </w:cols>
          <w:pgMar w:left="240" w:top="121" w:right="239" w:bottom="0" w:gutter="0" w:footer="0" w:header="0"/>
        </w:sectPr>
      </w:pPr>
    </w:p>
    <w:bookmarkStart w:id="103" w:name="page104"/>
    <w:bookmarkEnd w:id="103"/>
    <w:p>
      <w:pPr>
        <w:spacing w:after="0" w:line="8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 229-2727</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joshua.davidson@bakerbotts.com</w:t>
      </w:r>
    </w:p>
    <w:p>
      <w:pPr>
        <w:spacing w:after="0" w:line="207" w:lineRule="exact"/>
        <w:rPr>
          <w:sz w:val="20"/>
          <w:szCs w:val="20"/>
          <w:color w:val="auto"/>
        </w:rPr>
      </w:pPr>
    </w:p>
    <w:p>
      <w:pPr>
        <w:ind w:left="1960" w:hanging="655"/>
        <w:spacing w:after="0"/>
        <w:tabs>
          <w:tab w:leader="none" w:pos="1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Partnership:</w:t>
      </w:r>
    </w:p>
    <w:p>
      <w:pPr>
        <w:spacing w:after="0" w:line="225" w:lineRule="exact"/>
        <w:rPr>
          <w:rFonts w:ascii="Times New Roman" w:cs="Times New Roman" w:eastAsia="Times New Roman" w:hAnsi="Times New Roman"/>
          <w:sz w:val="18"/>
          <w:szCs w:val="18"/>
          <w:color w:val="auto"/>
        </w:rPr>
      </w:pPr>
    </w:p>
    <w:p>
      <w:pPr>
        <w:ind w:left="1960" w:right="70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Plains All American Pipeline, L.P. 333 Clay Street</w:t>
      </w: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Suite 1600</w:t>
      </w:r>
    </w:p>
    <w:p>
      <w:pPr>
        <w:spacing w:after="0" w:line="9" w:lineRule="exact"/>
        <w:rPr>
          <w:rFonts w:ascii="Times New Roman" w:cs="Times New Roman" w:eastAsia="Times New Roman" w:hAnsi="Times New Roman"/>
          <w:sz w:val="18"/>
          <w:szCs w:val="18"/>
          <w:color w:val="auto"/>
        </w:rPr>
      </w:pPr>
    </w:p>
    <w:p>
      <w:pPr>
        <w:ind w:left="1960" w:right="7420"/>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Houston, Texas 77002 Attention: Richard McGee Email: rkmcgee@paalp.com</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Vinson &amp; Elkins L.L.P.</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1001 Fannin Street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Suite 2500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TX 77002-6760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Alan Beck</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(713) 615-5620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abeck@velaw.com</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or to such other address as the Partnership or the Purchasers may designate in writing. All notices and communications shall be deemed to have been duly given: at the time delivered by hand, if personally delivered; upon actual receipt if sent by certified or registered mail, return receipt requested, or regular mail, if mailed; upon actual receipt of the overnight courier copy, if sent via facsimile; and upon actual receipt when delivered to an air courier guaranteeing overnight delivery.</w:t>
      </w:r>
    </w:p>
    <w:p>
      <w:pPr>
        <w:spacing w:after="0" w:line="176" w:lineRule="exact"/>
        <w:rPr>
          <w:sz w:val="20"/>
          <w:szCs w:val="20"/>
          <w:color w:val="auto"/>
        </w:rPr>
      </w:pPr>
    </w:p>
    <w:p>
      <w:pPr>
        <w:ind w:right="20" w:firstLine="895"/>
        <w:spacing w:after="0" w:line="252"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b w:val="1"/>
          <w:bCs w:val="1"/>
          <w:u w:val="single" w:color="auto"/>
          <w:color w:val="auto"/>
        </w:rPr>
        <w:t>Removal of Legend</w:t>
      </w:r>
      <w:r>
        <w:rPr>
          <w:rFonts w:ascii="Times New Roman" w:cs="Times New Roman" w:eastAsia="Times New Roman" w:hAnsi="Times New Roman"/>
          <w:sz w:val="18"/>
          <w:szCs w:val="18"/>
          <w:color w:val="auto"/>
        </w:rPr>
        <w:t xml:space="preserve">. In connection with a sale of the Purchased Units, PIK Units, Conversion Units or Additional Conversion Units by a Purchaser in reliance on Rule 144 promulgated under the Securities Act, the applicable Purchaser or its broker shall deliver to the Partnership a broker representation letter providing to the Partnership any information the Partnership deems necessary to determine that the sale of such Units is made in compliance with Rule 144 promulgated under the Securities Act, including, as may be appropriate, a certification that the Purchaser is not an affiliate of the Partnership (as defined in Rule 144 promulgated under the Securities Act) and a certification as to the length of time the such Units have been held. Upon receipt of such representation letter, the Partnership shall promptly remove the notation of a restrictive legend in such Purchaser’s or the book-entry account maintained by the Partnership, including the legend referred to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and the Partnership shall bear all costs associated therewith. At such time as the Purchased Units, PIK Units, Conversion Units or Additional Conversion Units have been sold pursuant to an effective registration statement under the Securities Act or have been held by any Purchaser for more than one year where such Purchaser is not, and has not been in the preceding three months, an affiliate of the Partnership (as defined in Rule 144 promulgated under the Securities Act), if the book-entry account of such Units still bears the notation of the restrictive legend referred to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the Partnership agrees, upon request of the Purchaser or permitted assignee, to take all steps necessary to promptly effect the removal of the legend described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from such Units, and the Partnership shall bear all costs associated therewith, regardless of whether the request is made in connection with a sale or otherwise, so long as such Purchaser or its permitted assigns provide to the Partnership any information the Partnership deems reasonably necessary to determine that the legend is no longer required under the Securities Act or applicable state laws, including (if there is no such registration statement) a certification that the holder is not an Affiliate of the Partnership (as defined in Rule 144 promulgated under the Securities Act), as well as a covenant to inform the Partnership if it should thereafter become an affiliate (as defined in Rule 144 promulgated under the Securities Act) and to consent to the notation of an appropriate restriction, and a certification as to the length of time such Units have been held. The Partnership shall cooperate with each Purchaser to effect the removal of the legend referred to in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xml:space="preserve"> at any time such legend is no longer appropriate.</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8.09</w:t>
      </w:r>
      <w:r>
        <w:rPr>
          <w:sz w:val="20"/>
          <w:szCs w:val="20"/>
          <w:color w:val="auto"/>
        </w:rPr>
        <w:tab/>
      </w: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color w:val="auto"/>
        </w:rPr>
        <w:t>. This Agreement, the other Transaction Documents, the Confidentiality Agreements and the other</w:t>
      </w:r>
    </w:p>
    <w:p>
      <w:pPr>
        <w:spacing w:after="0" w:line="3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agreements and documents referred to herein are intended by the parties as a final expression of their agreement and intended to be a complete and exclusive statement of the agreement and understanding of the parties hereto in respect of the subject matter contained herein and therein. There are no restrictions, promises, warranties or undertakings, other than those set forth or referred to herein, the other Transaction Documents or the Confidentiality Agreements with respect to the rights granted by the Partnership or any of its Affiliates or the Purchasers or any of their respective Affiliates set forth herein or therein. This Agreement, the other Transaction Documents, the Confidentiality Agreements and the other agreements and documents referred to herein or therein supersede all prior agreements and understandings between the parties with respect to such subject matter.</w:t>
      </w:r>
    </w:p>
    <w:p>
      <w:pPr>
        <w:spacing w:after="0" w:line="186" w:lineRule="exact"/>
        <w:rPr>
          <w:sz w:val="20"/>
          <w:szCs w:val="20"/>
          <w:color w:val="auto"/>
        </w:rPr>
      </w:pPr>
    </w:p>
    <w:p>
      <w:pPr>
        <w:ind w:right="40" w:firstLine="895"/>
        <w:spacing w:after="0" w:line="255"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b w:val="1"/>
          <w:bCs w:val="1"/>
          <w:u w:val="single" w:color="auto"/>
          <w:color w:val="auto"/>
        </w:rPr>
        <w:t>Governing Law; Submission to Jurisdiction</w:t>
      </w:r>
      <w:r>
        <w:rPr>
          <w:rFonts w:ascii="Times New Roman" w:cs="Times New Roman" w:eastAsia="Times New Roman" w:hAnsi="Times New Roman"/>
          <w:sz w:val="18"/>
          <w:szCs w:val="18"/>
          <w:color w:val="auto"/>
        </w:rPr>
        <w:t>. This Agreement, and all claims or causes of action (whether in contract or tort) that may be based upon, arise out of or relate to this Agreement or the negotiation, execution or performance of this Agreement (including any claim or cause of action based upon, arising out of or related to any representation or warranty made in or in connection with this Agreement), will be construed in accordance with and governed by the laws of the State of Delaware without regard to principles of conflicts of laws. Any action against any party relating to the foregoing shall be brought in any federal or state court of competent jurisdiction located within the State of Delaware, and the parties hereto hereby irrevocably submit to the non-exclusive jurisdiction of any federal or state court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82" w:lineRule="exact"/>
        <w:rPr>
          <w:sz w:val="20"/>
          <w:szCs w:val="20"/>
          <w:color w:val="auto"/>
        </w:rPr>
      </w:pPr>
    </w:p>
    <w:p>
      <w:pPr>
        <w:ind w:firstLine="895"/>
        <w:spacing w:after="0" w:line="268"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THE PARTIES TO THIS AGREEMENT EACH HEREBY WAIVES, AND AGREES TO CAUSE ITS AFFILIATES TO WAIVE, TO THE FULLEST EXTENT PERMITTED BY LAW, ANY RIGHT TO TRIAL BY JURY OF ANY CLAIM, DEMAND, ACTION OR CAUSE OF ACTION (a) ARISING UNDER THIS AGREEMENT OR (b) IN ANY WAY CONNECTED WITH OR RELATED OR</w:t>
      </w:r>
    </w:p>
    <w:p>
      <w:pPr>
        <w:sectPr>
          <w:pgSz w:w="11900" w:h="16920" w:orient="portrait"/>
          <w:cols w:equalWidth="0" w:num="1">
            <w:col w:w="11420"/>
          </w:cols>
          <w:pgMar w:left="240" w:top="121" w:right="239" w:bottom="0" w:gutter="0" w:footer="0" w:header="0"/>
        </w:sectPr>
      </w:pPr>
    </w:p>
    <w:bookmarkStart w:id="104" w:name="page105"/>
    <w:bookmarkEnd w:id="104"/>
    <w:p>
      <w:pPr>
        <w:spacing w:after="0" w:line="256" w:lineRule="auto"/>
        <w:rPr>
          <w:sz w:val="20"/>
          <w:szCs w:val="20"/>
          <w:color w:val="auto"/>
        </w:rPr>
      </w:pPr>
      <w:r>
        <w:rPr>
          <w:rFonts w:ascii="Times New Roman" w:cs="Times New Roman" w:eastAsia="Times New Roman" w:hAnsi="Times New Roman"/>
          <w:sz w:val="18"/>
          <w:szCs w:val="18"/>
          <w:color w:val="auto"/>
        </w:rPr>
        <w:t>INCIDENTAL TO THE DEALINGS OF THE PARTIES HERETO IN RESPECT OF THIS AGREEMENT OR ANY OF THE TRANSACTIONS RELATED HERETO, IN EACH CASE WHETHER NOW EXISTING OR HEREAFTER ARISING, AND WHETHER IN CONTRACT, TORT, EQUITY OR OTHERWISE. THE PARTIES TO THIS AGREEMENT EACH HEREBY AGREES AND CONSENTS THAT ANY SUCH CLAIM, DEMAND, ACTION OR CAUSE OF ACTION SHALL BE DECIDED BY COURT TRIAL WITHOUT A JURY AND THAT THE PARTIES TO THIS AGREEMENT MAY FILE AN ORIGINAL COUNTERPART OF A COPY OF THIS AGREEMENT WITH ANY COURT AS WRITTEN EVIDENCE OF THE CONSENT OF THE PARTIES HERETO TO THE WAIVER OF THEIR RIGHT TO TRIAL BY JURY.</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8.12</w:t>
      </w:r>
      <w:r>
        <w:rPr>
          <w:sz w:val="20"/>
          <w:szCs w:val="20"/>
          <w:color w:val="auto"/>
        </w:rPr>
        <w:tab/>
      </w:r>
      <w:r>
        <w:rPr>
          <w:rFonts w:ascii="Times New Roman" w:cs="Times New Roman" w:eastAsia="Times New Roman" w:hAnsi="Times New Roman"/>
          <w:sz w:val="17"/>
          <w:szCs w:val="17"/>
          <w:b w:val="1"/>
          <w:bCs w:val="1"/>
          <w:u w:val="single" w:color="auto"/>
          <w:color w:val="auto"/>
        </w:rPr>
        <w:t>Exclusive Remedy</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120" w:firstLine="1305"/>
        <w:spacing w:after="0" w:line="256" w:lineRule="auto"/>
        <w:tabs>
          <w:tab w:leader="none" w:pos="194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acknowledges and agrees that the rights of each party to consummate the transactions contemplated hereby are special, unique and of extraordinary character and that, if any party violates or fails or refuses to perform any covenant or agreement made by it herein, the non-breaching party may be without an adequate remedy at law. If any party violates or fails or refuses to perform any covenant or agreement made by such party herein, the non-breaching party subject to the terms hereof and in addition to any remedy at law for damages or other relief, may (at any time prior to the valid termination of this Agreement pursuant to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institute and prosecute an action in any court of competent jurisdiction to enforce specific performance of such covenant or agreement or seek any other equitable relief.</w:t>
      </w:r>
    </w:p>
    <w:p>
      <w:pPr>
        <w:spacing w:after="0" w:line="187" w:lineRule="exact"/>
        <w:rPr>
          <w:rFonts w:ascii="Times New Roman" w:cs="Times New Roman" w:eastAsia="Times New Roman" w:hAnsi="Times New Roman"/>
          <w:sz w:val="18"/>
          <w:szCs w:val="18"/>
          <w:color w:val="auto"/>
        </w:rPr>
      </w:pPr>
    </w:p>
    <w:p>
      <w:pPr>
        <w:ind w:right="260" w:firstLine="1305"/>
        <w:spacing w:after="0" w:line="258" w:lineRule="auto"/>
        <w:tabs>
          <w:tab w:leader="none" w:pos="1952"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sole and exclusive remedy for any and all claims arising under, out of, or related to this Agreement or the transactions contemplated hereby, shall be the rights of indemnification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only, and no Person will have any other entitlement, remedy or recourse, whether in contract, tort or otherwise, it being agreed that all of such other remedies, entitlements and recourse are expressly waived and released by the parties hereto to the fullest extent permitted by Law. Notwithstanding anything in the foregoing to the contrary, nothing in this Agreement shall limit or otherwise restrict a fraud claim brought by any party hereto or the right to seek specific performance pursuant to </w:t>
      </w:r>
      <w:r>
        <w:rPr>
          <w:rFonts w:ascii="Times New Roman" w:cs="Times New Roman" w:eastAsia="Times New Roman" w:hAnsi="Times New Roman"/>
          <w:sz w:val="18"/>
          <w:szCs w:val="18"/>
          <w:u w:val="single" w:color="auto"/>
          <w:color w:val="auto"/>
        </w:rPr>
        <w:t>Section 8.12(a)</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8.13</w:t>
      </w:r>
      <w:r>
        <w:rPr>
          <w:sz w:val="20"/>
          <w:szCs w:val="20"/>
          <w:color w:val="auto"/>
        </w:rPr>
        <w:tab/>
      </w:r>
      <w:r>
        <w:rPr>
          <w:rFonts w:ascii="Times New Roman" w:cs="Times New Roman" w:eastAsia="Times New Roman" w:hAnsi="Times New Roman"/>
          <w:sz w:val="17"/>
          <w:szCs w:val="17"/>
          <w:b w:val="1"/>
          <w:bCs w:val="1"/>
          <w:u w:val="single" w:color="auto"/>
          <w:color w:val="auto"/>
        </w:rPr>
        <w:t>No Recourse Against Others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right="80" w:firstLine="1305"/>
        <w:spacing w:after="0" w:line="254" w:lineRule="auto"/>
        <w:tabs>
          <w:tab w:leader="none" w:pos="1942"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claims, obligations, liabilities or causes of action (whether in contract or in tort, in law or in equity, or granted by statute) that may be based upon, in respect of, arise under, out or by reason of, be connected with or relate in any manner to this Agreement, or the negotiation, execution or performance of this Agreement (including any representation or warranty made in, in connection with, or as an inducement to, this Agreement), may be made only against (and are expressly limited to) the Partnership and the Purchasers. No Person other than the Partnership or the Purchasers, including no member, partner, stockholder, Affiliate or Representative thereof, nor any member, partner, stockholder, Affiliate or Representative of any of the foregoing, shall have any liability (whether in contract or in tort, in law or in equity, or granted by statute) for any claims, causes of action, obligations or liabilities arising under, out of, in connection with or related in any manner to this Agreement or based on, in respect of or by reason of this Agreement or its negotiation, execution, performance or breach; and, to the maximum extent permitted by Law, each of the Partnership and the Purchasers hereby waives and releases all such liabilities, claims, causes of action and obligations against any such third Person.</w:t>
      </w:r>
    </w:p>
    <w:p>
      <w:pPr>
        <w:spacing w:after="0" w:line="189" w:lineRule="exact"/>
        <w:rPr>
          <w:rFonts w:ascii="Times New Roman" w:cs="Times New Roman" w:eastAsia="Times New Roman" w:hAnsi="Times New Roman"/>
          <w:sz w:val="18"/>
          <w:szCs w:val="18"/>
          <w:color w:val="auto"/>
        </w:rPr>
      </w:pPr>
    </w:p>
    <w:p>
      <w:pPr>
        <w:ind w:firstLine="1305"/>
        <w:spacing w:after="0" w:line="256" w:lineRule="auto"/>
        <w:tabs>
          <w:tab w:leader="none" w:pos="1952"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to the maximum extent permitted by Law, (i) each of the Partnership and the Purchasers hereby waives and releases any and all rights, claims, demands or causes of action that may otherwise be available at law or in equity, or granted by statute, to avoid or disregard the entity form of the other or otherwise impose liability of the other on any third Person, whether granted by statute or based on theories of equity, agency, control, instrumentality, alter ego, domination, sham, single business enterprise, piercing the veil, unfairness, undercapitalization or otherwise; and (ii) each of the Partnership and the Purchasers disclaims any reliance upon any third Person with respect to the performance of this Agreement or any representation or warranty made in, in connection with or as an inducement to this Agreement.</w:t>
      </w:r>
    </w:p>
    <w:p>
      <w:pPr>
        <w:spacing w:after="0" w:line="1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900"/>
        <w:spacing w:after="0"/>
        <w:tabs>
          <w:tab w:leader="none" w:pos="2580" w:val="left"/>
        </w:tabs>
        <w:rPr>
          <w:sz w:val="20"/>
          <w:szCs w:val="20"/>
          <w:color w:val="auto"/>
        </w:rPr>
      </w:pPr>
      <w:r>
        <w:rPr>
          <w:rFonts w:ascii="Times New Roman" w:cs="Times New Roman" w:eastAsia="Times New Roman" w:hAnsi="Times New Roman"/>
          <w:sz w:val="18"/>
          <w:szCs w:val="18"/>
          <w:color w:val="auto"/>
        </w:rPr>
        <w:t>Section 8.14</w:t>
      </w:r>
      <w:r>
        <w:rPr>
          <w:sz w:val="20"/>
          <w:szCs w:val="20"/>
          <w:color w:val="auto"/>
        </w:rPr>
        <w:tab/>
      </w:r>
      <w:r>
        <w:rPr>
          <w:rFonts w:ascii="Times New Roman" w:cs="Times New Roman" w:eastAsia="Times New Roman" w:hAnsi="Times New Roman"/>
          <w:sz w:val="17"/>
          <w:szCs w:val="17"/>
          <w:b w:val="1"/>
          <w:bCs w:val="1"/>
          <w:u w:val="single" w:color="auto"/>
          <w:color w:val="auto"/>
        </w:rPr>
        <w:t>No Third-Party Beneficiaries</w:t>
      </w:r>
      <w:r>
        <w:rPr>
          <w:rFonts w:ascii="Times New Roman" w:cs="Times New Roman" w:eastAsia="Times New Roman" w:hAnsi="Times New Roman"/>
          <w:sz w:val="17"/>
          <w:szCs w:val="17"/>
          <w:color w:val="auto"/>
        </w:rPr>
        <w:t>. Nothing in this Agreement, express or implied, is intended to or shall confer upon any</w:t>
      </w:r>
    </w:p>
    <w:p>
      <w:pPr>
        <w:spacing w:after="0" w:line="3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Person, other than the Partnership, the Purchasers and, for purposes of </w:t>
      </w:r>
      <w:r>
        <w:rPr>
          <w:rFonts w:ascii="Times New Roman" w:cs="Times New Roman" w:eastAsia="Times New Roman" w:hAnsi="Times New Roman"/>
          <w:sz w:val="18"/>
          <w:szCs w:val="18"/>
          <w:u w:val="single" w:color="auto"/>
          <w:color w:val="auto"/>
        </w:rPr>
        <w:t>Section 8.13</w:t>
      </w:r>
      <w:r>
        <w:rPr>
          <w:rFonts w:ascii="Times New Roman" w:cs="Times New Roman" w:eastAsia="Times New Roman" w:hAnsi="Times New Roman"/>
          <w:sz w:val="18"/>
          <w:szCs w:val="18"/>
          <w:color w:val="auto"/>
        </w:rPr>
        <w:t xml:space="preserve"> only, any member, partner, stockholder, Affiliate or Representative of the Partnership or the Purchasers, or any member, partner, stockholder, Affiliate or Representative of any of the foregoing, any right, benefit or remedy of any nature whatsoever under or by reason of this Agreement.</w:t>
      </w:r>
    </w:p>
    <w:p>
      <w:pPr>
        <w:spacing w:after="0" w:line="182" w:lineRule="exact"/>
        <w:rPr>
          <w:sz w:val="20"/>
          <w:szCs w:val="20"/>
          <w:color w:val="auto"/>
        </w:rPr>
      </w:pPr>
    </w:p>
    <w:p>
      <w:pPr>
        <w:ind w:right="80" w:firstLine="895"/>
        <w:spacing w:after="0" w:line="268"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b w:val="1"/>
          <w:bCs w:val="1"/>
          <w:u w:val="single" w:color="auto"/>
          <w:color w:val="auto"/>
        </w:rPr>
        <w:t>Execution in Counterparts</w:t>
      </w:r>
      <w:r>
        <w:rPr>
          <w:rFonts w:ascii="Times New Roman" w:cs="Times New Roman" w:eastAsia="Times New Roman" w:hAnsi="Times New Roman"/>
          <w:sz w:val="18"/>
          <w:szCs w:val="18"/>
          <w:color w:val="auto"/>
        </w:rPr>
        <w:t>. This Agreement may be executed in any number of counterparts and by different parties hereto in separate counterparts, each of which counterparts, when so executed and delivered, shall be deemed to be an original and all of which counterparts, taken together, shall constitute but one and the same agreement.</w:t>
      </w:r>
    </w:p>
    <w:p>
      <w:pPr>
        <w:spacing w:after="0" w:line="1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parties hereto execute this Agreement, effective as of the date first above written.</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ind w:left="57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PAA GP LLC, its general partner</w:t>
      </w:r>
    </w:p>
    <w:p>
      <w:pPr>
        <w:spacing w:after="0" w:line="225" w:lineRule="exact"/>
        <w:rPr>
          <w:sz w:val="20"/>
          <w:szCs w:val="20"/>
          <w:color w:val="auto"/>
        </w:rPr>
      </w:pPr>
    </w:p>
    <w:p>
      <w:pPr>
        <w:ind w:left="57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Plains AAP, L.P., its sole member</w:t>
      </w:r>
    </w:p>
    <w:p>
      <w:pPr>
        <w:spacing w:after="0" w:line="225" w:lineRule="exact"/>
        <w:rPr>
          <w:sz w:val="20"/>
          <w:szCs w:val="20"/>
          <w:color w:val="auto"/>
        </w:rPr>
      </w:pPr>
    </w:p>
    <w:p>
      <w:pPr>
        <w:ind w:left="5720"/>
        <w:spacing w:after="0"/>
        <w:tabs>
          <w:tab w:leader="none" w:pos="61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Plains All American GP LLC, its general partner</w:t>
      </w:r>
    </w:p>
    <w:p>
      <w:pPr>
        <w:spacing w:after="0" w:line="225" w:lineRule="exact"/>
        <w:rPr>
          <w:sz w:val="20"/>
          <w:szCs w:val="20"/>
          <w:color w:val="auto"/>
        </w:rPr>
      </w:pPr>
    </w:p>
    <w:p>
      <w:pPr>
        <w:ind w:left="6160"/>
        <w:spacing w:after="0"/>
        <w:tabs>
          <w:tab w:leader="none" w:pos="68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sectPr>
      </w:pPr>
    </w:p>
    <w:bookmarkStart w:id="105" w:name="page106"/>
    <w:bookmarkEnd w:id="105"/>
    <w:p>
      <w:pPr>
        <w:ind w:left="49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Al Swanson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5440" w:space="220"/>
            <w:col w:w="3840"/>
          </w:cols>
          <w:pgMar w:left="1440" w:top="121" w:right="959" w:bottom="0" w:gutter="0" w:footer="0" w:header="0"/>
        </w:sectPr>
      </w:pP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ENCAP ENERGY CAPITAL FUND X,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EnCap Equity Fund X GP,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General Partner of EnCap Energy Capital Fund X, L.P.</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EnCap Investments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General Partner of EnCap Equity Fund X GP, L.P.</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EnCap Investments GP,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General Partner of EnCap Investments L.P.</w:t>
      </w:r>
    </w:p>
    <w:p>
      <w:pPr>
        <w:spacing w:after="0" w:line="200" w:lineRule="exact"/>
        <w:rPr>
          <w:sz w:val="20"/>
          <w:szCs w:val="20"/>
          <w:color w:val="auto"/>
        </w:rPr>
      </w:pPr>
    </w:p>
    <w:p>
      <w:pPr>
        <w:spacing w:after="0" w:line="223" w:lineRule="exact"/>
        <w:rPr>
          <w:sz w:val="20"/>
          <w:szCs w:val="20"/>
          <w:color w:val="auto"/>
        </w:rPr>
      </w:pPr>
    </w:p>
    <w:p>
      <w:pPr>
        <w:ind w:left="520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 Martin Phillips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D. Martin Phillips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29159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ENCAP FLATROCK MIDSTREAM FUND III, L.P.</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EnCap Flatrock Midstream Fund III GP, L.P.,</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General Partner of EnCap Flatrock Midstream Fund III, L.P.</w:t>
      </w:r>
    </w:p>
    <w:p>
      <w:pPr>
        <w:spacing w:after="0" w:line="20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EnCap Flatrock Midstream Fund III GP, LLC</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General Partner of EnCap Flatrock Midstream Fund III GP, L.P.</w:t>
      </w:r>
    </w:p>
    <w:p>
      <w:pPr>
        <w:spacing w:after="0" w:line="207" w:lineRule="exact"/>
        <w:rPr>
          <w:sz w:val="20"/>
          <w:szCs w:val="20"/>
          <w:color w:val="auto"/>
        </w:rPr>
      </w:pPr>
    </w:p>
    <w:p>
      <w:pPr>
        <w:ind w:left="520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R. Lemmons, Jr.</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William R. Lemmons,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29159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EMG FUND IV PAA HOLDINGS, LLC</w:t>
      </w:r>
    </w:p>
    <w:p>
      <w:pPr>
        <w:spacing w:after="0" w:line="229" w:lineRule="exact"/>
        <w:rPr>
          <w:sz w:val="20"/>
          <w:szCs w:val="20"/>
          <w:color w:val="auto"/>
        </w:rPr>
      </w:pPr>
    </w:p>
    <w:p>
      <w:pPr>
        <w:ind w:left="520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T. Raymond</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Name: John T.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29159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FR KA PLAINS HOLDINGS LLC</w:t>
      </w:r>
    </w:p>
    <w:p>
      <w:pPr>
        <w:spacing w:after="0" w:line="229" w:lineRule="exact"/>
        <w:rPr>
          <w:sz w:val="20"/>
          <w:szCs w:val="20"/>
          <w:color w:val="auto"/>
        </w:rPr>
      </w:pPr>
    </w:p>
    <w:p>
      <w:pPr>
        <w:ind w:left="518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C. Baker</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James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29159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518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MASSACHUSETTS MUTUAL LIFE INSURANCE COMPANY</w:t>
      </w:r>
    </w:p>
    <w:p>
      <w:pPr>
        <w:spacing w:after="0" w:line="43" w:lineRule="exact"/>
        <w:rPr>
          <w:sz w:val="20"/>
          <w:szCs w:val="20"/>
          <w:color w:val="auto"/>
        </w:rPr>
      </w:pPr>
    </w:p>
    <w:p>
      <w:pPr>
        <w:ind w:left="4520"/>
        <w:spacing w:after="0"/>
        <w:tabs>
          <w:tab w:leader="none" w:pos="5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KA Fund Advisors, LLC, as Manager</w:t>
      </w:r>
    </w:p>
    <w:p>
      <w:pPr>
        <w:spacing w:after="0" w:line="207" w:lineRule="exact"/>
        <w:rPr>
          <w:sz w:val="20"/>
          <w:szCs w:val="20"/>
          <w:color w:val="auto"/>
        </w:rPr>
      </w:pPr>
    </w:p>
    <w:p>
      <w:pPr>
        <w:ind w:left="518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C. Baker</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James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29159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51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KAYNE SELECT MIDSTREAM RECOVERY FUND, L.P.</w:t>
      </w:r>
    </w:p>
    <w:p>
      <w:pPr>
        <w:spacing w:after="0" w:line="31" w:lineRule="exact"/>
        <w:rPr>
          <w:sz w:val="20"/>
          <w:szCs w:val="20"/>
          <w:color w:val="auto"/>
        </w:rPr>
      </w:pPr>
    </w:p>
    <w:p>
      <w:pPr>
        <w:ind w:left="4520"/>
        <w:spacing w:after="0"/>
        <w:tabs>
          <w:tab w:leader="none" w:pos="5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Kayne Anderson Capital Advisors, 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its General Partner</w:t>
      </w:r>
    </w:p>
    <w:p>
      <w:pPr>
        <w:spacing w:after="0" w:line="207" w:lineRule="exact"/>
        <w:rPr>
          <w:sz w:val="20"/>
          <w:szCs w:val="20"/>
          <w:color w:val="auto"/>
        </w:rPr>
      </w:pPr>
    </w:p>
    <w:p>
      <w:pPr>
        <w:ind w:left="5180"/>
        <w:spacing w:after="0"/>
        <w:tabs>
          <w:tab w:leader="none" w:pos="5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Shladovsky</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3573780</wp:posOffset>
            </wp:positionH>
            <wp:positionV relativeFrom="paragraph">
              <wp:posOffset>-130810</wp:posOffset>
            </wp:positionV>
            <wp:extent cx="29159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5180"/>
        <w:spacing w:after="0"/>
        <w:rPr>
          <w:sz w:val="20"/>
          <w:szCs w:val="20"/>
          <w:color w:val="auto"/>
        </w:rPr>
      </w:pPr>
      <w:r>
        <w:rPr>
          <w:rFonts w:ascii="Times New Roman" w:cs="Times New Roman" w:eastAsia="Times New Roman" w:hAnsi="Times New Roman"/>
          <w:sz w:val="18"/>
          <w:szCs w:val="18"/>
          <w:color w:val="auto"/>
        </w:rPr>
        <w:t>Title: General Counsel</w:t>
      </w:r>
    </w:p>
    <w:p>
      <w:pPr>
        <w:sectPr>
          <w:pgSz w:w="11900" w:h="16838" w:orient="portrait"/>
          <w:cols w:equalWidth="0" w:num="1">
            <w:col w:w="9500"/>
          </w:cols>
          <w:pgMar w:left="1440" w:top="121" w:right="959" w:bottom="0" w:gutter="0" w:footer="0" w:header="0"/>
          <w:type w:val="continuous"/>
        </w:sectPr>
      </w:pPr>
    </w:p>
    <w:bookmarkStart w:id="106" w:name="page107"/>
    <w:bookmarkEnd w:id="106"/>
    <w:p>
      <w:pPr>
        <w:spacing w:after="0" w:line="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KAYNE ANDERSON MLP FUND, L.P.</w:t>
      </w:r>
    </w:p>
    <w:p>
      <w:pPr>
        <w:spacing w:after="0" w:line="31" w:lineRule="exact"/>
        <w:rPr>
          <w:sz w:val="20"/>
          <w:szCs w:val="20"/>
          <w:color w:val="auto"/>
        </w:rPr>
      </w:pPr>
    </w:p>
    <w:p>
      <w:pPr>
        <w:ind w:left="572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Kayne Anderson Capital Advisors, L.P.,</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as its General Partner</w:t>
      </w:r>
    </w:p>
    <w:p>
      <w:pPr>
        <w:spacing w:after="0" w:line="207" w:lineRule="exact"/>
        <w:rPr>
          <w:sz w:val="20"/>
          <w:szCs w:val="20"/>
          <w:color w:val="auto"/>
        </w:rPr>
      </w:pPr>
    </w:p>
    <w:p>
      <w:pPr>
        <w:ind w:left="6380"/>
        <w:spacing w:after="0"/>
        <w:tabs>
          <w:tab w:leader="none" w:pos="6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Shladovsky</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Name: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9159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63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0" w:lineRule="exact"/>
        <w:rPr>
          <w:sz w:val="20"/>
          <w:szCs w:val="20"/>
          <w:color w:val="auto"/>
        </w:rPr>
      </w:pPr>
    </w:p>
    <w:p>
      <w:pPr>
        <w:spacing w:after="0" w:line="2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KAYNE ANDERSON MIDSTREAM INSTITUTIONAL FUND, L.P.</w:t>
      </w:r>
    </w:p>
    <w:p>
      <w:pPr>
        <w:spacing w:after="0" w:line="31" w:lineRule="exact"/>
        <w:rPr>
          <w:sz w:val="20"/>
          <w:szCs w:val="20"/>
          <w:color w:val="auto"/>
        </w:rPr>
      </w:pPr>
    </w:p>
    <w:p>
      <w:pPr>
        <w:ind w:left="572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Kayne Anderson Capital Advisors, L.P.,</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as its General Partner</w:t>
      </w:r>
    </w:p>
    <w:p>
      <w:pPr>
        <w:spacing w:after="0" w:line="207" w:lineRule="exact"/>
        <w:rPr>
          <w:sz w:val="20"/>
          <w:szCs w:val="20"/>
          <w:color w:val="auto"/>
        </w:rPr>
      </w:pPr>
    </w:p>
    <w:p>
      <w:pPr>
        <w:ind w:left="6380"/>
        <w:spacing w:after="0"/>
        <w:tabs>
          <w:tab w:leader="none" w:pos="6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Shladovsky</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Name: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9159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63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KAYNE ANDERSON NON-TRADITIONAL INVESTMENTS, L.P.</w:t>
      </w:r>
    </w:p>
    <w:p>
      <w:pPr>
        <w:spacing w:after="0" w:line="31" w:lineRule="exact"/>
        <w:rPr>
          <w:sz w:val="20"/>
          <w:szCs w:val="20"/>
          <w:color w:val="auto"/>
        </w:rPr>
      </w:pPr>
    </w:p>
    <w:p>
      <w:pPr>
        <w:ind w:left="572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Kayne Anderson Capital Advisors, L.P.,</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as its General Partner</w:t>
      </w:r>
    </w:p>
    <w:p>
      <w:pPr>
        <w:spacing w:after="0" w:line="207" w:lineRule="exact"/>
        <w:rPr>
          <w:sz w:val="20"/>
          <w:szCs w:val="20"/>
          <w:color w:val="auto"/>
        </w:rPr>
      </w:pPr>
    </w:p>
    <w:p>
      <w:pPr>
        <w:ind w:left="6380"/>
        <w:spacing w:after="0"/>
        <w:tabs>
          <w:tab w:leader="none" w:pos="6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Shladovsky</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Name: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9159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63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KANTI (QP), L.P.</w:t>
      </w:r>
    </w:p>
    <w:p>
      <w:pPr>
        <w:spacing w:after="0" w:line="31" w:lineRule="exact"/>
        <w:rPr>
          <w:sz w:val="20"/>
          <w:szCs w:val="20"/>
          <w:color w:val="auto"/>
        </w:rPr>
      </w:pPr>
    </w:p>
    <w:p>
      <w:pPr>
        <w:ind w:left="572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Kayne Anderson Capital Advisors, L.P.,</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as its General Partner</w:t>
      </w:r>
    </w:p>
    <w:p>
      <w:pPr>
        <w:spacing w:after="0" w:line="207" w:lineRule="exact"/>
        <w:rPr>
          <w:sz w:val="20"/>
          <w:szCs w:val="20"/>
          <w:color w:val="auto"/>
        </w:rPr>
      </w:pPr>
    </w:p>
    <w:p>
      <w:pPr>
        <w:ind w:left="6380"/>
        <w:spacing w:after="0"/>
        <w:tabs>
          <w:tab w:leader="none" w:pos="6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Shladovsky</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Name: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9159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63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KAISER FOUNDATION HOSPITALS</w:t>
      </w:r>
    </w:p>
    <w:p>
      <w:pPr>
        <w:spacing w:after="0" w:line="31" w:lineRule="exact"/>
        <w:rPr>
          <w:sz w:val="20"/>
          <w:szCs w:val="20"/>
          <w:color w:val="auto"/>
        </w:rPr>
      </w:pPr>
    </w:p>
    <w:p>
      <w:pPr>
        <w:ind w:left="5720"/>
        <w:spacing w:after="0"/>
        <w:tabs>
          <w:tab w:leader="none" w:pos="63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Kayne Anderson Capital Advisors, L.P.,</w:t>
      </w:r>
    </w:p>
    <w:p>
      <w:pPr>
        <w:spacing w:after="0" w:line="9"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as its Manager</w:t>
      </w:r>
    </w:p>
    <w:p>
      <w:pPr>
        <w:spacing w:after="0" w:line="207" w:lineRule="exact"/>
        <w:rPr>
          <w:sz w:val="20"/>
          <w:szCs w:val="20"/>
          <w:color w:val="auto"/>
        </w:rPr>
      </w:pPr>
    </w:p>
    <w:p>
      <w:pPr>
        <w:ind w:left="6380"/>
        <w:spacing w:after="0"/>
        <w:tabs>
          <w:tab w:leader="none" w:pos="68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Shladovsky</w:t>
      </w:r>
    </w:p>
    <w:p>
      <w:pPr>
        <w:spacing w:after="0" w:line="27"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8"/>
          <w:szCs w:val="18"/>
          <w:color w:val="auto"/>
        </w:rPr>
        <w:t>Name: David Shladovsky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-130810</wp:posOffset>
            </wp:positionV>
            <wp:extent cx="29159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6380"/>
        <w:spacing w:after="0"/>
        <w:rPr>
          <w:sz w:val="20"/>
          <w:szCs w:val="20"/>
          <w:color w:val="auto"/>
        </w:rPr>
      </w:pPr>
      <w:r>
        <w:rPr>
          <w:rFonts w:ascii="Times New Roman" w:cs="Times New Roman" w:eastAsia="Times New Roman" w:hAnsi="Times New Roman"/>
          <w:sz w:val="18"/>
          <w:szCs w:val="18"/>
          <w:color w:val="auto"/>
        </w:rPr>
        <w:t>Title: General Counsel</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Purchaser and Address</w:t>
            </w:r>
          </w:p>
        </w:tc>
        <w:tc>
          <w:tcPr>
            <w:tcW w:w="16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Purchased Units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Funding Obligation</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42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EnCap Energy Capital Fund X, L.P.</w:t>
            </w:r>
          </w:p>
        </w:tc>
        <w:tc>
          <w:tcPr>
            <w:tcW w:w="3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10,884,354</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285,714,292.50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1100 Louisiana, Suite 4900</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Houston, TX 77002</w:t>
            </w: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EnCap Flatrock Midstream Fund III, L.P.</w:t>
            </w:r>
          </w:p>
        </w:tc>
        <w:tc>
          <w:tcPr>
            <w:tcW w:w="162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10,884,354</w:t>
            </w:r>
          </w:p>
        </w:tc>
        <w:tc>
          <w:tcPr>
            <w:tcW w:w="340" w:type="dxa"/>
            <w:vAlign w:val="bottom"/>
            <w:gridSpan w:val="2"/>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285,714,292.50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1100 Louisiana, Suite 4900</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Houston, TX 77002</w:t>
            </w: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EMG Fund IV PAA Holdings, LLC</w:t>
            </w:r>
          </w:p>
        </w:tc>
        <w:tc>
          <w:tcPr>
            <w:tcW w:w="162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17,492,711</w:t>
            </w:r>
          </w:p>
        </w:tc>
        <w:tc>
          <w:tcPr>
            <w:tcW w:w="340" w:type="dxa"/>
            <w:vAlign w:val="bottom"/>
            <w:gridSpan w:val="2"/>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459,183,663.75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 The Energy &amp; Minerals Group LP</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811 Main Street, Suite 4200</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Houston, TX 77002</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Attention: John T. Raymond and Laura L. Tyson</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jraymond@emgtx.com; ltyson@emgtx.com</w:t>
            </w: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FR KA Plains Holdings LLC</w:t>
            </w:r>
          </w:p>
        </w:tc>
        <w:tc>
          <w:tcPr>
            <w:tcW w:w="1620" w:type="dxa"/>
            <w:vAlign w:val="bottom"/>
            <w:gridSpan w:val="2"/>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10,884,354</w:t>
            </w:r>
          </w:p>
        </w:tc>
        <w:tc>
          <w:tcPr>
            <w:tcW w:w="340" w:type="dxa"/>
            <w:vAlign w:val="bottom"/>
            <w:gridSpan w:val="2"/>
            <w:shd w:val="clear" w:color="auto" w:fill="CCEEFF"/>
          </w:tcPr>
          <w:p>
            <w:pPr>
              <w:jc w:val="right"/>
              <w:ind w:right="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285,714,292.50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600 Travis</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6000</w:t>
            </w: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42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16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549" w:right="239" w:bottom="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color w:val="auto"/>
        </w:rPr>
        <w:t>Attn: Gary D. Reaves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548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greaves@firstreserve.com;</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jbaker@kaynecapital.com</w:t>
            </w:r>
          </w:p>
        </w:tc>
        <w:tc>
          <w:tcPr>
            <w:tcW w:w="3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4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Massachusetts Mutual Life Insurance Company</w:t>
            </w:r>
          </w:p>
        </w:tc>
        <w:tc>
          <w:tcPr>
            <w:tcW w:w="47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388,727</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10,204,083.75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jbaker@kaynecapital.com</w:t>
            </w:r>
          </w:p>
        </w:tc>
        <w:tc>
          <w:tcPr>
            <w:tcW w:w="3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Kayne Select Midstream Recovery Fund, L.P.</w:t>
            </w:r>
          </w:p>
        </w:tc>
        <w:tc>
          <w:tcPr>
            <w:tcW w:w="4880" w:type="dxa"/>
            <w:vAlign w:val="bottom"/>
            <w:gridSpan w:val="3"/>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97,182</w:t>
            </w:r>
          </w:p>
        </w:tc>
        <w:tc>
          <w:tcPr>
            <w:tcW w:w="46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2,551,027.50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jbaker@kaynecapital.com</w:t>
            </w:r>
          </w:p>
        </w:tc>
        <w:tc>
          <w:tcPr>
            <w:tcW w:w="3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Kayne Anderson MLP Fund, L.P.</w:t>
            </w:r>
          </w:p>
        </w:tc>
        <w:tc>
          <w:tcPr>
            <w:tcW w:w="47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485,909</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12,755,111.25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jbaker@kaynecapital.com</w:t>
            </w:r>
          </w:p>
        </w:tc>
        <w:tc>
          <w:tcPr>
            <w:tcW w:w="3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Kayne Anderson Midstream Institutional Fund, L.P.</w:t>
            </w:r>
          </w:p>
        </w:tc>
        <w:tc>
          <w:tcPr>
            <w:tcW w:w="47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388,727</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10,204,083.75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jbaker@kaynecapital.com</w:t>
            </w:r>
          </w:p>
        </w:tc>
        <w:tc>
          <w:tcPr>
            <w:tcW w:w="3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8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Schedule A-1</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80" w:type="dxa"/>
            <w:vAlign w:val="bottom"/>
            <w:tcBorders>
              <w:bottom w:val="single" w:sz="8" w:color="808080"/>
            </w:tcBorders>
            <w:gridSpan w:val="2"/>
          </w:tcPr>
          <w:p>
            <w:pPr>
              <w:spacing w:after="0"/>
              <w:rPr>
                <w:sz w:val="11"/>
                <w:szCs w:val="11"/>
                <w:color w:val="auto"/>
              </w:rPr>
            </w:pPr>
          </w:p>
        </w:tc>
        <w:tc>
          <w:tcPr>
            <w:tcW w:w="326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64"/>
        </w:trPr>
        <w:tc>
          <w:tcPr>
            <w:tcW w:w="20" w:type="dxa"/>
            <w:vAlign w:val="bottom"/>
            <w:vMerge w:val="restart"/>
          </w:tcPr>
          <w:p>
            <w:pPr>
              <w:spacing w:after="0"/>
              <w:rPr>
                <w:sz w:val="24"/>
                <w:szCs w:val="24"/>
                <w:color w:val="auto"/>
              </w:rPr>
            </w:pPr>
          </w:p>
        </w:tc>
        <w:tc>
          <w:tcPr>
            <w:tcW w:w="4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Kayne Anderson Non-Traditional Investments, L.P.</w:t>
            </w:r>
          </w:p>
        </w:tc>
        <w:tc>
          <w:tcPr>
            <w:tcW w:w="4880" w:type="dxa"/>
            <w:vAlign w:val="bottom"/>
            <w:gridSpan w:val="3"/>
            <w:shd w:val="clear" w:color="auto" w:fill="CCEEFF"/>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23,324</w:t>
            </w:r>
          </w:p>
        </w:tc>
        <w:tc>
          <w:tcPr>
            <w:tcW w:w="46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612,255.00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jbaker@kaynecapital.com</w:t>
            </w:r>
          </w:p>
        </w:tc>
        <w:tc>
          <w:tcPr>
            <w:tcW w:w="3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Kanti (QP), L.P.</w:t>
            </w:r>
          </w:p>
        </w:tc>
        <w:tc>
          <w:tcPr>
            <w:tcW w:w="474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171,039</w:t>
            </w:r>
          </w:p>
        </w:tc>
        <w:tc>
          <w:tcPr>
            <w:tcW w:w="14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4,489,773.75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jbaker@kaynecapital.com</w:t>
            </w:r>
          </w:p>
        </w:tc>
        <w:tc>
          <w:tcPr>
            <w:tcW w:w="3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Kaiser Foundation Hospitals</w:t>
            </w:r>
          </w:p>
        </w:tc>
        <w:tc>
          <w:tcPr>
            <w:tcW w:w="32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32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jbaker@kaynecapital.com</w:t>
            </w:r>
          </w:p>
        </w:tc>
        <w:tc>
          <w:tcPr>
            <w:tcW w:w="4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3,887,269</w:t>
            </w:r>
          </w:p>
        </w:tc>
        <w:tc>
          <w:tcPr>
            <w:tcW w:w="1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102,040,811.25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6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55,587,950</w:t>
            </w:r>
          </w:p>
        </w:tc>
        <w:tc>
          <w:tcPr>
            <w:tcW w:w="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1,459,183,687.50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88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Schedule A-2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60" w:type="dxa"/>
            <w:vAlign w:val="bottom"/>
            <w:tcBorders>
              <w:bottom w:val="single" w:sz="8" w:color="808080"/>
            </w:tcBorders>
          </w:tcPr>
          <w:p>
            <w:pPr>
              <w:spacing w:after="0"/>
              <w:rPr>
                <w:sz w:val="11"/>
                <w:szCs w:val="11"/>
                <w:color w:val="auto"/>
              </w:rPr>
            </w:pPr>
          </w:p>
        </w:tc>
        <w:tc>
          <w:tcPr>
            <w:tcW w:w="326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5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-3811270</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-3811270</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B</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Products Terminals LLC</w:t>
      </w:r>
    </w:p>
    <w:p>
      <w:pPr>
        <w:sectPr>
          <w:pgSz w:w="11900" w:h="16838" w:orient="portrait"/>
          <w:cols w:equalWidth="0" w:num="1">
            <w:col w:w="11460"/>
          </w:cols>
          <w:pgMar w:left="240" w:top="121" w:right="199" w:bottom="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LPG Services LP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 OF OPINION OF VINSON &amp; ELKINS L.L.P.</w:t>
      </w:r>
    </w:p>
    <w:p>
      <w:pPr>
        <w:spacing w:after="0" w:line="225"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Capitalized terms used but not defined herein have the meanings assigned to such terms in the Series A Preferred Unit Purchase Agreement (the “</w:t>
      </w:r>
      <w:r>
        <w:rPr>
          <w:rFonts w:ascii="Times New Roman" w:cs="Times New Roman" w:eastAsia="Times New Roman" w:hAnsi="Times New Roman"/>
          <w:sz w:val="18"/>
          <w:szCs w:val="18"/>
          <w:b w:val="1"/>
          <w:bCs w:val="1"/>
          <w:u w:val="single" w:color="auto"/>
          <w:color w:val="auto"/>
        </w:rPr>
        <w:t>Purchase Agreement</w:t>
      </w:r>
      <w:r>
        <w:rPr>
          <w:rFonts w:ascii="Times New Roman" w:cs="Times New Roman" w:eastAsia="Times New Roman" w:hAnsi="Times New Roman"/>
          <w:sz w:val="18"/>
          <w:szCs w:val="18"/>
          <w:color w:val="auto"/>
        </w:rPr>
        <w:t>”). The Partnership shall furnish to the Purchasers at the Closing an opinion of Vinson &amp; Elkins L.L.P., counsel for the Partnership, addressed to the Purchasers and dated the Closing Date in form satisfactory to the Purchasers, stating that:</w:t>
      </w:r>
    </w:p>
    <w:p>
      <w:pPr>
        <w:spacing w:after="0" w:line="172" w:lineRule="exact"/>
        <w:rPr>
          <w:sz w:val="20"/>
          <w:szCs w:val="20"/>
          <w:color w:val="auto"/>
        </w:rPr>
      </w:pPr>
    </w:p>
    <w:p>
      <w:pPr>
        <w:ind w:right="20" w:firstLine="656"/>
        <w:spacing w:after="0" w:line="262" w:lineRule="auto"/>
        <w:tabs>
          <w:tab w:leader="none" w:pos="86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Partnership, the GP Entities and the subsidiaries of the Partnership listed on Schedule I hereto (the “</w:t>
      </w:r>
      <w:r>
        <w:rPr>
          <w:rFonts w:ascii="Times New Roman" w:cs="Times New Roman" w:eastAsia="Times New Roman" w:hAnsi="Times New Roman"/>
          <w:sz w:val="18"/>
          <w:szCs w:val="18"/>
          <w:b w:val="1"/>
          <w:bCs w:val="1"/>
          <w:u w:val="single" w:color="auto"/>
          <w:color w:val="auto"/>
        </w:rPr>
        <w:t>Domestic Subsidiaries</w:t>
      </w:r>
      <w:r>
        <w:rPr>
          <w:rFonts w:ascii="Times New Roman" w:cs="Times New Roman" w:eastAsia="Times New Roman" w:hAnsi="Times New Roman"/>
          <w:sz w:val="18"/>
          <w:szCs w:val="18"/>
          <w:color w:val="auto"/>
        </w:rPr>
        <w:t>”) is validly existing and in good standing under the laws of its jurisdiction of formation. Each of the Partnership, the GP Entities and the Domestic Subsidiaries has all requisite limited liability company or partnership power and authority, as applicable, under the laws of its jurisdiction of formation necessary to own or lease its properties and to conduct its business, in each case in all material respects as described in the Plains SEC Documents.</w:t>
      </w:r>
    </w:p>
    <w:p>
      <w:pPr>
        <w:spacing w:after="0" w:line="180" w:lineRule="exact"/>
        <w:rPr>
          <w:rFonts w:ascii="Times New Roman" w:cs="Times New Roman" w:eastAsia="Times New Roman" w:hAnsi="Times New Roman"/>
          <w:sz w:val="18"/>
          <w:szCs w:val="18"/>
          <w:color w:val="auto"/>
        </w:rPr>
      </w:pPr>
    </w:p>
    <w:p>
      <w:pPr>
        <w:ind w:firstLine="656"/>
        <w:spacing w:after="0" w:line="261" w:lineRule="auto"/>
        <w:tabs>
          <w:tab w:leader="none" w:pos="91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have been waived or satisfied, there are no preemptive rights or other rights to subscribe for or to purchase, nor any restriction upon the voting or transfer of, any interests in the Partnership pursuant to the Organizational Documents of the Partnership or any agreement filed as an exhibit to the Partnership’s Annual Report on Form 10-K for the year ended December 31, 2014 or any Current Report or Quarterly Report filed thereafter to which the Partnership is a party or by which the Partnership may be bound.</w:t>
      </w:r>
    </w:p>
    <w:p>
      <w:pPr>
        <w:spacing w:after="0" w:line="180" w:lineRule="exact"/>
        <w:rPr>
          <w:rFonts w:ascii="Times New Roman" w:cs="Times New Roman" w:eastAsia="Times New Roman" w:hAnsi="Times New Roman"/>
          <w:sz w:val="18"/>
          <w:szCs w:val="18"/>
          <w:color w:val="auto"/>
        </w:rPr>
      </w:pPr>
    </w:p>
    <w:p>
      <w:pPr>
        <w:ind w:right="440" w:firstLine="656"/>
        <w:spacing w:after="0" w:line="258" w:lineRule="auto"/>
        <w:tabs>
          <w:tab w:leader="none" w:pos="9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Purchased Units to be issued and sold to the Purchasers by the Partnership pursuant to the Purchase Agreement and the limited partner interests represented thereby have been duly authorized in accordance with the Partnership Agreement and, when issued and delivered to the Purchasers against payment therefor in accordance with the terms of the Purchase Agreement, will be validly issued in accordance with the terms of the Partnership Agreement, fully paid (to the extent required under the Partnership Agreement) and nonassessable (except as such nonassessability may be affected by matters described in Sections 17-303, 17-607 and 17-804 of the Delaware LP Act).</w:t>
      </w:r>
    </w:p>
    <w:p>
      <w:pPr>
        <w:spacing w:after="0" w:line="183" w:lineRule="exact"/>
        <w:rPr>
          <w:rFonts w:ascii="Times New Roman" w:cs="Times New Roman" w:eastAsia="Times New Roman" w:hAnsi="Times New Roman"/>
          <w:sz w:val="18"/>
          <w:szCs w:val="18"/>
          <w:color w:val="auto"/>
        </w:rPr>
      </w:pPr>
    </w:p>
    <w:p>
      <w:pPr>
        <w:ind w:right="60" w:firstLine="656"/>
        <w:spacing w:after="0" w:line="261" w:lineRule="auto"/>
        <w:tabs>
          <w:tab w:leader="none" w:pos="943"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distribution of the PIK Units is properly authorized by the board of directors of GP LLC and that the PIK Units are issued in accordance with the terms of the Partnership Agreement, the PIK Units will be duly authorized, validly issued, fully paid (to the extent required by applicable law and the Partnership Agreement) and nonassessable (except as such nonassessability may be affected by Sections 17-303, 17-607 and 17-804 of the Delaware LP Act).</w:t>
      </w:r>
    </w:p>
    <w:p>
      <w:pPr>
        <w:spacing w:after="0" w:line="180" w:lineRule="exact"/>
        <w:rPr>
          <w:rFonts w:ascii="Times New Roman" w:cs="Times New Roman" w:eastAsia="Times New Roman" w:hAnsi="Times New Roman"/>
          <w:sz w:val="18"/>
          <w:szCs w:val="18"/>
          <w:color w:val="auto"/>
        </w:rPr>
      </w:pPr>
    </w:p>
    <w:p>
      <w:pPr>
        <w:ind w:right="220" w:firstLine="656"/>
        <w:spacing w:after="0" w:line="261" w:lineRule="auto"/>
        <w:tabs>
          <w:tab w:leader="none" w:pos="9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Units have been duly authorized by GP LLC on behalf of the Partnership pursuant to the Partnership Agreement and, when issued upon conversion of the Purchased Units in accordance with the terms of the Partnership Agreement, will be validly issued, fully paid (to the extent required by applicable law and the Partnership Agreement) and nonassessable (except as such nonassessability may be affected by Sections 17-303, 17-607 and 17-804 of the Delaware LP Act).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56" w:lineRule="auto"/>
        <w:tabs>
          <w:tab w:leader="none" w:pos="95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filing with or order of any federal or Delaware court, Governmental Authority or body having jurisdiction over the Partnership is required for the issuance and sale by the Partnership of the Purchased Units, the execution, delivery and performance by the Partnership of the Transaction Documents, or the consummation of the transactions contemplated by the Transaction Documents, except (i) as may be required in connection with the Partnership’s obligations under the Registration Rights Agreement to register the resale of the Conversion Units and the Additional Conversion Units under the Securities Act, (ii) those that have been obtained, (iii) as may be required under state securities or “Blue Sky” laws, as to which we do not express any opinion, or (iv) such that the failure to obtain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right="40" w:firstLine="656"/>
        <w:spacing w:after="0" w:line="261" w:lineRule="auto"/>
        <w:tabs>
          <w:tab w:leader="none" w:pos="99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the accuracy of the representations and warranties of the Purchasers and the Partnership contained in the Purchase Agreement, the offer, issuance and sale of the Purchased Units by the Partnership to the Purchasers solely in the manner contemplated by the Purchase Agreement are exempt from the registration requirements of the Securities Act; provided, however, that no opinion is expressed as to any subsequent sale or resale of the Purchased Units.</w:t>
      </w:r>
    </w:p>
    <w:p>
      <w:pPr>
        <w:spacing w:after="0" w:line="180"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is not an “investment company” as such term is defined in the Investment Company Act of 1940, as amended.</w:t>
      </w:r>
    </w:p>
    <w:p>
      <w:pPr>
        <w:spacing w:after="0" w:line="225" w:lineRule="exact"/>
        <w:rPr>
          <w:rFonts w:ascii="Times New Roman" w:cs="Times New Roman" w:eastAsia="Times New Roman" w:hAnsi="Times New Roman"/>
          <w:sz w:val="18"/>
          <w:szCs w:val="18"/>
          <w:color w:val="auto"/>
        </w:rPr>
      </w:pPr>
    </w:p>
    <w:p>
      <w:pPr>
        <w:ind w:right="100" w:firstLine="656"/>
        <w:spacing w:after="0" w:line="261" w:lineRule="auto"/>
        <w:tabs>
          <w:tab w:leader="none" w:pos="95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offering, issuance or sale by the Partnership of the Purchased Units or the execution, delivery and performance of the Transaction Documents by the Partnership or the GP Entities, as the case may be, or the consummation of the transactions contemplated thereby will result in a breach or violation of (A) the Operative Documents of the Partnership or the GP Entities, as the case may be, (B) any agreement filed as an exhibit to the Partnership’s Annual Report on Form 10-K for the year ended December 31, 2014 or any Current Report or Quarterly Report filed thereafter, except for the Credit</w:t>
      </w:r>
    </w:p>
    <w:p>
      <w:pPr>
        <w:sectPr>
          <w:pgSz w:w="11900" w:h="16838" w:orient="portrait"/>
          <w:cols w:equalWidth="0" w:num="1">
            <w:col w:w="11420"/>
          </w:cols>
          <w:pgMar w:left="240" w:top="337" w:right="239" w:bottom="0" w:gutter="0" w:footer="0" w:header="0"/>
        </w:sectPr>
      </w:pPr>
    </w:p>
    <w:bookmarkStart w:id="109" w:name="page110"/>
    <w:bookmarkEnd w:id="109"/>
    <w:p>
      <w:pPr>
        <w:ind w:right="240"/>
        <w:spacing w:after="0" w:line="282" w:lineRule="auto"/>
        <w:rPr>
          <w:sz w:val="20"/>
          <w:szCs w:val="20"/>
          <w:color w:val="auto"/>
        </w:rPr>
      </w:pPr>
      <w:r>
        <w:rPr>
          <w:rFonts w:ascii="Times New Roman" w:cs="Times New Roman" w:eastAsia="Times New Roman" w:hAnsi="Times New Roman"/>
          <w:sz w:val="18"/>
          <w:szCs w:val="18"/>
          <w:color w:val="auto"/>
        </w:rPr>
        <w:t>Facilities, or (C) the Delaware LP Act or U.S. federal law, which in the case of clauses (B) or (C) would be reasonably expected to have a Material Adverse Effect; provided, however, that we express no opinion pursuant to this paragraph (ix) with respect to any securities or other anti-fraud law.</w:t>
      </w:r>
    </w:p>
    <w:p>
      <w:pPr>
        <w:spacing w:after="0" w:line="162" w:lineRule="exact"/>
        <w:rPr>
          <w:sz w:val="20"/>
          <w:szCs w:val="20"/>
          <w:color w:val="auto"/>
        </w:rPr>
      </w:pPr>
    </w:p>
    <w:p>
      <w:pPr>
        <w:ind w:right="40" w:firstLine="656"/>
        <w:spacing w:after="0" w:line="255" w:lineRule="auto"/>
        <w:tabs>
          <w:tab w:leader="none" w:pos="903"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Transaction Documents has been duly authorized and validly executed and delivered by the Partnership, the General Partner or Plains GP Holdings, L.P., as the case may be, and each of the Fifth A&amp;R LPA and the Director Designation Amendment constitutes a valid and binding obligation of the General Partner or Plains GP Holdings, L.P., as the case may be, enforceable against such party in accordance with its terms, except insofar as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Products Terminals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South Texas Gathering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Rocky Mountain Pipeline System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 LPG Services LP</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Exhibit 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 OF GENERAL PARTNER WAIVER</w:t>
      </w:r>
    </w:p>
    <w:p>
      <w:pPr>
        <w:spacing w:after="0" w:line="225" w:lineRule="exact"/>
        <w:rPr>
          <w:sz w:val="20"/>
          <w:szCs w:val="20"/>
          <w:color w:val="auto"/>
        </w:rPr>
      </w:pPr>
    </w:p>
    <w:p>
      <w:pPr>
        <w:jc w:val="center"/>
        <w:ind w:right="20"/>
        <w:spacing w:after="0"/>
        <w:tabs>
          <w:tab w:leader="none" w:pos="200" w:val="left"/>
        </w:tabs>
        <w:rPr>
          <w:sz w:val="20"/>
          <w:szCs w:val="20"/>
          <w:color w:val="auto"/>
        </w:rPr>
      </w:pPr>
      <w:r>
        <w:rPr>
          <w:rFonts w:ascii="Times New Roman" w:cs="Times New Roman" w:eastAsia="Times New Roman" w:hAnsi="Times New Roman"/>
          <w:sz w:val="18"/>
          <w:szCs w:val="18"/>
          <w:color w:val="auto"/>
        </w:rPr>
        <w:t>January [</w:t>
        <w:tab/>
        <w:t>], 2016</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PAA GP LLC (the “</w:t>
      </w:r>
      <w:r>
        <w:rPr>
          <w:rFonts w:ascii="Times New Roman" w:cs="Times New Roman" w:eastAsia="Times New Roman" w:hAnsi="Times New Roman"/>
          <w:sz w:val="18"/>
          <w:szCs w:val="18"/>
          <w:b w:val="1"/>
          <w:bCs w:val="1"/>
          <w:u w:val="single" w:color="auto"/>
          <w:color w:val="auto"/>
        </w:rPr>
        <w:t>General Partner</w:t>
      </w:r>
      <w:r>
        <w:rPr>
          <w:rFonts w:ascii="Times New Roman" w:cs="Times New Roman" w:eastAsia="Times New Roman" w:hAnsi="Times New Roman"/>
          <w:sz w:val="18"/>
          <w:szCs w:val="18"/>
          <w:color w:val="auto"/>
        </w:rPr>
        <w:t>”), a Delaware limited liability company and the general partner of Plains All American Pipeline, L.P.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in its own capacity and in its capacity as the general partner of the Partnership, hereby waives any preemptive rights it may hold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5.9 of the Fourth Amended and Restated Agreement of Limited Partnership of the Partnership, dated as of May 17, 2012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Partnership Agreement</w:t>
      </w:r>
      <w:r>
        <w:rPr>
          <w:rFonts w:ascii="Times New Roman" w:cs="Times New Roman" w:eastAsia="Times New Roman" w:hAnsi="Times New Roman"/>
          <w:sz w:val="18"/>
          <w:szCs w:val="18"/>
          <w:color w:val="auto"/>
        </w:rPr>
        <w:t>”), with respect to the Partnership’s privately negotiated Series A Preferred Unit Purchase Agreement, dated as of January 12, 2016,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and among the Partnership and each of the Purchasers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thereto (the “</w:t>
      </w:r>
      <w:r>
        <w:rPr>
          <w:rFonts w:ascii="Times New Roman" w:cs="Times New Roman" w:eastAsia="Times New Roman" w:hAnsi="Times New Roman"/>
          <w:sz w:val="18"/>
          <w:szCs w:val="18"/>
          <w:b w:val="1"/>
          <w:bCs w:val="1"/>
          <w:u w:val="single" w:color="auto"/>
          <w:color w:val="auto"/>
        </w:rPr>
        <w:t>Purchase Agreement</w:t>
      </w:r>
      <w:r>
        <w:rPr>
          <w:rFonts w:ascii="Times New Roman" w:cs="Times New Roman" w:eastAsia="Times New Roman" w:hAnsi="Times New Roman"/>
          <w:sz w:val="18"/>
          <w:szCs w:val="18"/>
          <w:color w:val="auto"/>
        </w:rPr>
        <w:t>”), to issue and sell an aggregate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55,587,950 Series A Preferred Units representing limited partner interests of the Partnership for a cash purchase price of $26.25 per Series A Preferred Unit.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executes this General Partner Waiver, effective as of the date first above written.</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PAA GP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Plains AAP, L.P., its sole member</w:t>
            </w:r>
          </w:p>
        </w:tc>
        <w:tc>
          <w:tcPr>
            <w:tcW w:w="40" w:type="dxa"/>
            <w:vAlign w:val="bottom"/>
          </w:tcPr>
          <w:p>
            <w:pPr>
              <w:spacing w:after="0"/>
              <w:rPr>
                <w:sz w:val="20"/>
                <w:szCs w:val="20"/>
                <w:color w:val="auto"/>
              </w:rPr>
            </w:pPr>
          </w:p>
        </w:tc>
      </w:tr>
      <w:tr>
        <w:trPr>
          <w:trHeight w:val="432"/>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1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Plains All American GP LLC, its general partner</w:t>
            </w:r>
          </w:p>
        </w:tc>
        <w:tc>
          <w:tcPr>
            <w:tcW w:w="40" w:type="dxa"/>
            <w:vAlign w:val="bottom"/>
          </w:tcPr>
          <w:p>
            <w:pPr>
              <w:spacing w:after="0"/>
              <w:rPr>
                <w:sz w:val="24"/>
                <w:szCs w:val="24"/>
                <w:color w:val="auto"/>
              </w:rPr>
            </w:pPr>
          </w:p>
        </w:tc>
      </w:tr>
      <w:tr>
        <w:trPr>
          <w:trHeight w:val="648"/>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78"/>
        </w:trPr>
        <w:tc>
          <w:tcPr>
            <w:tcW w:w="6320" w:type="dxa"/>
            <w:vAlign w:val="bottom"/>
          </w:tcPr>
          <w:p>
            <w:pPr>
              <w:ind w:left="5720"/>
              <w:spacing w:after="0" w:line="178" w:lineRule="exact"/>
              <w:rPr>
                <w:sz w:val="20"/>
                <w:szCs w:val="20"/>
                <w:color w:val="auto"/>
              </w:rPr>
            </w:pPr>
            <w:r>
              <w:rPr>
                <w:rFonts w:ascii="Times New Roman" w:cs="Times New Roman" w:eastAsia="Times New Roman" w:hAnsi="Times New Roman"/>
                <w:sz w:val="18"/>
                <w:szCs w:val="18"/>
                <w:color w:val="auto"/>
              </w:rPr>
              <w:t>Name:</w:t>
            </w:r>
          </w:p>
        </w:tc>
        <w:tc>
          <w:tcPr>
            <w:tcW w:w="140" w:type="dxa"/>
            <w:vAlign w:val="bottom"/>
          </w:tcPr>
          <w:p>
            <w:pPr>
              <w:spacing w:after="0"/>
              <w:rPr>
                <w:sz w:val="15"/>
                <w:szCs w:val="15"/>
                <w:color w:val="auto"/>
              </w:rPr>
            </w:pPr>
          </w:p>
        </w:tc>
        <w:tc>
          <w:tcPr>
            <w:tcW w:w="49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63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1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632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Exhibit B-1</w:t>
            </w:r>
          </w:p>
        </w:tc>
        <w:tc>
          <w:tcPr>
            <w:tcW w:w="1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3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u w:val="single" w:color="auto"/>
          <w:color w:val="auto"/>
        </w:rPr>
        <w:t>EXHIBIT C</w:t>
      </w:r>
    </w:p>
    <w:p>
      <w:pPr>
        <w:sectPr>
          <w:pgSz w:w="11900" w:h="16838" w:orient="portrait"/>
          <w:cols w:equalWidth="0" w:num="1">
            <w:col w:w="11460"/>
          </w:cols>
          <w:pgMar w:left="240" w:top="121" w:right="199" w:bottom="0" w:gutter="0" w:footer="0" w:header="0"/>
        </w:sectPr>
      </w:pPr>
    </w:p>
    <w:bookmarkStart w:id="110" w:name="page111"/>
    <w:bookmarkEnd w:id="110"/>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DIRECTOR DESIGNATION AMENDMENT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 TO THE SIXTH AMENDED AND RESTATED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LIMITED LIABILITY COMPANY AGREEMENT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PLAINS ALL AMERICAN GP LLC</w:t>
      </w:r>
    </w:p>
    <w:p>
      <w:pPr>
        <w:spacing w:after="0" w:line="20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This Amendment No. 1 (this “Amendment”) to the Sixth Amended and Restated Limited Liability Company Agreement of Plains All American GP LLC, a Delaware limited liability company (the “Company”), dated as of October 21, 2013 (as amended, the “Company Agreement”), is hereby adopted effective as of January [ ], 2016, by Plains GP Holdings, L.P., a Delaware limited partnership (the “Sole Member”), as the sole member of the Company. Capitalized terms used but not defined herein are used as defined in the Company Agreement.</w:t>
      </w:r>
    </w:p>
    <w:p>
      <w:pPr>
        <w:spacing w:after="0" w:line="180"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WHEREAS, Plains All American Pipeline, L.P. (the “MLP”) has entered into a Fifth Amended and Restated Agreement of Limited Partnership (the “MLP Partnership Agreement”), pursuant to which the MLP will issue Series A Convertible Preferred Units (the “Series A Preferred Units”); and</w:t>
      </w:r>
    </w:p>
    <w:p>
      <w:pPr>
        <w:spacing w:after="0" w:line="162"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the MLP Partnership Agreement, the holders of such Series A Preferred Units shall have the right to designate (the “Series A Designation Right”) a Director to the Board upon the occurrence of a Series A Trigger Event (as such term is defined in the MLP Partnership Agreement);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order to accommodate the Series A Designation Right, the Sole Member does hereby amend the Company Agreement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Section 5.1(b) of the Company Agreement is hereby amended to add the following provisions:</w:t>
      </w:r>
    </w:p>
    <w:p>
      <w:pPr>
        <w:spacing w:after="0" w:line="225" w:lineRule="exact"/>
        <w:rPr>
          <w:sz w:val="20"/>
          <w:szCs w:val="20"/>
          <w:color w:val="auto"/>
        </w:rPr>
      </w:pPr>
    </w:p>
    <w:p>
      <w:pPr>
        <w:ind w:left="660" w:right="120" w:firstLine="645"/>
        <w:spacing w:after="0" w:line="253" w:lineRule="auto"/>
        <w:tabs>
          <w:tab w:leader="none" w:pos="196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Series A Trigger Event (as such term is defined in the MLP Partnership Agreement) occurs, then the Series A Preferred Unitholders (as such term is defined in the MLP Partnership Agreement) shall have the Series A Designation Right as set forth in the MLP Partnership Agreement, but such right shall be subject to the terms set forth in this Agreement. The Board representative identified in the notice delivered by the Series A Preferred Unitholders shall be referred to herein as the “Series A Designated Director.” The Series A Designated Director must, in the reasonable judgment of the Board, (i) have the requisite skill and experience to serve as a director of a public company in the energy sector, (ii) not be prohibited from serving as a director pursuant to any rule or regulation of the Commission or any national securities exchange on which the common units representing limited partner interests in the MLP (the “MLP’s Common Units”) are listed or admitted to trading, and</w:t>
      </w:r>
    </w:p>
    <w:p>
      <w:pPr>
        <w:spacing w:after="0" w:line="3" w:lineRule="exact"/>
        <w:rPr>
          <w:rFonts w:ascii="Times New Roman" w:cs="Times New Roman" w:eastAsia="Times New Roman" w:hAnsi="Times New Roman"/>
          <w:sz w:val="18"/>
          <w:szCs w:val="18"/>
          <w:color w:val="auto"/>
        </w:rPr>
      </w:pPr>
    </w:p>
    <w:p>
      <w:pPr>
        <w:jc w:val="both"/>
        <w:ind w:left="660" w:right="300" w:hanging="4"/>
        <w:spacing w:after="0" w:line="255" w:lineRule="auto"/>
        <w:tabs>
          <w:tab w:leader="none" w:pos="97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be an employee or director of any Competitor (as defined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individual employed by a financial institution, fund or investment vehicle, who serves as a director of a portfolio company of such institution, fund or investment vehicle, which portfolio company is a Competitor, shall not be excluded from serving as a Series A Designated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540"/>
        <w:spacing w:after="0" w:line="256" w:lineRule="auto"/>
        <w:rPr>
          <w:sz w:val="20"/>
          <w:szCs w:val="20"/>
          <w:color w:val="auto"/>
        </w:rPr>
      </w:pPr>
      <w:r>
        <w:rPr>
          <w:rFonts w:ascii="Times New Roman" w:cs="Times New Roman" w:eastAsia="Times New Roman" w:hAnsi="Times New Roman"/>
          <w:sz w:val="18"/>
          <w:szCs w:val="18"/>
          <w:color w:val="auto"/>
        </w:rPr>
        <w:t>Director solely by virtue of such role as a director of such portfolio company. For purposes of the immediately preceding sentence the term “</w:t>
      </w:r>
      <w:r>
        <w:rPr>
          <w:rFonts w:ascii="Times New Roman" w:cs="Times New Roman" w:eastAsia="Times New Roman" w:hAnsi="Times New Roman"/>
          <w:sz w:val="18"/>
          <w:szCs w:val="18"/>
          <w:u w:val="single" w:color="auto"/>
          <w:color w:val="auto"/>
        </w:rPr>
        <w:t>Competitor</w:t>
      </w:r>
      <w:r>
        <w:rPr>
          <w:rFonts w:ascii="Times New Roman" w:cs="Times New Roman" w:eastAsia="Times New Roman" w:hAnsi="Times New Roman"/>
          <w:sz w:val="18"/>
          <w:szCs w:val="18"/>
          <w:color w:val="auto"/>
        </w:rPr>
        <w:t xml:space="preserve">” shall mean any entity that (a) is an operating company (and not a financial institution) and (b) competes with the MLP in the transportation, storage, terminaling or marketing of crude oil, natural gas liquids or natural gas in the United States or Canada. If the Series A Preferred Unitholders exercise their right to appoint a Series A Designated Director, the Board shall consist of nine individuals designated as Directors, until such Series A Designated Director is removed pursuant to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5.1(b)(vii)</w:t>
      </w:r>
      <w:r>
        <w:rPr>
          <w:rFonts w:ascii="Times New Roman" w:cs="Times New Roman" w:eastAsia="Times New Roman" w:hAnsi="Times New Roman"/>
          <w:sz w:val="18"/>
          <w:szCs w:val="18"/>
          <w:color w:val="auto"/>
        </w:rPr>
        <w:t>. Any Series A Designated Director shall have all the rights and duties of a Director otherwise serving hereunder.</w:t>
      </w:r>
    </w:p>
    <w:p>
      <w:pPr>
        <w:spacing w:after="0" w:line="188" w:lineRule="exact"/>
        <w:rPr>
          <w:sz w:val="20"/>
          <w:szCs w:val="20"/>
          <w:color w:val="auto"/>
        </w:rPr>
      </w:pPr>
    </w:p>
    <w:p>
      <w:pPr>
        <w:ind w:left="660" w:right="100" w:firstLine="645"/>
        <w:spacing w:after="0" w:line="254" w:lineRule="auto"/>
        <w:tabs>
          <w:tab w:leader="none" w:pos="1973"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 Designation Right Termination Event (as defined below), the Series A Designated Director may be removed or replaced by the Series A Purchasers (as defined in the MLP Partnership Agreement) at any time for any reason and by the Sole Member for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(as defined below); and any vacancy occurring by reason of the death, disability, resignation, removal or other cessation of a person serving as a Series A Designated Director shall be filled by a vote of the Series A Preferred Unitholders holding a majority of the then outstanding Series A Preferred Units and the subsequent delivery of written notice to the Company. As used herein, “cause” means that the Series A Designated Director</w:t>
      </w:r>
    </w:p>
    <w:p>
      <w:pPr>
        <w:spacing w:after="0" w:line="3" w:lineRule="exact"/>
        <w:rPr>
          <w:rFonts w:ascii="Times New Roman" w:cs="Times New Roman" w:eastAsia="Times New Roman" w:hAnsi="Times New Roman"/>
          <w:sz w:val="18"/>
          <w:szCs w:val="18"/>
          <w:color w:val="auto"/>
        </w:rPr>
      </w:pPr>
    </w:p>
    <w:p>
      <w:pPr>
        <w:ind w:left="660" w:hanging="4"/>
        <w:spacing w:after="0" w:line="251" w:lineRule="auto"/>
        <w:tabs>
          <w:tab w:leader="none" w:pos="87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prohibited from serving as a director under any rule or regulation of the Commission or any national securities exchange on which the MLP’s Common Units are listed; (ii) while serving as the Series A Designated Director, is convicted by a court of competent jurisdiction of a felony; (iii) a court of competent jurisdiction has entered, a final, non-appealable judgment finding the Series A Designated Director liable for actual fraud or willful misconduct against the MLP (including, but not limited to, intentionally or willfully failing to observe any obligations of confidentiality to the MLP); (iv) is determined to have acted intentionally or in bad faith in a manner that results in a material detriment to the assets, business or prospects of the MLP; or (v) is terminated, removed or resigns for any reason from his or her position, if any, with any such Series A Preferred Unitholder at which the Series A Designated Director was employed at the time of his or her appointment as the Series A Designated Director. Any action by the Series A Preferred Unitholders to designate, remove or replace a Series A Designated Director shall be evidenced in writing furnished to the Company, shall include a statement that the action has been approved by a vote of the Series A Preferred Unitholders holding a majority of the then outstanding Series A Preferred Units and shall be executed by or on behalf of the Series A Unitholders.</w:t>
      </w:r>
    </w:p>
    <w:p>
      <w:pPr>
        <w:spacing w:after="0" w:line="193" w:lineRule="exact"/>
        <w:rPr>
          <w:rFonts w:ascii="Times New Roman" w:cs="Times New Roman" w:eastAsia="Times New Roman" w:hAnsi="Times New Roman"/>
          <w:sz w:val="18"/>
          <w:szCs w:val="18"/>
          <w:color w:val="auto"/>
        </w:rPr>
      </w:pPr>
    </w:p>
    <w:p>
      <w:pPr>
        <w:ind w:left="660" w:right="20" w:firstLine="645"/>
        <w:spacing w:after="0" w:line="256" w:lineRule="auto"/>
        <w:tabs>
          <w:tab w:leader="none" w:pos="1983"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by the MLP to the Series A Preferred Unitholders of all accrued but unpaid distributions on the Series A Preferred Units then outstanding (a “</w:t>
      </w:r>
      <w:r>
        <w:rPr>
          <w:rFonts w:ascii="Times New Roman" w:cs="Times New Roman" w:eastAsia="Times New Roman" w:hAnsi="Times New Roman"/>
          <w:sz w:val="18"/>
          <w:szCs w:val="18"/>
          <w:u w:val="single" w:color="auto"/>
          <w:color w:val="auto"/>
        </w:rPr>
        <w:t>Designation Right Termination Event</w:t>
      </w:r>
      <w:r>
        <w:rPr>
          <w:rFonts w:ascii="Times New Roman" w:cs="Times New Roman" w:eastAsia="Times New Roman" w:hAnsi="Times New Roman"/>
          <w:sz w:val="18"/>
          <w:szCs w:val="18"/>
          <w:color w:val="auto"/>
        </w:rPr>
        <w:t>”), the right of the Series A Preferred Unitholders to designate a Series A Designated Director shall automatically terminate (unless and until another Series A Trigger Event shall have occurred) and the Series A Designated Director then serving as a member of the Board shall, promptly upon (and in any event within two (2) Business Days following) receipt of a written request from the Board, resign as a member of the Board. If the Series A Designated Director does not resign upon such request, then a majority of the other directors then serving on the Board may remove the Series A Designated Director as a member of the Board.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Section 8.2 of the Company Agreement is hereby amended to add the following provision:</w:t>
      </w:r>
    </w:p>
    <w:p>
      <w:pPr>
        <w:spacing w:after="0" w:line="225" w:lineRule="exact"/>
        <w:rPr>
          <w:sz w:val="20"/>
          <w:szCs w:val="20"/>
          <w:color w:val="auto"/>
        </w:rPr>
      </w:pPr>
    </w:p>
    <w:p>
      <w:pPr>
        <w:ind w:left="1960" w:hanging="655"/>
        <w:spacing w:after="0"/>
        <w:tabs>
          <w:tab w:leader="none" w:pos="196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no amendment to </w:t>
      </w:r>
      <w:r>
        <w:rPr>
          <w:rFonts w:ascii="Times New Roman" w:cs="Times New Roman" w:eastAsia="Times New Roman" w:hAnsi="Times New Roman"/>
          <w:sz w:val="18"/>
          <w:szCs w:val="18"/>
          <w:u w:val="single" w:color="auto"/>
          <w:color w:val="auto"/>
        </w:rPr>
        <w:t>Section 5.1(b)(v)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5.1(b)</w:t>
      </w:r>
    </w:p>
    <w:p>
      <w:pPr>
        <w:spacing w:after="0" w:line="27"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25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this </w:t>
      </w:r>
      <w:r>
        <w:rPr>
          <w:rFonts w:ascii="Times New Roman" w:cs="Times New Roman" w:eastAsia="Times New Roman" w:hAnsi="Times New Roman"/>
          <w:sz w:val="18"/>
          <w:szCs w:val="18"/>
          <w:u w:val="single" w:color="auto"/>
          <w:color w:val="auto"/>
        </w:rPr>
        <w:t>Section 8.2(d)</w:t>
      </w:r>
      <w:r>
        <w:rPr>
          <w:rFonts w:ascii="Times New Roman" w:cs="Times New Roman" w:eastAsia="Times New Roman" w:hAnsi="Times New Roman"/>
          <w:sz w:val="18"/>
          <w:szCs w:val="18"/>
          <w:color w:val="auto"/>
        </w:rPr>
        <w:t xml:space="preserve"> shall be effective without the consent of the Series A Preferred Unitholders holding a majority of the then outstanding</w:t>
      </w:r>
    </w:p>
    <w:p>
      <w:pPr>
        <w:sectPr>
          <w:pgSz w:w="11900" w:h="16888" w:orient="portrait"/>
          <w:cols w:equalWidth="0" w:num="1">
            <w:col w:w="11420"/>
          </w:cols>
          <w:pgMar w:left="240" w:top="121" w:right="239" w:bottom="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Series A Preferred Units.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Except as hereby amended, the Company Agreement shall remain in full force and effect.</w:t>
      </w:r>
    </w:p>
    <w:p>
      <w:pPr>
        <w:spacing w:after="0" w:line="225"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If any provision of this Amendment is or becomes invalid, illegal or unenforceable in any respect, the validity, legality and enforceability of the remaining provisions contained herein shall not be effected thereby.</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Exhibit 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Amendment has been executed as of the date first written above.</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SOLE MEMBER:</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PLAINS GP HOLDINGS, L.P.</w:t>
      </w:r>
    </w:p>
    <w:p>
      <w:pPr>
        <w:spacing w:after="0" w:line="2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r>
      <w:tr>
        <w:trPr>
          <w:trHeight w:val="191"/>
        </w:trPr>
        <w:tc>
          <w:tcPr>
            <w:tcW w:w="6220" w:type="dxa"/>
            <w:vAlign w:val="bottom"/>
          </w:tcPr>
          <w:p>
            <w:pPr>
              <w:ind w:left="5720"/>
              <w:spacing w:after="0" w:line="191" w:lineRule="exact"/>
              <w:rPr>
                <w:sz w:val="20"/>
                <w:szCs w:val="20"/>
                <w:color w:val="auto"/>
              </w:rPr>
            </w:pPr>
            <w:r>
              <w:rPr>
                <w:rFonts w:ascii="Times New Roman" w:cs="Times New Roman" w:eastAsia="Times New Roman" w:hAnsi="Times New Roman"/>
                <w:sz w:val="18"/>
                <w:szCs w:val="18"/>
                <w:color w:val="auto"/>
                <w:w w:val="99"/>
              </w:rPr>
              <w:t>Name:</w:t>
            </w:r>
          </w:p>
        </w:tc>
        <w:tc>
          <w:tcPr>
            <w:tcW w:w="520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Richard K. McGee</w:t>
            </w:r>
          </w:p>
        </w:tc>
        <w:tc>
          <w:tcPr>
            <w:tcW w:w="40" w:type="dxa"/>
            <w:vAlign w:val="bottom"/>
          </w:tcPr>
          <w:p>
            <w:pPr>
              <w:spacing w:after="0"/>
              <w:rPr>
                <w:sz w:val="16"/>
                <w:szCs w:val="16"/>
                <w:color w:val="auto"/>
              </w:rPr>
            </w:pPr>
          </w:p>
        </w:tc>
      </w:tr>
      <w:tr>
        <w:trPr>
          <w:trHeight w:val="234"/>
        </w:trPr>
        <w:tc>
          <w:tcPr>
            <w:tcW w:w="6220" w:type="dxa"/>
            <w:vAlign w:val="bottom"/>
          </w:tcPr>
          <w:p>
            <w:pPr>
              <w:ind w:left="5720"/>
              <w:spacing w:after="0"/>
              <w:rPr>
                <w:sz w:val="20"/>
                <w:szCs w:val="20"/>
                <w:color w:val="auto"/>
              </w:rPr>
            </w:pPr>
            <w:r>
              <w:rPr>
                <w:rFonts w:ascii="Times New Roman" w:cs="Times New Roman" w:eastAsia="Times New Roman" w:hAnsi="Times New Roman"/>
                <w:sz w:val="18"/>
                <w:szCs w:val="18"/>
                <w:color w:val="auto"/>
              </w:rPr>
              <w:t>Title:</w:t>
            </w:r>
          </w:p>
        </w:tc>
        <w:tc>
          <w:tcPr>
            <w:tcW w:w="52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w:t>
            </w:r>
          </w:p>
        </w:tc>
        <w:tc>
          <w:tcPr>
            <w:tcW w:w="40" w:type="dxa"/>
            <w:vAlign w:val="bottom"/>
          </w:tcPr>
          <w:p>
            <w:pPr>
              <w:spacing w:after="0"/>
              <w:rPr>
                <w:sz w:val="20"/>
                <w:szCs w:val="20"/>
                <w:color w:val="auto"/>
              </w:rPr>
            </w:pPr>
          </w:p>
        </w:tc>
      </w:tr>
      <w:tr>
        <w:trPr>
          <w:trHeight w:val="432"/>
        </w:trPr>
        <w:tc>
          <w:tcPr>
            <w:tcW w:w="6220" w:type="dxa"/>
            <w:vAlign w:val="bottom"/>
          </w:tcPr>
          <w:p>
            <w:pPr>
              <w:ind w:left="5300"/>
              <w:spacing w:after="0"/>
              <w:rPr>
                <w:sz w:val="20"/>
                <w:szCs w:val="20"/>
                <w:color w:val="auto"/>
              </w:rPr>
            </w:pPr>
            <w:r>
              <w:rPr>
                <w:rFonts w:ascii="Times New Roman" w:cs="Times New Roman" w:eastAsia="Times New Roman" w:hAnsi="Times New Roman"/>
                <w:sz w:val="18"/>
                <w:szCs w:val="18"/>
                <w:color w:val="auto"/>
              </w:rPr>
              <w:t>Exhibit C-4</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220" w:type="dxa"/>
            <w:vAlign w:val="bottom"/>
            <w:tcBorders>
              <w:bottom w:val="single" w:sz="8" w:color="808080"/>
            </w:tcBorders>
          </w:tcPr>
          <w:p>
            <w:pPr>
              <w:spacing w:after="0"/>
              <w:rPr>
                <w:sz w:val="11"/>
                <w:szCs w:val="11"/>
                <w:color w:val="auto"/>
              </w:rPr>
            </w:pPr>
          </w:p>
        </w:tc>
        <w:tc>
          <w:tcPr>
            <w:tcW w:w="52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12" w:name="page113"/>
    <w:bookmarkEnd w:id="112"/>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PREFERRED UNIT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among</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PURCHASERS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223520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SERIES A PREFERRED UNIT PURCHASE AGREEMENT</w:t>
      </w:r>
    </w:p>
    <w:p>
      <w:pPr>
        <w:spacing w:after="0" w:line="203" w:lineRule="exact"/>
        <w:rPr>
          <w:sz w:val="20"/>
          <w:szCs w:val="20"/>
          <w:color w:val="auto"/>
        </w:rPr>
      </w:pPr>
    </w:p>
    <w:p>
      <w:pPr>
        <w:ind w:right="180" w:firstLine="648"/>
        <w:spacing w:after="0" w:line="259"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AMENDMENT NO. 1</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to that certain Series A Preferred Unit Purchase Agreement, dated as of January 12, 2016 (the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xml:space="preserve">”), by and among </w:t>
      </w:r>
      <w:r>
        <w:rPr>
          <w:rFonts w:ascii="Times New Roman" w:cs="Times New Roman" w:eastAsia="Times New Roman" w:hAnsi="Times New Roman"/>
          <w:sz w:val="18"/>
          <w:szCs w:val="18"/>
          <w:b w:val="1"/>
          <w:bCs w:val="1"/>
          <w:color w:val="auto"/>
        </w:rPr>
        <w:t>PLAINS ALL AMERICAN PIPELINE, L.P.</w:t>
      </w:r>
      <w:r>
        <w:rPr>
          <w:rFonts w:ascii="Times New Roman" w:cs="Times New Roman" w:eastAsia="Times New Roman" w:hAnsi="Times New Roman"/>
          <w:sz w:val="18"/>
          <w:szCs w:val="18"/>
          <w:color w:val="auto"/>
        </w:rPr>
        <w:t>, a Delaware limited partnership (the “</w:t>
      </w:r>
      <w:r>
        <w:rPr>
          <w:rFonts w:ascii="Times New Roman" w:cs="Times New Roman" w:eastAsia="Times New Roman" w:hAnsi="Times New Roman"/>
          <w:sz w:val="18"/>
          <w:szCs w:val="18"/>
          <w:b w:val="1"/>
          <w:bCs w:val="1"/>
          <w:u w:val="single" w:color="auto"/>
          <w:color w:val="auto"/>
        </w:rPr>
        <w:t>Partnership</w:t>
      </w:r>
      <w:r>
        <w:rPr>
          <w:rFonts w:ascii="Times New Roman" w:cs="Times New Roman" w:eastAsia="Times New Roman" w:hAnsi="Times New Roman"/>
          <w:sz w:val="18"/>
          <w:szCs w:val="18"/>
          <w:color w:val="auto"/>
        </w:rPr>
        <w:t>”), and the purchasers set forth therein (the “</w:t>
      </w:r>
      <w:r>
        <w:rPr>
          <w:rFonts w:ascii="Times New Roman" w:cs="Times New Roman" w:eastAsia="Times New Roman" w:hAnsi="Times New Roman"/>
          <w:sz w:val="18"/>
          <w:szCs w:val="18"/>
          <w:b w:val="1"/>
          <w:bCs w:val="1"/>
          <w:u w:val="single" w:color="auto"/>
          <w:color w:val="auto"/>
        </w:rPr>
        <w:t>Original Purchasers</w:t>
      </w:r>
      <w:r>
        <w:rPr>
          <w:rFonts w:ascii="Times New Roman" w:cs="Times New Roman" w:eastAsia="Times New Roman" w:hAnsi="Times New Roman"/>
          <w:sz w:val="18"/>
          <w:szCs w:val="18"/>
          <w:color w:val="auto"/>
        </w:rPr>
        <w:t>”), is made as of January 21, 2016, by and among the Partnership, the Original Purchasers, Stonepeak Infrastructure Fund LP (“</w:t>
      </w:r>
      <w:r>
        <w:rPr>
          <w:rFonts w:ascii="Times New Roman" w:cs="Times New Roman" w:eastAsia="Times New Roman" w:hAnsi="Times New Roman"/>
          <w:sz w:val="18"/>
          <w:szCs w:val="18"/>
          <w:b w:val="1"/>
          <w:bCs w:val="1"/>
          <w:u w:val="single" w:color="auto"/>
          <w:color w:val="auto"/>
        </w:rPr>
        <w:t>Stonepeak I</w:t>
      </w:r>
      <w:r>
        <w:rPr>
          <w:rFonts w:ascii="Times New Roman" w:cs="Times New Roman" w:eastAsia="Times New Roman" w:hAnsi="Times New Roman"/>
          <w:sz w:val="18"/>
          <w:szCs w:val="18"/>
          <w:color w:val="auto"/>
        </w:rPr>
        <w:t>”) and Stonepeak Infrastructure Fund II LP (“</w:t>
      </w:r>
      <w:r>
        <w:rPr>
          <w:rFonts w:ascii="Times New Roman" w:cs="Times New Roman" w:eastAsia="Times New Roman" w:hAnsi="Times New Roman"/>
          <w:sz w:val="18"/>
          <w:szCs w:val="18"/>
          <w:b w:val="1"/>
          <w:bCs w:val="1"/>
          <w:u w:val="single" w:color="auto"/>
          <w:color w:val="auto"/>
        </w:rPr>
        <w:t>Stonepeak II</w:t>
      </w:r>
      <w:r>
        <w:rPr>
          <w:rFonts w:ascii="Times New Roman" w:cs="Times New Roman" w:eastAsia="Times New Roman" w:hAnsi="Times New Roman"/>
          <w:sz w:val="18"/>
          <w:szCs w:val="18"/>
          <w:color w:val="auto"/>
        </w:rPr>
        <w:t>” and, together with Stonepeak I and the Original Purchasers, the “</w:t>
      </w:r>
      <w:r>
        <w:rPr>
          <w:rFonts w:ascii="Times New Roman" w:cs="Times New Roman" w:eastAsia="Times New Roman" w:hAnsi="Times New Roman"/>
          <w:sz w:val="18"/>
          <w:szCs w:val="18"/>
          <w:b w:val="1"/>
          <w:bCs w:val="1"/>
          <w:u w:val="single" w:color="auto"/>
          <w:color w:val="auto"/>
        </w:rPr>
        <w:t>Purchasers</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WHEREAS, the Partnership and the Original Purchasers are parties to the Agreement, pursuant to which the Partnership agreed to issue and sell, and the Original Purchasers agreed to purchase from the Partnership, certain of the Partnership’s Series A Preferred Units, in accordance with the provisions of the Agreement.</w:t>
      </w:r>
    </w:p>
    <w:p>
      <w:pPr>
        <w:spacing w:after="0" w:line="176"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WHEREAS, the Partnership and the Original Purchasers desire to amend the Agreement as set forth in this Amendment in order to provide for the additional issuance and sale by the Partnership, and the purchase by Stonepeak I and Stonepeak II from the Partnership, of certain of the Partnership’s Series A Preferred Units, in accordance with the provisions of the Agreement.</w:t>
      </w:r>
    </w:p>
    <w:p>
      <w:pPr>
        <w:spacing w:after="0" w:line="176"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good and valuable consideration, the receipt and sufficiency of which is hereby acknowledged, the parties hereby agree as follows:</w:t>
      </w:r>
    </w:p>
    <w:p>
      <w:pPr>
        <w:spacing w:after="0" w:line="158" w:lineRule="exact"/>
        <w:rPr>
          <w:sz w:val="20"/>
          <w:szCs w:val="20"/>
          <w:color w:val="auto"/>
        </w:rPr>
      </w:pPr>
    </w:p>
    <w:p>
      <w:pPr>
        <w:ind w:left="660" w:hanging="328"/>
        <w:spacing w:after="0"/>
        <w:tabs>
          <w:tab w:leader="none" w:pos="6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color w:val="auto"/>
        </w:rPr>
        <w:t>. Capitalized terms used but not defined herein have the meanings given such terms in the Agreement.</w:t>
      </w:r>
    </w:p>
    <w:p>
      <w:pPr>
        <w:spacing w:after="0" w:line="225" w:lineRule="exact"/>
        <w:rPr>
          <w:rFonts w:ascii="Times New Roman" w:cs="Times New Roman" w:eastAsia="Times New Roman" w:hAnsi="Times New Roman"/>
          <w:sz w:val="18"/>
          <w:szCs w:val="18"/>
          <w:b w:val="1"/>
          <w:bCs w:val="1"/>
          <w:color w:val="auto"/>
        </w:rPr>
      </w:pPr>
    </w:p>
    <w:p>
      <w:pPr>
        <w:ind w:right="160" w:firstLine="332"/>
        <w:spacing w:after="0" w:line="268" w:lineRule="auto"/>
        <w:tabs>
          <w:tab w:leader="none" w:pos="648"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 of Schedule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Agreement is hereby deleted in its entirety and replaced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Amendment.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such, following the execution of this Amendment, those parties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Amendment shall be subject to the rights, obligations and benefits as a “Purchaser” in accordance with the terms and provisions of the Agreement.</w:t>
      </w:r>
    </w:p>
    <w:p>
      <w:pPr>
        <w:spacing w:after="0" w:line="170" w:lineRule="exact"/>
        <w:rPr>
          <w:rFonts w:ascii="Times New Roman" w:cs="Times New Roman" w:eastAsia="Times New Roman" w:hAnsi="Times New Roman"/>
          <w:sz w:val="18"/>
          <w:szCs w:val="18"/>
          <w:b w:val="1"/>
          <w:bCs w:val="1"/>
          <w:color w:val="auto"/>
        </w:rPr>
      </w:pPr>
    </w:p>
    <w:p>
      <w:pPr>
        <w:jc w:val="both"/>
        <w:ind w:right="100" w:firstLine="332"/>
        <w:spacing w:after="0" w:line="268" w:lineRule="auto"/>
        <w:tabs>
          <w:tab w:leader="none" w:pos="648"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Other Amendments; Continuing Effect</w:t>
      </w:r>
      <w:r>
        <w:rPr>
          <w:rFonts w:ascii="Times New Roman" w:cs="Times New Roman" w:eastAsia="Times New Roman" w:hAnsi="Times New Roman"/>
          <w:sz w:val="18"/>
          <w:szCs w:val="18"/>
          <w:color w:val="auto"/>
        </w:rPr>
        <w:t>. Except as expressly amended hereby, the Agreement remains unmodified and in full force and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originally executed without waiver of any provision thereof. Whenever the Agreement is referred to in any agreement, document or other instrument, such reference will be to the Agreement as amended hereby.</w:t>
      </w:r>
    </w:p>
    <w:p>
      <w:pPr>
        <w:spacing w:after="0" w:line="170" w:lineRule="exact"/>
        <w:rPr>
          <w:rFonts w:ascii="Times New Roman" w:cs="Times New Roman" w:eastAsia="Times New Roman" w:hAnsi="Times New Roman"/>
          <w:sz w:val="18"/>
          <w:szCs w:val="18"/>
          <w:b w:val="1"/>
          <w:bCs w:val="1"/>
          <w:color w:val="auto"/>
        </w:rPr>
      </w:pPr>
    </w:p>
    <w:p>
      <w:pPr>
        <w:ind w:right="180" w:firstLine="332"/>
        <w:spacing w:after="0" w:line="268" w:lineRule="auto"/>
        <w:tabs>
          <w:tab w:leader="none" w:pos="648"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This Amendment shall be binding upon the Partnership, each of the Purchasers and their respective successors and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assigns. Except as expressly provided in this Amendment, this Amendment shall not be construed so as to confer any right or benefit upon any Person other than the parties to this Amendment and their respective successors and permitted assigns.</w:t>
      </w:r>
    </w:p>
    <w:p>
      <w:pPr>
        <w:spacing w:after="0" w:line="170" w:lineRule="exact"/>
        <w:rPr>
          <w:rFonts w:ascii="Times New Roman" w:cs="Times New Roman" w:eastAsia="Times New Roman" w:hAnsi="Times New Roman"/>
          <w:sz w:val="18"/>
          <w:szCs w:val="18"/>
          <w:b w:val="1"/>
          <w:bCs w:val="1"/>
          <w:color w:val="auto"/>
        </w:rPr>
      </w:pPr>
    </w:p>
    <w:p>
      <w:pPr>
        <w:ind w:right="180" w:firstLine="332"/>
        <w:spacing w:after="0" w:line="286" w:lineRule="auto"/>
        <w:tabs>
          <w:tab w:leader="none" w:pos="648"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Amendment, and all claims or causes of action (whether in contract or tort) that may be based upon, arise out of or relate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Amendment or the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negotiation, execution or performance of this Amendment (including any claim or cause of action based upon, arising out of or related to any representation or warranty made in or in connection with this Amendment), will be construed in accordance with and governed by the laws of the State of Delaware without regard to principles of conflicts of laws. Any action against any party relating to the foregoing shall be brought in any federal or state court of competent jurisdiction located within the State of Delaware, and the parties hereto hereby irrevocably submit to the non-exclusive jurisdiction of any federal or state court located within the State of Delaware over any such action. The parties hereby irrevocably waive, to the fullest extent permitted by applicable Law, any objection which they may now or hereafter have to the laying of venue of any such dispute brought in such court or any defense of inconvenient forum for the maintenance of such dispute. Each of the parties hereto agrees that a judgment in any such dispute may be enforced in other jurisdictions by suit on the judgment or in any other manner provided by Law.</w:t>
      </w:r>
    </w:p>
    <w:p>
      <w:pPr>
        <w:spacing w:after="0" w:line="181" w:lineRule="exact"/>
        <w:rPr>
          <w:sz w:val="20"/>
          <w:szCs w:val="20"/>
          <w:color w:val="auto"/>
        </w:rPr>
      </w:pPr>
    </w:p>
    <w:p>
      <w:pPr>
        <w:ind w:right="340" w:firstLine="332"/>
        <w:spacing w:after="0" w:line="268" w:lineRule="auto"/>
        <w:tabs>
          <w:tab w:leader="none" w:pos="648" w:val="left"/>
        </w:tabs>
        <w:numPr>
          <w:ilvl w:val="0"/>
          <w:numId w:val="2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Execution in Counterparts</w:t>
      </w:r>
      <w:r>
        <w:rPr>
          <w:rFonts w:ascii="Times New Roman" w:cs="Times New Roman" w:eastAsia="Times New Roman" w:hAnsi="Times New Roman"/>
          <w:sz w:val="18"/>
          <w:szCs w:val="18"/>
          <w:color w:val="auto"/>
        </w:rPr>
        <w:t>. This Amendment may be executed in any number of counterparts and by different parties hereto in separate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counterparts, each of which counterparts, when so executed and delivered, shall be deemed to be an original and all of which counterparts, taken together, shall constitute but one and the same agreement.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Intentionally Blank]</w:t>
      </w:r>
    </w:p>
    <w:p>
      <w:pPr>
        <w:sectPr>
          <w:pgSz w:w="11900" w:h="16870" w:orient="portrait"/>
          <w:cols w:equalWidth="0" w:num="1">
            <w:col w:w="11420"/>
          </w:cols>
          <w:pgMar w:left="240" w:top="117" w:right="239" w:bottom="0" w:gutter="0" w:footer="0" w:header="0"/>
        </w:sectPr>
      </w:pPr>
    </w:p>
    <w:bookmarkStart w:id="113" w:name="page114"/>
    <w:bookmarkEnd w:id="113"/>
    <w:p>
      <w:pPr>
        <w:spacing w:after="0" w:line="6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83820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execute this Amendment, effective as of the date first above written.</w:t>
      </w:r>
    </w:p>
    <w:p>
      <w:pPr>
        <w:spacing w:after="0" w:line="22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PLAINS ALL AMERICAN PIPELINE, L.P.</w:t>
      </w:r>
    </w:p>
    <w:p>
      <w:pPr>
        <w:spacing w:after="0" w:line="229"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8"/>
          <w:szCs w:val="18"/>
          <w:color w:val="auto"/>
        </w:rPr>
        <w:t>By:</w:t>
        <w:tab/>
        <w:t>PAA GP LLC, its general partner</w:t>
      </w:r>
    </w:p>
    <w:p>
      <w:pPr>
        <w:spacing w:after="0" w:line="225"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8"/>
          <w:szCs w:val="18"/>
          <w:color w:val="auto"/>
        </w:rPr>
        <w:t>By:</w:t>
        <w:tab/>
        <w:t>Plains AAP, L.P., its sole member</w:t>
      </w:r>
    </w:p>
    <w:p>
      <w:pPr>
        <w:spacing w:after="0" w:line="225"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8"/>
          <w:szCs w:val="18"/>
          <w:color w:val="auto"/>
        </w:rPr>
        <w:t>By:</w:t>
        <w:tab/>
        <w:t>Plains All American GP LLC, its general partner</w:t>
      </w:r>
    </w:p>
    <w:p>
      <w:pPr>
        <w:spacing w:after="0" w:line="225"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Al Swanson</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 Swanson</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222250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ENCAP ENERGY CAPITAL FUND X, L.P.</w:t>
      </w:r>
    </w:p>
    <w:p>
      <w:pPr>
        <w:spacing w:after="0" w:line="229"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8"/>
          <w:szCs w:val="18"/>
          <w:color w:val="auto"/>
        </w:rPr>
        <w:t>By:</w:t>
        <w:tab/>
        <w:t>EnCap Equity Fund X GP, L.P.,</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General Partner of EnCap Energy Capital Fund X, L.P.</w:t>
      </w:r>
    </w:p>
    <w:p>
      <w:pPr>
        <w:spacing w:after="0" w:line="207"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8"/>
          <w:szCs w:val="18"/>
          <w:color w:val="auto"/>
        </w:rPr>
        <w:t>By:</w:t>
        <w:tab/>
        <w:t>EnCap Investments L.P.,</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General Partner of EnCap Equity Fund X GP, L.P.</w:t>
      </w:r>
    </w:p>
    <w:p>
      <w:pPr>
        <w:spacing w:after="0" w:line="207"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8"/>
          <w:szCs w:val="18"/>
          <w:color w:val="auto"/>
        </w:rPr>
        <w:t>By:</w:t>
        <w:tab/>
        <w:t>EnCap Investments GP, L.L.C.,</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General Partner of EnCap Investments L.P.</w:t>
      </w:r>
    </w:p>
    <w:p>
      <w:pPr>
        <w:spacing w:after="0" w:line="200" w:lineRule="exact"/>
        <w:rPr>
          <w:sz w:val="20"/>
          <w:szCs w:val="20"/>
          <w:color w:val="auto"/>
        </w:rPr>
      </w:pPr>
    </w:p>
    <w:p>
      <w:pPr>
        <w:spacing w:after="0" w:line="223"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 Martin Phillips</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 Martin Phillips</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200" w:lineRule="exact"/>
        <w:rPr>
          <w:sz w:val="20"/>
          <w:szCs w:val="20"/>
          <w:color w:val="auto"/>
        </w:rPr>
      </w:pPr>
    </w:p>
    <w:p>
      <w:pPr>
        <w:spacing w:after="0" w:line="21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ENCAP FLATROCK MIDSTREAM FUND III, L.P.</w:t>
      </w:r>
    </w:p>
    <w:p>
      <w:pPr>
        <w:spacing w:after="0" w:line="200" w:lineRule="exact"/>
        <w:rPr>
          <w:sz w:val="20"/>
          <w:szCs w:val="20"/>
          <w:color w:val="auto"/>
        </w:rPr>
      </w:pPr>
    </w:p>
    <w:p>
      <w:pPr>
        <w:spacing w:after="0" w:line="245"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8"/>
          <w:szCs w:val="18"/>
          <w:color w:val="auto"/>
        </w:rPr>
        <w:t>By:</w:t>
        <w:tab/>
        <w:t>EnCap Flatrock Midstream Fund III GP, L.P.,</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General Partner of EnCap Flatrock Midstream Fund III, L.P.</w:t>
      </w:r>
    </w:p>
    <w:p>
      <w:pPr>
        <w:spacing w:after="0" w:line="207" w:lineRule="exact"/>
        <w:rPr>
          <w:sz w:val="20"/>
          <w:szCs w:val="20"/>
          <w:color w:val="auto"/>
        </w:rPr>
      </w:pPr>
    </w:p>
    <w:p>
      <w:pPr>
        <w:ind w:left="5060"/>
        <w:spacing w:after="0"/>
        <w:tabs>
          <w:tab w:leader="none" w:pos="5500" w:val="left"/>
        </w:tabs>
        <w:rPr>
          <w:sz w:val="20"/>
          <w:szCs w:val="20"/>
          <w:color w:val="auto"/>
        </w:rPr>
      </w:pPr>
      <w:r>
        <w:rPr>
          <w:rFonts w:ascii="Times New Roman" w:cs="Times New Roman" w:eastAsia="Times New Roman" w:hAnsi="Times New Roman"/>
          <w:sz w:val="18"/>
          <w:szCs w:val="18"/>
          <w:color w:val="auto"/>
        </w:rPr>
        <w:t>By:</w:t>
        <w:tab/>
        <w:t>EnCap Flatrock Midstream Fund III GP, LLC</w:t>
      </w:r>
    </w:p>
    <w:p>
      <w:pPr>
        <w:spacing w:after="0" w:line="27"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General Partner of EnCap Flatrock Midstream Fund III GP, L.P.</w:t>
      </w:r>
    </w:p>
    <w:p>
      <w:pPr>
        <w:spacing w:after="0" w:line="200" w:lineRule="exact"/>
        <w:rPr>
          <w:sz w:val="20"/>
          <w:szCs w:val="20"/>
          <w:color w:val="auto"/>
        </w:rPr>
      </w:pPr>
    </w:p>
    <w:p>
      <w:pPr>
        <w:spacing w:after="0" w:line="223"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R. Lemmons, Jr.</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William R. Lemmons, Jr.</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9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222250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EMG FUND IV PAA HOLDINGS, LLC</w:t>
      </w:r>
    </w:p>
    <w:p>
      <w:pPr>
        <w:spacing w:after="0" w:line="229"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T. Raymond</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T. Raymond</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96"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222250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FR KA PLAINS HOLDINGS LLC</w:t>
      </w:r>
    </w:p>
    <w:p>
      <w:pPr>
        <w:spacing w:after="0" w:line="229"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James C. Baker</w:t>
            </w:r>
          </w:p>
        </w:tc>
      </w:tr>
      <w:tr>
        <w:trPr>
          <w:trHeight w:val="22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James C. Baker</w:t>
            </w:r>
          </w:p>
        </w:tc>
      </w:tr>
    </w:tbl>
    <w:p>
      <w:pPr>
        <w:sectPr>
          <w:pgSz w:w="11900" w:h="16902" w:orient="portrait"/>
          <w:cols w:equalWidth="0" w:num="1">
            <w:col w:w="10760"/>
          </w:cols>
          <w:pgMar w:left="900" w:top="337" w:right="239" w:bottom="0" w:gutter="0" w:footer="0" w:header="0"/>
        </w:sectPr>
      </w:pPr>
    </w:p>
    <w:bookmarkStart w:id="114" w:name="page115"/>
    <w:bookmarkEnd w:id="114"/>
    <w:p>
      <w:pPr>
        <w:ind w:left="498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Authorized Person</w:t>
      </w:r>
    </w:p>
    <w:p>
      <w:pPr>
        <w:spacing w:after="0" w:line="200" w:lineRule="exact"/>
        <w:rPr>
          <w:sz w:val="20"/>
          <w:szCs w:val="20"/>
          <w:color w:val="auto"/>
        </w:rPr>
      </w:pP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MASSACHUSETTS MUTUAL LIFE INSURANCE COMPANY</w:t>
      </w:r>
    </w:p>
    <w:p>
      <w:pPr>
        <w:spacing w:after="0" w:line="31"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KA Fund Advisors, LLC, as Manager</w:t>
      </w:r>
    </w:p>
    <w:p>
      <w:pPr>
        <w:spacing w:after="0" w:line="207" w:lineRule="exact"/>
        <w:rPr>
          <w:sz w:val="20"/>
          <w:szCs w:val="20"/>
          <w:color w:val="auto"/>
        </w:rPr>
      </w:pPr>
    </w:p>
    <w:p>
      <w:pPr>
        <w:ind w:left="4980"/>
        <w:spacing w:after="0"/>
        <w:tabs>
          <w:tab w:leader="none" w:pos="56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James C. Baker</w:t>
      </w:r>
    </w:p>
    <w:p>
      <w:pPr>
        <w:spacing w:after="0" w:line="27" w:lineRule="exact"/>
        <w:rPr>
          <w:sz w:val="20"/>
          <w:szCs w:val="20"/>
          <w:color w:val="auto"/>
        </w:rPr>
      </w:pPr>
    </w:p>
    <w:p>
      <w:pPr>
        <w:ind w:left="4980"/>
        <w:spacing w:after="0"/>
        <w:tabs>
          <w:tab w:leader="none" w:pos="5680" w:val="left"/>
        </w:tabs>
        <w:rPr>
          <w:sz w:val="20"/>
          <w:szCs w:val="20"/>
          <w:color w:val="auto"/>
        </w:rPr>
      </w:pPr>
      <w:r>
        <w:rPr>
          <w:rFonts w:ascii="Times New Roman" w:cs="Times New Roman" w:eastAsia="Times New Roman" w:hAnsi="Times New Roman"/>
          <w:sz w:val="18"/>
          <w:szCs w:val="18"/>
          <w:color w:val="auto"/>
        </w:rPr>
        <w:t>Name:</w:t>
        <w:tab/>
        <w:t>James C.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3625215</wp:posOffset>
            </wp:positionH>
            <wp:positionV relativeFrom="paragraph">
              <wp:posOffset>-130810</wp:posOffset>
            </wp:positionV>
            <wp:extent cx="286448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864485" cy="8890"/>
                    </a:xfrm>
                    <a:prstGeom prst="rect">
                      <a:avLst/>
                    </a:prstGeom>
                    <a:noFill/>
                  </pic:spPr>
                </pic:pic>
              </a:graphicData>
            </a:graphic>
          </wp:anchor>
        </w:drawing>
      </w:r>
    </w:p>
    <w:p>
      <w:pPr>
        <w:spacing w:after="0" w:line="3" w:lineRule="exact"/>
        <w:rPr>
          <w:sz w:val="20"/>
          <w:szCs w:val="20"/>
          <w:color w:val="auto"/>
        </w:rPr>
      </w:pPr>
    </w:p>
    <w:p>
      <w:pPr>
        <w:ind w:left="4980"/>
        <w:spacing w:after="0"/>
        <w:tabs>
          <w:tab w:leader="none" w:pos="56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200" w:lineRule="exact"/>
        <w:rPr>
          <w:sz w:val="20"/>
          <w:szCs w:val="20"/>
          <w:color w:val="auto"/>
        </w:rPr>
      </w:pPr>
    </w:p>
    <w:p>
      <w:pPr>
        <w:spacing w:after="0" w:line="2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KAYNE SELECT MIDSTREAM RECOVERY FUND, L.P.</w:t>
      </w:r>
    </w:p>
    <w:p>
      <w:pPr>
        <w:spacing w:after="0" w:line="31"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Kayne Anderson Capital Advisors, L.P.,</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as its General Partner</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1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KAYNE ANDERSON MLP FUND, L.P.</w:t>
      </w:r>
    </w:p>
    <w:p>
      <w:pPr>
        <w:spacing w:after="0" w:line="31"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Kayne Anderson Capital Advisors, L.P.,</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its General Partner</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200" w:lineRule="exact"/>
        <w:rPr>
          <w:sz w:val="20"/>
          <w:szCs w:val="20"/>
          <w:color w:val="auto"/>
        </w:rPr>
      </w:pPr>
    </w:p>
    <w:p>
      <w:pPr>
        <w:spacing w:after="0" w:line="210"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KAYNE ANDERSON MIDSTREAM INSTITUTIONAL FUND, L.P.</w:t>
      </w:r>
    </w:p>
    <w:p>
      <w:pPr>
        <w:spacing w:after="0" w:line="31"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Kayne Anderson Capital Advisors, L.P.,</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its General Partner</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KAYNE ANDERSON NON-TRADITIONAL INVESTMENTS, L.P.</w:t>
      </w:r>
    </w:p>
    <w:p>
      <w:pPr>
        <w:spacing w:after="0" w:line="31"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Kayne Anderson Capital Advisors, L.P.,</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its General Partner</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KANTI (QP), L.P.</w:t>
      </w:r>
    </w:p>
    <w:p>
      <w:pPr>
        <w:spacing w:after="0" w:line="31"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Kayne Anderson Capital Advisors, L.P.,</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its General Partner</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KAISER FOUNDATION HOSPITALS</w:t>
      </w:r>
    </w:p>
    <w:p>
      <w:pPr>
        <w:spacing w:after="0" w:line="31"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Kayne Anderson Capital Advisors, L.P.,</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as its Manager</w:t>
      </w:r>
    </w:p>
    <w:p>
      <w:pPr>
        <w:spacing w:after="0" w:line="207" w:lineRule="exact"/>
        <w:rPr>
          <w:sz w:val="20"/>
          <w:szCs w:val="20"/>
          <w:color w:val="auto"/>
        </w:rPr>
      </w:pPr>
    </w:p>
    <w:tbl>
      <w:tblPr>
        <w:tblLayout w:type="fixed"/>
        <w:tblInd w:w="49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Shladovsky</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David Shladovsky</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r>
    </w:tbl>
    <w:p>
      <w:pPr>
        <w:spacing w:after="0" w:line="19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222250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STONEPEAK PARTNERS LP, on behalf of</w:t>
      </w:r>
    </w:p>
    <w:p>
      <w:pPr>
        <w:spacing w:after="0" w:line="3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STONEPEAK INFRASTRUCTURE FUND LP and</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STONEPEAK INFRASTRUCTURE FUND II LP</w:t>
      </w:r>
    </w:p>
    <w:p>
      <w:pPr>
        <w:sectPr>
          <w:pgSz w:w="11900" w:h="16838" w:orient="portrait"/>
          <w:cols w:equalWidth="0" w:num="1">
            <w:col w:w="10220"/>
          </w:cols>
          <w:pgMar w:left="1440" w:top="121" w:right="239" w:bottom="0" w:gutter="0" w:footer="0" w:header="0"/>
        </w:sectPr>
      </w:pPr>
    </w:p>
    <w:bookmarkStart w:id="115" w:name="page116"/>
    <w:bookmarkEnd w:id="115"/>
    <w:p>
      <w:pPr>
        <w:ind w:left="5720"/>
        <w:spacing w:after="0"/>
        <w:tabs>
          <w:tab w:leader="none" w:pos="6160" w:val="left"/>
        </w:tabs>
        <w:rPr>
          <w:sz w:val="20"/>
          <w:szCs w:val="20"/>
          <w:color w:val="auto"/>
        </w:rPr>
      </w:pPr>
      <w:r>
        <w:rPr>
          <w:rFonts w:ascii="Times New Roman" w:cs="Times New Roman" w:eastAsia="Times New Roman" w:hAnsi="Times New Roman"/>
          <w:sz w:val="18"/>
          <w:szCs w:val="18"/>
          <w:color w:val="auto"/>
        </w:rPr>
        <w:t>By:</w:t>
        <w:tab/>
        <w:t>Stonepeak Partners LLC, its general partner</w:t>
      </w:r>
    </w:p>
    <w:p>
      <w:pPr>
        <w:spacing w:after="0" w:line="200" w:lineRule="exact"/>
        <w:rPr>
          <w:sz w:val="20"/>
          <w:szCs w:val="20"/>
          <w:color w:val="auto"/>
        </w:rPr>
      </w:pPr>
    </w:p>
    <w:p>
      <w:pPr>
        <w:spacing w:after="0" w:line="241"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Dorrell</w:t>
            </w:r>
          </w:p>
        </w:tc>
      </w:tr>
      <w:tr>
        <w:trPr>
          <w:trHeight w:val="191"/>
        </w:trPr>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Dorrell</w:t>
            </w:r>
          </w:p>
        </w:tc>
      </w:t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Senior Managing Director</w:t>
            </w: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Amendment No. 1 to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Purchaser and Address</w:t>
            </w:r>
          </w:p>
        </w:tc>
        <w:tc>
          <w:tcPr>
            <w:tcW w:w="22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Purchased Units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Funding Obligation</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EnCap Energy Capital Fund X, L.P.</w:t>
            </w:r>
          </w:p>
        </w:tc>
        <w:tc>
          <w:tcPr>
            <w:tcW w:w="22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10,884,354</w:t>
            </w:r>
          </w:p>
        </w:tc>
        <w:tc>
          <w:tcPr>
            <w:tcW w:w="3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285,714,292.50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1100 Louisiana, Suite 4900</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Houston, TX 77002</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Brad Thielemann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BThielemann@encapinvestments.com</w:t>
            </w: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EnCap Flatrock Midstream Fund III, L.P.</w:t>
            </w:r>
          </w:p>
        </w:tc>
        <w:tc>
          <w:tcPr>
            <w:tcW w:w="22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10,884,354</w:t>
            </w:r>
          </w:p>
        </w:tc>
        <w:tc>
          <w:tcPr>
            <w:tcW w:w="3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285,714,292.50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1100 Louisiana, Suite 4900</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Houston, TX 77002</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Sam Pitts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sp@efmidstream.com</w:t>
            </w: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EMG Fund IV PAA Holdings, LLC</w:t>
            </w:r>
          </w:p>
        </w:tc>
        <w:tc>
          <w:tcPr>
            <w:tcW w:w="22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17,492,711</w:t>
            </w:r>
          </w:p>
        </w:tc>
        <w:tc>
          <w:tcPr>
            <w:tcW w:w="3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459,183,663.75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 The Energy &amp; Minerals Group LP</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811 Main Street, Suite 4200</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Houston, TX 77002</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John T. Raymond and Laura L. Tyson</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jraymond@emgtx.com; ltyson@emgtx.com</w:t>
            </w: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FR KA Plains Holdings LLC</w:t>
            </w:r>
          </w:p>
        </w:tc>
        <w:tc>
          <w:tcPr>
            <w:tcW w:w="22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10,884,354</w:t>
            </w:r>
          </w:p>
        </w:tc>
        <w:tc>
          <w:tcPr>
            <w:tcW w:w="3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285,714,292.50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600 Travis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Suite 6000</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Gary D. Reaves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Houston, TX 77002</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greaves@firstreserve.com;</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jbaker@kaynecapital.com</w:t>
            </w: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Massachusetts Mutual Life Insurance Company</w:t>
            </w:r>
          </w:p>
        </w:tc>
        <w:tc>
          <w:tcPr>
            <w:tcW w:w="20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388,727</w:t>
            </w: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10,204,083.75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jbaker@kaynecapital.com</w:t>
            </w: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Kayne Select Midstream Recovery Fund, L.P.</w:t>
            </w:r>
          </w:p>
        </w:tc>
        <w:tc>
          <w:tcPr>
            <w:tcW w:w="220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97,182</w:t>
            </w:r>
          </w:p>
        </w:tc>
        <w:tc>
          <w:tcPr>
            <w:tcW w:w="380" w:type="dxa"/>
            <w:vAlign w:val="bottom"/>
            <w:gridSpan w:val="2"/>
            <w:shd w:val="clear" w:color="auto" w:fill="CCEEFF"/>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2,551,027.50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jbaker@kaynecapital.com</w:t>
            </w: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Kayne Anderson MLP Fund, L.P.</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485,909</w:t>
            </w:r>
          </w:p>
        </w:tc>
        <w:tc>
          <w:tcPr>
            <w:tcW w:w="16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12,755,111.25</w:t>
            </w:r>
          </w:p>
        </w:tc>
        <w:tc>
          <w:tcPr>
            <w:tcW w:w="0" w:type="dxa"/>
            <w:vAlign w:val="bottom"/>
          </w:tcPr>
          <w:p>
            <w:pPr>
              <w:spacing w:after="0"/>
              <w:rPr>
                <w:sz w:val="1"/>
                <w:szCs w:val="1"/>
                <w:color w:val="auto"/>
              </w:rPr>
            </w:pPr>
          </w:p>
        </w:tc>
      </w:tr>
      <w:tr>
        <w:trPr>
          <w:trHeight w:val="216"/>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2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82359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Email: dshladovsky@kaynecapital.com;</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jbaker@kaynecapital.com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8380" w:val="left"/>
          <w:tab w:leader="none" w:pos="9260" w:val="left"/>
          <w:tab w:leader="none" w:pos="10260" w:val="left"/>
        </w:tabs>
        <w:rPr>
          <w:sz w:val="20"/>
          <w:szCs w:val="20"/>
          <w:color w:val="auto"/>
        </w:rPr>
      </w:pPr>
      <w:r>
        <w:rPr>
          <w:rFonts w:ascii="Times New Roman" w:cs="Times New Roman" w:eastAsia="Times New Roman" w:hAnsi="Times New Roman"/>
          <w:sz w:val="18"/>
          <w:szCs w:val="18"/>
          <w:color w:val="auto"/>
        </w:rPr>
        <w:t>Kayne Anderson Midstream Institutional Fund, L.P.</w:t>
      </w:r>
      <w:r>
        <w:rPr>
          <w:sz w:val="20"/>
          <w:szCs w:val="20"/>
          <w:color w:val="auto"/>
        </w:rPr>
        <w:tab/>
      </w:r>
      <w:r>
        <w:rPr>
          <w:rFonts w:ascii="Times New Roman" w:cs="Times New Roman" w:eastAsia="Times New Roman" w:hAnsi="Times New Roman"/>
          <w:sz w:val="18"/>
          <w:szCs w:val="18"/>
          <w:color w:val="auto"/>
        </w:rPr>
        <w:t>388,727</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10,204,083.75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235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1800 Avenue of the Stars, 3rd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David Shladovsky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 Angeles, CA 90067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dshladovsky@kaynecapital.com;</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jbaker@kaynecapital.com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273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2730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Kayne Anderson Non-Traditional Investments, L.P.</w:t>
            </w:r>
          </w:p>
        </w:tc>
        <w:tc>
          <w:tcPr>
            <w:tcW w:w="2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23,324</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612,255.00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jbaker@kaynecapital.com</w:t>
            </w: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Kanti (QP), L.P.</w:t>
            </w:r>
          </w:p>
        </w:tc>
        <w:tc>
          <w:tcPr>
            <w:tcW w:w="20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171,039</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4,489,773.75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jbaker@kaynecapital.com</w:t>
            </w: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Kaiser Foundation Hospitals</w:t>
            </w:r>
          </w:p>
        </w:tc>
        <w:tc>
          <w:tcPr>
            <w:tcW w:w="20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3,887,269</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102,040,811.25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1800 Avenue of the Stars, 3rd Floor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David Shladovsky</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 Angeles, CA 90067</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dshladovsky@kaynecapital.com;</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jbaker@kaynecapital.com</w:t>
            </w: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Stonepeak Infrastructure Fund LP</w:t>
            </w:r>
          </w:p>
        </w:tc>
        <w:tc>
          <w:tcPr>
            <w:tcW w:w="20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3,887,270</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102,040,837.50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717 Fifth Avenue,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Adrienne Saunders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Saunders@stonepeakpartners.com</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Jack Howell</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howell@stonepeakpartners.com</w:t>
            </w: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Stonepeak Infrastructure Fund II LP</w:t>
            </w:r>
          </w:p>
        </w:tc>
        <w:tc>
          <w:tcPr>
            <w:tcW w:w="204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1,554,907</w:t>
            </w:r>
          </w:p>
        </w:tc>
        <w:tc>
          <w:tcPr>
            <w:tcW w:w="16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3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40,816,308.75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717 Fifth Avenue, 25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Floor</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Adrienne Saunders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Saunders@stonepeakpartners.com</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Attn: Jack Howell</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Email: howell@stonepeakpartners.com</w:t>
            </w:r>
          </w:p>
        </w:tc>
        <w:tc>
          <w:tcPr>
            <w:tcW w:w="2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61,030,127</w:t>
            </w:r>
          </w:p>
        </w:tc>
        <w:tc>
          <w:tcPr>
            <w:tcW w:w="5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1,602,040,833.75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808080"/>
            </w:tcBorders>
          </w:tcPr>
          <w:p>
            <w:pPr>
              <w:spacing w:after="0"/>
              <w:rPr>
                <w:sz w:val="24"/>
                <w:szCs w:val="24"/>
                <w:color w:val="auto"/>
              </w:rPr>
            </w:pPr>
          </w:p>
        </w:tc>
        <w:tc>
          <w:tcPr>
            <w:tcW w:w="692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0" w:right="199" w:bottom="1440" w:gutter="0" w:footer="0" w:header="0"/>
        </w:sectPr>
      </w:pPr>
    </w:p>
    <w:bookmarkStart w:id="117" w:name="page118"/>
    <w:bookmarkEnd w:id="117"/>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2246630" cy="7200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24663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Plains All American Pipeline, L.P. Announces Closing of $1.6 Billion Private Placement of 8% Perpetual Series A Convertible Preferred Units</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Houston — January 28, 2016 - Plains All American Pipeline, L.P. (NYSE: PAA) today announced that it has closed the previously announced sale of approximately 61 million units of a newly authorized series of 8% perpetual Series A Convertible Preferred Units (the “Preferred Units”) at a price of $26.25 per unit. The Preferred Units will pay quarterly distributions at an annual rate of $2.10 per unit. After two years, the Preferred Units are convertible at the holders’ option into PAA common units on a one for one basis (subject to customary anti-dilution adjustments), and are convertible at PAA’s option in certain circumstances after three years.</w:t>
      </w:r>
    </w:p>
    <w:p>
      <w:pPr>
        <w:spacing w:after="0" w:line="18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net proceeds, after deducting offering expenses and the transaction fee due to the purchasers and including the general partner’s proportionate 2% equity contribution, are approximately $1.6 billion. This amount represents an increase of approximately $140 million in additional net proceeds relative to anticipated net proceeds announced on January 12, 2016, due to additional commitments received by PAA since that date. PAA expects to use the proceeds for capital expenditures, repayment of debt, and general partnership purposes. The primary purchasers included affiliates of EnCap Investments L.P., EnCap Flatrock Midstream, The Energy Minerals Group, Kayne Anderson Capital Advisors, L.P., First Reserve Advisors, L.L.C. and Stonepeak Partners LP.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is neither an offer to sell nor a solicitation of an offer to purchase the securities described herein.</w:t>
      </w:r>
    </w:p>
    <w:p>
      <w:pPr>
        <w:spacing w:after="0" w:line="225"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Plains All American Pipeline, L.P.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On average, PAA handles over 4.4 million barrels per day of crude oil and NGL in its Transportation segment. PAA is headquartered in Houston, Texas.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Contact:</w:t>
            </w:r>
          </w:p>
        </w:tc>
        <w:tc>
          <w:tcPr>
            <w:tcW w:w="10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Ryan Smith</w:t>
            </w:r>
          </w:p>
        </w:tc>
      </w:tr>
      <w:tr>
        <w:trPr>
          <w:trHeight w:val="218"/>
        </w:trPr>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Director, Investor Relations</w:t>
            </w:r>
          </w:p>
        </w:tc>
      </w:tr>
      <w:tr>
        <w:trPr>
          <w:trHeight w:val="234"/>
        </w:trPr>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(866) 809-1291</w:t>
            </w:r>
          </w:p>
        </w:tc>
      </w:tr>
      <w:tr>
        <w:trPr>
          <w:trHeight w:val="348"/>
        </w:trPr>
        <w:tc>
          <w:tcPr>
            <w:tcW w:w="5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06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1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F72E4E"/>
    <w:multiLevelType w:val="hybridMultilevel"/>
    <w:lvl w:ilvl="0">
      <w:lvlJc w:val="left"/>
      <w:lvlText w:val="o"/>
      <w:numFmt w:val="bullet"/>
      <w:start w:val="1"/>
    </w:lvl>
  </w:abstractNum>
  <w:abstractNum w:abstractNumId="1">
    <w:nsid w:val="5046B5A9"/>
    <w:multiLevelType w:val="hybridMultilevel"/>
    <w:lvl w:ilvl="0">
      <w:lvlJc w:val="left"/>
      <w:lvlText w:val="·"/>
      <w:numFmt w:val="bullet"/>
      <w:start w:val="1"/>
    </w:lvl>
  </w:abstractNum>
  <w:abstractNum w:abstractNumId="2">
    <w:nsid w:val="5D888A08"/>
    <w:multiLevelType w:val="hybridMultilevel"/>
    <w:lvl w:ilvl="0">
      <w:lvlJc w:val="left"/>
      <w:lvlText w:val="%1"/>
      <w:numFmt w:val="lowerRoman"/>
      <w:start w:val="1"/>
    </w:lvl>
    <w:lvl w:ilvl="1">
      <w:lvlJc w:val="left"/>
      <w:lvlText w:val="(%2)"/>
      <w:numFmt w:val="lowerRoman"/>
      <w:start w:val="5"/>
    </w:lvl>
  </w:abstractNum>
  <w:abstractNum w:abstractNumId="3">
    <w:nsid w:val="2A082C70"/>
    <w:multiLevelType w:val="hybridMultilevel"/>
    <w:lvl w:ilvl="0">
      <w:lvlJc w:val="left"/>
      <w:lvlText w:val="(%1)"/>
      <w:numFmt w:val="lowerRoman"/>
      <w:start w:val="3"/>
    </w:lvl>
    <w:lvl w:ilvl="1">
      <w:lvlJc w:val="left"/>
      <w:lvlText w:val="%2"/>
      <w:numFmt w:val="lowerRoman"/>
      <w:start w:val="1"/>
    </w:lvl>
  </w:abstractNum>
  <w:abstractNum w:abstractNumId="4">
    <w:nsid w:val="5EC6AFD4"/>
    <w:multiLevelType w:val="hybridMultilevel"/>
    <w:lvl w:ilvl="0">
      <w:lvlJc w:val="left"/>
      <w:lvlText w:val="%1"/>
      <w:numFmt w:val="lowerRoman"/>
      <w:start w:val="1"/>
    </w:lvl>
    <w:lvl w:ilvl="1">
      <w:lvlJc w:val="left"/>
      <w:lvlText w:val="(%2)"/>
      <w:numFmt w:val="lowerRoman"/>
      <w:start w:val="6"/>
    </w:lvl>
  </w:abstractNum>
  <w:abstractNum w:abstractNumId="5">
    <w:nsid w:val="19E21BB2"/>
    <w:multiLevelType w:val="hybridMultilevel"/>
    <w:lvl w:ilvl="0">
      <w:lvlJc w:val="left"/>
      <w:lvlText w:val="(%1)"/>
      <w:numFmt w:val="lowerRoman"/>
      <w:start w:val="1"/>
    </w:lvl>
    <w:lvl w:ilvl="1">
      <w:lvlJc w:val="left"/>
      <w:lvlText w:val="(%2)"/>
      <w:numFmt w:val="lowerRoman"/>
      <w:start w:val="7"/>
    </w:lvl>
  </w:abstractNum>
  <w:abstractNum w:abstractNumId="6">
    <w:nsid w:val="75E0858A"/>
    <w:multiLevelType w:val="hybridMultilevel"/>
    <w:lvl w:ilvl="0">
      <w:lvlJc w:val="left"/>
      <w:lvlText w:val="%1"/>
      <w:numFmt w:val="lowerRoman"/>
      <w:start w:val="1"/>
    </w:lvl>
    <w:lvl w:ilvl="1">
      <w:lvlJc w:val="left"/>
      <w:lvlText w:val="(%2)"/>
      <w:numFmt w:val="lowerLetter"/>
      <w:start w:val="4"/>
    </w:lvl>
  </w:abstractNum>
  <w:abstractNum w:abstractNumId="7">
    <w:nsid w:val="57A61A29"/>
    <w:multiLevelType w:val="hybridMultilevel"/>
    <w:lvl w:ilvl="0">
      <w:lvlJc w:val="left"/>
      <w:lvlText w:val="(%1)"/>
      <w:numFmt w:val="lowerRoman"/>
      <w:start w:val="7"/>
    </w:lvl>
    <w:lvl w:ilvl="1">
      <w:lvlJc w:val="left"/>
      <w:lvlText w:val="%2"/>
      <w:numFmt w:val="lowerLetter"/>
      <w:start w:val="1"/>
    </w:lvl>
  </w:abstractNum>
  <w:abstractNum w:abstractNumId="8">
    <w:nsid w:val="5399C654"/>
    <w:multiLevelType w:val="hybridMultilevel"/>
    <w:lvl w:ilvl="0">
      <w:lvlJc w:val="left"/>
      <w:lvlText w:val="(%1)"/>
      <w:numFmt w:val="lowerRoman"/>
      <w:start w:val="1"/>
    </w:lvl>
  </w:abstractNum>
  <w:abstractNum w:abstractNumId="9">
    <w:nsid w:val="20EE1348"/>
    <w:multiLevelType w:val="hybridMultilevel"/>
    <w:lvl w:ilvl="0">
      <w:lvlJc w:val="left"/>
      <w:lvlText w:val="(%1)"/>
      <w:numFmt w:val="lowerLetter"/>
      <w:start w:val="1"/>
    </w:lvl>
  </w:abstractNum>
  <w:abstractNum w:abstractNumId="10">
    <w:nsid w:val="4427069A"/>
    <w:multiLevelType w:val="hybridMultilevel"/>
    <w:lvl w:ilvl="0">
      <w:lvlJc w:val="left"/>
      <w:lvlText w:val="%1"/>
      <w:numFmt w:val="lowerLetter"/>
      <w:start w:val="1"/>
    </w:lvl>
    <w:lvl w:ilvl="1">
      <w:lvlJc w:val="left"/>
      <w:lvlText w:val="(%2)"/>
      <w:numFmt w:val="lowerLetter"/>
      <w:start w:val="1"/>
    </w:lvl>
  </w:abstractNum>
  <w:abstractNum w:abstractNumId="11">
    <w:nsid w:val="B37E80A"/>
    <w:multiLevelType w:val="hybridMultilevel"/>
    <w:lvl w:ilvl="0">
      <w:lvlJc w:val="left"/>
      <w:lvlText w:val="(%1)"/>
      <w:numFmt w:val="lowerLetter"/>
      <w:start w:val="9"/>
    </w:lvl>
    <w:lvl w:ilvl="1">
      <w:lvlJc w:val="left"/>
      <w:lvlText w:val="%2"/>
      <w:numFmt w:val="lowerLetter"/>
      <w:start w:val="1"/>
    </w:lvl>
  </w:abstractNum>
  <w:abstractNum w:abstractNumId="12">
    <w:nsid w:val="2157F6BC"/>
    <w:multiLevelType w:val="hybridMultilevel"/>
    <w:lvl w:ilvl="0">
      <w:lvlJc w:val="left"/>
      <w:lvlText w:val="(%1)"/>
      <w:numFmt w:val="lowerLetter"/>
      <w:start w:val="2"/>
    </w:lvl>
  </w:abstractNum>
  <w:abstractNum w:abstractNumId="13">
    <w:nsid w:val="704E1DD5"/>
    <w:multiLevelType w:val="hybridMultilevel"/>
    <w:lvl w:ilvl="0">
      <w:lvlJc w:val="left"/>
      <w:lvlText w:val="(%1)"/>
      <w:numFmt w:val="lowerLetter"/>
      <w:start w:val="1"/>
    </w:lvl>
  </w:abstractNum>
  <w:abstractNum w:abstractNumId="14">
    <w:nsid w:val="57D2F10E"/>
    <w:multiLevelType w:val="hybridMultilevel"/>
    <w:lvl w:ilvl="0">
      <w:lvlJc w:val="left"/>
      <w:lvlText w:val="(%1)"/>
      <w:numFmt w:val="lowerLetter"/>
      <w:start w:val="2"/>
    </w:lvl>
  </w:abstractNum>
  <w:abstractNum w:abstractNumId="15">
    <w:nsid w:val="BFFAE18"/>
    <w:multiLevelType w:val="hybridMultilevel"/>
    <w:lvl w:ilvl="0">
      <w:lvlJc w:val="left"/>
      <w:lvlText w:val="(%1)"/>
      <w:numFmt w:val="lowerLetter"/>
      <w:start w:val="1"/>
    </w:lvl>
  </w:abstractNum>
  <w:abstractNum w:abstractNumId="16">
    <w:nsid w:val="E3E47A8"/>
    <w:multiLevelType w:val="hybridMultilevel"/>
    <w:lvl w:ilvl="0">
      <w:lvlJc w:val="left"/>
      <w:lvlText w:val="(%1)"/>
      <w:numFmt w:val="lowerLetter"/>
      <w:start w:val="1"/>
    </w:lvl>
    <w:lvl w:ilvl="1">
      <w:lvlJc w:val="left"/>
      <w:lvlText w:val="(%2)"/>
      <w:numFmt w:val="lowerRoman"/>
      <w:start w:val="1"/>
    </w:lvl>
  </w:abstractNum>
  <w:abstractNum w:abstractNumId="17">
    <w:nsid w:val="2E48F044"/>
    <w:multiLevelType w:val="hybridMultilevel"/>
    <w:lvl w:ilvl="0">
      <w:lvlJc w:val="left"/>
      <w:lvlText w:val="(%1)"/>
      <w:numFmt w:val="lowerLetter"/>
      <w:start w:val="2"/>
    </w:lvl>
  </w:abstractNum>
  <w:abstractNum w:abstractNumId="18">
    <w:nsid w:val="49D0FEAC"/>
    <w:multiLevelType w:val="hybridMultilevel"/>
    <w:lvl w:ilvl="0">
      <w:lvlJc w:val="left"/>
      <w:lvlText w:val="(%1)"/>
      <w:numFmt w:val="lowerLetter"/>
      <w:start w:val="1"/>
    </w:lvl>
  </w:abstractNum>
  <w:abstractNum w:abstractNumId="19">
    <w:nsid w:val="4BEE5A5B"/>
    <w:multiLevelType w:val="hybridMultilevel"/>
    <w:lvl w:ilvl="0">
      <w:lvlJc w:val="left"/>
      <w:lvlText w:val="%1"/>
      <w:numFmt w:val="lowerLetter"/>
      <w:start w:val="1"/>
    </w:lvl>
    <w:lvl w:ilvl="1">
      <w:lvlJc w:val="left"/>
      <w:lvlText w:val="(%2)"/>
      <w:numFmt w:val="lowerRoman"/>
      <w:start w:val="1"/>
    </w:lvl>
  </w:abstractNum>
  <w:abstractNum w:abstractNumId="20">
    <w:nsid w:val="5551B9F3"/>
    <w:multiLevelType w:val="hybridMultilevel"/>
    <w:lvl w:ilvl="0">
      <w:lvlJc w:val="left"/>
      <w:lvlText w:val="(%1)"/>
      <w:numFmt w:val="lowerLetter"/>
      <w:start w:val="2"/>
    </w:lvl>
    <w:lvl w:ilvl="1">
      <w:lvlJc w:val="left"/>
      <w:lvlText w:val="%2"/>
      <w:numFmt w:val="lowerRoman"/>
      <w:start w:val="1"/>
    </w:lvl>
  </w:abstractNum>
  <w:abstractNum w:abstractNumId="21">
    <w:nsid w:val="24F6AB8E"/>
    <w:multiLevelType w:val="hybridMultilevel"/>
    <w:lvl w:ilvl="0">
      <w:lvlJc w:val="left"/>
      <w:lvlText w:val="(%1)"/>
      <w:numFmt w:val="lowerLetter"/>
      <w:start w:val="1"/>
    </w:lvl>
    <w:lvl w:ilvl="1">
      <w:lvlJc w:val="left"/>
      <w:lvlText w:val="(%2)"/>
      <w:numFmt w:val="lowerRoman"/>
      <w:start w:val="1"/>
    </w:lvl>
  </w:abstractNum>
  <w:abstractNum w:abstractNumId="22">
    <w:nsid w:val="634C574C"/>
    <w:multiLevelType w:val="hybridMultilevel"/>
    <w:lvl w:ilvl="0">
      <w:lvlJc w:val="left"/>
      <w:lvlText w:val="(%1)"/>
      <w:numFmt w:val="lowerLetter"/>
      <w:start w:val="3"/>
    </w:lvl>
  </w:abstractNum>
  <w:abstractNum w:abstractNumId="23">
    <w:nsid w:val="24E99DD7"/>
    <w:multiLevelType w:val="hybridMultilevel"/>
    <w:lvl w:ilvl="0">
      <w:lvlJc w:val="left"/>
      <w:lvlText w:val="%1"/>
      <w:numFmt w:val="lowerLetter"/>
      <w:start w:val="1"/>
    </w:lvl>
    <w:lvl w:ilvl="1">
      <w:lvlJc w:val="left"/>
      <w:lvlText w:val="(%2)"/>
      <w:numFmt w:val="lowerLetter"/>
      <w:start w:val="1"/>
    </w:lvl>
  </w:abstractNum>
  <w:abstractNum w:abstractNumId="24">
    <w:nsid w:val="2A31B62D"/>
    <w:multiLevelType w:val="hybridMultilevel"/>
    <w:lvl w:ilvl="0">
      <w:lvlJc w:val="left"/>
      <w:lvlText w:val="(%1)"/>
      <w:numFmt w:val="lowerLetter"/>
      <w:start w:val="9"/>
    </w:lvl>
    <w:lvl w:ilvl="1">
      <w:lvlJc w:val="left"/>
      <w:lvlText w:val="(%2)"/>
      <w:numFmt w:val="lowerLetter"/>
      <w:start w:val="2"/>
    </w:lvl>
  </w:abstractNum>
  <w:abstractNum w:abstractNumId="25">
    <w:nsid w:val="1849C29B"/>
    <w:multiLevelType w:val="hybridMultilevel"/>
    <w:lvl w:ilvl="0">
      <w:lvlJc w:val="left"/>
      <w:lvlText w:val="%1"/>
      <w:numFmt w:val="lowerLetter"/>
      <w:start w:val="1"/>
    </w:lvl>
    <w:lvl w:ilvl="1">
      <w:lvlJc w:val="left"/>
      <w:lvlText w:val="(%2)"/>
      <w:numFmt w:val="lowerLetter"/>
      <w:start w:val="1"/>
    </w:lvl>
  </w:abstractNum>
  <w:abstractNum w:abstractNumId="26">
    <w:nsid w:val="7DFF9D09"/>
    <w:multiLevelType w:val="hybridMultilevel"/>
    <w:lvl w:ilvl="0">
      <w:lvlJc w:val="left"/>
      <w:lvlText w:val="(%1)"/>
      <w:numFmt w:val="lowerLetter"/>
      <w:start w:val="9"/>
    </w:lvl>
    <w:lvl w:ilvl="1">
      <w:lvlJc w:val="left"/>
      <w:lvlText w:val="%2"/>
      <w:numFmt w:val="lowerLetter"/>
      <w:start w:val="1"/>
    </w:lvl>
  </w:abstractNum>
  <w:abstractNum w:abstractNumId="27">
    <w:nsid w:val="754342"/>
    <w:multiLevelType w:val="hybridMultilevel"/>
    <w:lvl w:ilvl="0">
      <w:lvlJc w:val="left"/>
      <w:lvlText w:val="(%1)"/>
      <w:numFmt w:val="lowerLetter"/>
      <w:start w:val="6"/>
    </w:lvl>
  </w:abstractNum>
  <w:abstractNum w:abstractNumId="28">
    <w:nsid w:val="69E7F3E5"/>
    <w:multiLevelType w:val="hybridMultilevel"/>
    <w:lvl w:ilvl="0">
      <w:lvlJc w:val="left"/>
      <w:lvlText w:val="(%1)"/>
      <w:numFmt w:val="lowerLetter"/>
      <w:start w:val="1"/>
    </w:lvl>
  </w:abstractNum>
  <w:abstractNum w:abstractNumId="29">
    <w:nsid w:val="2A6DE806"/>
    <w:multiLevelType w:val="hybridMultilevel"/>
    <w:lvl w:ilvl="0">
      <w:lvlJc w:val="left"/>
      <w:lvlText w:val="%1"/>
      <w:numFmt w:val="lowerLetter"/>
      <w:start w:val="1"/>
    </w:lvl>
    <w:lvl w:ilvl="1">
      <w:lvlJc w:val="left"/>
      <w:lvlText w:val="(%2)"/>
      <w:numFmt w:val="lowerLetter"/>
      <w:start w:val="2"/>
    </w:lvl>
  </w:abstractNum>
  <w:abstractNum w:abstractNumId="30">
    <w:nsid w:val="1816F8C4"/>
    <w:multiLevelType w:val="hybridMultilevel"/>
    <w:lvl w:ilvl="0">
      <w:lvlJc w:val="left"/>
      <w:lvlText w:val="(%1)"/>
      <w:numFmt w:val="lowerLetter"/>
      <w:start w:val="61"/>
    </w:lvl>
    <w:lvl w:ilvl="1">
      <w:lvlJc w:val="left"/>
      <w:lvlText w:val="%2"/>
      <w:numFmt w:val="lowerLetter"/>
      <w:start w:val="1"/>
    </w:lvl>
  </w:abstractNum>
  <w:abstractNum w:abstractNumId="31">
    <w:nsid w:val="37DF2233"/>
    <w:multiLevelType w:val="hybridMultilevel"/>
    <w:lvl w:ilvl="0">
      <w:lvlJc w:val="left"/>
      <w:lvlText w:val="(%1)"/>
      <w:numFmt w:val="lowerLetter"/>
      <w:start w:val="1"/>
    </w:lvl>
  </w:abstractNum>
  <w:abstractNum w:abstractNumId="32">
    <w:nsid w:val="7AB49DAF"/>
    <w:multiLevelType w:val="hybridMultilevel"/>
    <w:lvl w:ilvl="0">
      <w:lvlJc w:val="left"/>
      <w:lvlText w:val="(%1)"/>
      <w:numFmt w:val="lowerLetter"/>
      <w:start w:val="2"/>
    </w:lvl>
  </w:abstractNum>
  <w:abstractNum w:abstractNumId="33">
    <w:nsid w:val="759F82CD"/>
    <w:multiLevelType w:val="hybridMultilevel"/>
    <w:lvl w:ilvl="0">
      <w:lvlJc w:val="left"/>
      <w:lvlText w:val="(%1)"/>
      <w:numFmt w:val="lowerLetter"/>
      <w:start w:val="1"/>
    </w:lvl>
  </w:abstractNum>
  <w:abstractNum w:abstractNumId="34">
    <w:nsid w:val="61E74EA3"/>
    <w:multiLevelType w:val="hybridMultilevel"/>
    <w:lvl w:ilvl="0">
      <w:lvlJc w:val="left"/>
      <w:lvlText w:val="(%1)"/>
      <w:numFmt w:val="lowerLetter"/>
      <w:start w:val="4"/>
    </w:lvl>
  </w:abstractNum>
  <w:abstractNum w:abstractNumId="35">
    <w:nsid w:val="597B4D84"/>
    <w:multiLevelType w:val="hybridMultilevel"/>
    <w:lvl w:ilvl="0">
      <w:lvlJc w:val="left"/>
      <w:lvlText w:val="(%1)"/>
      <w:numFmt w:val="lowerLetter"/>
      <w:start w:val="1"/>
    </w:lvl>
    <w:lvl w:ilvl="1">
      <w:lvlJc w:val="left"/>
      <w:lvlText w:val="(%2)"/>
      <w:numFmt w:val="lowerRoman"/>
      <w:start w:val="1"/>
    </w:lvl>
  </w:abstractNum>
  <w:abstractNum w:abstractNumId="36">
    <w:nsid w:val="F819E7F"/>
    <w:multiLevelType w:val="hybridMultilevel"/>
    <w:lvl w:ilvl="0">
      <w:lvlJc w:val="left"/>
      <w:lvlText w:val="%1"/>
      <w:numFmt w:val="lowerLetter"/>
      <w:start w:val="1"/>
    </w:lvl>
    <w:lvl w:ilvl="1">
      <w:lvlJc w:val="left"/>
      <w:lvlText w:val="(%2)"/>
      <w:numFmt w:val="lowerRoman"/>
      <w:start w:val="3"/>
    </w:lvl>
  </w:abstractNum>
  <w:abstractNum w:abstractNumId="37">
    <w:nsid w:val="57C7D42D"/>
    <w:multiLevelType w:val="hybridMultilevel"/>
    <w:lvl w:ilvl="0">
      <w:lvlJc w:val="left"/>
      <w:lvlText w:val="(%1)"/>
      <w:numFmt w:val="lowerLetter"/>
      <w:start w:val="2"/>
    </w:lvl>
    <w:lvl w:ilvl="1">
      <w:lvlJc w:val="left"/>
      <w:lvlText w:val="%2"/>
      <w:numFmt w:val="lowerRoman"/>
      <w:start w:val="1"/>
    </w:lvl>
  </w:abstractNum>
  <w:abstractNum w:abstractNumId="38">
    <w:nsid w:val="312167AD"/>
    <w:multiLevelType w:val="hybridMultilevel"/>
    <w:lvl w:ilvl="0">
      <w:lvlJc w:val="left"/>
      <w:lvlText w:val="(%1)"/>
      <w:numFmt w:val="lowerLetter"/>
      <w:start w:val="1"/>
    </w:lvl>
  </w:abstractNum>
  <w:abstractNum w:abstractNumId="39">
    <w:nsid w:val="631B64D4"/>
    <w:multiLevelType w:val="hybridMultilevel"/>
    <w:lvl w:ilvl="0">
      <w:lvlJc w:val="left"/>
      <w:lvlText w:val="(%1)"/>
      <w:numFmt w:val="upperLetter"/>
      <w:start w:val="3"/>
    </w:lvl>
    <w:lvl w:ilvl="1">
      <w:lvlJc w:val="left"/>
      <w:lvlText w:val="(%2)"/>
      <w:numFmt w:val="lowerLetter"/>
      <w:start w:val="2"/>
    </w:lvl>
  </w:abstractNum>
  <w:abstractNum w:abstractNumId="40">
    <w:nsid w:val="78B5E776"/>
    <w:multiLevelType w:val="hybridMultilevel"/>
    <w:lvl w:ilvl="0">
      <w:lvlJc w:val="left"/>
      <w:lvlText w:val="(%1)"/>
      <w:numFmt w:val="lowerLetter"/>
      <w:start w:val="1"/>
    </w:lvl>
  </w:abstractNum>
  <w:abstractNum w:abstractNumId="41">
    <w:nsid w:val="75486E47"/>
    <w:multiLevelType w:val="hybridMultilevel"/>
    <w:lvl w:ilvl="0">
      <w:lvlJc w:val="left"/>
      <w:lvlText w:val="(%1)"/>
      <w:numFmt w:val="lowerLetter"/>
      <w:start w:val="1"/>
    </w:lvl>
  </w:abstractNum>
  <w:abstractNum w:abstractNumId="42">
    <w:nsid w:val="6E534CDE"/>
    <w:multiLevelType w:val="hybridMultilevel"/>
    <w:lvl w:ilvl="0">
      <w:lvlJc w:val="left"/>
      <w:lvlText w:val="(%1)"/>
      <w:numFmt w:val="lowerRoman"/>
      <w:start w:val="1"/>
    </w:lvl>
  </w:abstractNum>
  <w:abstractNum w:abstractNumId="43">
    <w:nsid w:val="1A0DDE32"/>
    <w:multiLevelType w:val="hybridMultilevel"/>
    <w:lvl w:ilvl="0">
      <w:lvlJc w:val="left"/>
      <w:lvlText w:val="(%1)"/>
      <w:numFmt w:val="lowerRoman"/>
      <w:start w:val="3"/>
    </w:lvl>
  </w:abstractNum>
  <w:abstractNum w:abstractNumId="44">
    <w:nsid w:val="65968C1C"/>
    <w:multiLevelType w:val="hybridMultilevel"/>
    <w:lvl w:ilvl="0">
      <w:lvlJc w:val="left"/>
      <w:lvlText w:val="(%1)"/>
      <w:numFmt w:val="lowerLetter"/>
      <w:start w:val="3"/>
    </w:lvl>
  </w:abstractNum>
  <w:abstractNum w:abstractNumId="45">
    <w:nsid w:val="46263DEC"/>
    <w:multiLevelType w:val="hybridMultilevel"/>
    <w:lvl w:ilvl="0">
      <w:lvlJc w:val="left"/>
      <w:lvlText w:val="(%1)"/>
      <w:numFmt w:val="lowerRoman"/>
      <w:start w:val="1"/>
    </w:lvl>
  </w:abstractNum>
  <w:abstractNum w:abstractNumId="46">
    <w:nsid w:val="260D8C4A"/>
    <w:multiLevelType w:val="hybridMultilevel"/>
    <w:lvl w:ilvl="0">
      <w:lvlJc w:val="left"/>
      <w:lvlText w:val="%1"/>
      <w:numFmt w:val="upperLetter"/>
      <w:start w:val="1"/>
    </w:lvl>
    <w:lvl w:ilvl="1">
      <w:lvlJc w:val="left"/>
      <w:lvlText w:val="(%2)"/>
      <w:numFmt w:val="lowerRoman"/>
      <w:start w:val="3"/>
    </w:lvl>
  </w:abstractNum>
  <w:abstractNum w:abstractNumId="47">
    <w:nsid w:val="73D4D3C4"/>
    <w:multiLevelType w:val="hybridMultilevel"/>
    <w:lvl w:ilvl="0">
      <w:lvlJc w:val="left"/>
      <w:lvlText w:val="(%1)"/>
      <w:numFmt w:val="upperLetter"/>
      <w:start w:val="2"/>
    </w:lvl>
    <w:lvl w:ilvl="1">
      <w:lvlJc w:val="left"/>
      <w:lvlText w:val="%2"/>
      <w:numFmt w:val="lowerRoman"/>
      <w:start w:val="1"/>
    </w:lvl>
  </w:abstractNum>
  <w:abstractNum w:abstractNumId="48">
    <w:nsid w:val="746F2E30"/>
    <w:multiLevelType w:val="hybridMultilevel"/>
    <w:lvl w:ilvl="0">
      <w:lvlJc w:val="left"/>
      <w:lvlText w:val="%1"/>
      <w:numFmt w:val="lowerRoman"/>
      <w:start w:val="1"/>
    </w:lvl>
    <w:lvl w:ilvl="1">
      <w:lvlJc w:val="left"/>
      <w:lvlText w:val="(%2)"/>
      <w:numFmt w:val="lowerLetter"/>
      <w:start w:val="1"/>
    </w:lvl>
  </w:abstractNum>
  <w:abstractNum w:abstractNumId="49">
    <w:nsid w:val="6FDE8AF6"/>
    <w:multiLevelType w:val="hybridMultilevel"/>
    <w:lvl w:ilvl="0">
      <w:lvlJc w:val="left"/>
      <w:lvlText w:val="(%1)"/>
      <w:numFmt w:val="lowerRoman"/>
      <w:start w:val="1"/>
    </w:lvl>
    <w:lvl w:ilvl="1">
      <w:lvlJc w:val="left"/>
      <w:lvlText w:val="(%2)"/>
      <w:numFmt w:val="lowerLetter"/>
      <w:start w:val="4"/>
    </w:lvl>
  </w:abstractNum>
  <w:abstractNum w:abstractNumId="50">
    <w:nsid w:val="3FC32E20"/>
    <w:multiLevelType w:val="hybridMultilevel"/>
    <w:lvl w:ilvl="0">
      <w:lvlJc w:val="left"/>
      <w:lvlText w:val="(%1)"/>
      <w:numFmt w:val="lowerLetter"/>
      <w:start w:val="1"/>
    </w:lvl>
  </w:abstractNum>
  <w:abstractNum w:abstractNumId="51">
    <w:nsid w:val="49C0E823"/>
    <w:multiLevelType w:val="hybridMultilevel"/>
    <w:lvl w:ilvl="0">
      <w:lvlJc w:val="left"/>
      <w:lvlText w:val="(%1)"/>
      <w:numFmt w:val="lowerLetter"/>
      <w:start w:val="4"/>
    </w:lvl>
  </w:abstractNum>
  <w:abstractNum w:abstractNumId="52">
    <w:nsid w:val="14D5368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3">
    <w:nsid w:val="230F856C"/>
    <w:multiLevelType w:val="hybridMultilevel"/>
    <w:lvl w:ilvl="0">
      <w:lvlJc w:val="left"/>
      <w:lvlText w:val="%1"/>
      <w:numFmt w:val="upperLetter"/>
      <w:start w:val="1"/>
    </w:lvl>
    <w:lvl w:ilvl="1">
      <w:lvlJc w:val="left"/>
      <w:lvlText w:val="(%2)"/>
      <w:numFmt w:val="upperLetter"/>
      <w:start w:val="2"/>
    </w:lvl>
  </w:abstractNum>
  <w:abstractNum w:abstractNumId="54">
    <w:nsid w:val="6EAA85FB"/>
    <w:multiLevelType w:val="hybridMultilevel"/>
    <w:lvl w:ilvl="0">
      <w:lvlJc w:val="left"/>
      <w:lvlText w:val="(%1)"/>
      <w:numFmt w:val="upperLetter"/>
      <w:start w:val="35"/>
    </w:lvl>
    <w:lvl w:ilvl="1">
      <w:lvlJc w:val="left"/>
      <w:lvlText w:val="%2"/>
      <w:numFmt w:val="upperLetter"/>
      <w:start w:val="1"/>
    </w:lvl>
  </w:abstractNum>
  <w:abstractNum w:abstractNumId="55">
    <w:nsid w:val="3F06ECB2"/>
    <w:multiLevelType w:val="hybridMultilevel"/>
    <w:lvl w:ilvl="0">
      <w:lvlJc w:val="left"/>
      <w:lvlText w:val="%1"/>
      <w:numFmt w:val="lowerRoman"/>
      <w:start w:val="1"/>
    </w:lvl>
    <w:lvl w:ilvl="1">
      <w:lvlJc w:val="left"/>
      <w:lvlText w:val="(%2)"/>
      <w:numFmt w:val="upperLetter"/>
      <w:start w:val="3"/>
    </w:lvl>
  </w:abstractNum>
  <w:abstractNum w:abstractNumId="56">
    <w:nsid w:val="3B594807"/>
    <w:multiLevelType w:val="hybridMultilevel"/>
    <w:lvl w:ilvl="0">
      <w:lvlJc w:val="left"/>
      <w:lvlText w:val="(%1)"/>
      <w:numFmt w:val="lowerRoman"/>
      <w:start w:val="1"/>
    </w:lvl>
    <w:lvl w:ilvl="1">
      <w:lvlJc w:val="left"/>
      <w:lvlText w:val="%2"/>
      <w:numFmt w:val="upperLetter"/>
      <w:start w:val="1"/>
    </w:lvl>
  </w:abstractNum>
  <w:abstractNum w:abstractNumId="57">
    <w:nsid w:val="6CAA2304"/>
    <w:multiLevelType w:val="hybridMultilevel"/>
    <w:lvl w:ilvl="0">
      <w:lvlJc w:val="left"/>
      <w:lvlText w:val="(%1)"/>
      <w:numFmt w:val="upperLetter"/>
      <w:start w:val="6"/>
    </w:lvl>
  </w:abstractNum>
  <w:abstractNum w:abstractNumId="58">
    <w:nsid w:val="3F7C2FF4"/>
    <w:multiLevelType w:val="hybridMultilevel"/>
    <w:lvl w:ilvl="0">
      <w:lvlJc w:val="left"/>
      <w:lvlText w:val="(%1)"/>
      <w:numFmt w:val="lowerRoman"/>
      <w:start w:val="2"/>
    </w:lvl>
    <w:lvl w:ilvl="1">
      <w:lvlJc w:val="left"/>
      <w:lvlText w:val="(%2)"/>
      <w:numFmt w:val="upperLetter"/>
      <w:start w:val="1"/>
    </w:lvl>
  </w:abstractNum>
  <w:abstractNum w:abstractNumId="59">
    <w:nsid w:val="25413BEC"/>
    <w:multiLevelType w:val="hybridMultilevel"/>
    <w:lvl w:ilvl="0">
      <w:lvlJc w:val="left"/>
      <w:lvlText w:val="(%1)"/>
      <w:numFmt w:val="upperLetter"/>
      <w:start w:val="2"/>
    </w:lvl>
    <w:lvl w:ilvl="1">
      <w:lvlJc w:val="left"/>
      <w:lvlText w:val="(%2)"/>
      <w:numFmt w:val="decimal"/>
      <w:start w:val="1"/>
    </w:lvl>
  </w:abstractNum>
  <w:abstractNum w:abstractNumId="60">
    <w:nsid w:val="17180B0B"/>
    <w:multiLevelType w:val="hybridMultilevel"/>
    <w:lvl w:ilvl="0">
      <w:lvlJc w:val="left"/>
      <w:lvlText w:val="%1"/>
      <w:numFmt w:val="lowerRoman"/>
      <w:start w:val="1"/>
    </w:lvl>
    <w:lvl w:ilvl="1">
      <w:lvlJc w:val="left"/>
      <w:lvlText w:val="(%2)"/>
      <w:numFmt w:val="upperLetter"/>
      <w:start w:val="4"/>
    </w:lvl>
  </w:abstractNum>
  <w:abstractNum w:abstractNumId="61">
    <w:nsid w:val="579328B9"/>
    <w:multiLevelType w:val="hybridMultilevel"/>
    <w:lvl w:ilvl="0">
      <w:lvlJc w:val="left"/>
      <w:lvlText w:val="(%1)"/>
      <w:numFmt w:val="lowerRoman"/>
      <w:start w:val="4"/>
    </w:lvl>
    <w:lvl w:ilvl="1">
      <w:lvlJc w:val="left"/>
      <w:lvlText w:val="%2"/>
      <w:numFmt w:val="upperLetter"/>
      <w:start w:val="1"/>
    </w:lvl>
  </w:abstractNum>
  <w:abstractNum w:abstractNumId="62">
    <w:nsid w:val="5D205E20"/>
    <w:multiLevelType w:val="hybridMultilevel"/>
    <w:lvl w:ilvl="0">
      <w:lvlJc w:val="left"/>
      <w:lvlText w:val="(%1)"/>
      <w:numFmt w:val="decimal"/>
      <w:start w:val="3"/>
    </w:lvl>
    <w:lvl w:ilvl="1">
      <w:lvlJc w:val="left"/>
      <w:lvlText w:val="(%2)"/>
      <w:numFmt w:val="lowerRoman"/>
      <w:start w:val="5"/>
    </w:lvl>
    <w:lvl w:ilvl="2">
      <w:lvlJc w:val="left"/>
      <w:lvlText w:val="(%3)"/>
      <w:numFmt w:val="upperLetter"/>
      <w:start w:val="1"/>
    </w:lvl>
  </w:abstractNum>
  <w:abstractNum w:abstractNumId="63">
    <w:nsid w:val="11CCA8BA"/>
    <w:multiLevelType w:val="hybridMultilevel"/>
    <w:lvl w:ilvl="0">
      <w:lvlJc w:val="left"/>
      <w:lvlText w:val="(%1)"/>
      <w:numFmt w:val="lowerRoman"/>
      <w:start w:val="6"/>
    </w:lvl>
    <w:lvl w:ilvl="1">
      <w:lvlJc w:val="left"/>
      <w:lvlText w:val="(%2)"/>
      <w:numFmt w:val="upperLetter"/>
      <w:start w:val="1"/>
    </w:lvl>
  </w:abstractNum>
  <w:abstractNum w:abstractNumId="64">
    <w:nsid w:val="4D32AB86"/>
    <w:multiLevelType w:val="hybridMultilevel"/>
    <w:lvl w:ilvl="0">
      <w:lvlJc w:val="left"/>
      <w:lvlText w:val="(%1)"/>
      <w:numFmt w:val="decimal"/>
      <w:start w:val="1"/>
    </w:lvl>
  </w:abstractNum>
  <w:abstractNum w:abstractNumId="65">
    <w:nsid w:val="3F07ACC3"/>
    <w:multiLevelType w:val="hybridMultilevel"/>
    <w:lvl w:ilvl="0">
      <w:lvlJc w:val="left"/>
      <w:lvlText w:val="(%1)"/>
      <w:numFmt w:val="decimal"/>
      <w:start w:val="1"/>
    </w:lvl>
  </w:abstractNum>
  <w:abstractNum w:abstractNumId="66">
    <w:nsid w:val="6B47F63E"/>
    <w:multiLevelType w:val="hybridMultilevel"/>
    <w:lvl w:ilvl="0">
      <w:lvlJc w:val="left"/>
      <w:lvlText w:val="%1"/>
      <w:numFmt w:val="decimal"/>
      <w:start w:val="1"/>
    </w:lvl>
    <w:lvl w:ilvl="1">
      <w:lvlJc w:val="left"/>
      <w:lvlText w:val="%2"/>
      <w:numFmt w:val="upperLetter"/>
      <w:start w:val="1"/>
    </w:lvl>
    <w:lvl w:ilvl="2">
      <w:lvlJc w:val="left"/>
      <w:lvlText w:val="(%3)"/>
      <w:numFmt w:val="decimal"/>
      <w:start w:val="2"/>
    </w:lvl>
  </w:abstractNum>
  <w:abstractNum w:abstractNumId="67">
    <w:nsid w:val="5CB44A05"/>
    <w:multiLevelType w:val="hybridMultilevel"/>
    <w:lvl w:ilvl="0">
      <w:lvlJc w:val="left"/>
      <w:lvlText w:val="%1"/>
      <w:numFmt w:val="decimal"/>
      <w:start w:val="1"/>
    </w:lvl>
    <w:lvl w:ilvl="1">
      <w:lvlJc w:val="left"/>
      <w:lvlText w:val="(%2)"/>
      <w:numFmt w:val="upperLetter"/>
      <w:start w:val="4"/>
    </w:lvl>
    <w:lvl w:ilvl="2">
      <w:lvlJc w:val="left"/>
      <w:lvlText w:val="%3"/>
      <w:numFmt w:val="decimal"/>
      <w:start w:val="1"/>
    </w:lvl>
  </w:abstractNum>
  <w:abstractNum w:abstractNumId="68">
    <w:nsid w:val="16CF80F1"/>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69">
    <w:nsid w:val="1C695DEC"/>
    <w:multiLevelType w:val="hybridMultilevel"/>
    <w:lvl w:ilvl="0">
      <w:lvlJc w:val="left"/>
      <w:lvlText w:val="(%1)"/>
      <w:numFmt w:val="upperLetter"/>
      <w:start w:val="5"/>
    </w:lvl>
  </w:abstractNum>
  <w:abstractNum w:abstractNumId="70">
    <w:nsid w:val="3FCFAED9"/>
    <w:multiLevelType w:val="hybridMultilevel"/>
    <w:lvl w:ilvl="0">
      <w:lvlJc w:val="left"/>
      <w:lvlText w:val="(%1)"/>
      <w:numFmt w:val="upperLetter"/>
      <w:start w:val="6"/>
    </w:lvl>
    <w:lvl w:ilvl="1">
      <w:lvlJc w:val="left"/>
      <w:lvlText w:val="(%2)"/>
      <w:numFmt w:val="decimal"/>
      <w:start w:val="1"/>
    </w:lvl>
  </w:abstractNum>
  <w:abstractNum w:abstractNumId="71">
    <w:nsid w:val="F856867"/>
    <w:multiLevelType w:val="hybridMultilevel"/>
    <w:lvl w:ilvl="0">
      <w:lvlJc w:val="left"/>
      <w:lvlText w:val="%1"/>
      <w:numFmt w:val="decimal"/>
      <w:start w:val="1"/>
    </w:lvl>
    <w:lvl w:ilvl="1">
      <w:lvlJc w:val="left"/>
      <w:lvlText w:val="(%2)"/>
      <w:numFmt w:val="lowerRoman"/>
      <w:start w:val="7"/>
    </w:lvl>
    <w:lvl w:ilvl="2">
      <w:lvlJc w:val="left"/>
      <w:lvlText w:val="(%3)"/>
      <w:numFmt w:val="upperLetter"/>
      <w:start w:val="1"/>
    </w:lvl>
  </w:abstractNum>
  <w:abstractNum w:abstractNumId="72">
    <w:nsid w:val="11B1CC33"/>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73">
    <w:nsid w:val="2E22FBB7"/>
    <w:multiLevelType w:val="hybridMultilevel"/>
    <w:lvl w:ilvl="0">
      <w:lvlJc w:val="left"/>
      <w:lvlText w:val="%1"/>
      <w:numFmt w:val="decimal"/>
      <w:start w:val="1"/>
    </w:lvl>
    <w:lvl w:ilvl="1">
      <w:lvlJc w:val="left"/>
      <w:lvlText w:val="(%2)"/>
      <w:numFmt w:val="upperLetter"/>
      <w:start w:val="2"/>
    </w:lvl>
    <w:lvl w:ilvl="2">
      <w:lvlJc w:val="left"/>
      <w:lvlText w:val="%3"/>
      <w:numFmt w:val="decimal"/>
      <w:start w:val="1"/>
    </w:lvl>
  </w:abstractNum>
  <w:abstractNum w:abstractNumId="74">
    <w:nsid w:val="29934699"/>
    <w:multiLevelType w:val="hybridMultilevel"/>
    <w:lvl w:ilvl="0">
      <w:lvlJc w:val="left"/>
      <w:lvlText w:val="(%1)"/>
      <w:numFmt w:val="decimal"/>
      <w:start w:val="10"/>
    </w:lvl>
    <w:lvl w:ilvl="1">
      <w:lvlJc w:val="left"/>
      <w:lvlText w:val="%2"/>
      <w:numFmt w:val="upperLetter"/>
      <w:start w:val="1"/>
    </w:lvl>
    <w:lvl w:ilvl="2">
      <w:lvlJc w:val="left"/>
      <w:lvlText w:val="(%3)"/>
      <w:numFmt w:val="decimal"/>
      <w:start w:val="1"/>
    </w:lvl>
  </w:abstractNum>
  <w:abstractNum w:abstractNumId="75">
    <w:nsid w:val="77485850"/>
    <w:multiLevelType w:val="hybridMultilevel"/>
    <w:lvl w:ilvl="0">
      <w:lvlJc w:val="left"/>
      <w:lvlText w:val="(%1)"/>
      <w:numFmt w:val="decimal"/>
      <w:start w:val="2"/>
    </w:lvl>
  </w:abstractNum>
  <w:abstractNum w:abstractNumId="76">
    <w:nsid w:val="744939A3"/>
    <w:multiLevelType w:val="hybridMultilevel"/>
    <w:lvl w:ilvl="0">
      <w:lvlJc w:val="left"/>
      <w:lvlText w:val="%1"/>
      <w:numFmt w:val="decimal"/>
      <w:start w:val="1"/>
    </w:lvl>
    <w:lvl w:ilvl="1">
      <w:lvlJc w:val="left"/>
      <w:lvlText w:val="%2."/>
      <w:numFmt w:val="lowerLetter"/>
      <w:start w:val="1"/>
    </w:lvl>
  </w:abstractNum>
  <w:abstractNum w:abstractNumId="77">
    <w:nsid w:val="4FA0D2E3"/>
    <w:multiLevelType w:val="hybridMultilevel"/>
    <w:lvl w:ilvl="0">
      <w:lvlJc w:val="left"/>
      <w:lvlText w:val="(%1)"/>
      <w:numFmt w:val="decimal"/>
      <w:start w:val="3"/>
    </w:lvl>
    <w:lvl w:ilvl="1">
      <w:lvlJc w:val="left"/>
      <w:lvlText w:val="%2"/>
      <w:numFmt w:val="lowerLetter"/>
      <w:start w:val="1"/>
    </w:lvl>
  </w:abstractNum>
  <w:abstractNum w:abstractNumId="78">
    <w:nsid w:val="6B1D2C14"/>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4"/>
    </w:lvl>
  </w:abstractNum>
  <w:abstractNum w:abstractNumId="79">
    <w:nsid w:val="68B867D3"/>
    <w:multiLevelType w:val="hybridMultilevel"/>
    <w:lvl w:ilvl="0">
      <w:lvlJc w:val="left"/>
      <w:lvlText w:val="(%1)"/>
      <w:numFmt w:val="lowerRoman"/>
      <w:start w:val="8"/>
    </w:lvl>
    <w:lvl w:ilvl="1">
      <w:lvlJc w:val="left"/>
      <w:lvlText w:val="(%2)"/>
      <w:numFmt w:val="upperLetter"/>
      <w:start w:val="1"/>
    </w:lvl>
    <w:lvl w:ilvl="2">
      <w:lvlJc w:val="left"/>
      <w:lvlText w:val="%3"/>
      <w:numFmt w:val="decimal"/>
      <w:start w:val="1"/>
    </w:lvl>
  </w:abstractNum>
  <w:abstractNum w:abstractNumId="80">
    <w:nsid w:val="3F7F5DD9"/>
    <w:multiLevelType w:val="hybridMultilevel"/>
    <w:lvl w:ilvl="0">
      <w:lvlJc w:val="left"/>
      <w:lvlText w:val="%1"/>
      <w:numFmt w:val="lowerRoman"/>
      <w:start w:val="1"/>
    </w:lvl>
    <w:lvl w:ilvl="1">
      <w:lvlJc w:val="left"/>
      <w:lvlText w:val="(%2)"/>
      <w:numFmt w:val="upperLetter"/>
      <w:start w:val="3"/>
    </w:lvl>
  </w:abstractNum>
  <w:abstractNum w:abstractNumId="81">
    <w:nsid w:val="2AE05A34"/>
    <w:multiLevelType w:val="hybridMultilevel"/>
    <w:lvl w:ilvl="0">
      <w:lvlJc w:val="left"/>
      <w:lvlText w:val="(%1)"/>
      <w:numFmt w:val="lowerRoman"/>
      <w:start w:val="9"/>
    </w:lvl>
    <w:lvl w:ilvl="1">
      <w:lvlJc w:val="left"/>
      <w:lvlText w:val="(%2)"/>
      <w:numFmt w:val="upperLetter"/>
      <w:start w:val="1"/>
    </w:lvl>
  </w:abstractNum>
  <w:abstractNum w:abstractNumId="82">
    <w:nsid w:val="32794FF7"/>
    <w:multiLevelType w:val="hybridMultilevel"/>
    <w:lvl w:ilvl="0">
      <w:lvlJc w:val="left"/>
      <w:lvlText w:val="(%1)"/>
      <w:numFmt w:val="lowerRoman"/>
      <w:start w:val="10"/>
    </w:lvl>
  </w:abstractNum>
  <w:abstractNum w:abstractNumId="83">
    <w:nsid w:val="5454945E"/>
    <w:multiLevelType w:val="hybridMultilevel"/>
    <w:lvl w:ilvl="0">
      <w:lvlJc w:val="left"/>
      <w:lvlText w:val="(%1)"/>
      <w:numFmt w:val="lowerRoman"/>
      <w:start w:val="12"/>
    </w:lvl>
  </w:abstractNum>
  <w:abstractNum w:abstractNumId="84">
    <w:nsid w:val="4DEFDFA0"/>
    <w:multiLevelType w:val="hybridMultilevel"/>
    <w:lvl w:ilvl="0">
      <w:lvlJc w:val="left"/>
      <w:lvlText w:val="(%1)"/>
      <w:numFmt w:val="lowerLetter"/>
      <w:start w:val="1"/>
    </w:lvl>
  </w:abstractNum>
  <w:abstractNum w:abstractNumId="85">
    <w:nsid w:val="2123D5F2"/>
    <w:multiLevelType w:val="hybridMultilevel"/>
    <w:lvl w:ilvl="0">
      <w:lvlJc w:val="left"/>
      <w:lvlText w:val="%1"/>
      <w:numFmt w:val="lowerLetter"/>
      <w:start w:val="1"/>
    </w:lvl>
    <w:lvl w:ilvl="1">
      <w:lvlJc w:val="left"/>
      <w:lvlText w:val="(%2)"/>
      <w:numFmt w:val="lowerRoman"/>
      <w:start w:val="1"/>
    </w:lvl>
  </w:abstractNum>
  <w:abstractNum w:abstractNumId="86">
    <w:nsid w:val="135B8110"/>
    <w:multiLevelType w:val="hybridMultilevel"/>
    <w:lvl w:ilvl="0">
      <w:lvlJc w:val="left"/>
      <w:lvlText w:val="(%1)"/>
      <w:numFmt w:val="lowerLetter"/>
      <w:start w:val="2"/>
    </w:lvl>
    <w:lvl w:ilvl="1">
      <w:lvlJc w:val="left"/>
      <w:lvlText w:val="(%2)"/>
      <w:numFmt w:val="lowerRoman"/>
      <w:start w:val="1"/>
    </w:lvl>
  </w:abstractNum>
  <w:abstractNum w:abstractNumId="87">
    <w:nsid w:val="94927A8"/>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88">
    <w:nsid w:val="DCDF8F6"/>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89">
    <w:nsid w:val="52D7B105"/>
    <w:multiLevelType w:val="hybridMultilevel"/>
    <w:lvl w:ilvl="0">
      <w:lvlJc w:val="left"/>
      <w:lvlText w:val="(%1)"/>
      <w:numFmt w:val="decimal"/>
      <w:start w:val="1"/>
    </w:lvl>
    <w:lvl w:ilvl="1">
      <w:lvlJc w:val="left"/>
      <w:lvlText w:val="(%2)"/>
      <w:numFmt w:val="upperLetter"/>
      <w:start w:val="5"/>
    </w:lvl>
  </w:abstractNum>
  <w:abstractNum w:abstractNumId="90">
    <w:nsid w:val="2E8A6394"/>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1">
    <w:nsid w:val="24E60401"/>
    <w:multiLevelType w:val="hybridMultilevel"/>
    <w:lvl w:ilvl="0">
      <w:lvlJc w:val="left"/>
      <w:lvlText w:val="(%1)"/>
      <w:numFmt w:val="lowerLetter"/>
      <w:start w:val="4"/>
    </w:lvl>
    <w:lvl w:ilvl="1">
      <w:lvlJc w:val="left"/>
      <w:lvlText w:val="(%2)"/>
      <w:numFmt w:val="lowerLetter"/>
      <w:start w:val="9"/>
    </w:lvl>
    <w:lvl w:ilvl="2">
      <w:lvlJc w:val="left"/>
      <w:lvlText w:val="%3"/>
      <w:numFmt w:val="upperLetter"/>
      <w:start w:val="1"/>
    </w:lvl>
  </w:abstractNum>
  <w:abstractNum w:abstractNumId="92">
    <w:nsid w:val="2A6AD9BE"/>
    <w:multiLevelType w:val="hybridMultilevel"/>
    <w:lvl w:ilvl="0">
      <w:lvlJc w:val="left"/>
      <w:lvlText w:val="(%1)"/>
      <w:numFmt w:val="lowerRoman"/>
      <w:start w:val="2"/>
    </w:lvl>
    <w:lvl w:ilvl="1">
      <w:lvlJc w:val="left"/>
      <w:lvlText w:val="(%2)"/>
      <w:numFmt w:val="upperLetter"/>
      <w:start w:val="1"/>
    </w:lvl>
  </w:abstractNum>
  <w:abstractNum w:abstractNumId="93">
    <w:nsid w:val="BAAC1B4"/>
    <w:multiLevelType w:val="hybridMultilevel"/>
    <w:lvl w:ilvl="0">
      <w:lvlJc w:val="left"/>
      <w:lvlText w:val="(%1)"/>
      <w:numFmt w:val="lowerRoman"/>
      <w:start w:val="4"/>
    </w:lvl>
  </w:abstractNum>
  <w:abstractNum w:abstractNumId="94">
    <w:nsid w:val="36B2ACBC"/>
    <w:multiLevelType w:val="hybridMultilevel"/>
    <w:lvl w:ilvl="0">
      <w:lvlJc w:val="left"/>
      <w:lvlText w:val="(%1)"/>
      <w:numFmt w:val="lowerRoman"/>
      <w:start w:val="8"/>
    </w:lvl>
  </w:abstractNum>
  <w:abstractNum w:abstractNumId="95">
    <w:nsid w:val="779D8544"/>
    <w:multiLevelType w:val="hybridMultilevel"/>
    <w:lvl w:ilvl="0">
      <w:lvlJc w:val="left"/>
      <w:lvlText w:val="(%1)"/>
      <w:numFmt w:val="lowerRoman"/>
      <w:start w:val="9"/>
    </w:lvl>
    <w:lvl w:ilvl="1">
      <w:lvlJc w:val="left"/>
      <w:lvlText w:val="(%2)"/>
      <w:numFmt w:val="upperLetter"/>
      <w:start w:val="1"/>
    </w:lvl>
  </w:abstractNum>
  <w:abstractNum w:abstractNumId="96">
    <w:nsid w:val="4AB26E78"/>
    <w:multiLevelType w:val="hybridMultilevel"/>
    <w:lvl w:ilvl="0">
      <w:lvlJc w:val="left"/>
      <w:lvlText w:val="(%1)"/>
      <w:numFmt w:val="lowerRoman"/>
      <w:start w:val="11"/>
    </w:lvl>
    <w:lvl w:ilvl="1">
      <w:lvlJc w:val="left"/>
      <w:lvlText w:val="(%2)"/>
      <w:numFmt w:val="upperLetter"/>
      <w:start w:val="1"/>
    </w:lvl>
  </w:abstractNum>
  <w:abstractNum w:abstractNumId="97">
    <w:nsid w:val="21FAA2FA"/>
    <w:multiLevelType w:val="hybridMultilevel"/>
    <w:lvl w:ilvl="0">
      <w:lvlJc w:val="left"/>
      <w:lvlText w:val="%1"/>
      <w:numFmt w:val="lowerRoman"/>
      <w:start w:val="1"/>
    </w:lvl>
    <w:lvl w:ilvl="1">
      <w:lvlJc w:val="left"/>
      <w:lvlText w:val="(%2)"/>
      <w:numFmt w:val="upperLetter"/>
      <w:start w:val="2"/>
    </w:lvl>
  </w:abstractNum>
  <w:abstractNum w:abstractNumId="98">
    <w:nsid w:val="5451CF49"/>
    <w:multiLevelType w:val="hybridMultilevel"/>
    <w:lvl w:ilvl="0">
      <w:lvlJc w:val="left"/>
      <w:lvlText w:val="(%1)"/>
      <w:numFmt w:val="lowerRoman"/>
      <w:start w:val="12"/>
    </w:lvl>
    <w:lvl w:ilvl="1">
      <w:lvlJc w:val="left"/>
      <w:lvlText w:val="%2"/>
      <w:numFmt w:val="upperLetter"/>
      <w:start w:val="1"/>
    </w:lvl>
  </w:abstractNum>
  <w:abstractNum w:abstractNumId="99">
    <w:nsid w:val="6181EF69"/>
    <w:multiLevelType w:val="hybridMultilevel"/>
    <w:lvl w:ilvl="0">
      <w:lvlJc w:val="left"/>
      <w:lvlText w:val="(%1)"/>
      <w:numFmt w:val="upperLetter"/>
      <w:start w:val="1"/>
    </w:lvl>
  </w:abstractNum>
  <w:abstractNum w:abstractNumId="100">
    <w:nsid w:val="3E6400E6"/>
    <w:multiLevelType w:val="hybridMultilevel"/>
    <w:lvl w:ilvl="0">
      <w:lvlJc w:val="left"/>
      <w:lvlText w:val="(%1)"/>
      <w:numFmt w:val="upperLetter"/>
      <w:start w:val="3"/>
    </w:lvl>
  </w:abstractNum>
  <w:abstractNum w:abstractNumId="101">
    <w:nsid w:val="14217E23"/>
    <w:multiLevelType w:val="hybridMultilevel"/>
    <w:lvl w:ilvl="0">
      <w:lvlJc w:val="left"/>
      <w:lvlText w:val="(%1)"/>
      <w:numFmt w:val="lowerLetter"/>
      <w:start w:val="1"/>
    </w:lvl>
  </w:abstractNum>
  <w:abstractNum w:abstractNumId="102">
    <w:nsid w:val="710757D0"/>
    <w:multiLevelType w:val="hybridMultilevel"/>
    <w:lvl w:ilvl="0">
      <w:lvlJc w:val="left"/>
      <w:lvlText w:val="%1"/>
      <w:numFmt w:val="lowerLetter"/>
      <w:start w:val="1"/>
    </w:lvl>
    <w:lvl w:ilvl="1">
      <w:lvlJc w:val="left"/>
      <w:lvlText w:val="(%2)"/>
      <w:numFmt w:val="lowerRoman"/>
      <w:start w:val="1"/>
    </w:lvl>
  </w:abstractNum>
  <w:abstractNum w:abstractNumId="103">
    <w:nsid w:val="5015CD1A"/>
    <w:multiLevelType w:val="hybridMultilevel"/>
    <w:lvl w:ilvl="0">
      <w:lvlJc w:val="left"/>
      <w:lvlText w:val="(%1)"/>
      <w:numFmt w:val="lowerLetter"/>
      <w:start w:val="3"/>
    </w:lvl>
    <w:lvl w:ilvl="1">
      <w:lvlJc w:val="left"/>
      <w:lvlText w:val="%2"/>
      <w:numFmt w:val="lowerRoman"/>
      <w:start w:val="1"/>
    </w:lvl>
  </w:abstractNum>
  <w:abstractNum w:abstractNumId="104">
    <w:nsid w:val="424479DA"/>
    <w:multiLevelType w:val="hybridMultilevel"/>
    <w:lvl w:ilvl="0">
      <w:lvlJc w:val="left"/>
      <w:lvlText w:val="(%1)"/>
      <w:numFmt w:val="lowerLetter"/>
      <w:start w:val="4"/>
    </w:lvl>
  </w:abstractNum>
  <w:abstractNum w:abstractNumId="105">
    <w:nsid w:val="1A9A9E69"/>
    <w:multiLevelType w:val="hybridMultilevel"/>
    <w:lvl w:ilvl="0">
      <w:lvlJc w:val="left"/>
      <w:lvlText w:val="(%1)"/>
      <w:numFmt w:val="lowerLetter"/>
      <w:start w:val="5"/>
    </w:lvl>
  </w:abstractNum>
  <w:abstractNum w:abstractNumId="106">
    <w:nsid w:val="475E256A"/>
    <w:multiLevelType w:val="hybridMultilevel"/>
    <w:lvl w:ilvl="0">
      <w:lvlJc w:val="left"/>
      <w:lvlText w:val="(%1)"/>
      <w:numFmt w:val="lowerLetter"/>
      <w:start w:val="1"/>
    </w:lvl>
  </w:abstractNum>
  <w:abstractNum w:abstractNumId="107">
    <w:nsid w:val="368DB37E"/>
    <w:multiLevelType w:val="hybridMultilevel"/>
    <w:lvl w:ilvl="0">
      <w:lvlJc w:val="left"/>
      <w:lvlText w:val="(%1)"/>
      <w:numFmt w:val="lowerLetter"/>
      <w:start w:val="1"/>
    </w:lvl>
    <w:lvl w:ilvl="1">
      <w:lvlJc w:val="left"/>
      <w:lvlText w:val="(%2)"/>
      <w:numFmt w:val="lowerLetter"/>
      <w:start w:val="9"/>
    </w:lvl>
  </w:abstractNum>
  <w:abstractNum w:abstractNumId="108">
    <w:nsid w:val="6A3B714C"/>
    <w:multiLevelType w:val="hybridMultilevel"/>
    <w:lvl w:ilvl="0">
      <w:lvlJc w:val="left"/>
      <w:lvlText w:val="(%1)"/>
      <w:numFmt w:val="lowerRoman"/>
      <w:start w:val="2"/>
    </w:lvl>
  </w:abstractNum>
  <w:abstractNum w:abstractNumId="109">
    <w:nsid w:val="327B517E"/>
    <w:multiLevelType w:val="hybridMultilevel"/>
    <w:lvl w:ilvl="0">
      <w:lvlJc w:val="left"/>
      <w:lvlText w:val="%1"/>
      <w:numFmt w:val="lowerLetter"/>
      <w:start w:val="1"/>
    </w:lvl>
    <w:lvl w:ilvl="1">
      <w:lvlJc w:val="left"/>
      <w:lvlText w:val="(%2)"/>
      <w:numFmt w:val="lowerLetter"/>
      <w:start w:val="2"/>
    </w:lvl>
  </w:abstractNum>
  <w:abstractNum w:abstractNumId="110">
    <w:nsid w:val="1F461B51"/>
    <w:multiLevelType w:val="hybridMultilevel"/>
    <w:lvl w:ilvl="0">
      <w:lvlJc w:val="left"/>
      <w:lvlText w:val="(%1)"/>
      <w:numFmt w:val="lowerLetter"/>
      <w:start w:val="35"/>
    </w:lvl>
    <w:lvl w:ilvl="1">
      <w:lvlJc w:val="left"/>
      <w:lvlText w:val="%2"/>
      <w:numFmt w:val="lowerLetter"/>
      <w:start w:val="1"/>
    </w:lvl>
  </w:abstractNum>
  <w:abstractNum w:abstractNumId="111">
    <w:nsid w:val="29BACF25"/>
    <w:multiLevelType w:val="hybridMultilevel"/>
    <w:lvl w:ilvl="0">
      <w:lvlJc w:val="left"/>
      <w:lvlText w:val="(%1)"/>
      <w:numFmt w:val="lowerLetter"/>
      <w:start w:val="6"/>
    </w:lvl>
  </w:abstractNum>
  <w:abstractNum w:abstractNumId="112">
    <w:nsid w:val="5D5BABB3"/>
    <w:multiLevelType w:val="hybridMultilevel"/>
    <w:lvl w:ilvl="0">
      <w:lvlJc w:val="left"/>
      <w:lvlText w:val="(%1)"/>
      <w:numFmt w:val="lowerLetter"/>
      <w:start w:val="61"/>
    </w:lvl>
    <w:lvl w:ilvl="1">
      <w:lvlJc w:val="left"/>
      <w:lvlText w:val="(%2)"/>
      <w:numFmt w:val="lowerLetter"/>
      <w:start w:val="7"/>
    </w:lvl>
  </w:abstractNum>
  <w:abstractNum w:abstractNumId="113">
    <w:nsid w:val="51BF6B48"/>
    <w:multiLevelType w:val="hybridMultilevel"/>
    <w:lvl w:ilvl="0">
      <w:lvlJc w:val="left"/>
      <w:lvlText w:val="(%1)"/>
      <w:numFmt w:val="lowerLetter"/>
      <w:start w:val="1"/>
    </w:lvl>
  </w:abstractNum>
  <w:abstractNum w:abstractNumId="114">
    <w:nsid w:val="7E0F6384"/>
    <w:multiLevelType w:val="hybridMultilevel"/>
    <w:lvl w:ilvl="0">
      <w:lvlJc w:val="left"/>
      <w:lvlText w:val="(%1)"/>
      <w:numFmt w:val="lowerLetter"/>
      <w:start w:val="2"/>
    </w:lvl>
  </w:abstractNum>
  <w:abstractNum w:abstractNumId="115">
    <w:nsid w:val="2B4B8B53"/>
    <w:multiLevelType w:val="hybridMultilevel"/>
    <w:lvl w:ilvl="0">
      <w:lvlJc w:val="left"/>
      <w:lvlText w:val="(%1)"/>
      <w:numFmt w:val="lowerLetter"/>
      <w:start w:val="1"/>
    </w:lvl>
  </w:abstractNum>
  <w:abstractNum w:abstractNumId="116">
    <w:nsid w:val="72E3413A"/>
    <w:multiLevelType w:val="hybridMultilevel"/>
    <w:lvl w:ilvl="0">
      <w:lvlJc w:val="left"/>
      <w:lvlText w:val="(%1)"/>
      <w:numFmt w:val="lowerLetter"/>
      <w:start w:val="1"/>
    </w:lvl>
    <w:lvl w:ilvl="1">
      <w:lvlJc w:val="left"/>
      <w:lvlText w:val="(%2)"/>
      <w:numFmt w:val="lowerRoman"/>
      <w:start w:val="1"/>
    </w:lvl>
  </w:abstractNum>
  <w:abstractNum w:abstractNumId="117">
    <w:nsid w:val="116AE494"/>
    <w:multiLevelType w:val="hybridMultilevel"/>
    <w:lvl w:ilvl="0">
      <w:lvlJc w:val="left"/>
      <w:lvlText w:val="(%1)"/>
      <w:numFmt w:val="lowerRoman"/>
      <w:start w:val="3"/>
    </w:lvl>
  </w:abstractNum>
  <w:abstractNum w:abstractNumId="118">
    <w:nsid w:val="3494B2FB"/>
    <w:multiLevelType w:val="hybridMultilevel"/>
    <w:lvl w:ilvl="0">
      <w:lvlJc w:val="left"/>
      <w:lvlText w:val="%1"/>
      <w:numFmt w:val="lowerLetter"/>
      <w:start w:val="1"/>
    </w:lvl>
    <w:lvl w:ilvl="1">
      <w:lvlJc w:val="left"/>
      <w:lvlText w:val="(%2)"/>
      <w:numFmt w:val="lowerRoman"/>
      <w:start w:val="6"/>
    </w:lvl>
  </w:abstractNum>
  <w:abstractNum w:abstractNumId="119">
    <w:nsid w:val="B13A31"/>
    <w:multiLevelType w:val="hybridMultilevel"/>
    <w:lvl w:ilvl="0">
      <w:lvlJc w:val="left"/>
      <w:lvlText w:val="(%1)"/>
      <w:numFmt w:val="lowerLetter"/>
      <w:start w:val="2"/>
    </w:lvl>
    <w:lvl w:ilvl="1">
      <w:lvlJc w:val="left"/>
      <w:lvlText w:val="%2"/>
      <w:numFmt w:val="lowerRoman"/>
      <w:start w:val="1"/>
    </w:lvl>
  </w:abstractNum>
  <w:abstractNum w:abstractNumId="120">
    <w:nsid w:val="64429599"/>
    <w:multiLevelType w:val="hybridMultilevel"/>
    <w:lvl w:ilvl="0">
      <w:lvlJc w:val="left"/>
      <w:lvlText w:val="(%1)"/>
      <w:numFmt w:val="lowerRoman"/>
      <w:start w:val="3"/>
    </w:lvl>
  </w:abstractNum>
  <w:abstractNum w:abstractNumId="121">
    <w:nsid w:val="631F1690"/>
    <w:multiLevelType w:val="hybridMultilevel"/>
    <w:lvl w:ilvl="0">
      <w:lvlJc w:val="left"/>
      <w:lvlText w:val="(%1)"/>
      <w:numFmt w:val="lowerLetter"/>
      <w:start w:val="1"/>
    </w:lvl>
  </w:abstractNum>
  <w:abstractNum w:abstractNumId="122">
    <w:nsid w:val="25973E32"/>
    <w:multiLevelType w:val="hybridMultilevel"/>
    <w:lvl w:ilvl="0">
      <w:lvlJc w:val="left"/>
      <w:lvlText w:val="(%1)"/>
      <w:numFmt w:val="lowerLetter"/>
      <w:start w:val="2"/>
    </w:lvl>
  </w:abstractNum>
  <w:abstractNum w:abstractNumId="123">
    <w:nsid w:val="EAD6F57"/>
    <w:multiLevelType w:val="hybridMultilevel"/>
    <w:lvl w:ilvl="0">
      <w:lvlJc w:val="left"/>
      <w:lvlText w:val="(%1)"/>
      <w:numFmt w:val="lowerLetter"/>
      <w:start w:val="1"/>
    </w:lvl>
  </w:abstractNum>
  <w:abstractNum w:abstractNumId="124">
    <w:nsid w:val="6EC9D844"/>
    <w:multiLevelType w:val="hybridMultilevel"/>
    <w:lvl w:ilvl="0">
      <w:lvlJc w:val="left"/>
      <w:lvlText w:val="(%1)"/>
      <w:numFmt w:val="lowerLetter"/>
      <w:start w:val="1"/>
    </w:lvl>
  </w:abstractNum>
  <w:abstractNum w:abstractNumId="125">
    <w:nsid w:val="5C49EAEE"/>
    <w:multiLevelType w:val="hybridMultilevel"/>
    <w:lvl w:ilvl="0">
      <w:lvlJc w:val="left"/>
      <w:lvlText w:val="%1"/>
      <w:numFmt w:val="lowerLetter"/>
      <w:start w:val="1"/>
    </w:lvl>
    <w:lvl w:ilvl="1">
      <w:lvlJc w:val="left"/>
      <w:lvlText w:val="(%2)"/>
      <w:numFmt w:val="lowerLetter"/>
      <w:start w:val="3"/>
    </w:lvl>
  </w:abstractNum>
  <w:abstractNum w:abstractNumId="126">
    <w:nsid w:val="64AF49B"/>
    <w:multiLevelType w:val="hybridMultilevel"/>
    <w:lvl w:ilvl="0">
      <w:lvlJc w:val="left"/>
      <w:lvlText w:val="(%1)"/>
      <w:numFmt w:val="lowerLetter"/>
      <w:start w:val="9"/>
    </w:lvl>
    <w:lvl w:ilvl="1">
      <w:lvlJc w:val="left"/>
      <w:lvlText w:val="%2"/>
      <w:numFmt w:val="lowerLetter"/>
      <w:start w:val="1"/>
    </w:lvl>
  </w:abstractNum>
  <w:abstractNum w:abstractNumId="127">
    <w:nsid w:val="397C46BC"/>
    <w:multiLevelType w:val="hybridMultilevel"/>
    <w:lvl w:ilvl="0">
      <w:lvlJc w:val="left"/>
      <w:lvlText w:val="(%1)"/>
      <w:numFmt w:val="lowerLetter"/>
      <w:start w:val="61"/>
    </w:lvl>
    <w:lvl w:ilvl="1">
      <w:lvlJc w:val="left"/>
      <w:lvlText w:val="(%2)"/>
      <w:numFmt w:val="lowerLetter"/>
      <w:start w:val="4"/>
    </w:lvl>
  </w:abstractNum>
  <w:abstractNum w:abstractNumId="128">
    <w:nsid w:val="7E448DE9"/>
    <w:multiLevelType w:val="hybridMultilevel"/>
    <w:lvl w:ilvl="0">
      <w:lvlJc w:val="left"/>
      <w:lvlText w:val="(%1)"/>
      <w:numFmt w:val="lowerLetter"/>
      <w:start w:val="1"/>
    </w:lvl>
  </w:abstractNum>
  <w:abstractNum w:abstractNumId="129">
    <w:nsid w:val="5A9CC3E5"/>
    <w:multiLevelType w:val="hybridMultilevel"/>
    <w:lvl w:ilvl="0">
      <w:lvlJc w:val="left"/>
      <w:lvlText w:val="%1"/>
      <w:numFmt w:val="lowerRoman"/>
      <w:start w:val="1"/>
    </w:lvl>
    <w:lvl w:ilvl="1">
      <w:lvlJc w:val="left"/>
      <w:lvlText w:val="(%2)"/>
      <w:numFmt w:val="lowerLetter"/>
      <w:start w:val="3"/>
    </w:lvl>
  </w:abstractNum>
  <w:abstractNum w:abstractNumId="130">
    <w:nsid w:val="1AFE3625"/>
    <w:multiLevelType w:val="hybridMultilevel"/>
    <w:lvl w:ilvl="0">
      <w:lvlJc w:val="left"/>
      <w:lvlText w:val="(%1)"/>
      <w:numFmt w:val="lowerRoman"/>
      <w:start w:val="4"/>
    </w:lvl>
    <w:lvl w:ilvl="1">
      <w:lvlJc w:val="left"/>
      <w:lvlText w:val="%2"/>
      <w:numFmt w:val="lowerLetter"/>
      <w:start w:val="1"/>
    </w:lvl>
  </w:abstractNum>
  <w:abstractNum w:abstractNumId="131">
    <w:nsid w:val="3CA88ECF"/>
    <w:multiLevelType w:val="hybridMultilevel"/>
    <w:lvl w:ilvl="0">
      <w:lvlJc w:val="left"/>
      <w:lvlText w:val="(%1)"/>
      <w:numFmt w:val="lowerLetter"/>
      <w:start w:val="6"/>
    </w:lvl>
  </w:abstractNum>
  <w:abstractNum w:abstractNumId="132">
    <w:nsid w:val="6EBE4208"/>
    <w:multiLevelType w:val="hybridMultilevel"/>
    <w:lvl w:ilvl="0">
      <w:lvlJc w:val="left"/>
      <w:lvlText w:val="(%1)"/>
      <w:numFmt w:val="lowerLetter"/>
      <w:start w:val="1"/>
    </w:lvl>
  </w:abstractNum>
  <w:abstractNum w:abstractNumId="133">
    <w:nsid w:val="C058DF5"/>
    <w:multiLevelType w:val="hybridMultilevel"/>
    <w:lvl w:ilvl="0">
      <w:lvlJc w:val="left"/>
      <w:lvlText w:val="(%1)"/>
      <w:numFmt w:val="lowerLetter"/>
      <w:start w:val="5"/>
    </w:lvl>
  </w:abstractNum>
  <w:abstractNum w:abstractNumId="134">
    <w:nsid w:val="CBE5BE9"/>
    <w:multiLevelType w:val="hybridMultilevel"/>
    <w:lvl w:ilvl="0">
      <w:lvlJc w:val="left"/>
      <w:lvlText w:val="(%1)"/>
      <w:numFmt w:val="lowerLetter"/>
      <w:start w:val="1"/>
    </w:lvl>
  </w:abstractNum>
  <w:abstractNum w:abstractNumId="135">
    <w:nsid w:val="3102BBE2"/>
    <w:multiLevelType w:val="hybridMultilevel"/>
    <w:lvl w:ilvl="0">
      <w:lvlJc w:val="left"/>
      <w:lvlText w:val="(%1)"/>
      <w:numFmt w:val="lowerLetter"/>
      <w:start w:val="2"/>
    </w:lvl>
  </w:abstractNum>
  <w:abstractNum w:abstractNumId="136">
    <w:nsid w:val="26A02C5E"/>
    <w:multiLevelType w:val="hybridMultilevel"/>
    <w:lvl w:ilvl="0">
      <w:lvlJc w:val="left"/>
      <w:lvlText w:val="(%1)"/>
      <w:numFmt w:val="lowerLetter"/>
      <w:start w:val="4"/>
    </w:lvl>
  </w:abstractNum>
  <w:abstractNum w:abstractNumId="137">
    <w:nsid w:val="541C8153"/>
    <w:multiLevelType w:val="hybridMultilevel"/>
    <w:lvl w:ilvl="0">
      <w:lvlJc w:val="left"/>
      <w:lvlText w:val="(%1)"/>
      <w:numFmt w:val="lowerLetter"/>
      <w:start w:val="1"/>
    </w:lvl>
  </w:abstractNum>
  <w:abstractNum w:abstractNumId="138">
    <w:nsid w:val="67906F60"/>
    <w:multiLevelType w:val="hybridMultilevel"/>
    <w:lvl w:ilvl="0">
      <w:lvlJc w:val="left"/>
      <w:lvlText w:val="(%1)"/>
      <w:numFmt w:val="lowerLetter"/>
      <w:start w:val="2"/>
    </w:lvl>
  </w:abstractNum>
  <w:abstractNum w:abstractNumId="139">
    <w:nsid w:val="10DB9DAA"/>
    <w:multiLevelType w:val="hybridMultilevel"/>
    <w:lvl w:ilvl="0">
      <w:lvlJc w:val="left"/>
      <w:lvlText w:val="(%1)"/>
      <w:numFmt w:val="lowerLetter"/>
      <w:start w:val="1"/>
    </w:lvl>
  </w:abstractNum>
  <w:abstractNum w:abstractNumId="140">
    <w:nsid w:val="697D2D2"/>
    <w:multiLevelType w:val="hybridMultilevel"/>
    <w:lvl w:ilvl="0">
      <w:lvlJc w:val="left"/>
      <w:lvlText w:val="(%1)"/>
      <w:numFmt w:val="lowerLetter"/>
      <w:start w:val="3"/>
    </w:lvl>
  </w:abstractNum>
  <w:abstractNum w:abstractNumId="141">
    <w:nsid w:val="6D68AB2"/>
    <w:multiLevelType w:val="hybridMultilevel"/>
    <w:lvl w:ilvl="0">
      <w:lvlJc w:val="left"/>
      <w:lvlText w:val="(%1)"/>
      <w:numFmt w:val="lowerLetter"/>
      <w:start w:val="1"/>
    </w:lvl>
  </w:abstractNum>
  <w:abstractNum w:abstractNumId="142">
    <w:nsid w:val="3A966CD0"/>
    <w:multiLevelType w:val="hybridMultilevel"/>
    <w:lvl w:ilvl="0">
      <w:lvlJc w:val="left"/>
      <w:lvlText w:val="(%1)"/>
      <w:numFmt w:val="lowerLetter"/>
      <w:start w:val="2"/>
    </w:lvl>
  </w:abstractNum>
  <w:abstractNum w:abstractNumId="143">
    <w:nsid w:val="63F37E85"/>
    <w:multiLevelType w:val="hybridMultilevel"/>
    <w:lvl w:ilvl="0">
      <w:lvlJc w:val="left"/>
      <w:lvlText w:val="(%1)"/>
      <w:numFmt w:val="lowerLetter"/>
      <w:start w:val="4"/>
    </w:lvl>
  </w:abstractNum>
  <w:abstractNum w:abstractNumId="144">
    <w:nsid w:val="5895F5FA"/>
    <w:multiLevelType w:val="hybridMultilevel"/>
    <w:lvl w:ilvl="0">
      <w:lvlJc w:val="left"/>
      <w:lvlText w:val="(%1)"/>
      <w:numFmt w:val="lowerLetter"/>
      <w:start w:val="1"/>
    </w:lvl>
  </w:abstractNum>
  <w:abstractNum w:abstractNumId="145">
    <w:nsid w:val="38A5D054"/>
    <w:multiLevelType w:val="hybridMultilevel"/>
    <w:lvl w:ilvl="0">
      <w:lvlJc w:val="left"/>
      <w:lvlText w:val="(%1)"/>
      <w:numFmt w:val="lowerLetter"/>
      <w:start w:val="1"/>
    </w:lvl>
  </w:abstractNum>
  <w:abstractNum w:abstractNumId="146">
    <w:nsid w:val="F3F09D8"/>
    <w:multiLevelType w:val="hybridMultilevel"/>
    <w:lvl w:ilvl="0">
      <w:lvlJc w:val="left"/>
      <w:lvlText w:val="(%1)"/>
      <w:numFmt w:val="lowerLetter"/>
      <w:start w:val="1"/>
    </w:lvl>
  </w:abstractNum>
  <w:abstractNum w:abstractNumId="147">
    <w:nsid w:val="4B793735"/>
    <w:multiLevelType w:val="hybridMultilevel"/>
    <w:lvl w:ilvl="0">
      <w:lvlJc w:val="left"/>
      <w:lvlText w:val="(%1)"/>
      <w:numFmt w:val="lowerLetter"/>
      <w:start w:val="1"/>
    </w:lvl>
  </w:abstractNum>
  <w:abstractNum w:abstractNumId="148">
    <w:nsid w:val="4A10B4E8"/>
    <w:multiLevelType w:val="hybridMultilevel"/>
    <w:lvl w:ilvl="0">
      <w:lvlJc w:val="left"/>
      <w:lvlText w:val="(%1)"/>
      <w:numFmt w:val="lowerRoman"/>
      <w:start w:val="1"/>
    </w:lvl>
  </w:abstractNum>
  <w:abstractNum w:abstractNumId="149">
    <w:nsid w:val="43D3BCD4"/>
    <w:multiLevelType w:val="hybridMultilevel"/>
    <w:lvl w:ilvl="0">
      <w:lvlJc w:val="left"/>
      <w:lvlText w:val="(%1)"/>
      <w:numFmt w:val="lowerLetter"/>
      <w:start w:val="2"/>
    </w:lvl>
  </w:abstractNum>
  <w:abstractNum w:abstractNumId="150">
    <w:nsid w:val="4C2A7166"/>
    <w:multiLevelType w:val="hybridMultilevel"/>
    <w:lvl w:ilvl="0">
      <w:lvlJc w:val="left"/>
      <w:lvlText w:val="(%1)"/>
      <w:numFmt w:val="lowerLetter"/>
      <w:start w:val="1"/>
    </w:lvl>
  </w:abstractNum>
  <w:abstractNum w:abstractNumId="151">
    <w:nsid w:val="2E534A82"/>
    <w:multiLevelType w:val="hybridMultilevel"/>
    <w:lvl w:ilvl="0">
      <w:lvlJc w:val="left"/>
      <w:lvlText w:val="(%1)"/>
      <w:numFmt w:val="lowerLetter"/>
      <w:start w:val="2"/>
    </w:lvl>
  </w:abstractNum>
  <w:abstractNum w:abstractNumId="152">
    <w:nsid w:val="26F2D364"/>
    <w:multiLevelType w:val="hybridMultilevel"/>
    <w:lvl w:ilvl="0">
      <w:lvlJc w:val="left"/>
      <w:lvlText w:val="(%1)"/>
      <w:numFmt w:val="lowerLetter"/>
      <w:start w:val="3"/>
    </w:lvl>
  </w:abstractNum>
  <w:abstractNum w:abstractNumId="153">
    <w:nsid w:val="71C1AF98"/>
    <w:multiLevelType w:val="hybridMultilevel"/>
    <w:lvl w:ilvl="0">
      <w:lvlJc w:val="left"/>
      <w:lvlText w:val="(%1)"/>
      <w:numFmt w:val="lowerLetter"/>
      <w:start w:val="1"/>
    </w:lvl>
  </w:abstractNum>
  <w:abstractNum w:abstractNumId="154">
    <w:nsid w:val="3D00B9D9"/>
    <w:multiLevelType w:val="hybridMultilevel"/>
    <w:lvl w:ilvl="0">
      <w:lvlJc w:val="left"/>
      <w:lvlText w:val="(%1)"/>
      <w:numFmt w:val="lowerRoman"/>
      <w:start w:val="1"/>
    </w:lvl>
  </w:abstractNum>
  <w:abstractNum w:abstractNumId="155">
    <w:nsid w:val="15BCABA8"/>
    <w:multiLevelType w:val="hybridMultilevel"/>
    <w:lvl w:ilvl="0">
      <w:lvlJc w:val="left"/>
      <w:lvlText w:val="(%1)"/>
      <w:numFmt w:val="lowerLetter"/>
      <w:start w:val="1"/>
    </w:lvl>
  </w:abstractNum>
  <w:abstractNum w:abstractNumId="156">
    <w:nsid w:val="4E0B9A87"/>
    <w:multiLevelType w:val="hybridMultilevel"/>
    <w:lvl w:ilvl="0">
      <w:lvlJc w:val="left"/>
      <w:lvlText w:val="(%1)"/>
      <w:numFmt w:val="lowerLetter"/>
      <w:start w:val="1"/>
    </w:lvl>
  </w:abstractNum>
  <w:abstractNum w:abstractNumId="157">
    <w:nsid w:val="434BAE75"/>
    <w:multiLevelType w:val="hybridMultilevel"/>
    <w:lvl w:ilvl="0">
      <w:lvlJc w:val="left"/>
      <w:lvlText w:val="%1"/>
      <w:numFmt w:val="lowerLetter"/>
      <w:start w:val="1"/>
    </w:lvl>
    <w:lvl w:ilvl="1">
      <w:lvlJc w:val="left"/>
      <w:lvlText w:val="(%2)"/>
      <w:numFmt w:val="lowerLetter"/>
      <w:start w:val="4"/>
    </w:lvl>
  </w:abstractNum>
  <w:abstractNum w:abstractNumId="158">
    <w:nsid w:val="4F38F265"/>
    <w:multiLevelType w:val="hybridMultilevel"/>
    <w:lvl w:ilvl="0">
      <w:lvlJc w:val="left"/>
      <w:lvlText w:val="(%1)"/>
      <w:numFmt w:val="lowerLetter"/>
      <w:start w:val="35"/>
    </w:lvl>
    <w:lvl w:ilvl="1">
      <w:lvlJc w:val="left"/>
      <w:lvlText w:val="(%2)"/>
      <w:numFmt w:val="lowerLetter"/>
      <w:start w:val="5"/>
    </w:lvl>
  </w:abstractNum>
  <w:abstractNum w:abstractNumId="159">
    <w:nsid w:val="4C502870"/>
    <w:multiLevelType w:val="hybridMultilevel"/>
    <w:lvl w:ilvl="0">
      <w:lvlJc w:val="left"/>
      <w:lvlText w:val="(%1)"/>
      <w:numFmt w:val="lowerLetter"/>
      <w:start w:val="11"/>
    </w:lvl>
  </w:abstractNum>
  <w:abstractNum w:abstractNumId="160">
    <w:nsid w:val="1DE8725A"/>
    <w:multiLevelType w:val="hybridMultilevel"/>
    <w:lvl w:ilvl="0">
      <w:lvlJc w:val="left"/>
      <w:lvlText w:val="(%1)"/>
      <w:numFmt w:val="lowerLetter"/>
      <w:start w:val="1"/>
    </w:lvl>
  </w:abstractNum>
  <w:abstractNum w:abstractNumId="161">
    <w:nsid w:val="6A37288A"/>
    <w:multiLevelType w:val="hybridMultilevel"/>
    <w:lvl w:ilvl="0">
      <w:lvlJc w:val="left"/>
      <w:lvlText w:val="%1"/>
      <w:numFmt w:val="lowerLetter"/>
      <w:start w:val="1"/>
    </w:lvl>
    <w:lvl w:ilvl="1">
      <w:lvlJc w:val="left"/>
      <w:lvlText w:val="(%2)"/>
      <w:numFmt w:val="lowerLetter"/>
      <w:start w:val="2"/>
    </w:lvl>
  </w:abstractNum>
  <w:abstractNum w:abstractNumId="162">
    <w:nsid w:val="8F8B73F"/>
    <w:multiLevelType w:val="hybridMultilevel"/>
    <w:lvl w:ilvl="0">
      <w:lvlJc w:val="left"/>
      <w:lvlText w:val="(%1)"/>
      <w:numFmt w:val="lowerLetter"/>
      <w:start w:val="35"/>
    </w:lvl>
    <w:lvl w:ilvl="1">
      <w:lvlJc w:val="left"/>
      <w:lvlText w:val="(%2)"/>
      <w:numFmt w:val="lowerLetter"/>
      <w:start w:val="3"/>
    </w:lvl>
  </w:abstractNum>
  <w:abstractNum w:abstractNumId="163">
    <w:nsid w:val="CA6B462"/>
    <w:multiLevelType w:val="hybridMultilevel"/>
    <w:lvl w:ilvl="0">
      <w:lvlJc w:val="left"/>
      <w:lvlText w:val="(%1)"/>
      <w:numFmt w:val="lowerLetter"/>
      <w:start w:val="5"/>
    </w:lvl>
  </w:abstractNum>
  <w:abstractNum w:abstractNumId="164">
    <w:nsid w:val="763CB680"/>
    <w:multiLevelType w:val="hybridMultilevel"/>
    <w:lvl w:ilvl="0">
      <w:lvlJc w:val="left"/>
      <w:lvlText w:val="(%1)"/>
      <w:numFmt w:val="lowerLetter"/>
      <w:start w:val="1"/>
    </w:lvl>
  </w:abstractNum>
  <w:abstractNum w:abstractNumId="165">
    <w:nsid w:val="15B71329"/>
    <w:multiLevelType w:val="hybridMultilevel"/>
    <w:lvl w:ilvl="0">
      <w:lvlJc w:val="left"/>
      <w:lvlText w:val="(%1)"/>
      <w:numFmt w:val="lowerLetter"/>
      <w:start w:val="1"/>
    </w:lvl>
  </w:abstractNum>
  <w:abstractNum w:abstractNumId="166">
    <w:nsid w:val="3DA97044"/>
    <w:multiLevelType w:val="hybridMultilevel"/>
    <w:lvl w:ilvl="0">
      <w:lvlJc w:val="left"/>
      <w:lvlText w:val="%1"/>
      <w:numFmt w:val="lowerLetter"/>
      <w:start w:val="1"/>
    </w:lvl>
    <w:lvl w:ilvl="1">
      <w:lvlJc w:val="left"/>
      <w:lvlText w:val="(%2)"/>
      <w:numFmt w:val="lowerLetter"/>
      <w:start w:val="3"/>
    </w:lvl>
  </w:abstractNum>
  <w:abstractNum w:abstractNumId="167">
    <w:nsid w:val="1CDCE2DE"/>
    <w:multiLevelType w:val="hybridMultilevel"/>
    <w:lvl w:ilvl="0">
      <w:lvlJc w:val="left"/>
      <w:lvlText w:val="(%1)"/>
      <w:numFmt w:val="lowerLetter"/>
      <w:start w:val="35"/>
    </w:lvl>
    <w:lvl w:ilvl="1">
      <w:lvlJc w:val="left"/>
      <w:lvlText w:val="(%2)"/>
      <w:numFmt w:val="lowerLetter"/>
      <w:start w:val="5"/>
    </w:lvl>
  </w:abstractNum>
  <w:abstractNum w:abstractNumId="168">
    <w:nsid w:val="69D3947C"/>
    <w:multiLevelType w:val="hybridMultilevel"/>
    <w:lvl w:ilvl="0">
      <w:lvlJc w:val="left"/>
      <w:lvlText w:val="(%1)"/>
      <w:numFmt w:val="lowerLetter"/>
      <w:start w:val="1"/>
    </w:lvl>
  </w:abstractNum>
  <w:abstractNum w:abstractNumId="169">
    <w:nsid w:val="2539DFA5"/>
    <w:multiLevelType w:val="hybridMultilevel"/>
    <w:lvl w:ilvl="0">
      <w:lvlJc w:val="left"/>
      <w:lvlText w:val="(%1)"/>
      <w:numFmt w:val="lowerLetter"/>
      <w:start w:val="3"/>
    </w:lvl>
  </w:abstractNum>
  <w:abstractNum w:abstractNumId="170">
    <w:nsid w:val="2DB88089"/>
    <w:multiLevelType w:val="hybridMultilevel"/>
    <w:lvl w:ilvl="0">
      <w:lvlJc w:val="left"/>
      <w:lvlText w:val="(%1)"/>
      <w:numFmt w:val="lowerLetter"/>
      <w:start w:val="1"/>
    </w:lvl>
    <w:lvl w:ilvl="1">
      <w:lvlJc w:val="left"/>
      <w:lvlText w:val="(%2)"/>
      <w:numFmt w:val="lowerRoman"/>
      <w:start w:val="1"/>
    </w:lvl>
  </w:abstractNum>
  <w:abstractNum w:abstractNumId="171">
    <w:nsid w:val="706B674E"/>
    <w:multiLevelType w:val="hybridMultilevel"/>
    <w:lvl w:ilvl="0">
      <w:lvlJc w:val="left"/>
      <w:lvlText w:val="%1"/>
      <w:numFmt w:val="lowerLetter"/>
      <w:start w:val="1"/>
    </w:lvl>
    <w:lvl w:ilvl="1">
      <w:lvlJc w:val="left"/>
      <w:lvlText w:val="(%2)"/>
      <w:numFmt w:val="lowerRoman"/>
      <w:start w:val="4"/>
    </w:lvl>
  </w:abstractNum>
  <w:abstractNum w:abstractNumId="172">
    <w:nsid w:val="2C106A57"/>
    <w:multiLevelType w:val="hybridMultilevel"/>
    <w:lvl w:ilvl="0">
      <w:lvlJc w:val="left"/>
      <w:lvlText w:val="(%1)"/>
      <w:numFmt w:val="lowerLetter"/>
      <w:start w:val="2"/>
    </w:lvl>
    <w:lvl w:ilvl="1">
      <w:lvlJc w:val="left"/>
      <w:lvlText w:val="%2"/>
      <w:numFmt w:val="lowerRoman"/>
      <w:start w:val="1"/>
    </w:lvl>
  </w:abstractNum>
  <w:abstractNum w:abstractNumId="173">
    <w:nsid w:val="684EED59"/>
    <w:multiLevelType w:val="hybridMultilevel"/>
    <w:lvl w:ilvl="0">
      <w:lvlJc w:val="left"/>
      <w:lvlText w:val="(%1)"/>
      <w:numFmt w:val="lowerLetter"/>
      <w:start w:val="1"/>
    </w:lvl>
  </w:abstractNum>
  <w:abstractNum w:abstractNumId="174">
    <w:nsid w:val="545EE5D3"/>
    <w:multiLevelType w:val="hybridMultilevel"/>
    <w:lvl w:ilvl="0">
      <w:lvlJc w:val="left"/>
      <w:lvlText w:val="(%1)"/>
      <w:numFmt w:val="lowerLetter"/>
      <w:start w:val="2"/>
    </w:lvl>
  </w:abstractNum>
  <w:abstractNum w:abstractNumId="175">
    <w:nsid w:val="4A66051"/>
    <w:multiLevelType w:val="hybridMultilevel"/>
    <w:lvl w:ilvl="0">
      <w:lvlJc w:val="left"/>
      <w:lvlText w:val="(%1)"/>
      <w:numFmt w:val="lowerLetter"/>
      <w:start w:val="3"/>
    </w:lvl>
  </w:abstractNum>
  <w:abstractNum w:abstractNumId="176">
    <w:nsid w:val="20F4BDAD"/>
    <w:multiLevelType w:val="hybridMultilevel"/>
    <w:lvl w:ilvl="0">
      <w:lvlJc w:val="left"/>
      <w:lvlText w:val="(%1)"/>
      <w:numFmt w:val="lowerLetter"/>
      <w:start w:val="1"/>
    </w:lvl>
    <w:lvl w:ilvl="1">
      <w:lvlJc w:val="left"/>
      <w:lvlText w:val="(%2)"/>
      <w:numFmt w:val="lowerLetter"/>
      <w:start w:val="9"/>
    </w:lvl>
  </w:abstractNum>
  <w:abstractNum w:abstractNumId="177">
    <w:nsid w:val="639DEFAC"/>
    <w:multiLevelType w:val="hybridMultilevel"/>
    <w:lvl w:ilvl="0">
      <w:lvlJc w:val="left"/>
      <w:lvlText w:val="%1"/>
      <w:numFmt w:val="upperLetter"/>
      <w:start w:val="1"/>
    </w:lvl>
    <w:lvl w:ilvl="1">
      <w:lvlJc w:val="left"/>
      <w:lvlText w:val="(%2)"/>
      <w:numFmt w:val="lowerRoman"/>
      <w:start w:val="2"/>
    </w:lvl>
  </w:abstractNum>
  <w:abstractNum w:abstractNumId="178">
    <w:nsid w:val="501F9786"/>
    <w:multiLevelType w:val="hybridMultilevel"/>
    <w:lvl w:ilvl="0">
      <w:lvlJc w:val="left"/>
      <w:lvlText w:val="(%1)"/>
      <w:numFmt w:val="upperLetter"/>
      <w:start w:val="3"/>
    </w:lvl>
    <w:lvl w:ilvl="1">
      <w:lvlJc w:val="left"/>
      <w:lvlText w:val="(%2)"/>
      <w:numFmt w:val="lowerRoman"/>
      <w:start w:val="4"/>
    </w:lvl>
  </w:abstractNum>
  <w:abstractNum w:abstractNumId="179">
    <w:nsid w:val="6B057295"/>
    <w:multiLevelType w:val="hybridMultilevel"/>
    <w:lvl w:ilvl="0">
      <w:lvlJc w:val="left"/>
      <w:lvlText w:val="(%1)"/>
      <w:numFmt w:val="lowerLetter"/>
      <w:start w:val="1"/>
    </w:lvl>
  </w:abstractNum>
  <w:abstractNum w:abstractNumId="180">
    <w:nsid w:val="2771AC80"/>
    <w:multiLevelType w:val="hybridMultilevel"/>
    <w:lvl w:ilvl="0">
      <w:lvlJc w:val="left"/>
      <w:lvlText w:val="(%1)"/>
      <w:numFmt w:val="lowerLetter"/>
      <w:start w:val="2"/>
    </w:lvl>
  </w:abstractNum>
  <w:abstractNum w:abstractNumId="181">
    <w:nsid w:val="1C4A08EC"/>
    <w:multiLevelType w:val="hybridMultilevel"/>
    <w:lvl w:ilvl="0">
      <w:lvlJc w:val="left"/>
      <w:lvlText w:val="(%1)"/>
      <w:numFmt w:val="lowerLetter"/>
      <w:start w:val="1"/>
    </w:lvl>
  </w:abstractNum>
  <w:abstractNum w:abstractNumId="182">
    <w:nsid w:val="1958BD17"/>
    <w:multiLevelType w:val="hybridMultilevel"/>
    <w:lvl w:ilvl="0">
      <w:lvlJc w:val="left"/>
      <w:lvlText w:val="o"/>
      <w:numFmt w:val="bullet"/>
      <w:start w:val="1"/>
    </w:lvl>
  </w:abstractNum>
  <w:abstractNum w:abstractNumId="183">
    <w:nsid w:val="4E647FE4"/>
    <w:multiLevelType w:val="hybridMultilevel"/>
    <w:lvl w:ilvl="0">
      <w:lvlJc w:val="left"/>
      <w:lvlText w:val="%1."/>
      <w:numFmt w:val="upperLetter"/>
      <w:start w:val="1"/>
    </w:lvl>
  </w:abstractNum>
  <w:abstractNum w:abstractNumId="184">
    <w:nsid w:val="E0BB885"/>
    <w:multiLevelType w:val="hybridMultilevel"/>
    <w:lvl w:ilvl="0">
      <w:lvlJc w:val="left"/>
      <w:lvlText w:val="%1."/>
      <w:numFmt w:val="decimal"/>
      <w:start w:val="1"/>
    </w:lvl>
  </w:abstractNum>
  <w:abstractNum w:abstractNumId="185">
    <w:nsid w:val="565976F1"/>
    <w:multiLevelType w:val="hybridMultilevel"/>
    <w:lvl w:ilvl="0">
      <w:lvlJc w:val="left"/>
      <w:lvlText w:val="%1."/>
      <w:numFmt w:val="upperLetter"/>
      <w:start w:val="2"/>
    </w:lvl>
  </w:abstractNum>
  <w:abstractNum w:abstractNumId="186">
    <w:nsid w:val="64212B8C"/>
    <w:multiLevelType w:val="hybridMultilevel"/>
    <w:lvl w:ilvl="0">
      <w:lvlJc w:val="left"/>
      <w:lvlText w:val="%1."/>
      <w:numFmt w:val="decimal"/>
      <w:start w:val="1"/>
    </w:lvl>
  </w:abstractNum>
  <w:abstractNum w:abstractNumId="187">
    <w:nsid w:val="5C17530C"/>
    <w:multiLevelType w:val="hybridMultilevel"/>
    <w:lvl w:ilvl="0">
      <w:lvlJc w:val="left"/>
      <w:lvlText w:val="o"/>
      <w:numFmt w:val="bullet"/>
      <w:start w:val="1"/>
    </w:lvl>
  </w:abstractNum>
  <w:abstractNum w:abstractNumId="188">
    <w:nsid w:val="19A52566"/>
    <w:multiLevelType w:val="hybridMultilevel"/>
    <w:lvl w:ilvl="0">
      <w:lvlJc w:val="left"/>
      <w:lvlText w:val="%1."/>
      <w:numFmt w:val="upperLetter"/>
      <w:start w:val="1"/>
    </w:lvl>
    <w:lvl w:ilvl="1">
      <w:lvlJc w:val="left"/>
      <w:lvlText w:val="%2."/>
      <w:numFmt w:val="decimal"/>
      <w:start w:val="1"/>
    </w:lvl>
  </w:abstractNum>
  <w:abstractNum w:abstractNumId="189">
    <w:nsid w:val="335A1DF1"/>
    <w:multiLevelType w:val="hybridMultilevel"/>
    <w:lvl w:ilvl="0">
      <w:lvlJc w:val="left"/>
      <w:lvlText w:val="%1."/>
      <w:numFmt w:val="upperLetter"/>
      <w:start w:val="2"/>
    </w:lvl>
  </w:abstractNum>
  <w:abstractNum w:abstractNumId="190">
    <w:nsid w:val="28677B7C"/>
    <w:multiLevelType w:val="hybridMultilevel"/>
    <w:lvl w:ilvl="0">
      <w:lvlJc w:val="left"/>
      <w:lvlText w:val="%1."/>
      <w:numFmt w:val="decimal"/>
      <w:start w:val="1"/>
    </w:lvl>
  </w:abstractNum>
  <w:abstractNum w:abstractNumId="191">
    <w:nsid w:val="378D97C0"/>
    <w:multiLevelType w:val="hybridMultilevel"/>
    <w:lvl w:ilvl="0">
      <w:lvlJc w:val="left"/>
      <w:lvlText w:val="(%1)"/>
      <w:numFmt w:val="lowerLetter"/>
      <w:start w:val="1"/>
    </w:lvl>
  </w:abstractNum>
  <w:abstractNum w:abstractNumId="192">
    <w:nsid w:val="1D91467C"/>
    <w:multiLevelType w:val="hybridMultilevel"/>
    <w:lvl w:ilvl="0">
      <w:lvlJc w:val="left"/>
      <w:lvlText w:val="(%1)"/>
      <w:numFmt w:val="upperLetter"/>
      <w:start w:val="1"/>
    </w:lvl>
    <w:lvl w:ilvl="1">
      <w:lvlJc w:val="left"/>
      <w:lvlText w:val="(%2)"/>
      <w:numFmt w:val="lowerLetter"/>
      <w:start w:val="2"/>
    </w:lvl>
  </w:abstractNum>
  <w:abstractNum w:abstractNumId="193">
    <w:nsid w:val="316032BB"/>
    <w:multiLevelType w:val="hybridMultilevel"/>
    <w:lvl w:ilvl="0">
      <w:lvlJc w:val="left"/>
      <w:lvlText w:val="(%1)"/>
      <w:numFmt w:val="lowerLetter"/>
      <w:start w:val="4"/>
    </w:lvl>
  </w:abstractNum>
  <w:abstractNum w:abstractNumId="194">
    <w:nsid w:val="44344C22"/>
    <w:multiLevelType w:val="hybridMultilevel"/>
    <w:lvl w:ilvl="0">
      <w:lvlJc w:val="left"/>
      <w:lvlText w:val="(%1)"/>
      <w:numFmt w:val="lowerLetter"/>
      <w:start w:val="1"/>
    </w:lvl>
  </w:abstractNum>
  <w:abstractNum w:abstractNumId="195">
    <w:nsid w:val="13CDFCFC"/>
    <w:multiLevelType w:val="hybridMultilevel"/>
    <w:lvl w:ilvl="0">
      <w:lvlJc w:val="left"/>
      <w:lvlText w:val="(%1)"/>
      <w:numFmt w:val="lowerLetter"/>
      <w:start w:val="2"/>
    </w:lvl>
  </w:abstractNum>
  <w:abstractNum w:abstractNumId="196">
    <w:nsid w:val="471745E4"/>
    <w:multiLevelType w:val="hybridMultilevel"/>
    <w:lvl w:ilvl="0">
      <w:lvlJc w:val="left"/>
      <w:lvlText w:val="(%1)"/>
      <w:numFmt w:val="lowerLetter"/>
      <w:start w:val="1"/>
    </w:lvl>
  </w:abstractNum>
  <w:abstractNum w:abstractNumId="197">
    <w:nsid w:val="1DDBC66"/>
    <w:multiLevelType w:val="hybridMultilevel"/>
    <w:lvl w:ilvl="0">
      <w:lvlJc w:val="left"/>
      <w:lvlText w:val="(%1)"/>
      <w:numFmt w:val="lowerLetter"/>
      <w:start w:val="1"/>
    </w:lvl>
  </w:abstractNum>
  <w:abstractNum w:abstractNumId="198">
    <w:nsid w:val="30AADFDA"/>
    <w:multiLevelType w:val="hybridMultilevel"/>
    <w:lvl w:ilvl="0">
      <w:lvlJc w:val="left"/>
      <w:lvlText w:val="(%1)"/>
      <w:numFmt w:val="lowerLetter"/>
      <w:start w:val="6"/>
    </w:lvl>
  </w:abstractNum>
  <w:abstractNum w:abstractNumId="199">
    <w:nsid w:val="30EADA61"/>
    <w:multiLevelType w:val="hybridMultilevel"/>
    <w:lvl w:ilvl="0">
      <w:lvlJc w:val="left"/>
      <w:lvlText w:val="(%1)"/>
      <w:numFmt w:val="lowerLetter"/>
      <w:start w:val="9"/>
    </w:lvl>
  </w:abstractNum>
  <w:abstractNum w:abstractNumId="200">
    <w:nsid w:val="27179C0B"/>
    <w:multiLevelType w:val="hybridMultilevel"/>
    <w:lvl w:ilvl="0">
      <w:lvlJc w:val="left"/>
      <w:lvlText w:val="(%1)"/>
      <w:numFmt w:val="decimal"/>
      <w:start w:val="11"/>
    </w:lvl>
  </w:abstractNum>
  <w:abstractNum w:abstractNumId="201">
    <w:nsid w:val="5E636063"/>
    <w:multiLevelType w:val="hybridMultilevel"/>
    <w:lvl w:ilvl="0">
      <w:lvlJc w:val="left"/>
      <w:lvlText w:val="(%1)"/>
      <w:numFmt w:val="lowerLetter"/>
      <w:start w:val="1"/>
    </w:lvl>
  </w:abstractNum>
  <w:abstractNum w:abstractNumId="202">
    <w:nsid w:val="215641AF"/>
    <w:multiLevelType w:val="hybridMultilevel"/>
    <w:lvl w:ilvl="0">
      <w:lvlJc w:val="left"/>
      <w:lvlText w:val="(%1)"/>
      <w:numFmt w:val="lowerLetter"/>
      <w:start w:val="1"/>
    </w:lvl>
  </w:abstractNum>
  <w:abstractNum w:abstractNumId="203">
    <w:nsid w:val="53280662"/>
    <w:multiLevelType w:val="hybridMultilevel"/>
    <w:lvl w:ilvl="0">
      <w:lvlJc w:val="left"/>
      <w:lvlText w:val="(%1)"/>
      <w:numFmt w:val="lowerLetter"/>
      <w:start w:val="3"/>
    </w:lvl>
  </w:abstractNum>
  <w:abstractNum w:abstractNumId="204">
    <w:nsid w:val="46B24DBC"/>
    <w:multiLevelType w:val="hybridMultilevel"/>
    <w:lvl w:ilvl="0">
      <w:lvlJc w:val="left"/>
      <w:lvlText w:val="(%1)"/>
      <w:numFmt w:val="lowerLetter"/>
      <w:start w:val="4"/>
    </w:lvl>
  </w:abstractNum>
  <w:abstractNum w:abstractNumId="205">
    <w:nsid w:val="75B52783"/>
    <w:multiLevelType w:val="hybridMultilevel"/>
    <w:lvl w:ilvl="0">
      <w:lvlJc w:val="left"/>
      <w:lvlText w:val="(%1)"/>
      <w:numFmt w:val="lowerLetter"/>
      <w:start w:val="5"/>
    </w:lvl>
  </w:abstractNum>
  <w:abstractNum w:abstractNumId="206">
    <w:nsid w:val="57CE66B4"/>
    <w:multiLevelType w:val="hybridMultilevel"/>
    <w:lvl w:ilvl="0">
      <w:lvlJc w:val="left"/>
      <w:lvlText w:val="(%1)"/>
      <w:numFmt w:val="lowerLetter"/>
      <w:start w:val="1"/>
    </w:lvl>
  </w:abstractNum>
  <w:abstractNum w:abstractNumId="207">
    <w:nsid w:val="67A70B69"/>
    <w:multiLevelType w:val="hybridMultilevel"/>
    <w:lvl w:ilvl="0">
      <w:lvlJc w:val="left"/>
      <w:lvlText w:val="(%1)"/>
      <w:numFmt w:val="lowerLetter"/>
      <w:start w:val="1"/>
    </w:lvl>
  </w:abstractNum>
  <w:abstractNum w:abstractNumId="208">
    <w:nsid w:val="5953172F"/>
    <w:multiLevelType w:val="hybridMultilevel"/>
    <w:lvl w:ilvl="0">
      <w:lvlJc w:val="left"/>
      <w:lvlText w:val="(%1)"/>
      <w:numFmt w:val="lowerRoman"/>
      <w:start w:val="7"/>
    </w:lvl>
  </w:abstractNum>
  <w:abstractNum w:abstractNumId="209">
    <w:nsid w:val="27EDFE3A"/>
    <w:multiLevelType w:val="hybridMultilevel"/>
    <w:lvl w:ilvl="0">
      <w:lvlJc w:val="left"/>
      <w:lvlText w:val="(%1)"/>
      <w:numFmt w:val="lowerLetter"/>
      <w:start w:val="1"/>
    </w:lvl>
  </w:abstractNum>
  <w:abstractNum w:abstractNumId="210">
    <w:nsid w:val="52AC7DFF"/>
    <w:multiLevelType w:val="hybridMultilevel"/>
    <w:lvl w:ilvl="0">
      <w:lvlJc w:val="left"/>
      <w:lvlText w:val="(%1)"/>
      <w:numFmt w:val="lowerRoman"/>
      <w:start w:val="1"/>
    </w:lvl>
  </w:abstractNum>
  <w:abstractNum w:abstractNumId="211">
    <w:nsid w:val="C4C3AF"/>
    <w:multiLevelType w:val="hybridMultilevel"/>
    <w:lvl w:ilvl="0">
      <w:lvlJc w:val="left"/>
      <w:lvlText w:val="%1"/>
      <w:numFmt w:val="lowerLetter"/>
      <w:start w:val="1"/>
    </w:lvl>
    <w:lvl w:ilvl="1">
      <w:lvlJc w:val="left"/>
      <w:lvlText w:val="(%2)"/>
      <w:numFmt w:val="lowerRoman"/>
      <w:start w:val="4"/>
    </w:lvl>
  </w:abstractNum>
  <w:abstractNum w:abstractNumId="212">
    <w:nsid w:val="44380727"/>
    <w:multiLevelType w:val="hybridMultilevel"/>
    <w:lvl w:ilvl="0">
      <w:lvlJc w:val="left"/>
      <w:lvlText w:val="(%1)"/>
      <w:numFmt w:val="lowerLetter"/>
      <w:start w:val="2"/>
    </w:lvl>
    <w:lvl w:ilvl="1">
      <w:lvlJc w:val="left"/>
      <w:lvlText w:val="(%2)"/>
      <w:numFmt w:val="lowerRoman"/>
      <w:start w:val="1"/>
    </w:lvl>
  </w:abstractNum>
  <w:abstractNum w:abstractNumId="213">
    <w:nsid w:val="6C053B16"/>
    <w:multiLevelType w:val="hybridMultilevel"/>
    <w:lvl w:ilvl="0">
      <w:lvlJc w:val="left"/>
      <w:lvlText w:val="(%1)"/>
      <w:numFmt w:val="lowerRoman"/>
      <w:start w:val="4"/>
    </w:lvl>
  </w:abstractNum>
  <w:abstractNum w:abstractNumId="214">
    <w:nsid w:val="4F294393"/>
    <w:multiLevelType w:val="hybridMultilevel"/>
    <w:lvl w:ilvl="0">
      <w:lvlJc w:val="left"/>
      <w:lvlText w:val="(%1)"/>
      <w:numFmt w:val="lowerLetter"/>
      <w:start w:val="1"/>
    </w:lvl>
  </w:abstractNum>
  <w:abstractNum w:abstractNumId="215">
    <w:nsid w:val="5243BFAC"/>
    <w:multiLevelType w:val="hybridMultilevel"/>
    <w:lvl w:ilvl="0">
      <w:lvlJc w:val="left"/>
      <w:lvlText w:val="(%1)"/>
      <w:numFmt w:val="lowerLetter"/>
      <w:start w:val="2"/>
    </w:lvl>
  </w:abstractNum>
  <w:abstractNum w:abstractNumId="216">
    <w:nsid w:val="425EB207"/>
    <w:multiLevelType w:val="hybridMultilevel"/>
    <w:lvl w:ilvl="0">
      <w:lvlJc w:val="left"/>
      <w:lvlText w:val="(%1)"/>
      <w:numFmt w:val="lowerLetter"/>
      <w:start w:val="3"/>
    </w:lvl>
  </w:abstractNum>
  <w:abstractNum w:abstractNumId="217">
    <w:nsid w:val="334A6F1F"/>
    <w:multiLevelType w:val="hybridMultilevel"/>
    <w:lvl w:ilvl="0">
      <w:lvlJc w:val="left"/>
      <w:lvlText w:val="(%1)"/>
      <w:numFmt w:val="lowerLetter"/>
      <w:start w:val="1"/>
    </w:lvl>
  </w:abstractNum>
  <w:abstractNum w:abstractNumId="218">
    <w:nsid w:val="2E5B12B8"/>
    <w:multiLevelType w:val="hybridMultilevel"/>
    <w:lvl w:ilvl="0">
      <w:lvlJc w:val="left"/>
      <w:lvlText w:val="(%1)"/>
      <w:numFmt w:val="lowerLetter"/>
      <w:start w:val="4"/>
    </w:lvl>
  </w:abstractNum>
  <w:abstractNum w:abstractNumId="219">
    <w:nsid w:val="5C03D76D"/>
    <w:multiLevelType w:val="hybridMultilevel"/>
    <w:lvl w:ilvl="0">
      <w:lvlJc w:val="left"/>
      <w:lvlText w:val="(%1)"/>
      <w:numFmt w:val="lowerRoman"/>
      <w:start w:val="2"/>
    </w:lvl>
  </w:abstractNum>
  <w:abstractNum w:abstractNumId="220">
    <w:nsid w:val="66A48D11"/>
    <w:multiLevelType w:val="hybridMultilevel"/>
    <w:lvl w:ilvl="0">
      <w:lvlJc w:val="left"/>
      <w:lvlText w:val="§"/>
      <w:numFmt w:val="bullet"/>
      <w:start w:val="1"/>
    </w:lvl>
  </w:abstractNum>
  <w:abstractNum w:abstractNumId="221">
    <w:nsid w:val="56C28E34"/>
    <w:multiLevelType w:val="hybridMultilevel"/>
    <w:lvl w:ilvl="0">
      <w:lvlJc w:val="left"/>
      <w:lvlText w:val="(%1)"/>
      <w:numFmt w:val="lowerLetter"/>
      <w:start w:val="1"/>
    </w:lvl>
  </w:abstractNum>
  <w:abstractNum w:abstractNumId="222">
    <w:nsid w:val="13916F2D"/>
    <w:multiLevelType w:val="hybridMultilevel"/>
    <w:lvl w:ilvl="0">
      <w:lvlJc w:val="left"/>
      <w:lvlText w:val="(%1)"/>
      <w:numFmt w:val="lowerLetter"/>
      <w:start w:val="2"/>
    </w:lvl>
  </w:abstractNum>
  <w:abstractNum w:abstractNumId="223">
    <w:nsid w:val="435D38D"/>
    <w:multiLevelType w:val="hybridMultilevel"/>
    <w:lvl w:ilvl="0">
      <w:lvlJc w:val="left"/>
      <w:lvlText w:val="(%1)"/>
      <w:numFmt w:val="lowerLetter"/>
      <w:start w:val="1"/>
    </w:lvl>
  </w:abstractNum>
  <w:abstractNum w:abstractNumId="224">
    <w:nsid w:val="822C0EF"/>
    <w:multiLevelType w:val="hybridMultilevel"/>
    <w:lvl w:ilvl="0">
      <w:lvlJc w:val="left"/>
      <w:lvlText w:val="(%1)"/>
      <w:numFmt w:val="lowerRoman"/>
      <w:start w:val="2"/>
    </w:lvl>
  </w:abstractNum>
  <w:abstractNum w:abstractNumId="225">
    <w:nsid w:val="57C5BB4F"/>
    <w:multiLevelType w:val="hybridMultilevel"/>
    <w:lvl w:ilvl="0">
      <w:lvlJc w:val="left"/>
      <w:lvlText w:val="(%1)"/>
      <w:numFmt w:val="lowerLetter"/>
      <w:start w:val="1"/>
    </w:lvl>
  </w:abstractNum>
  <w:abstractNum w:abstractNumId="226">
    <w:nsid w:val="1803D089"/>
    <w:multiLevelType w:val="hybridMultilevel"/>
    <w:lvl w:ilvl="0">
      <w:lvlJc w:val="left"/>
      <w:lvlText w:val="(%1)"/>
      <w:numFmt w:val="lowerLetter"/>
      <w:start w:val="4"/>
    </w:lvl>
  </w:abstractNum>
  <w:abstractNum w:abstractNumId="227">
    <w:nsid w:val="4F3A06D4"/>
    <w:multiLevelType w:val="hybridMultilevel"/>
    <w:lvl w:ilvl="0">
      <w:lvlJc w:val="left"/>
      <w:lvlText w:val="(%1)"/>
      <w:numFmt w:val="lowerLetter"/>
      <w:start w:val="1"/>
    </w:lvl>
  </w:abstractNum>
  <w:abstractNum w:abstractNumId="228">
    <w:nsid w:val="59A377B6"/>
    <w:multiLevelType w:val="hybridMultilevel"/>
    <w:lvl w:ilvl="0">
      <w:lvlJc w:val="left"/>
      <w:lvlText w:val="(%1)"/>
      <w:numFmt w:val="lowerLetter"/>
      <w:start w:val="5"/>
    </w:lvl>
  </w:abstractNum>
  <w:abstractNum w:abstractNumId="229">
    <w:nsid w:val="48AEB063"/>
    <w:multiLevelType w:val="hybridMultilevel"/>
    <w:lvl w:ilvl="0">
      <w:lvlJc w:val="left"/>
      <w:lvlText w:val="(%1)"/>
      <w:numFmt w:val="lowerLetter"/>
      <w:start w:val="7"/>
    </w:lvl>
  </w:abstractNum>
  <w:abstractNum w:abstractNumId="230">
    <w:nsid w:val="24E135"/>
    <w:multiLevelType w:val="hybridMultilevel"/>
    <w:lvl w:ilvl="0">
      <w:lvlJc w:val="left"/>
      <w:lvlText w:val="(%1)"/>
      <w:numFmt w:val="lowerLetter"/>
      <w:start w:val="1"/>
    </w:lvl>
  </w:abstractNum>
  <w:abstractNum w:abstractNumId="231">
    <w:nsid w:val="BB13C1"/>
    <w:multiLevelType w:val="hybridMultilevel"/>
    <w:lvl w:ilvl="0">
      <w:lvlJc w:val="left"/>
      <w:lvlText w:val="(%1)"/>
      <w:numFmt w:val="decimal"/>
      <w:start w:val="10"/>
    </w:lvl>
  </w:abstractNum>
  <w:abstractNum w:abstractNumId="232">
    <w:nsid w:val="271210C7"/>
    <w:multiLevelType w:val="hybridMultilevel"/>
    <w:lvl w:ilvl="0">
      <w:lvlJc w:val="left"/>
      <w:lvlText w:val="(%1)"/>
      <w:numFmt w:val="lowerLetter"/>
      <w:start w:val="1"/>
    </w:lvl>
  </w:abstractNum>
  <w:abstractNum w:abstractNumId="233">
    <w:nsid w:val="217B22E4"/>
    <w:multiLevelType w:val="hybridMultilevel"/>
    <w:lvl w:ilvl="0">
      <w:lvlJc w:val="left"/>
      <w:lvlText w:val="(%1)"/>
      <w:numFmt w:val="lowerLetter"/>
      <w:start w:val="1"/>
    </w:lvl>
  </w:abstractNum>
  <w:abstractNum w:abstractNumId="234">
    <w:nsid w:val="53E31A24"/>
    <w:multiLevelType w:val="hybridMultilevel"/>
    <w:lvl w:ilvl="0">
      <w:lvlJc w:val="left"/>
      <w:lvlText w:val="(%1)"/>
      <w:numFmt w:val="lowerLetter"/>
      <w:start w:val="1"/>
    </w:lvl>
  </w:abstractNum>
  <w:abstractNum w:abstractNumId="235">
    <w:nsid w:val="6DC45E83"/>
    <w:multiLevelType w:val="hybridMultilevel"/>
    <w:lvl w:ilvl="0">
      <w:lvlJc w:val="left"/>
      <w:lvlText w:val="(%1)"/>
      <w:numFmt w:val="lowerLetter"/>
      <w:start w:val="2"/>
    </w:lvl>
  </w:abstractNum>
  <w:abstractNum w:abstractNumId="236">
    <w:nsid w:val="17304A67"/>
    <w:multiLevelType w:val="hybridMultilevel"/>
    <w:lvl w:ilvl="0">
      <w:lvlJc w:val="left"/>
      <w:lvlText w:val="(%1)"/>
      <w:numFmt w:val="lowerLetter"/>
      <w:start w:val="1"/>
    </w:lvl>
  </w:abstractNum>
  <w:abstractNum w:abstractNumId="237">
    <w:nsid w:val="2BB180D8"/>
    <w:multiLevelType w:val="hybridMultilevel"/>
    <w:lvl w:ilvl="0">
      <w:lvlJc w:val="left"/>
      <w:lvlText w:val="(%1)"/>
      <w:numFmt w:val="lowerLetter"/>
      <w:start w:val="1"/>
    </w:lvl>
  </w:abstractNum>
  <w:abstractNum w:abstractNumId="238">
    <w:nsid w:val="556B69ED"/>
    <w:multiLevelType w:val="hybridMultilevel"/>
    <w:lvl w:ilvl="0">
      <w:lvlJc w:val="left"/>
      <w:lvlText w:val="(%1)"/>
      <w:numFmt w:val="lowerLetter"/>
      <w:start w:val="2"/>
    </w:lvl>
  </w:abstractNum>
  <w:abstractNum w:abstractNumId="239">
    <w:nsid w:val="70836196"/>
    <w:multiLevelType w:val="hybridMultilevel"/>
    <w:lvl w:ilvl="0">
      <w:lvlJc w:val="left"/>
      <w:lvlText w:val="(%1)"/>
      <w:numFmt w:val="lowerLetter"/>
      <w:start w:val="1"/>
    </w:lvl>
  </w:abstractNum>
  <w:abstractNum w:abstractNumId="240">
    <w:nsid w:val="539F7F12"/>
    <w:multiLevelType w:val="hybridMultilevel"/>
    <w:lvl w:ilvl="0">
      <w:lvlJc w:val="left"/>
      <w:lvlText w:val="(%1)"/>
      <w:numFmt w:val="lowerLetter"/>
      <w:start w:val="2"/>
    </w:lvl>
  </w:abstractNum>
  <w:abstractNum w:abstractNumId="241">
    <w:nsid w:val="2817E7EC"/>
    <w:multiLevelType w:val="hybridMultilevel"/>
    <w:lvl w:ilvl="0">
      <w:lvlJc w:val="left"/>
      <w:lvlText w:val="(%1)"/>
      <w:numFmt w:val="lowerLetter"/>
      <w:start w:val="1"/>
    </w:lvl>
  </w:abstractNum>
  <w:abstractNum w:abstractNumId="242">
    <w:nsid w:val="71482545"/>
    <w:multiLevelType w:val="hybridMultilevel"/>
    <w:lvl w:ilvl="0">
      <w:lvlJc w:val="left"/>
      <w:lvlText w:val="(%1)"/>
      <w:numFmt w:val="lowerLetter"/>
      <w:start w:val="1"/>
    </w:lvl>
  </w:abstractNum>
  <w:abstractNum w:abstractNumId="243">
    <w:nsid w:val="17D78639"/>
    <w:multiLevelType w:val="hybridMultilevel"/>
    <w:lvl w:ilvl="0">
      <w:lvlJc w:val="left"/>
      <w:lvlText w:val="(%1)"/>
      <w:numFmt w:val="lowerRoman"/>
      <w:start w:val="1"/>
    </w:lvl>
  </w:abstractNum>
  <w:abstractNum w:abstractNumId="244">
    <w:nsid w:val="141D2302"/>
    <w:multiLevelType w:val="hybridMultilevel"/>
    <w:lvl w:ilvl="0">
      <w:lvlJc w:val="left"/>
      <w:lvlText w:val="(%1)"/>
      <w:numFmt w:val="lowerRoman"/>
      <w:start w:val="6"/>
    </w:lvl>
  </w:abstractNum>
  <w:abstractNum w:abstractNumId="245">
    <w:nsid w:val="407168D8"/>
    <w:multiLevelType w:val="hybridMultilevel"/>
    <w:lvl w:ilvl="0">
      <w:lvlJc w:val="left"/>
      <w:lvlText w:val="(%1)"/>
      <w:numFmt w:val="lowerRoman"/>
      <w:start w:val="10"/>
    </w:lvl>
  </w:abstractNum>
  <w:abstractNum w:abstractNumId="246">
    <w:nsid w:val="6A1B45E5"/>
    <w:multiLevelType w:val="hybridMultilevel"/>
    <w:lvl w:ilvl="0">
      <w:lvlJc w:val="left"/>
      <w:lvlText w:val="%1"/>
      <w:numFmt w:val="lowerRoman"/>
      <w:start w:val="1"/>
    </w:lvl>
    <w:lvl w:ilvl="1">
      <w:lvlJc w:val="left"/>
      <w:lvlText w:val="(%2)"/>
      <w:numFmt w:val="lowerRoman"/>
      <w:start w:val="5"/>
    </w:lvl>
  </w:abstractNum>
  <w:abstractNum w:abstractNumId="247">
    <w:nsid w:val="567BD50A"/>
    <w:multiLevelType w:val="hybridMultilevel"/>
    <w:lvl w:ilvl="0">
      <w:lvlJc w:val="left"/>
      <w:lvlText w:val="(%1)"/>
      <w:numFmt w:val="lowerRoman"/>
      <w:start w:val="3"/>
    </w:lvl>
    <w:lvl w:ilvl="1">
      <w:lvlJc w:val="left"/>
      <w:lvlText w:val="%2"/>
      <w:numFmt w:val="lowerRoman"/>
      <w:start w:val="1"/>
    </w:lvl>
  </w:abstractNum>
  <w:abstractNum w:abstractNumId="248">
    <w:nsid w:val="73BBD7F8"/>
    <w:multiLevelType w:val="hybridMultilevel"/>
    <w:lvl w:ilvl="0">
      <w:lvlJc w:val="left"/>
      <w:lvlText w:val="%1"/>
      <w:numFmt w:val="lowerRoman"/>
      <w:start w:val="1"/>
    </w:lvl>
    <w:lvl w:ilvl="1">
      <w:lvlJc w:val="left"/>
      <w:lvlText w:val="(%2)"/>
      <w:numFmt w:val="lowerRoman"/>
      <w:start w:val="6"/>
    </w:lvl>
  </w:abstractNum>
  <w:abstractNum w:abstractNumId="249">
    <w:nsid w:val="1876589D"/>
    <w:multiLevelType w:val="hybridMultilevel"/>
    <w:lvl w:ilvl="0">
      <w:lvlJc w:val="left"/>
      <w:lvlText w:val="(%1)"/>
      <w:numFmt w:val="lowerRoman"/>
      <w:start w:val="1"/>
    </w:lvl>
    <w:lvl w:ilvl="1">
      <w:lvlJc w:val="left"/>
      <w:lvlText w:val="(%2)"/>
      <w:numFmt w:val="lowerRoman"/>
      <w:start w:val="7"/>
    </w:lvl>
  </w:abstractNum>
  <w:abstractNum w:abstractNumId="250">
    <w:nsid w:val="327FAC77"/>
    <w:multiLevelType w:val="hybridMultilevel"/>
    <w:lvl w:ilvl="0">
      <w:lvlJc w:val="left"/>
      <w:lvlText w:val="%1"/>
      <w:numFmt w:val="lowerRoman"/>
      <w:start w:val="1"/>
    </w:lvl>
    <w:lvl w:ilvl="1">
      <w:lvlJc w:val="left"/>
      <w:lvlText w:val="(%2)"/>
      <w:numFmt w:val="lowerLetter"/>
      <w:start w:val="4"/>
    </w:lvl>
  </w:abstractNum>
  <w:abstractNum w:abstractNumId="251">
    <w:nsid w:val="5A606509"/>
    <w:multiLevelType w:val="hybridMultilevel"/>
    <w:lvl w:ilvl="0">
      <w:lvlJc w:val="left"/>
      <w:lvlText w:val="(%1)"/>
      <w:numFmt w:val="lowerRoman"/>
      <w:start w:val="7"/>
    </w:lvl>
    <w:lvl w:ilvl="1">
      <w:lvlJc w:val="left"/>
      <w:lvlText w:val="%2"/>
      <w:numFmt w:val="lowerLetter"/>
      <w:start w:val="1"/>
    </w:lvl>
  </w:abstractNum>
  <w:abstractNum w:abstractNumId="252">
    <w:nsid w:val="6F38E6D1"/>
    <w:multiLevelType w:val="hybridMultilevel"/>
    <w:lvl w:ilvl="0">
      <w:lvlJc w:val="left"/>
      <w:lvlText w:val="%1."/>
      <w:numFmt w:val="decimal"/>
      <w:start w:val="1"/>
    </w:lvl>
  </w:abstractNum>
  <w:abstractNum w:abstractNumId="253">
    <w:nsid w:val="46111BA5"/>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2020-01-19T10:45:11Z</dcterms:created>
  <dcterms:modified xsi:type="dcterms:W3CDTF">2020-01-19T10:45:11Z</dcterms:modified>
</cp:coreProperties>
</file>