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7553b3e424b3.htm"/>
        <w:bookmarkStart w:id="1" w:name="ksh47553b3e424b3"/>
        <w:bookmarkEnd w:id="0"/>
        <w:bookmarkEnd w:id="1"/>
        <w:r>
          <w:rPr>
            <w:rStyle w:val="InternetLink"/>
          </w:rPr>
          <w:t>Table of Contents</w:t>
        </w:r>
      </w:hyperlink>
    </w:p>
    <w:tbl>
      <w:tblPr>
        <w:tblW w:w="5000" w:type="pct"/>
        <w:jc w:val="left"/>
        <w:tblInd w:w="0" w:type="dxa"/>
        <w:tblCellMar>
          <w:top w:w="75" w:type="dxa"/>
          <w:left w:w="75" w:type="dxa"/>
          <w:bottom w:w="75" w:type="dxa"/>
          <w:right w:w="75" w:type="dxa"/>
        </w:tblCellMar>
      </w:tblPr>
      <w:tblGrid>
        <w:gridCol w:w="10205"/>
      </w:tblGrid>
      <w:tr>
        <w:trPr/>
        <w:tc>
          <w:tcPr>
            <w:tcW w:w="102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jc w:val="both"/>
              <w:rPr>
                <w:rFonts w:ascii="Arial;Helvetica" w:hAnsi="Arial;Helvetica"/>
                <w:color w:val="E8112D"/>
                <w:sz w:val="13"/>
              </w:rPr>
            </w:pPr>
            <w:r>
              <w:rPr>
                <w:rFonts w:ascii="Arial;Helvetica" w:hAnsi="Arial;Helvetica"/>
                <w:color w:val="E8112D"/>
                <w:sz w:val="13"/>
              </w:rPr>
              <w:t>The information in this preliminary prospectus supplement is not complete and may be changed. This preliminary prospectus supplement and the attached prospectus are not an offer to sell and do not seek an offer to buy these securities in any jurisdiction where the offer or sale is not permitted.</w:t>
            </w:r>
          </w:p>
        </w:tc>
      </w:tr>
    </w:tbl>
    <w:p>
      <w:pPr>
        <w:pStyle w:val="TextBody"/>
        <w:spacing w:before="20" w:after="283"/>
        <w:rPr/>
      </w:pPr>
      <w:r>
        <w:rPr/>
        <w:t>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Filed Pursuant to Rule 424(b)(3)</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333-126447      </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E8112D"/>
          <w:sz w:val="17"/>
          <w:highlight w:val="white"/>
        </w:rPr>
        <w:t>SUBJECT TO COMPLETION, DATED JUNE 20, 2007</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 SUPPLEMENT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(To Prospectus Dated July 22, 2005)</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color w:val="000000"/>
          <w:highlight w:val="white"/>
        </w:rPr>
      </w:pPr>
      <w:r>
        <w:rPr>
          <w:color w:val="000000"/>
          <w:highlight w:val="white"/>
        </w:rPr>
        <w:drawing>
          <wp:inline distT="0" distB="0" distL="0" distR="0">
            <wp:extent cx="18859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90550"/>
                    </a:xfrm>
                    <a:prstGeom prst="rect">
                      <a:avLst/>
                    </a:prstGeom>
                  </pic:spPr>
                </pic:pic>
              </a:graphicData>
            </a:graphic>
          </wp:inline>
        </w:drawing>
      </w:r>
      <w:r>
        <w:rPr>
          <w:color w:val="000000"/>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23"/>
          <w:highlight w:val="white"/>
        </w:rPr>
      </w:pPr>
      <w:r>
        <w:rPr>
          <w:rFonts w:ascii="Times New Roman;Times" w:hAnsi="Times New Roman;Times"/>
          <w:color w:val="000000"/>
          <w:sz w:val="23"/>
          <w:highlight w:val="white"/>
        </w:rPr>
        <w:t xml:space="preserve">6,296,172 Common Units </w:t>
      </w:r>
    </w:p>
    <w:p>
      <w:pPr>
        <w:pStyle w:val="TextBody"/>
        <w:spacing w:before="60" w:after="283"/>
        <w:rPr/>
      </w:pPr>
      <w:r>
        <w:rPr/>
        <w:t> </w:t>
      </w:r>
    </w:p>
    <w:p>
      <w:pPr>
        <w:pStyle w:val="TextBody"/>
        <w:spacing w:before="0" w:after="0"/>
        <w:jc w:val="center"/>
        <w:rPr>
          <w:rFonts w:ascii="Times New Roman;Times" w:hAnsi="Times New Roman;Times"/>
          <w:color w:val="000000"/>
          <w:sz w:val="23"/>
          <w:highlight w:val="white"/>
        </w:rPr>
      </w:pPr>
      <w:r>
        <w:rPr>
          <w:rFonts w:ascii="Times New Roman;Times" w:hAnsi="Times New Roman;Times"/>
          <w:color w:val="000000"/>
          <w:sz w:val="23"/>
          <w:highlight w:val="white"/>
        </w:rPr>
        <w:t xml:space="preserve">Representing Limited Partner Interests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offering 6,296,172 common units directly to certain purchasers (the Purchasers) in a privately negotiated transaction at a price of $59.56 per unit. We expect to receive net proceeds of approximately $382.5 million, including our general partners proportionate capital contribution after deducting offering expenses, from this sale of our common units.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listed on The New York Stock Exchange under the symbol PAA. The last reported sale price of our common units on the New York Stock Exchange on June 19, 2007 was $63.25 per unit.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Investing in our common units involves risks. See Risk Factors beginning on page S-1 of this prospectus supplement and on page 5 of the accompanying prospectus.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 w:hAnsi="Times New Roman;Times"/>
          <w:color w:val="000000"/>
          <w:sz w:val="17"/>
          <w:highlight w:val="white"/>
        </w:rPr>
        <w:t xml:space="preserve"> </w:t>
      </w:r>
    </w:p>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date of this prospectus supplement is June       2007.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60" w:after="283"/>
        <w:rPr/>
      </w:pPr>
      <w:bookmarkStart w:id="2" w:name="tocpage"/>
      <w:bookmarkEnd w:id="2"/>
      <w:r>
        <w:rPr/>
        <w:t> </w:t>
      </w:r>
    </w:p>
    <w:tbl>
      <w:tblPr>
        <w:tblW w:w="5000" w:type="pct"/>
        <w:jc w:val="center"/>
        <w:tblInd w:w="0" w:type="dxa"/>
        <w:shd w:fill="FFFFFF" w:val="clear"/>
        <w:tblCellMar>
          <w:top w:w="0" w:type="dxa"/>
          <w:left w:w="0" w:type="dxa"/>
          <w:bottom w:w="0" w:type="dxa"/>
          <w:right w:w="0" w:type="dxa"/>
        </w:tblCellMar>
      </w:tblPr>
      <w:tblGrid>
        <w:gridCol w:w="9545"/>
        <w:gridCol w:w="196"/>
        <w:gridCol w:w="98"/>
        <w:gridCol w:w="305"/>
        <w:gridCol w:w="61"/>
      </w:tblGrid>
      <w:tr>
        <w:trPr/>
        <w:tc>
          <w:tcPr>
            <w:tcW w:w="9545"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10205" w:type="dxa"/>
            <w:gridSpan w:val="5"/>
            <w:tcBorders/>
            <w:shd w:fill="FFFFFF" w:val="clear"/>
            <w:vAlign w:val="bottom"/>
          </w:tcPr>
          <w:p>
            <w:pPr>
              <w:pStyle w:val="TableContents"/>
              <w:spacing w:before="0" w:after="0"/>
              <w:ind w:left="200" w:right="0" w:hanging="200"/>
              <w:jc w:val="center"/>
              <w:rPr/>
            </w:pPr>
            <w:r>
              <w:rPr>
                <w:b/>
                <w:sz w:val="17"/>
              </w:rPr>
              <w:t>Prospectus Supplement</w:t>
            </w:r>
            <w:r>
              <w:rPr/>
              <w:t xml:space="preserve"> </w:t>
            </w:r>
          </w:p>
        </w:tc>
      </w:tr>
      <w:tr>
        <w:trPr/>
        <w:tc>
          <w:tcPr>
            <w:tcW w:w="9545" w:type="dxa"/>
            <w:tcBorders/>
            <w:shd w:fill="FFFFFF" w:val="clear"/>
            <w:vAlign w:val="bottom"/>
          </w:tcPr>
          <w:p>
            <w:pPr>
              <w:pStyle w:val="TableContents"/>
              <w:spacing w:before="0" w:after="0"/>
              <w:ind w:left="200" w:right="0" w:hanging="200"/>
              <w:jc w:val="left"/>
              <w:rPr/>
            </w:pPr>
            <w:hyperlink w:anchor="101">
              <w:r>
                <w:rPr>
                  <w:rStyle w:val="InternetLink"/>
                  <w:sz w:val="17"/>
                </w:rPr>
                <w:t>Plains All American Pipeline, L.P. </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3">
              <w:r>
                <w:rPr>
                  <w:rStyle w:val="InternetLink"/>
                  <w:sz w:val="17"/>
                </w:rPr>
                <w:t>Use of Proceeds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4">
              <w:r>
                <w:rPr>
                  <w:rStyle w:val="InternetLink"/>
                  <w:sz w:val="17"/>
                </w:rPr>
                <w:t>Price Range of Common Units and Distributions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5">
              <w:r>
                <w:rPr>
                  <w:rStyle w:val="InternetLink"/>
                  <w:sz w:val="17"/>
                </w:rPr>
                <w:t>Plan of Distribution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S-4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6">
              <w:r>
                <w:rPr>
                  <w:rStyle w:val="InternetLink"/>
                  <w:sz w:val="17"/>
                </w:rPr>
                <w:t>Where You Can Find More Information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7">
              <w:r>
                <w:rPr>
                  <w:rStyle w:val="InternetLink"/>
                  <w:sz w:val="17"/>
                </w:rPr>
                <w:t>Forward-Looking Statements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8">
              <w:r>
                <w:rPr>
                  <w:rStyle w:val="InternetLink"/>
                  <w:sz w:val="17"/>
                </w:rPr>
                <w:t>Experts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S-7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10205" w:type="dxa"/>
            <w:gridSpan w:val="5"/>
            <w:tcBorders/>
            <w:shd w:fill="FFFFFF" w:val="clear"/>
            <w:vAlign w:val="bottom"/>
          </w:tcPr>
          <w:p>
            <w:pPr>
              <w:pStyle w:val="TableContents"/>
              <w:spacing w:before="0" w:after="283"/>
              <w:rPr/>
            </w:pPr>
            <w:r>
              <w:rPr/>
              <w:t xml:space="preserve">  </w:t>
            </w:r>
          </w:p>
        </w:tc>
      </w:tr>
      <w:tr>
        <w:trPr/>
        <w:tc>
          <w:tcPr>
            <w:tcW w:w="10205" w:type="dxa"/>
            <w:gridSpan w:val="5"/>
            <w:tcBorders/>
            <w:shd w:fill="FFFFFF" w:val="clear"/>
            <w:vAlign w:val="bottom"/>
          </w:tcPr>
          <w:p>
            <w:pPr>
              <w:pStyle w:val="TableContents"/>
              <w:spacing w:before="0" w:after="0"/>
              <w:ind w:left="200" w:right="0" w:hanging="200"/>
              <w:jc w:val="center"/>
              <w:rPr/>
            </w:pPr>
            <w:r>
              <w:rPr>
                <w:b/>
                <w:sz w:val="17"/>
              </w:rPr>
              <w:t>Prospectus</w:t>
            </w:r>
            <w:r>
              <w:rPr/>
              <w:t xml:space="preserve"> </w:t>
            </w:r>
          </w:p>
        </w:tc>
      </w:tr>
      <w:tr>
        <w:trPr/>
        <w:tc>
          <w:tcPr>
            <w:tcW w:w="9545" w:type="dxa"/>
            <w:tcBorders/>
            <w:shd w:fill="FFFFFF" w:val="clear"/>
            <w:vAlign w:val="bottom"/>
          </w:tcPr>
          <w:p>
            <w:pPr>
              <w:pStyle w:val="TableContents"/>
              <w:spacing w:before="0" w:after="0"/>
              <w:ind w:left="200" w:right="0" w:hanging="200"/>
              <w:jc w:val="left"/>
              <w:rPr/>
            </w:pPr>
            <w:hyperlink w:anchor="109">
              <w:r>
                <w:rPr>
                  <w:rStyle w:val="InternetLink"/>
                  <w:sz w:val="17"/>
                </w:rPr>
                <w:t>About this Prospectus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i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0">
              <w:r>
                <w:rPr>
                  <w:rStyle w:val="InternetLink"/>
                  <w:sz w:val="17"/>
                </w:rPr>
                <w:t>Where You Can Find More Information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1">
              <w:r>
                <w:rPr>
                  <w:rStyle w:val="InternetLink"/>
                  <w:sz w:val="17"/>
                </w:rPr>
                <w:t>Forward-Looking Statements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2">
              <w:r>
                <w:rPr>
                  <w:rStyle w:val="InternetLink"/>
                  <w:sz w:val="17"/>
                </w:rPr>
                <w:t>Who We Are</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3">
              <w:r>
                <w:rPr>
                  <w:rStyle w:val="InternetLink"/>
                  <w:sz w:val="17"/>
                </w:rPr>
                <w:t>Risk Factors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4">
              <w:r>
                <w:rPr>
                  <w:rStyle w:val="InternetLink"/>
                  <w:sz w:val="17"/>
                </w:rPr>
                <w:t>Use of Proceeds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5">
              <w:r>
                <w:rPr>
                  <w:rStyle w:val="InternetLink"/>
                  <w:sz w:val="17"/>
                </w:rPr>
                <w:t>Ratio of Earnings to Fixed Charges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6">
              <w:r>
                <w:rPr>
                  <w:rStyle w:val="InternetLink"/>
                  <w:sz w:val="17"/>
                </w:rPr>
                <w:t>Description of Our Debt Securities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7">
              <w:r>
                <w:rPr>
                  <w:rStyle w:val="InternetLink"/>
                  <w:sz w:val="17"/>
                </w:rPr>
                <w:t>Description of Our Common Units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8">
              <w:r>
                <w:rPr>
                  <w:rStyle w:val="InternetLink"/>
                  <w:sz w:val="17"/>
                </w:rPr>
                <w:t>Cash Distribution Policy</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9">
              <w:r>
                <w:rPr>
                  <w:rStyle w:val="InternetLink"/>
                  <w:sz w:val="17"/>
                </w:rPr>
                <w:t>Description of Our Partnership Agreement</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0">
              <w:r>
                <w:rPr>
                  <w:rStyle w:val="InternetLink"/>
                  <w:sz w:val="17"/>
                </w:rPr>
                <w:t>Tax Considerations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1">
              <w:r>
                <w:rPr>
                  <w:rStyle w:val="InternetLink"/>
                  <w:sz w:val="17"/>
                </w:rPr>
                <w:t>Plan of Distribution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2">
              <w:r>
                <w:rPr>
                  <w:rStyle w:val="InternetLink"/>
                  <w:sz w:val="17"/>
                </w:rPr>
                <w:t>Legal Matters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3">
              <w:r>
                <w:rPr>
                  <w:rStyle w:val="InternetLink"/>
                  <w:sz w:val="17"/>
                </w:rPr>
                <w:t>Experts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3" w:name="101"/>
      <w:bookmarkEnd w:id="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Delaware limited partnership formed in September 1998. We are engaged in the transportation, storage, terminalling and marketing of crude oil, refined products and liquefied petroleum gas and other natural gas related petroleum products. We refer to liquefied petroleum gas and other natural gas related petroleum products as LPG. Through our 50% equity ownership in PAA/Vulcan Gas Storage, LLC, we also develop and operate natural gas storage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and operate a diversified portfolio of strategically located assets that play a vital role in the movement of U.S. and Canadian energy supplies. On average we handle over 3 million barrels per day of crude oil, refined products and LPG through our extensive network of assets located in key North American producing basins and transportation gateways.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executive offices are located at 333 Clay Street, Suite 1600, Houston, Texas 77002 and our telephone number is (713) 646-4100. </w:t>
      </w:r>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carefully consider the risk factors discussed in our 2006 Annual Report on Form 10-K, together with all of the other information included in this prospectus supplement, the accompanying prospectus and the documents we have incorporated by reference into this prospectus in evaluating an investment in our common units. If any of the described risks actually were to occur, our business, financial condition or results of operations could be materially adversely affected.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net proceeds of this offering will be approximately $382.5 million, including our general partners proportionate capital contribution after deducting estimated offering expenses. We intend to use the net proceeds of this offering (i) to fund expansion capital programs; (ii) to fund the pending acquisition of the Bumstead LPG storage business, which we agreed to acquire in February 2007 for approximately $52 million; (iii) to repay indebtedness under our senior unsecured credit facility; and (iv) for general partnership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Indebtedness under our senior unsecured credit facility was approximately $469 million as of June 19, 2007, and had an annual interest rate of 5.4% and a final maturity in July 2011. Substantially all of the outstanding indebtedness under the facility was incurred to fund acquisitions, capital expansion projects, working capital requirements and the purchase of hedged inventory.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PRICE RANGE OF COMMON UNITS AND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June 19, 2007, we had 109,685,504 common units outstanding, held by approximately 435 holders of record. Our common units are traded on the New York Stock Exchange under the symbol PAA.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June 19, 2007 was $63.25 per common unit.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846"/>
        <w:gridCol w:w="166"/>
        <w:gridCol w:w="226"/>
        <w:gridCol w:w="755"/>
        <w:gridCol w:w="159"/>
        <w:gridCol w:w="224"/>
        <w:gridCol w:w="226"/>
        <w:gridCol w:w="755"/>
        <w:gridCol w:w="159"/>
        <w:gridCol w:w="224"/>
        <w:gridCol w:w="357"/>
        <w:gridCol w:w="1747"/>
        <w:gridCol w:w="361"/>
      </w:tblGrid>
      <w:tr>
        <w:trPr/>
        <w:tc>
          <w:tcPr>
            <w:tcW w:w="4846"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357" w:type="dxa"/>
            <w:tcBorders/>
            <w:shd w:fill="FFFFFF" w:val="clear"/>
            <w:vAlign w:val="bottom"/>
          </w:tcPr>
          <w:p>
            <w:pPr>
              <w:pStyle w:val="TableContents"/>
              <w:spacing w:before="0" w:after="283"/>
              <w:jc w:val="right"/>
              <w:rPr/>
            </w:pPr>
            <w:r>
              <w:rPr/>
              <w:t> </w:t>
            </w:r>
          </w:p>
        </w:tc>
        <w:tc>
          <w:tcPr>
            <w:tcW w:w="1747" w:type="dxa"/>
            <w:tcBorders/>
            <w:shd w:fill="FFFFFF" w:val="clear"/>
            <w:vAlign w:val="bottom"/>
          </w:tcPr>
          <w:p>
            <w:pPr>
              <w:pStyle w:val="TableContents"/>
              <w:spacing w:before="0" w:after="283"/>
              <w:jc w:val="right"/>
              <w:rPr/>
            </w:pPr>
            <w:r>
              <w:rPr/>
              <w:t> </w:t>
            </w:r>
          </w:p>
        </w:tc>
        <w:tc>
          <w:tcPr>
            <w:tcW w:w="361" w:type="dxa"/>
            <w:tcBorders/>
            <w:shd w:fill="FFFFFF" w:val="clear"/>
            <w:vAlign w:val="bottom"/>
          </w:tcPr>
          <w:p>
            <w:pPr>
              <w:pStyle w:val="TableContents"/>
              <w:spacing w:before="0" w:after="283"/>
              <w:jc w:val="left"/>
              <w:rPr/>
            </w:pPr>
            <w:r>
              <w:rPr/>
              <w:t> </w:t>
            </w:r>
          </w:p>
        </w:tc>
      </w:tr>
      <w:tr>
        <w:trPr/>
        <w:tc>
          <w:tcPr>
            <w:tcW w:w="4846"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34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Price Range</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2104" w:type="dxa"/>
            <w:gridSpan w:val="2"/>
            <w:tcBorders/>
            <w:shd w:fill="FFFFFF" w:val="clear"/>
            <w:vAlign w:val="bottom"/>
          </w:tcPr>
          <w:p>
            <w:pPr>
              <w:pStyle w:val="TableContents"/>
              <w:spacing w:before="0" w:after="283"/>
              <w:jc w:val="center"/>
              <w:rPr>
                <w:b/>
              </w:rPr>
            </w:pPr>
            <w:r>
              <w:rPr>
                <w:b/>
              </w:rPr>
              <w:t>Cash</w:t>
            </w:r>
          </w:p>
        </w:tc>
        <w:tc>
          <w:tcPr>
            <w:tcW w:w="361" w:type="dxa"/>
            <w:tcBorders/>
            <w:shd w:fill="FFFFFF" w:val="clear"/>
            <w:vAlign w:val="bottom"/>
          </w:tcPr>
          <w:p>
            <w:pPr>
              <w:pStyle w:val="TableContents"/>
              <w:spacing w:before="0" w:after="283"/>
              <w:jc w:val="center"/>
              <w:rPr/>
            </w:pPr>
            <w:r>
              <w:rPr/>
              <w:t xml:space="preserve">  </w:t>
            </w:r>
          </w:p>
        </w:tc>
      </w:tr>
      <w:tr>
        <w:trPr/>
        <w:tc>
          <w:tcPr>
            <w:tcW w:w="4846"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High</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Low</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21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Distributions(1)</w:t>
            </w:r>
            <w:r>
              <w:rPr/>
              <w:t xml:space="preserve"> </w:t>
            </w:r>
          </w:p>
        </w:tc>
        <w:tc>
          <w:tcPr>
            <w:tcW w:w="361" w:type="dxa"/>
            <w:tcBorders/>
            <w:shd w:fill="FFFFFF" w:val="clear"/>
            <w:vAlign w:val="bottom"/>
          </w:tcPr>
          <w:p>
            <w:pPr>
              <w:pStyle w:val="TableContents"/>
              <w:spacing w:before="0" w:after="283"/>
              <w:jc w:val="center"/>
              <w:rPr/>
            </w:pPr>
            <w:r>
              <w:rPr/>
              <w:t xml:space="preserve">  </w:t>
            </w:r>
          </w:p>
        </w:tc>
      </w:tr>
      <w:tr>
        <w:trPr/>
        <w:tc>
          <w:tcPr>
            <w:tcW w:w="4846" w:type="dxa"/>
            <w:tcBorders/>
            <w:shd w:fill="FFFFFF" w:val="clear"/>
            <w:vAlign w:val="center"/>
          </w:tcPr>
          <w:p>
            <w:pPr>
              <w:pStyle w:val="TableContents"/>
              <w:spacing w:before="0" w:after="283"/>
              <w:rPr/>
            </w:pPr>
            <w:r>
              <w:rPr/>
              <w:t xml:space="preserve">  </w:t>
            </w:r>
          </w:p>
        </w:tc>
        <w:tc>
          <w:tcPr>
            <w:tcW w:w="5359" w:type="dxa"/>
            <w:gridSpan w:val="12"/>
            <w:tcBorders/>
            <w:shd w:fill="FFFFFF" w:val="clear"/>
          </w:tcPr>
          <w:p>
            <w:pPr>
              <w:pStyle w:val="TableContents"/>
              <w:spacing w:before="0" w:after="283"/>
              <w:rPr>
                <w:sz w:val="4"/>
                <w:szCs w:val="4"/>
              </w:rPr>
            </w:pPr>
            <w:r>
              <w:rPr>
                <w:sz w:val="4"/>
                <w:szCs w:val="4"/>
              </w:rPr>
            </w:r>
          </w:p>
        </w:tc>
      </w:tr>
      <w:tr>
        <w:trPr/>
        <w:tc>
          <w:tcPr>
            <w:tcW w:w="4846" w:type="dxa"/>
            <w:tcBorders/>
            <w:shd w:fill="CCEEFF" w:val="clear"/>
            <w:vAlign w:val="bottom"/>
          </w:tcPr>
          <w:p>
            <w:pPr>
              <w:pStyle w:val="TableContents"/>
              <w:spacing w:before="0" w:after="0"/>
              <w:ind w:left="200" w:right="0" w:hanging="200"/>
              <w:jc w:val="left"/>
              <w:rPr/>
            </w:pPr>
            <w:r>
              <w:rPr>
                <w:b/>
                <w:sz w:val="17"/>
              </w:rPr>
              <w:t>2005</w:t>
            </w:r>
            <w:r>
              <w:rPr/>
              <w:t xml:space="preserve">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40.98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36.50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0.6375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45.08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38.00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0.6500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48.20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42.01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0.6750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Fourth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42.82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38.51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0.6875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pPr>
            <w:r>
              <w:rPr>
                <w:b/>
                <w:sz w:val="17"/>
              </w:rPr>
              <w:t>2006</w:t>
            </w:r>
            <w:r>
              <w:rPr/>
              <w:t xml:space="preserve">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47.00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39.81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0.7075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48.92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42.81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0.7250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47.35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43.21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0.7500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Fourth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53.23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45.20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0.8000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pPr>
            <w:r>
              <w:rPr>
                <w:b/>
                <w:sz w:val="17"/>
              </w:rPr>
              <w:t>2007</w:t>
            </w:r>
            <w:r>
              <w:rPr/>
              <w:t xml:space="preserve">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59.33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49.56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0.8125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Second Quarter (through June 19, 2007)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63.50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56.32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jc w:val="left"/>
              <w:rPr/>
            </w:pPr>
            <w:r>
              <w:rPr/>
              <w:t xml:space="preserve">(2)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Represents cash distributions per common unit declared with respect to the quarter and paid in the following quarter.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distribution attributable to the second quarter of 2007 has not yet been declared or paid.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selling the common units offered pursuant to this prospectus directly to the following purchasers in a privately negotiated transaction in which no party is acting as an underwriter: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089"/>
        <w:gridCol w:w="204"/>
        <w:gridCol w:w="170"/>
        <w:gridCol w:w="1593"/>
        <w:gridCol w:w="149"/>
      </w:tblGrid>
      <w:tr>
        <w:trPr/>
        <w:tc>
          <w:tcPr>
            <w:tcW w:w="8089"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jc w:val="right"/>
              <w:rPr/>
            </w:pPr>
            <w:r>
              <w:rPr/>
              <w:t> </w:t>
            </w:r>
          </w:p>
        </w:tc>
        <w:tc>
          <w:tcPr>
            <w:tcW w:w="1593"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r>
      <w:tr>
        <w:trPr/>
        <w:tc>
          <w:tcPr>
            <w:tcW w:w="8089" w:type="dxa"/>
            <w:tcBorders/>
            <w:shd w:fill="FFFFFF" w:val="clear"/>
            <w:vAlign w:val="bottom"/>
          </w:tcPr>
          <w:p>
            <w:pPr>
              <w:pStyle w:val="TableContents"/>
              <w:spacing w:before="0" w:after="0"/>
              <w:jc w:val="left"/>
              <w:rPr>
                <w:bdr w:val="single" w:sz="2" w:space="1" w:color="000000"/>
              </w:rPr>
            </w:pPr>
            <w:r>
              <w:rPr>
                <w:b/>
                <w:bdr w:val="single" w:sz="2" w:space="1" w:color="000000"/>
              </w:rPr>
              <w:t>Purchaser</w:t>
            </w:r>
            <w:r>
              <w:rPr>
                <w:bdr w:val="single" w:sz="2" w:space="1" w:color="000000"/>
              </w:rPr>
              <w:t xml:space="preserve"> </w:t>
            </w:r>
          </w:p>
        </w:tc>
        <w:tc>
          <w:tcPr>
            <w:tcW w:w="204" w:type="dxa"/>
            <w:tcBorders/>
            <w:shd w:fill="FFFFFF" w:val="clear"/>
            <w:vAlign w:val="bottom"/>
          </w:tcPr>
          <w:p>
            <w:pPr>
              <w:pStyle w:val="TableContents"/>
              <w:spacing w:before="0" w:after="283"/>
              <w:jc w:val="center"/>
              <w:rPr/>
            </w:pPr>
            <w:r>
              <w:rPr/>
              <w:t xml:space="preserve">  </w:t>
            </w:r>
          </w:p>
        </w:tc>
        <w:tc>
          <w:tcPr>
            <w:tcW w:w="176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Common Units</w:t>
            </w:r>
            <w:r>
              <w:rPr/>
              <w:t xml:space="preserve"> </w:t>
            </w:r>
          </w:p>
        </w:tc>
        <w:tc>
          <w:tcPr>
            <w:tcW w:w="149" w:type="dxa"/>
            <w:tcBorders/>
            <w:shd w:fill="FFFFFF" w:val="clear"/>
            <w:vAlign w:val="bottom"/>
          </w:tcPr>
          <w:p>
            <w:pPr>
              <w:pStyle w:val="TableContents"/>
              <w:spacing w:before="0" w:after="283"/>
              <w:jc w:val="center"/>
              <w:rPr/>
            </w:pPr>
            <w:r>
              <w:rPr/>
              <w:t xml:space="preserve">  </w:t>
            </w:r>
          </w:p>
        </w:tc>
      </w:tr>
      <w:tr>
        <w:trPr/>
        <w:tc>
          <w:tcPr>
            <w:tcW w:w="8089" w:type="dxa"/>
            <w:tcBorders/>
            <w:shd w:fill="FFFFFF" w:val="clear"/>
            <w:vAlign w:val="center"/>
          </w:tcPr>
          <w:p>
            <w:pPr>
              <w:pStyle w:val="TableContents"/>
              <w:spacing w:before="0" w:after="283"/>
              <w:rPr/>
            </w:pPr>
            <w:r>
              <w:rPr/>
              <w:t xml:space="preserve">  </w:t>
            </w:r>
          </w:p>
        </w:tc>
        <w:tc>
          <w:tcPr>
            <w:tcW w:w="2116" w:type="dxa"/>
            <w:gridSpan w:val="4"/>
            <w:tcBorders/>
            <w:shd w:fill="FFFFFF" w:val="clear"/>
          </w:tcPr>
          <w:p>
            <w:pPr>
              <w:pStyle w:val="TableContents"/>
              <w:spacing w:before="0" w:after="283"/>
              <w:rPr>
                <w:sz w:val="4"/>
                <w:szCs w:val="4"/>
              </w:rPr>
            </w:pPr>
            <w:r>
              <w:rPr>
                <w:sz w:val="4"/>
                <w:szCs w:val="4"/>
              </w:rPr>
            </w:r>
          </w:p>
        </w:tc>
      </w:tr>
      <w:tr>
        <w:trPr/>
        <w:tc>
          <w:tcPr>
            <w:tcW w:w="8089"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204"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3" w:type="dxa"/>
            <w:tcBorders/>
            <w:shd w:fill="FFFFFF" w:val="clear"/>
            <w:vAlign w:val="bottom"/>
          </w:tcPr>
          <w:p>
            <w:pPr>
              <w:pStyle w:val="TableContents"/>
              <w:spacing w:before="0" w:after="283"/>
              <w:jc w:val="right"/>
              <w:rPr/>
            </w:pPr>
            <w:r>
              <w:rPr/>
              <w:t xml:space="preserve">6,296,172 </w:t>
            </w:r>
          </w:p>
        </w:tc>
        <w:tc>
          <w:tcPr>
            <w:tcW w:w="149"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17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of a purchase agreement to be entered into, the purchasers are expected to agree to purchase, and we intend to sell to the purchasers, 6,296,172 common units at a price of $59.56 per unit. We determined the per unit price through negotiations with the purchasers.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(the SEC) in respect of, or establish or increase a put equivalent position or liquidate or decrease a call equivalent position within the meaning of Section 16 of the Securities Exchange Act of 1934, as amended, with respect to the purchased common units for a period of 90 days after the closing date of this transaction without our prior written consent; </w:t>
      </w:r>
      <w:r>
        <w:rPr>
          <w:rFonts w:ascii="Times New Roman;Times" w:hAnsi="Times New Roman;Times"/>
          <w:i/>
          <w:color w:val="000000"/>
          <w:sz w:val="17"/>
          <w:highlight w:val="white"/>
        </w:rPr>
        <w:t>however</w:t>
      </w:r>
      <w:r>
        <w:rPr>
          <w:rFonts w:ascii="Times New Roman;Times" w:hAnsi="Times New Roman;Times"/>
          <w:color w:val="000000"/>
          <w:sz w:val="17"/>
          <w:highlight w:val="white"/>
        </w:rPr>
        <w:t xml:space="preserve">, a purchaser may enter into a total return swap or similar transaction as long as the swap counterparty agrees to be bound by the terms of the lock-up.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expect to deliver the units through the book entry facilities of The Depository Trust Company against payment of the aggregate purchase price for the units purchased on or about June   , 2007; </w:t>
      </w:r>
      <w:r>
        <w:rPr>
          <w:rFonts w:ascii="Times New Roman;Times" w:hAnsi="Times New Roman;Times"/>
          <w:i/>
          <w:color w:val="000000"/>
          <w:sz w:val="17"/>
          <w:highlight w:val="white"/>
        </w:rPr>
        <w:t xml:space="preserve">provided, however, </w:t>
      </w:r>
      <w:r>
        <w:rPr>
          <w:rFonts w:ascii="Times New Roman;Times" w:hAnsi="Times New Roman;Times"/>
          <w:color w:val="000000"/>
          <w:sz w:val="17"/>
          <w:highlight w:val="white"/>
        </w:rPr>
        <w:t xml:space="preserve">that we and certain of the purchasers may agree to close the offering with respect to the common units being offered to such purchaser on a later date as mutually agreed upon by us and such purchaser in accordance with the purchase agreement.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Annual Report on Form 10-K for the year ended December 31, 2006;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Quarterly Report on Form 10-Q for the quarter ended March 31, 2007;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Exhibit 99.3 to the Current Report on Form 8-K filed with the Commission on November 21, 2006 (audited consolidated financial statements of Pacific Energy Partners, L.P. as of December 31, 2005 and 2004 and for each of the years in the three-year period ended December 31, 2005);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February 28, 2007 (LTIP grants to Named Executive Officers);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May 2, 2007 (audited consolidated balance sheet of Plains AAP, L.P. as of December 31, 2006);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June 19, 2007 (unaudited consolidated balance sheet of Plains AAP, L.P. as of March 31, 2007).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All American Pipeline, L.P.</w:t>
        <w:br/>
        <w:t>333 Clay Street, Suite 1600</w:t>
        <w:br/>
        <w:t>Houston, Texas 77002</w:t>
        <w:br/>
        <w:t>Attention: Tim Moore</w:t>
        <w:b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failure to realize the anticipated synergies and other benefits of the merger with Pacific Energy Partners, L.P.;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and other factors that could cause declines in volumes shipped on our pipelines by us and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and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S-1 of this prospectus supplement and in Item 1A. Risk Factors in our annual report on Form 10-K for the year ended December 31, 2006. Except as required by securities laws applicable to the documents incorporated by reference, we do not intend to update these forward-looking statements and information. </w:t>
      </w:r>
    </w:p>
    <w:p>
      <w:pPr>
        <w:pStyle w:val="TextBody"/>
        <w:spacing w:before="180" w:after="283"/>
        <w:rPr/>
      </w:pPr>
      <w:r>
        <w:rPr/>
        <w:t> </w:t>
      </w:r>
    </w:p>
    <w:p>
      <w:pPr>
        <w:pStyle w:val="TextBody"/>
        <w:spacing w:before="0" w:after="0"/>
        <w:jc w:val="center"/>
        <w:rPr>
          <w:rFonts w:ascii="Arial;Helvetica" w:hAnsi="Arial;Helvetica"/>
          <w:color w:val="000000"/>
          <w:sz w:val="17"/>
          <w:highlight w:val="white"/>
        </w:rPr>
      </w:pPr>
      <w:bookmarkStart w:id="10" w:name="108"/>
      <w:bookmarkEnd w:id="10"/>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2006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supplement by reference to Plains All American Pipeline, L.P.s Current Report on Form 8-K filed on May 2, 2007 has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consolidated financial statements of Pacific Energy Partners, L.P. as of December 31, 2005 and 2004, and for each of the years in the three-year period ended December 31, 2005, have been incorporated by reference herein in reliance upon the report of KPMG LLP, an independent registered public accounting firm, and upon the authority of said firm as experts in accounting and auditing.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PROSPECTUS</w:t>
      </w:r>
      <w:r>
        <w:rPr>
          <w:rFonts w:ascii="Arial;Helvetica" w:hAnsi="Arial;Helvetica"/>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23"/>
          <w:highlight w:val="white"/>
        </w:rPr>
      </w:pPr>
      <w:r>
        <w:rPr>
          <w:rFonts w:ascii="Times New Roman;Times" w:hAnsi="Times New Roman;Times"/>
          <w:b/>
          <w:color w:val="000000"/>
          <w:sz w:val="23"/>
          <w:highlight w:val="white"/>
        </w:rPr>
        <w:t>$2,000,000,000</w:t>
      </w:r>
      <w:r>
        <w:rPr>
          <w:rFonts w:ascii="Arial;Helvetica" w:hAnsi="Arial;Helvetica"/>
          <w:color w:val="000000"/>
          <w:sz w:val="23"/>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PAA Finance Corp.</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Common Units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Debt Securities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offer the following securities under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common units representing limited partner interests in Plains All American Pipeline, L.P.;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debt securities of Plains All American Pipeline, L.P.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traded on the New York Stock Exchange under the symbol PAA.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20"/>
          <w:highlight w:val="white"/>
        </w:rPr>
        <w:t>Limited partnerships are inherently different from corporations. You should consider each of the factors described under Risk Factors, which begin on page 5, in deciding whether or not to buy any of our securities.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date of this prospectus is July 22, 2005.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604"/>
        <w:gridCol w:w="197"/>
        <w:gridCol w:w="98"/>
        <w:gridCol w:w="245"/>
        <w:gridCol w:w="61"/>
      </w:tblGrid>
      <w:tr>
        <w:trPr/>
        <w:tc>
          <w:tcPr>
            <w:tcW w:w="9604"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9604" w:type="dxa"/>
            <w:tcBorders/>
            <w:shd w:fill="FFFFFF" w:val="clear"/>
          </w:tcPr>
          <w:p>
            <w:pPr>
              <w:pStyle w:val="TableContents"/>
              <w:spacing w:before="0" w:after="0"/>
              <w:ind w:left="200" w:right="0" w:hanging="200"/>
              <w:jc w:val="left"/>
              <w:rPr>
                <w:sz w:val="17"/>
              </w:rPr>
            </w:pPr>
            <w:r>
              <w:rPr>
                <w:sz w:val="17"/>
              </w:rPr>
              <w:t xml:space="preserve">ABOUT THIS PROSPECTUS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i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WHERE YOU CAN FIND MORE INFORMATION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FORWARD-LOOKING STATEMENTS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WHO WE ARE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RISK FACTORS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USE OF PROCEEDS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RATIO OF EARNINGS TO FIXED CHARGES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DEBT SECURITIES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COMMON UNITS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CASH DISTRIBUTION POLICY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PARTNERSHIP AGREEMENT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TAX CONSIDERATIONS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PLAN OF DISTRIBUTION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LEGAL MATTERS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EXPERTS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bl>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ABOUT THIS PROSPECTUS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on Form S-3 that we filed with the Securities and Exchange Commission, or SEC, using a shelf 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registration statement, the terms we, our, ours, and us refer to Plains All American Pipeline, L.P. and its subsidiaries, unless otherwise indicated or the context requires otherwise.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Annual Report on Form 10-K for the year ended December 31, 2004;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Quarterly Report on Form 10-Q for the quarter ended March 31, 2005;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Current Reports on Forms 8-K filed on January 26, 2005; February 23, 2005; March 8, 2005; April 1, 2005; April 8, 2005; April 21, 2005; April 25, 2005; May 12, 2005; May 25, 2005; and May 31, 2005;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the description of our common units contained in our Form 8-A/A dated November 3, 1998.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production declines or production interruptions in outer continental shelf production located offshore California and transported on our pipeline system;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integration and future performance of acquired assets or businesses;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declines in volumes shipped on the Basin Pipeline, Capline Pipeline and our other pipelines by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third party drilling efforts in areas in which we operate pipelines or gather crude oil;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demand for various grades of crude oil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transmission 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crude oil price fluctuations;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WHO WE ARE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execute our business strategy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increasing and optimizing throughput on our existing pipeline and gathering assets and realizing cost efficiencies through operational improvements;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utilizing our Cushing Terminal and our other assets to service the needs of refiners and to profit from merchant activities that take advantage of crude oil pricing and quality differentials;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utilizing assets we have recently acquired along the Gulf Coast and our Cushing Terminal to increase our presence in the importation of foreign crude through Gulf of Mexico receipt facilities to U.S. refiners;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prudently and economically leveraging our asset base, knowledge base and skill sets to participate in energy businesses that are closely related to, or significantly intertwined with, the crude oil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 lesser degree, we also engage in a similar business strategy with respect to the wholesale marketing and storage of LPG, which we began as a result of an acquisition in mid-2001.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executive offices are located at 333 Clay Street, Suite 1600, Houston, Texas 77002, and our phone number is (713) 646-4100.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Recent Developments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Capital Expenditures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estimate that capital expenditures for expansion projects will be approximately $180 million during 2005, an $80 million increase over the estimate provided in our Annual Report on Form 10-K for the year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5" w:name="113"/>
      <w:bookmarkEnd w:id="1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level of our profitability is dependent upon an adequate supply of crude oil from fields located offshore and onshore California. Production from these offshore fields has experienced substantial production declines since 1995.</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trading policies cannot eliminate all price risks.  In addition, any non-compliance with our trading policies could result in significant financial losses.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we do not make acquisitions on economically acceptable terms our future growth may be limited.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particular, competition for midstream assets and businesses has intensified substantially and as a result such assets and businesses have become more costly. As a result, we may not be able to complete the number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or size of acquisitions that we have targeted internally or to continue to grow as quickly as we have historically.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requires access to new capital. Tightened capital markets or other factors which increase our cost of capital could impair our ability to grow.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involves risks that may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acquisition involves potential risks,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performance from the acquired assets and businesses that is below the forecasts we used in evaluating the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significant increase in our indebtedness and working capital requirements;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inability to timely and effectively integrate the operations of recently acquired businesses or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incurrence of substantial unforeseen environmental and other liabilities arising out of the acquired businesses or assets, including liabilities arising from the operation of the acquired businesses or assets prior to our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customer or key employee loss from the acquired businesses;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diversion of managements attention from other business concerns.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nature of our assets and business could expose us to significant compliance costs and liabilities.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profitability of our pipeline operations depends on the volume of crude oil shipped.</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Third party shippers generally do not have long term contractual commitments to ship crude oil on our pipelines. A decision by a shipper to substantially reduce or cease to ship volumes of crude oil on our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success of our business strategy to increase and optimize throughput on our pipeline and gathering assets is dependent upon our securing additional supplies of crude oil.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operations are dependent upon demand for crude oil by refiners in the Midwest and on the Gulf Coast. Any decrease in this demand could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face intense competition in our gathering, marketing, terminalling and storage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profitability of our gathering and marketing activities is generally dependent on the volumes of crude oil we purchase and gather.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margins vary based on the location of the crude oil, the strength or weakness of the market and the grade or quality of crude oil.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Loss of credit rating or the ability to receive open credit could negatively affect our ability to capitalize on a volatile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are exposed to the credit risk of our customers in the ordinary course of our gathering and marketing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assets are subject to federal, state and provincial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systems are dependent upon their interconnections with other crude oil pipelines to reach end markets.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Fluctuations in demand can negatively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terms of our indebtedness may limit our ability to borrow additional funds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Changes in currency exchange rates could adversely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conduct operations in Canada, we are exposed to currency fluctuations and exchange rate risks that may adversely affect our results of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distributions are not guaranteed and may fluctuate with our performance and the establishment of financial reserves.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Inherent in an Investment in Plains All American Pipeline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Cost reimbursements due to our general partner may be substantial and will reduce our cash available for distribution to you.</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not be able to remove our general partner even if you wish to do so.</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the following provisions of our partnership agreement may discourage a person or group from attempting to remove our general partner or otherwise change our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limitations upon the ability of unitholders to call meetings or to acquire information about our operations, as well as other limitations upon the unitholders ability to influence the manner or direction of management.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these provisions, the price at which the common units will trade may be lower because of the absence or reduction of a takeover premium in the trading price.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issue additional common units without your approval, which would dilute your existing ownership interests.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your proportionate ownership interest in Plains All American Pipeline will decrease;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of cash available for distribution on each unit may decrease;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relative voting strength of each previously outstanding unit may be diminished;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market price of the common units may decline.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general partner has a limited call right that may require you to sell your units at an undesirable time or price.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not have limited liability if a court finds that unitholder actions constitute control of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Conflicts of interest could arise among our general partner and us or the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conflicts may include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do not have any employees and we rely solely on employees of the general partner or, in the case of Plains Marketing Canada, employees of PMC (Nova Scotia) Company;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under our partnership agreement, we reimburse the general partner for the costs of managing and for operating the partnership;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of cash expenditures, borrowings and reserves in any quarter may affect available cash to pay quarterly distributions to unitholders;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general partner would not breach our partnership agreement by exercising its call rights to purchase limited partnership interests or by assigning its call rights to one of its affiliates or to 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holding company structure in which our subsidiaries conduct our operations and own our operating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do not have the same flexibility as other types of organizations to accumulate cash, which may limit cash available to service the debt securities or to repay them at maturity.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comply with applicable law or any of our loan or other agreements.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Risks to Common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read Tax Considerations for a more complete discussion of the following expected material federal income tax consequences of owning and disposing of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IRS could treat us as a corporation for tax purposes, which would substantially reduce the cash available for distribution to you.</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reduction in the after-tax return to the unitholders, likely causing a substantial reduction in the value of the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 successful IRS contest of the federal income tax positions we take may adversely impact the market for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be required to pay taxes even if you do not receive any cash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Tax gain or loss on disposition of common units could be different than expected.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are a tax-exempt entity, a regulated investment company or an individual not residing in the United States, you may have adverse tax consequences from owning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treat a purchaser of units as having the same tax benefits without regard to the units purchased. The IRS may challenge this treatment, which could adversely affect the value of the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  Uniformity of Units in this prospectus for further discussion of the effect of the depreciation and amortization positions we have adopted.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will likely be subject to foreign, state and local taxes in jurisdictions where you do not live as a result of an investment in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spacing w:before="360" w:after="283"/>
        <w:rPr/>
      </w:pPr>
      <w:bookmarkStart w:id="16" w:name="114"/>
      <w:bookmarkEnd w:id="1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360" w:after="283"/>
        <w:rPr/>
      </w:pPr>
      <w:bookmarkStart w:id="17" w:name="115"/>
      <w:bookmarkEnd w:id="1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153"/>
        <w:gridCol w:w="148"/>
        <w:gridCol w:w="305"/>
        <w:gridCol w:w="1407"/>
        <w:gridCol w:w="155"/>
        <w:gridCol w:w="194"/>
        <w:gridCol w:w="155"/>
        <w:gridCol w:w="500"/>
        <w:gridCol w:w="155"/>
        <w:gridCol w:w="194"/>
        <w:gridCol w:w="155"/>
        <w:gridCol w:w="499"/>
        <w:gridCol w:w="155"/>
        <w:gridCol w:w="194"/>
        <w:gridCol w:w="155"/>
        <w:gridCol w:w="500"/>
        <w:gridCol w:w="155"/>
        <w:gridCol w:w="194"/>
        <w:gridCol w:w="155"/>
        <w:gridCol w:w="500"/>
        <w:gridCol w:w="155"/>
        <w:gridCol w:w="193"/>
        <w:gridCol w:w="155"/>
        <w:gridCol w:w="500"/>
        <w:gridCol w:w="174"/>
      </w:tblGrid>
      <w:tr>
        <w:trPr/>
        <w:tc>
          <w:tcPr>
            <w:tcW w:w="31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jc w:val="right"/>
              <w:rPr/>
            </w:pPr>
            <w:r>
              <w:rPr/>
              <w:t> </w:t>
            </w:r>
          </w:p>
        </w:tc>
        <w:tc>
          <w:tcPr>
            <w:tcW w:w="1407"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499"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Three Months</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Ended</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March 31,</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4669"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2001</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2000</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center"/>
          </w:tcPr>
          <w:p>
            <w:pPr>
              <w:pStyle w:val="TableContents"/>
              <w:spacing w:before="0" w:after="283"/>
              <w:rPr/>
            </w:pPr>
            <w:r>
              <w:rPr/>
              <w:t xml:space="preserve">  </w:t>
            </w:r>
          </w:p>
        </w:tc>
        <w:tc>
          <w:tcPr>
            <w:tcW w:w="7052" w:type="dxa"/>
            <w:gridSpan w:val="24"/>
            <w:tcBorders/>
            <w:shd w:fill="FFFFFF" w:val="clear"/>
          </w:tcPr>
          <w:p>
            <w:pPr>
              <w:pStyle w:val="TableContents"/>
              <w:spacing w:before="0" w:after="283"/>
              <w:rPr>
                <w:sz w:val="4"/>
                <w:szCs w:val="4"/>
              </w:rPr>
            </w:pPr>
            <w:r>
              <w:rPr>
                <w:sz w:val="4"/>
                <w:szCs w:val="4"/>
              </w:rPr>
            </w:r>
          </w:p>
        </w:tc>
      </w:tr>
      <w:tr>
        <w:trPr/>
        <w:tc>
          <w:tcPr>
            <w:tcW w:w="3153" w:type="dxa"/>
            <w:tcBorders/>
            <w:shd w:fill="FFFFFF" w:val="clear"/>
            <w:vAlign w:val="bottom"/>
          </w:tcPr>
          <w:p>
            <w:pPr>
              <w:pStyle w:val="TableContents"/>
              <w:spacing w:before="0" w:after="0"/>
              <w:ind w:left="200" w:right="0" w:hanging="200"/>
              <w:jc w:val="left"/>
              <w:rPr>
                <w:sz w:val="17"/>
              </w:rPr>
            </w:pPr>
            <w:r>
              <w:rPr>
                <w:sz w:val="17"/>
              </w:rPr>
              <w:t xml:space="preserve">Ratio of Earnings to Fixed Charges </w:t>
            </w:r>
          </w:p>
        </w:tc>
        <w:tc>
          <w:tcPr>
            <w:tcW w:w="148"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jc w:val="left"/>
              <w:rPr/>
            </w:pPr>
            <w:r>
              <w:rPr/>
              <w:t xml:space="preserve">  </w:t>
            </w:r>
          </w:p>
        </w:tc>
        <w:tc>
          <w:tcPr>
            <w:tcW w:w="1407" w:type="dxa"/>
            <w:tcBorders/>
            <w:shd w:fill="FFFFFF" w:val="clear"/>
            <w:vAlign w:val="bottom"/>
          </w:tcPr>
          <w:p>
            <w:pPr>
              <w:pStyle w:val="TableContents"/>
              <w:spacing w:before="0" w:after="283"/>
              <w:jc w:val="right"/>
              <w:rPr/>
            </w:pPr>
            <w:r>
              <w:rPr/>
              <w:t xml:space="preserve">2.93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3.46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499" w:type="dxa"/>
            <w:tcBorders/>
            <w:shd w:fill="FFFFFF" w:val="clear"/>
            <w:vAlign w:val="bottom"/>
          </w:tcPr>
          <w:p>
            <w:pPr>
              <w:pStyle w:val="TableContents"/>
              <w:spacing w:before="0" w:after="283"/>
              <w:jc w:val="right"/>
              <w:rPr/>
            </w:pPr>
            <w:r>
              <w:rPr/>
              <w:t xml:space="preserve">2.39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2.77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2.26 </w:t>
            </w:r>
          </w:p>
        </w:tc>
        <w:tc>
          <w:tcPr>
            <w:tcW w:w="155" w:type="dxa"/>
            <w:tcBorders/>
            <w:shd w:fill="FFFFFF" w:val="clear"/>
            <w:vAlign w:val="bottom"/>
          </w:tcPr>
          <w:p>
            <w:pPr>
              <w:pStyle w:val="TableContents"/>
              <w:spacing w:before="0" w:after="283"/>
              <w:jc w:val="left"/>
              <w:rPr/>
            </w:pPr>
            <w:r>
              <w:rPr/>
              <w:t xml:space="preserve">  </w:t>
            </w:r>
          </w:p>
        </w:tc>
        <w:tc>
          <w:tcPr>
            <w:tcW w:w="193"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3.33 </w:t>
            </w:r>
          </w:p>
        </w:tc>
        <w:tc>
          <w:tcPr>
            <w:tcW w:w="174" w:type="dxa"/>
            <w:tcBorders/>
            <w:shd w:fill="FFFFFF" w:val="clear"/>
            <w:vAlign w:val="bottom"/>
          </w:tcPr>
          <w:p>
            <w:pPr>
              <w:pStyle w:val="TableContents"/>
              <w:spacing w:before="0" w:after="283"/>
              <w:jc w:val="left"/>
              <w:rPr/>
            </w:pPr>
            <w:r>
              <w:rPr/>
              <w:t xml:space="preserve">  </w:t>
            </w:r>
          </w:p>
        </w:tc>
      </w:tr>
      <w:tr>
        <w:trPr/>
        <w:tc>
          <w:tcPr>
            <w:tcW w:w="3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bl>
    <w:p>
      <w:pPr>
        <w:pStyle w:val="TextBody"/>
        <w:spacing w:before="360" w:after="283"/>
        <w:rPr/>
      </w:pPr>
      <w:bookmarkStart w:id="18" w:name="116"/>
      <w:bookmarkEnd w:id="1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DEBT SECURITIES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will be: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our direct general obligations;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either senior debt securities or subordinated debt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issued under separate indentures (which may be existing indentures) among us and Wachovia Bank, N.A., as Trustee.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Specific Terms of Each Series of Debt Securities in the Prospectus Supplement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6"/>
        <w:gridCol w:w="9535"/>
      </w:tblGrid>
      <w:tr>
        <w:trPr/>
        <w:tc>
          <w:tcPr>
            <w:tcW w:w="4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5"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PAA Finance will be a co-issuer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guarantors of the debt securities, if any;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the debt securities are senior or subordinated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title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total principal amount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assets, if any, that are pledged as security for the payment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we will issue the debt securities in individual certificates to each holder in registered form, or in the form of temporary or permanent global securities held by a depository on behalf of holders;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prices at which we will issue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portion of the principal amount that will be payable if the maturity of the debt securities is accelerated;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currency or currency unit in which the debt securities will be payable, if not U.S. dollars;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dates on which the principal of the debt securities will be payable;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interest rate that the debt securities will bear and the interest payment dates for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conversion or exchange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optional redemption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sinking fund or other provisions that would obligate us to repurchase or otherwise redeem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changes to or additional events of default or covenants;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other terms of the debt securities.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Asset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remaining or acquiring entity must assume the issuers obligations under the indenture;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immediately after giving effect to the transaction, no Default or Event of Default (as defined under  Events of Default and Remedies below) may exist.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Protection in the Event of a Change of Control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Indentures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supplemented or amended without the consent of each holder affected. Without the consent of each outstanding debt security affected, no modification of the indenture or waiver may: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principal amount of debt securities whose holders must consent to an amendment, supplement or waiver;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principal of or change the fixed maturity of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or waive the premium payable upon redemption or alter or waive the provisions with respect to the redemption of the debt securities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rate of or change the time for payment of interest on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except as otherwise permitted under the indenture, release any security that may have been granted with respect to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debt security payable in currency other than that stated in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in the case of any subordinated debt security, make any change in the subordination provisions that adversely affects the rights of any holder under those provisions;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debt securities to receive payments of principal of or premium, if any, or interest on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waive a redemption payment with respect to any debt security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except as otherwise permitted in the indenture, release any guarantor from its obligations under its guarantee or the indenture or change any guarantee in any manner that would adversely affect the rights of holders;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supplement or amend an indenture without the consent of any holders of the debt securities in certain circumstances,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establish the form of terms of any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cure any ambiguity, defect or inconsistency;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provide for uncertificated notes in addition to or in place of certified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provide for the assumption of an issuers or guarantors obligations to holders of debt securities in the case of a merger or consolidation or disposition of all or substantially all of such issuers or guarantors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in the case of any subordinated debt security, to make any change in the subordination provisions that limits or terminates the benefits applicable to any holder of Senior Indebtedness of Plains All American Pipeline;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add or release guarantors pursuant to the terms of the indenture;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add any additional Events of Default;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secure the debt securities and/or the guarantees.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 and Remedies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Event of Default, when used in an indenture, will mean any of the following with respect to the debt securities of any series: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when due the principal of or any premium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within 60 days of the due date, interest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when due any sinking fund payment with respect to any debt securities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on the part of the issuers to comply with the covenant described under  Consolidation, Merger or Asset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perform any other covenant in the indenture that continues for 30 days after written notice is given to the issuers;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certain events of bankruptcy, insolvency or reorganization of an issuer;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Event of Default provided under the terms of the debt securities of that series.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Limit on Amount of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of Notes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issue debt securities of a series only in registered form, without coupons, unless otherwise indicated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Minimum Denominations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the prospectus supplement states otherwise, the debt securities will be issued only in principal amounts of $1,000 each or integral multiples of $1,000.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Personal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Payment and Transfer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Exchange, Registration and Transfer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register the transfer of or exchange any debt security called for redemption or repurchase, except the unredeemed portion of any debt security we are redeeming or repurchasing in part.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Provisions Relating only to the Senior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Provisions Relating only to the Subordinated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Subordinated Debt Securities Subordinated to Senior Indebtedness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Payment Blockages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indenture will provide that no payment of principal, interest and any premium on the subordinated debt securities may be made in the event: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we or our property is involved in any voluntary or involuntary liquidation or bankruptcy;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No Limitation on Amount of Senior Debt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indenture will not limit the amount of Senior Indebtedness that Plains All American Pipeline may incur, unless otherwise indicated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Book Entry, Delivery and Form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Beneficial interests in global debt securities will be shown on, and transfers of global debt securities will be made only through, records maintained by DTC and its participants.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 is owned by a number of its Direct Participants and by the New York Stock Exchange, Inc., The American Stock Exchange, Inc. and the National Association of Securities Dealers, Inc.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securities represented by a global debt security will be exchangeable for certificated debt securities with the same terms in authorized denominations only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6"/>
        <w:gridCol w:w="9521"/>
      </w:tblGrid>
      <w:tr>
        <w:trPr/>
        <w:tc>
          <w:tcPr>
            <w:tcW w:w="40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DTC notifies us that it is unwilling or unable to continue as depositary or if DTC ceases to be a clearing agency registered under applicable law and in either event a successor depositary is not appointed by us within 90 days;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we determine not to require all of the debt securities of a series to be represented by a global debt security.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Satisfaction and Discharge; Defeasance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be discharged and will cease to be of further effect as to all outstanding debt securities of any series issued thereunder, when: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either: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we have paid or caused to be paid all other sums payable by us under the indenture;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we have delivered an officers certificate and an opinion of counsel to the Trustee stating that all conditions precedent to satisfaction and discharge have been satisfied.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of a particular series will be subject to legal or covenant defeasance to the extent, and upon the terms and conditions, set forth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Wachovia Bank N.A. will be the initial Trustee under each indenture. We maintain a banking relation in the ordinary course of business with Wachovia Bank N.A. and some of its affiliates.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Trustee if it is a Creditor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Certificates and Opinions to be Furnished to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and all of the debt securities will be governed by the laws of the State of New York. </w:t>
      </w:r>
    </w:p>
    <w:p>
      <w:pPr>
        <w:pStyle w:val="TextBody"/>
        <w:spacing w:before="360" w:after="283"/>
        <w:rPr/>
      </w:pPr>
      <w:bookmarkStart w:id="19" w:name="117"/>
      <w:bookmarkEnd w:id="1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outstanding common units are listed on the NYSE under the symbol PAA. Any additional common units we issue will also be listed on the NYSE.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transfer agent and registrar for our common units is American Stock Transfer &amp; Trust Company.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Meetings/Voting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holder of common units is entitled to one vote for each common unit on all matters submitted to a vote of the unitholders.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Status as Limited Partner or Assignee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described below under  Limited Liability, the common units will be fully paid, and unitholders will not be required to make additional capital contributions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Reports and Records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limited partner can, for a purpose reasonably related to the limited partners interest as a limited partner, upon reasonable demand and at his own expense, have furnished to him: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current list of the name and last known address of each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copy of our tax returns;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as to the amount of cash and a description and statement of the agreed value of any other property or services, contributed or to be contributed by each partner and the date on which each became a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copies of our partnership agreement, our certificate of limited partnership, amendments to either of them and powers of attorney which have been executed under our partnership agreement;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regarding the status of our business and financial condition;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information regarding our affairs as is just and reasonable.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20" w:name="118"/>
      <w:bookmarkEnd w:id="2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CASH DISTRIBUTION POLICY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We will distribute to our unitholders, on a quarterly basis, all of our available cash in the manner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Available Cash.</w:t>
      </w:r>
      <w:r>
        <w:rPr>
          <w:rFonts w:ascii="Times New Roman;Times" w:hAnsi="Times New Roman;Times"/>
          <w:color w:val="000000"/>
          <w:sz w:val="17"/>
          <w:highlight w:val="white"/>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for the proper conduct of our business;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comply with applicable law or any partnership debt instrument or other agreement;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funds for distributions to unitholders and the general partner in respect of any one or more of the next four quarters.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Operating Surplus and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Operating Surplus.</w:t>
      </w:r>
      <w:r>
        <w:rPr>
          <w:rFonts w:ascii="Times New Roman;Times" w:hAnsi="Times New Roman;Times"/>
          <w:color w:val="000000"/>
          <w:sz w:val="17"/>
          <w:highlight w:val="white"/>
        </w:rPr>
        <w:t xml:space="preserve">  Operating surplus refers generally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cash balances on the closing date of our initial public offering; plus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$25 million; plus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all of our cash receipts from operations, excluding cash that is capital surplus; less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Capital Surplus.</w:t>
      </w:r>
      <w:r>
        <w:rPr>
          <w:rFonts w:ascii="Times New Roman;Times" w:hAnsi="Times New Roman;Times"/>
          <w:color w:val="000000"/>
          <w:sz w:val="17"/>
          <w:highlight w:val="white"/>
        </w:rPr>
        <w:t xml:space="preserve">  Capital surplus will generally be generated only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borrowings other than working capital borrowings;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of debt and equity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or other dispositions of assets for cash, other than inventory, accounts receivable and other assets in the ordinary course of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Effect of Issuance of Additional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Quarterly 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Operating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distributions of available cash from operating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4"/>
        <w:gridCol w:w="9537"/>
      </w:tblGrid>
      <w:tr>
        <w:trPr/>
        <w:tc>
          <w:tcPr>
            <w:tcW w:w="40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98% to all unitholders, pro rata, and 2% to the general partner, until we distribute for each unit an amount equal to the minimum quarterly distribution for that quarter;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in the manner described in  Incentive Distributions below.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2"/>
        <w:gridCol w:w="9537"/>
      </w:tblGrid>
      <w:tr>
        <w:trPr/>
        <w:tc>
          <w:tcPr>
            <w:tcW w:w="4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85% to all unitholders, pro rata, and 15% to the general partner, until each unitholder receives a total of $0.495 for that quarter for each outstanding unit (the first target distribution);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Second, 75% to all unitholders, pro rata, and 25% to the general partner, until each unitholder receives a total of $0.675 for that quarter for each outstanding unit (the second target distribution);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50% to all unitholders, pro rata, and 50%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Distributions from Capital Surplus Will Be Made.</w:t>
      </w:r>
      <w:r>
        <w:rPr>
          <w:rFonts w:ascii="Times New Roman;Times" w:hAnsi="Times New Roman;Times"/>
          <w:color w:val="000000"/>
          <w:sz w:val="17"/>
          <w:highlight w:val="white"/>
        </w:rPr>
        <w:t xml:space="preserve">  We will make distributions of available cash from capital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Thereafter, we will make all distributions of available cash from capital surplus as if they were from operating surplus.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Effect of a Distribution from Capital Surplus.</w:t>
      </w:r>
      <w:r>
        <w:rPr>
          <w:rFonts w:ascii="Times New Roman;Times" w:hAnsi="Times New Roman;Times"/>
          <w:color w:val="000000"/>
          <w:sz w:val="17"/>
          <w:highlight w:val="white"/>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When Payback Occurs.</w:t>
      </w:r>
      <w:r>
        <w:rPr>
          <w:rFonts w:ascii="Times New Roman;Times" w:hAnsi="Times New Roman;Times"/>
          <w:color w:val="000000"/>
          <w:sz w:val="17"/>
          <w:highlight w:val="white"/>
        </w:rPr>
        <w:t xml:space="preserve">  When payback of the reduced initial unit price has occurred, i.e., when the unrecovered capital of the common units is zero, then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minimum quarterly distribution and the target distribution levels will be reduced to zero for subsequent quarters;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distributions of available cash will be treated as operating surplus;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general partner will be entitled to receive 50% of distributions of available cash in its capacities as general partner and as holder of the incentive distribution rights.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Distributions of available cash from capital surplus will not reduce the minimum quarterly distribution or target distribution levels for the quarter in which they are distributed.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Adjustment to the Minimum Quarterly Distribution and Target Distribution Levels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We Adjust the Minimum Quarterly Distribution and Target Distribution Levels.</w:t>
      </w:r>
      <w:r>
        <w:rPr>
          <w:rFonts w:ascii="Times New Roman;Times" w:hAnsi="Times New Roman;Times"/>
          <w:color w:val="000000"/>
          <w:sz w:val="17"/>
          <w:highlight w:val="white"/>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minimum quarterly distribution;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target distribution levels;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unrecovered capital;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other amounts calculated on a per unit basis.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If We Became Subject to Taxation.</w:t>
      </w:r>
      <w:r>
        <w:rPr>
          <w:rFonts w:ascii="Times New Roman;Times" w:hAnsi="Times New Roman;Times"/>
          <w:color w:val="000000"/>
          <w:sz w:val="17"/>
          <w:highlight w:val="white"/>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 of Cash Upon Liquidation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If we dissolve and liquidate, we will sell our assets or otherwise dispose of our assets and we will adjust the partners capital account balances to show any resulting gain or loss. We will first apply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Manner of Adjustment.</w:t>
      </w:r>
      <w:r>
        <w:rPr>
          <w:rFonts w:ascii="Times New Roman;Times" w:hAnsi="Times New Roman;Times"/>
          <w:color w:val="000000"/>
          <w:sz w:val="17"/>
          <w:highlight w:val="white"/>
        </w:rPr>
        <w:t xml:space="preserve">  If we liquidate, we would allocate any loss to the general partner and each unitholder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Thereafter, 100%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Interim Adjustments to Capital Accounts.</w:t>
      </w:r>
      <w:r>
        <w:rPr>
          <w:rFonts w:ascii="Times New Roman;Times" w:hAnsi="Times New Roman;Times"/>
          <w:color w:val="000000"/>
          <w:sz w:val="17"/>
          <w:highlight w:val="white"/>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360" w:after="283"/>
        <w:rPr/>
      </w:pPr>
      <w:bookmarkStart w:id="21" w:name="119"/>
      <w:bookmarkEnd w:id="2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provisions of our partnership agreement. The following provisions of our partnership agreement are summarized elsewhere in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70"/>
        <w:gridCol w:w="9534"/>
      </w:tblGrid>
      <w:tr>
        <w:trPr/>
        <w:tc>
          <w:tcPr>
            <w:tcW w:w="40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distributions of our available cash are described under Cash Distribution Policy;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allocations of taxable income and other tax matters are described under Tax Considerations; and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rights of holders of common units are described under Description of Our Common Units.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Power of Attorney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Reimbursements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Issuance of Additional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Amendments to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or Removal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Liquidation and Distribution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first, towards the payment of all of our creditors and the creation of a reserve for contingent liabilities;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then, to all partners in accordance with the positive balance in the respective capital accounts.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Change of Management Provisions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contains the following specific provisions that are intended to discourage a person or group from attempting to remove our general partner or otherwise change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Call Right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Indemnification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360" w:after="283"/>
        <w:rPr/>
      </w:pPr>
      <w:bookmarkStart w:id="22" w:name="120"/>
      <w:bookmarkEnd w:id="2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reasons described below, counsel has not rendered an opinion with respect to the following specific federal income tax issues: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treatment of a unitholder whose common units are loaned to a short seller to cover a short sale of common units (please read  Tax Consequences of Unit Ownership  Treatment of Short Sales);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whether our monthly convention for allocating taxable income and losses is permitted by existing Treasury Regulations (please read  Disposition of Common Units  Allocations Between Transferors and Transferees);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whether our method for depreciating Section 743 adjustments is sustainable (please read  Tax Consequences of Unit Ownership  Section 754 Election).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Partnership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rendering its opinion, counsel has relied on factual representations made by us and the general partner. The representations made by us and our general partner upon which counsel has relied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neither we nor the operating partnerships will elect to be treated as a corporation;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for each taxable year, more than 90% of our gross income will be income from sources that our counsel has opined or will opine is qualifying income within the meaning of Section 7704(d)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discussion below is based on the conclusion that we will be classified as a partnership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Partner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Unitholders who have become limited partners of Plains All American Pipeline will be treated as partners of Plains All American Pipeline for federal income tax purposes. Also: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assignees who have executed and delivered transfer applications, and are awaiting admission as limited partners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beneficial owner of common units whose units have been transferred to a short seller to complete a short sale would appear to lose his status as a partner with respect to those units for federal income tax purposes. Please read  Tax Consequences of Unit Ownership  Treatment of Short Sales.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Unit Ownership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Flow-through of Taxable Income.</w:t>
      </w:r>
      <w:r>
        <w:rPr>
          <w:rFonts w:ascii="Times New Roman;Times" w:hAnsi="Times New Roman;Times"/>
          <w:color w:val="000000"/>
          <w:sz w:val="17"/>
          <w:highlight w:val="white"/>
        </w:rPr>
        <w:t xml:space="preserve">  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Distributions.</w:t>
      </w:r>
      <w:r>
        <w:rPr>
          <w:rFonts w:ascii="Times New Roman;Times" w:hAnsi="Times New Roman;Times"/>
          <w:color w:val="000000"/>
          <w:sz w:val="17"/>
          <w:highlight w:val="white"/>
        </w:rPr>
        <w:t xml:space="preserve">  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Basis of Common Units.</w:t>
      </w:r>
      <w:r>
        <w:rPr>
          <w:rFonts w:ascii="Times New Roman;Times" w:hAnsi="Times New Roman;Times"/>
          <w:color w:val="000000"/>
          <w:sz w:val="17"/>
          <w:highlight w:val="white"/>
        </w:rPr>
        <w:t xml:space="preserve">  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Deductibility of Losses.</w:t>
      </w:r>
      <w:r>
        <w:rPr>
          <w:rFonts w:ascii="Times New Roman;Times" w:hAnsi="Times New Roman;Times"/>
          <w:color w:val="000000"/>
          <w:sz w:val="17"/>
          <w:highlight w:val="white"/>
        </w:rPr>
        <w:t xml:space="preserve">  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Interest Deductions.</w:t>
      </w:r>
      <w:r>
        <w:rPr>
          <w:rFonts w:ascii="Times New Roman;Times" w:hAnsi="Times New Roman;Times"/>
          <w:color w:val="000000"/>
          <w:sz w:val="17"/>
          <w:highlight w:val="white"/>
        </w:rPr>
        <w:t xml:space="preserve">  The deductibility of a non-corporate taxpayers investment interest expense is generally limited to the amount of that taxpayers net investment income. Investment interest expense includes: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interest on indebtedness properly allocable to property held for investment;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interest expense attributed to portfolio income;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the portion of interest expense incurred to purchase or carry an interest in a passive activity to the extent attributable to portfolio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Entity-Level Collections.</w:t>
      </w:r>
      <w:r>
        <w:rPr>
          <w:rFonts w:ascii="Times New Roman;Times" w:hAnsi="Times New Roman;Times"/>
          <w:color w:val="000000"/>
          <w:sz w:val="17"/>
          <w:highlight w:val="white"/>
        </w:rPr>
        <w:t xml:space="preserve">  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 of Income, Gain, Loss and Deduction.</w:t>
      </w:r>
      <w:r>
        <w:rPr>
          <w:rFonts w:ascii="Times New Roman;Times" w:hAnsi="Times New Roman;Times"/>
          <w:color w:val="000000"/>
          <w:sz w:val="17"/>
          <w:highlight w:val="white"/>
        </w:rPr>
        <w:t xml:space="preserve">  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Counsel is of the opinion that, with the exception of the issues described in  Tax Consequences of Unit Ownership  Section 754 Election and  Disposition of Common Units  Allocations Between Transferors and Transferees, respectively, allocations under our partnership agreement will be given effect for federal income tax purposes in determining a partners share of an item of income, gain, loss or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Short Sales.</w:t>
      </w:r>
      <w:r>
        <w:rPr>
          <w:rFonts w:ascii="Times New Roman;Times" w:hAnsi="Times New Roman;Times"/>
          <w:color w:val="000000"/>
          <w:sz w:val="17"/>
          <w:highlight w:val="white"/>
        </w:rPr>
        <w:t xml:space="preserve">  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of our income, gain, loss or deduction with respect to those units would not be reportable by the unitholder;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cash distributions received by the unitholder for those units would be fully taxable;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of these distributions would appear to be ordinary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Alternative Minimum Tax.</w:t>
      </w:r>
      <w:r>
        <w:rPr>
          <w:rFonts w:ascii="Times New Roman;Times" w:hAnsi="Times New Roman;Times"/>
          <w:color w:val="000000"/>
          <w:sz w:val="17"/>
          <w:highlight w:val="white"/>
        </w:rPr>
        <w:t xml:space="preserve">  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Tax Rates.</w:t>
      </w:r>
      <w:r>
        <w:rPr>
          <w:rFonts w:ascii="Times New Roman;Times" w:hAnsi="Times New Roman;Times"/>
          <w:color w:val="000000"/>
          <w:sz w:val="17"/>
          <w:highlight w:val="white"/>
        </w:rPr>
        <w:t xml:space="preserve">  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Section 754 Election.</w:t>
      </w:r>
      <w:r>
        <w:rPr>
          <w:rFonts w:ascii="Times New Roman;Times" w:hAnsi="Times New Roman;Times"/>
          <w:color w:val="000000"/>
          <w:sz w:val="17"/>
          <w:highlight w:val="white"/>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position to preserve the uniformity of units even if that position is not consistent with these Treasury Regulations. Please read  Tax Treatment of Operations and 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Treatment of Operations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Accounting Method and Taxable Year.</w:t>
      </w:r>
      <w:r>
        <w:rPr>
          <w:rFonts w:ascii="Times New Roman;Times" w:hAnsi="Times New Roman;Times"/>
          <w:color w:val="000000"/>
          <w:sz w:val="17"/>
          <w:highlight w:val="white"/>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 Disposition of Common Units  Allocations Between Transferors and Transferees.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Initial Tax Basis, Depreciation and Amortization.</w:t>
      </w:r>
      <w:r>
        <w:rPr>
          <w:rFonts w:ascii="Times New Roman;Times" w:hAnsi="Times New Roman;Times"/>
          <w:color w:val="000000"/>
          <w:sz w:val="17"/>
          <w:highlight w:val="white"/>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prior to this offering. Please read  Tax Consequences of Unit Ownership  Allocation of Income, Gain, Loss and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 Tax Consequences of Unit Ownership  Allocation of Income, Gain, Loss and Deduction and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Valuation and Tax Basis of Our Properties.</w:t>
      </w:r>
      <w:r>
        <w:rPr>
          <w:rFonts w:ascii="Times New Roman;Times" w:hAnsi="Times New Roman;Times"/>
          <w:color w:val="000000"/>
          <w:sz w:val="17"/>
          <w:highlight w:val="white"/>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Disposition of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Recognition of Gain or Loss.</w:t>
      </w:r>
      <w:r>
        <w:rPr>
          <w:rFonts w:ascii="Times New Roman;Times" w:hAnsi="Times New Roman;Times"/>
          <w:color w:val="000000"/>
          <w:sz w:val="17"/>
          <w:highlight w:val="white"/>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and a capital loss upon a sale of units. Capital losses may offset capital gains and no more than $3,000 of ordinary income in the case of individuals, and may only be used to offset capital gains in the case of corporations.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short 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futures or forward contract with respect to the partnership interest or substantially identical property.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Allocations Between Transferors and Transferees.</w:t>
      </w:r>
      <w:r>
        <w:rPr>
          <w:rFonts w:ascii="Times New Roman;Times" w:hAnsi="Times New Roman;Times"/>
          <w:color w:val="000000"/>
          <w:sz w:val="17"/>
          <w:highlight w:val="white"/>
        </w:rPr>
        <w:t xml:space="preserve">  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Notification Requirements.</w:t>
      </w:r>
      <w:r>
        <w:rPr>
          <w:rFonts w:ascii="Times New Roman;Times" w:hAnsi="Times New Roman;Times"/>
          <w:color w:val="000000"/>
          <w:sz w:val="17"/>
          <w:highlight w:val="white"/>
        </w:rPr>
        <w:t xml:space="preserve">  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Constructive Termination.</w:t>
      </w:r>
      <w:r>
        <w:rPr>
          <w:rFonts w:ascii="Times New Roman;Times" w:hAnsi="Times New Roman;Times"/>
          <w:color w:val="000000"/>
          <w:sz w:val="17"/>
          <w:highlight w:val="white"/>
        </w:rPr>
        <w:t xml:space="preserve">  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Uniformity of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 Tax Consequences of Unit Ownership  Section 754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 Disposition of Common Units  Recognition of Gain or Loss.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Tax-Exempt Organizations and Other Investors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Administrative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Information Returns and Audit Procedures.</w:t>
      </w:r>
      <w:r>
        <w:rPr>
          <w:rFonts w:ascii="Times New Roman;Times" w:hAnsi="Times New Roman;Times"/>
          <w:color w:val="000000"/>
          <w:sz w:val="17"/>
          <w:highlight w:val="white"/>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Nominee Reporting.</w:t>
      </w:r>
      <w:r>
        <w:rPr>
          <w:rFonts w:ascii="Times New Roman;Times" w:hAnsi="Times New Roman;Times"/>
          <w:color w:val="000000"/>
          <w:sz w:val="17"/>
          <w:highlight w:val="white"/>
        </w:rPr>
        <w:t xml:space="preserve">  Persons who hold an interest in us as a nominee for another person are required to furnish to 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4"/>
        <w:gridCol w:w="9537"/>
      </w:tblGrid>
      <w:tr>
        <w:trPr/>
        <w:tc>
          <w:tcPr>
            <w:tcW w:w="40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name, address and taxpayer identification number of the beneficial owner and the nominee;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whether the beneficial owner is a person that is not a United States person,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foreign government, an international organization or any wholly owned agency or instrumentality of either of the foregoing,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tax-exempt entity;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amount and description of units held, acquired or transferred for the beneficial owner;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Accuracy-related Penalties.</w:t>
      </w:r>
      <w:r>
        <w:rPr>
          <w:rFonts w:ascii="Times New Roman;Times" w:hAnsi="Times New Roman;Times"/>
          <w:color w:val="000000"/>
          <w:sz w:val="17"/>
          <w:highlight w:val="white"/>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understatement of income tax in any taxable year exists if the amount of the understatement exceeds the greater of 10% of the tax required to be shown on the return for the taxable year or $5,000.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amount of any understatement subject to penalty generally is reduced if any portion is attributable to a position adopted on the return: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6"/>
        <w:gridCol w:w="9531"/>
      </w:tblGrid>
      <w:tr>
        <w:trPr/>
        <w:tc>
          <w:tcPr>
            <w:tcW w:w="4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for which there is, or was, substantial authority,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as to which there is a reasonable basis and the pertinent facts of that position are disclosed on the return.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Reportable Transactions.</w:t>
      </w:r>
      <w:r>
        <w:rPr>
          <w:rFonts w:ascii="Times New Roman;Times" w:hAnsi="Times New Roman;Times"/>
          <w:color w:val="000000"/>
          <w:sz w:val="17"/>
          <w:highlight w:val="white"/>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 Information Returns and Audit Procedures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2"/>
        <w:gridCol w:w="9547"/>
      </w:tblGrid>
      <w:tr>
        <w:trPr/>
        <w:tc>
          <w:tcPr>
            <w:tcW w:w="39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accuracy-related penalties with a broader scope, significantly narrower exceptions, and potentially greater amounts than described above at  Accuracy-related Penalties,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for those persons otherwise entitled to deduct interest on federal tax deficiencies, nondeductibility of interest on any resulting tax liability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 the case of a listed transaction, an extended statute of limitations.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expect to engage in any reportable transactions.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State, Local and Other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purposes of determining the amount distributed by us. Please read  Tax Consequences of Unit Ownership. We may also own additional property or do business in other states in the future.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Ownership of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r>
        <w:rPr>
          <w:rFonts w:ascii="Times New Roman;Times" w:hAnsi="Times New Roman;Times"/>
          <w:color w:val="000000"/>
          <w:sz w:val="17"/>
          <w:highlight w:val="white"/>
        </w:rPr>
        <w:t xml:space="preserve"> </w:t>
      </w:r>
    </w:p>
    <w:p>
      <w:pPr>
        <w:pStyle w:val="TextBody"/>
        <w:spacing w:before="360" w:after="283"/>
        <w:rPr/>
      </w:pPr>
      <w:bookmarkStart w:id="23" w:name="121"/>
      <w:bookmarkEnd w:id="2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this prospectus, we intend to offer our securities to the public: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one or more broker-dealers;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underwriters;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directly to investors.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fix a price or prices of our securities at: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at market prices prevailing at the time of any sale under this registration statement;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prices related to market prices;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negotiated prices.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change the price of the securities offered from time to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or through one or more transactions (which may involve crosses and block transactions) or distributions;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on the New York Stock Exchange;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private transactions.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this prospectus may be amended or supplemented from time to time to describe a specific plan of distribution.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360" w:after="283"/>
        <w:rPr/>
      </w:pPr>
      <w:bookmarkStart w:id="24" w:name="122"/>
      <w:bookmarkEnd w:id="2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Vinson &amp; Elkins L.L.P., Houston, Texas, will pass upon the validity of the securities offered in this registration statement. </w:t>
      </w:r>
    </w:p>
    <w:p>
      <w:pPr>
        <w:pStyle w:val="TextBody"/>
        <w:spacing w:before="360" w:after="283"/>
        <w:rPr/>
      </w:pPr>
      <w:bookmarkStart w:id="25" w:name="123"/>
      <w:bookmarkEnd w:id="2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shd w:fill="FFFFFF" w:val="clear"/>
        <w:spacing w:before="0" w:after="283"/>
        <w:jc w:val="center"/>
        <w:rPr>
          <w:rFonts w:ascii="Times New Roman;Times" w:hAnsi="Times New Roman;Times"/>
          <w:color w:val="000000"/>
          <w:sz w:val="17"/>
        </w:rPr>
      </w:pPr>
      <w:r>
        <w:rPr>
          <w:rFonts w:ascii="Times New Roman;Times" w:hAnsi="Times New Roman;Times"/>
          <w:color w:val="000000"/>
          <w:sz w:val="17"/>
        </w:rPr>
        <w:br/>
        <w:t xml:space="preserve">43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54</Pages>
  <Words>30372</Words>
  <CharactersWithSpaces>188425</CharactersWithSpaces>
  <Paragraphs>2379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e424b3</dc:title>
</cp:coreProperties>
</file>