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15,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4"/>
          <w:szCs w:val="24"/>
          <w:color w:val="auto"/>
        </w:rPr>
      </w:pPr>
    </w:p>
    <w:p>
      <w:pPr>
        <w:ind w:firstLine="324"/>
        <w:spacing w:after="0" w:line="291" w:lineRule="auto"/>
        <w:rPr>
          <w:sz w:val="20"/>
          <w:szCs w:val="20"/>
          <w:color w:val="auto"/>
        </w:rPr>
      </w:pPr>
      <w:r>
        <w:rPr>
          <w:rFonts w:ascii="Arial" w:cs="Arial" w:eastAsia="Arial" w:hAnsi="Arial"/>
          <w:sz w:val="16"/>
          <w:szCs w:val="16"/>
          <w:color w:val="auto"/>
        </w:rPr>
        <w:t>The 2018 annual meeting of Common unitholders (other than Plains AAP, L.P.) and Series A Convertible Preferred unitholders (collectively, the “Eligible Unitholders”) of Plains All American Pipeline, L.P. (“PAA” or the “Partnership”) was held on May 15, 2018. At the annual meeting, the Eligible Unitholders considered and voted on how to instruct PAA to vote the Class C shares of Plains GP Holdings, L.P. (“PAGP”) that PAA owns at PAGP’s annual meeting with respect to the following matters: (i) the election of two Class III directors to serve on the board of directors of PAA GP Holdings LLC until the 2021 annual meeting; (ii) the ratification of the appointment of PricewaterhouseCoopers LLP as PAGP’s and PAA’s independent registered public accounting firm for the fiscal year ending December 31, 2018; (iii) the approval, on a non-binding advisory basis, of our named executive officer compensation; and (iv) a non-binding advisory vote on the frequency with which future advisory votes to approve our named executive officer compensation should be held.</w:t>
      </w:r>
    </w:p>
    <w:p>
      <w:pPr>
        <w:spacing w:after="0" w:line="16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voting results for each matter presented at the PAA annual meeting were as follows:</w:t>
      </w:r>
    </w:p>
    <w:p>
      <w:pPr>
        <w:spacing w:after="0" w:line="225" w:lineRule="exact"/>
        <w:rPr>
          <w:sz w:val="24"/>
          <w:szCs w:val="24"/>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III directors to serve on the board of directors of PAA GP Holdings LLC until the 2021 annual meeting.</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Nominees</w:t>
            </w:r>
          </w:p>
        </w:tc>
        <w:tc>
          <w:tcPr>
            <w:tcW w:w="2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w:t>
            </w:r>
          </w:p>
        </w:tc>
        <w:tc>
          <w:tcPr>
            <w:tcW w:w="2920" w:type="dxa"/>
            <w:vAlign w:val="bottom"/>
            <w:gridSpan w:val="2"/>
          </w:tcPr>
          <w:p>
            <w:pPr>
              <w:ind w:left="1040"/>
              <w:spacing w:after="0"/>
              <w:rPr>
                <w:sz w:val="20"/>
                <w:szCs w:val="20"/>
                <w:color w:val="auto"/>
              </w:rPr>
            </w:pPr>
            <w:r>
              <w:rPr>
                <w:rFonts w:ascii="Arial" w:cs="Arial" w:eastAsia="Arial" w:hAnsi="Arial"/>
                <w:sz w:val="14"/>
                <w:szCs w:val="14"/>
                <w:b w:val="1"/>
                <w:bCs w:val="1"/>
                <w:color w:val="auto"/>
              </w:rPr>
              <w:t>Withheld</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Bobby S. Shackouls</w:t>
            </w:r>
          </w:p>
        </w:tc>
        <w:tc>
          <w:tcPr>
            <w:tcW w:w="3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231,124,434</w:t>
            </w:r>
          </w:p>
        </w:tc>
        <w:tc>
          <w:tcPr>
            <w:tcW w:w="2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rPr>
              <w:t>130,184,042</w:t>
            </w:r>
          </w:p>
        </w:tc>
        <w:tc>
          <w:tcPr>
            <w:tcW w:w="2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103,318,456</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Christopher M. Temple</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272,000,010</w:t>
            </w:r>
          </w:p>
        </w:tc>
        <w:tc>
          <w:tcPr>
            <w:tcW w:w="280" w:type="dxa"/>
            <w:vAlign w:val="bottom"/>
          </w:tcPr>
          <w:p>
            <w:pPr>
              <w:spacing w:after="0"/>
              <w:rPr>
                <w:sz w:val="20"/>
                <w:szCs w:val="20"/>
                <w:color w:val="auto"/>
              </w:rPr>
            </w:pP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89,308,466</w:t>
            </w:r>
          </w:p>
        </w:tc>
        <w:tc>
          <w:tcPr>
            <w:tcW w:w="2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103,318,456</w:t>
            </w:r>
          </w:p>
        </w:tc>
      </w:tr>
    </w:tbl>
    <w:p>
      <w:pPr>
        <w:spacing w:after="0" w:line="187" w:lineRule="exact"/>
        <w:rPr>
          <w:sz w:val="24"/>
          <w:szCs w:val="24"/>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PAA’s independent registered public accounting firm for the fiscal year ending December 31, 2018.</w:t>
      </w:r>
    </w:p>
    <w:p>
      <w:pPr>
        <w:sectPr>
          <w:pgSz w:w="11900" w:h="16838" w:orient="portrait"/>
          <w:cols w:equalWidth="0" w:num="1">
            <w:col w:w="11420"/>
          </w:cols>
          <w:pgMar w:left="240" w:top="54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2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Abstained</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66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453,944,086</w:t>
            </w:r>
          </w:p>
        </w:tc>
        <w:tc>
          <w:tcPr>
            <w:tcW w:w="3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9,048,130</w:t>
            </w:r>
          </w:p>
        </w:tc>
        <w:tc>
          <w:tcPr>
            <w:tcW w:w="2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1,634,716</w:t>
            </w:r>
          </w:p>
        </w:tc>
        <w:tc>
          <w:tcPr>
            <w:tcW w:w="2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Against</w:t>
            </w:r>
          </w:p>
        </w:tc>
        <w:tc>
          <w:tcPr>
            <w:tcW w:w="2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Abstained</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6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312,382,319</w:t>
            </w:r>
          </w:p>
        </w:tc>
        <w:tc>
          <w:tcPr>
            <w:tcW w:w="3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46,117,817</w:t>
            </w:r>
          </w:p>
        </w:tc>
        <w:tc>
          <w:tcPr>
            <w:tcW w:w="2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2,809,039</w:t>
            </w:r>
          </w:p>
        </w:tc>
        <w:tc>
          <w:tcPr>
            <w:tcW w:w="2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103,317,757</w:t>
            </w:r>
          </w:p>
        </w:tc>
      </w:tr>
    </w:tbl>
    <w:p>
      <w:pPr>
        <w:spacing w:after="0" w:line="202" w:lineRule="exact"/>
        <w:rPr>
          <w:sz w:val="20"/>
          <w:szCs w:val="20"/>
          <w:color w:val="auto"/>
        </w:rPr>
      </w:pPr>
    </w:p>
    <w:p>
      <w:pPr>
        <w:ind w:left="980" w:right="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non-binding advisory vote on the frequency with which future advisory votes to approve our named executive officer compensation should be held.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Every 1 Year</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Every 2 Years</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Every 3 Years</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Abstained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350,054,043</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7,554,462</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1,725,031</w:t>
            </w: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1,975,638</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103,317,758</w:t>
            </w: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Consistent with the voting results on proposal no. 4, the board of directors of PAA GP Holdings LLC has determined that the Partnership will hold future advisory votes to approve our named executive officer compensation every year until the next required advisory vote on the frequency of advisory votes to approve named executive officer compensation, which shall be not later than the 2024 annual meeting.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0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17, 2018</w:t>
            </w: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40" w:type="dxa"/>
            <w:vAlign w:val="bottom"/>
          </w:tcPr>
          <w:p>
            <w:pPr>
              <w:spacing w:after="0"/>
              <w:rPr>
                <w:sz w:val="24"/>
                <w:szCs w:val="24"/>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40" w:type="dxa"/>
            <w:vAlign w:val="bottom"/>
          </w:tcPr>
          <w:p>
            <w:pPr>
              <w:spacing w:after="0"/>
              <w:rPr>
                <w:sz w:val="24"/>
                <w:szCs w:val="24"/>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540" w:type="dxa"/>
            <w:vAlign w:val="bottom"/>
          </w:tcPr>
          <w:p>
            <w:pPr>
              <w:spacing w:after="0"/>
              <w:rPr>
                <w:sz w:val="24"/>
                <w:szCs w:val="24"/>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2020-01-15T12:16:31Z</dcterms:created>
  <dcterms:modified xsi:type="dcterms:W3CDTF">2020-01-15T12:16:31Z</dcterms:modified>
</cp:coreProperties>
</file>