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333-184137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333-184137-01</w:t>
      </w:r>
    </w:p>
    <w:p>
      <w:pPr>
        <w:spacing w:after="0" w:line="139" w:lineRule="exact"/>
        <w:rPr>
          <w:sz w:val="24"/>
          <w:szCs w:val="24"/>
          <w:color w:val="auto"/>
        </w:rPr>
      </w:pPr>
    </w:p>
    <w:p>
      <w:pPr>
        <w:ind w:right="60"/>
        <w:spacing w:after="0" w:line="266"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DE1A1E"/>
        </w:rPr>
        <w:t>SUBJECT TO COMPLETION, DATED DECEMBER 2, 2014</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PRELIMINARY PROSPECTUS SUPPLEMENT</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September 27,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92710</wp:posOffset>
            </wp:positionV>
            <wp:extent cx="169799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Plains All American Pipeline, L.P.</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PAA Finance Corp.</w:t>
      </w:r>
    </w:p>
    <w:p>
      <w:pPr>
        <w:spacing w:after="0" w:line="82" w:lineRule="exact"/>
        <w:rPr>
          <w:sz w:val="24"/>
          <w:szCs w:val="24"/>
          <w:color w:val="auto"/>
        </w:rPr>
      </w:pPr>
    </w:p>
    <w:p>
      <w:pPr>
        <w:ind w:left="5020" w:hanging="1116"/>
        <w:spacing w:after="0"/>
        <w:tabs>
          <w:tab w:leader="none" w:pos="5020" w:val="left"/>
        </w:tabs>
        <w:numPr>
          <w:ilvl w:val="0"/>
          <w:numId w:val="1"/>
        </w:numPr>
        <w:rPr>
          <w:rFonts w:ascii="Arial" w:cs="Arial" w:eastAsia="Arial" w:hAnsi="Arial"/>
          <w:sz w:val="23"/>
          <w:szCs w:val="23"/>
          <w:b w:val="1"/>
          <w:bCs w:val="1"/>
          <w:color w:val="auto"/>
        </w:rPr>
      </w:pPr>
      <w:r>
        <w:rPr>
          <w:rFonts w:ascii="Arial" w:cs="Arial" w:eastAsia="Arial" w:hAnsi="Arial"/>
          <w:sz w:val="23"/>
          <w:szCs w:val="23"/>
          <w:b w:val="1"/>
          <w:bCs w:val="1"/>
          <w:color w:val="auto"/>
        </w:rPr>
        <w:t>% Senior Notes due 20</w:t>
      </w:r>
    </w:p>
    <w:p>
      <w:pPr>
        <w:spacing w:after="0" w:line="32" w:lineRule="exact"/>
        <w:rPr>
          <w:sz w:val="24"/>
          <w:szCs w:val="24"/>
          <w:color w:val="auto"/>
        </w:rPr>
      </w:pPr>
    </w:p>
    <w:p>
      <w:pPr>
        <w:ind w:left="5020" w:hanging="1116"/>
        <w:spacing w:after="0"/>
        <w:tabs>
          <w:tab w:leader="none" w:pos="5020" w:val="left"/>
        </w:tabs>
        <w:numPr>
          <w:ilvl w:val="0"/>
          <w:numId w:val="2"/>
        </w:numPr>
        <w:rPr>
          <w:rFonts w:ascii="Arial" w:cs="Arial" w:eastAsia="Arial" w:hAnsi="Arial"/>
          <w:sz w:val="23"/>
          <w:szCs w:val="23"/>
          <w:b w:val="1"/>
          <w:bCs w:val="1"/>
          <w:color w:val="auto"/>
        </w:rPr>
      </w:pPr>
      <w:r>
        <w:rPr>
          <w:rFonts w:ascii="Arial" w:cs="Arial" w:eastAsia="Arial" w:hAnsi="Arial"/>
          <w:sz w:val="23"/>
          <w:szCs w:val="23"/>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66" w:lineRule="exact"/>
        <w:rPr>
          <w:sz w:val="24"/>
          <w:szCs w:val="24"/>
          <w:color w:val="auto"/>
        </w:rPr>
      </w:pPr>
    </w:p>
    <w:p>
      <w:pPr>
        <w:ind w:firstLine="342"/>
        <w:spacing w:after="0" w:line="278" w:lineRule="auto"/>
        <w:rPr>
          <w:sz w:val="20"/>
          <w:szCs w:val="20"/>
          <w:color w:val="auto"/>
        </w:rPr>
      </w:pPr>
      <w:r>
        <w:rPr>
          <w:rFonts w:ascii="Arial" w:cs="Arial" w:eastAsia="Arial" w:hAnsi="Arial"/>
          <w:sz w:val="16"/>
          <w:szCs w:val="16"/>
          <w:color w:val="auto"/>
        </w:rPr>
        <w:t>Plains All American Pipeline, L.P. and PAA Finance Corp. are offering $ principal amount of % Senior Notes due 20 (the “20 Notes”) and $ together with the 20 Notes, the “Notes”).</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ind w:left="260"/>
        <w:spacing w:after="0"/>
        <w:tabs>
          <w:tab w:leader="none" w:pos="5060" w:val="left"/>
        </w:tabs>
        <w:rPr>
          <w:sz w:val="20"/>
          <w:szCs w:val="20"/>
          <w:color w:val="auto"/>
        </w:rPr>
      </w:pPr>
      <w:r>
        <w:rPr>
          <w:rFonts w:ascii="Arial" w:cs="Arial" w:eastAsia="Arial" w:hAnsi="Arial"/>
          <w:sz w:val="16"/>
          <w:szCs w:val="16"/>
          <w:color w:val="auto"/>
        </w:rPr>
        <w:t>million aggregate principal amount of debt securities, consisting of $</w:t>
      </w:r>
      <w:r>
        <w:rPr>
          <w:sz w:val="20"/>
          <w:szCs w:val="20"/>
          <w:color w:val="auto"/>
        </w:rPr>
        <w:tab/>
      </w:r>
      <w:r>
        <w:rPr>
          <w:rFonts w:ascii="Arial" w:cs="Arial" w:eastAsia="Arial" w:hAnsi="Arial"/>
          <w:sz w:val="14"/>
          <w:szCs w:val="14"/>
          <w:color w:val="auto"/>
        </w:rPr>
        <w:t>million aggregate</w:t>
      </w:r>
    </w:p>
    <w:p>
      <w:pPr>
        <w:spacing w:after="0" w:line="22" w:lineRule="exact"/>
        <w:rPr>
          <w:sz w:val="24"/>
          <w:szCs w:val="24"/>
          <w:color w:val="auto"/>
        </w:rPr>
      </w:pPr>
    </w:p>
    <w:p>
      <w:pPr>
        <w:spacing w:after="0"/>
        <w:tabs>
          <w:tab w:leader="none" w:pos="2640" w:val="left"/>
          <w:tab w:leader="none" w:pos="4340" w:val="left"/>
          <w:tab w:leader="none" w:pos="5060" w:val="left"/>
        </w:tabs>
        <w:rPr>
          <w:sz w:val="20"/>
          <w:szCs w:val="20"/>
          <w:color w:val="auto"/>
        </w:rPr>
      </w:pPr>
      <w:r>
        <w:rPr>
          <w:rFonts w:ascii="Arial" w:cs="Arial" w:eastAsia="Arial" w:hAnsi="Arial"/>
          <w:sz w:val="16"/>
          <w:szCs w:val="16"/>
          <w:color w:val="auto"/>
        </w:rPr>
        <w:t>million aggregate principal amount of</w:t>
        <w:tab/>
        <w:t>% Senior Notes due 20</w:t>
        <w:tab/>
        <w:t>(the “20</w:t>
      </w:r>
      <w:r>
        <w:rPr>
          <w:sz w:val="20"/>
          <w:szCs w:val="20"/>
          <w:color w:val="auto"/>
        </w:rPr>
        <w:tab/>
      </w:r>
      <w:r>
        <w:rPr>
          <w:rFonts w:ascii="Arial" w:cs="Arial" w:eastAsia="Arial" w:hAnsi="Arial"/>
          <w:sz w:val="15"/>
          <w:szCs w:val="15"/>
          <w:color w:val="auto"/>
        </w:rPr>
        <w:t>Notes” and,</w:t>
      </w:r>
    </w:p>
    <w:p>
      <w:pPr>
        <w:spacing w:after="0" w:line="324" w:lineRule="exact"/>
        <w:rPr>
          <w:sz w:val="24"/>
          <w:szCs w:val="24"/>
          <w:color w:val="auto"/>
        </w:rPr>
      </w:pPr>
    </w:p>
    <w:p>
      <w:pPr>
        <w:sectPr>
          <w:pgSz w:w="11900" w:h="16838" w:orient="portrait"/>
          <w:cols w:equalWidth="0" w:num="2">
            <w:col w:w="5080" w:space="100"/>
            <w:col w:w="6240"/>
          </w:cols>
          <w:pgMar w:left="240" w:top="230" w:right="239" w:bottom="1440" w:gutter="0" w:footer="0" w:header="0"/>
          <w:type w:val="continuous"/>
        </w:sectPr>
      </w:pPr>
    </w:p>
    <w:p>
      <w:pPr>
        <w:ind w:left="360"/>
        <w:spacing w:after="0"/>
        <w:tabs>
          <w:tab w:leader="none" w:pos="4860" w:val="left"/>
          <w:tab w:leader="none" w:pos="5660" w:val="left"/>
          <w:tab w:leader="none" w:pos="8240" w:val="left"/>
          <w:tab w:leader="none" w:pos="9380" w:val="left"/>
          <w:tab w:leader="none" w:pos="10680" w:val="left"/>
        </w:tabs>
        <w:rPr>
          <w:sz w:val="20"/>
          <w:szCs w:val="20"/>
          <w:color w:val="auto"/>
        </w:rPr>
      </w:pPr>
      <w:r>
        <w:rPr>
          <w:rFonts w:ascii="Arial" w:cs="Arial" w:eastAsia="Arial" w:hAnsi="Arial"/>
          <w:sz w:val="16"/>
          <w:szCs w:val="16"/>
          <w:color w:val="auto"/>
        </w:rPr>
        <w:t>We will pay interest on the Notes semi-annually in arrears on</w:t>
      </w:r>
      <w:r>
        <w:rPr>
          <w:sz w:val="20"/>
          <w:szCs w:val="20"/>
          <w:color w:val="auto"/>
        </w:rPr>
        <w:tab/>
      </w: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of each year, beginning on</w:t>
      </w:r>
      <w:r>
        <w:rPr>
          <w:sz w:val="20"/>
          <w:szCs w:val="20"/>
          <w:color w:val="auto"/>
        </w:rPr>
        <w:tab/>
      </w:r>
      <w:r>
        <w:rPr>
          <w:rFonts w:ascii="Arial" w:cs="Arial" w:eastAsia="Arial" w:hAnsi="Arial"/>
          <w:sz w:val="16"/>
          <w:szCs w:val="16"/>
          <w:color w:val="auto"/>
        </w:rPr>
        <w:t>, 2015. The 20</w:t>
        <w:tab/>
        <w:t>Notes and the 20</w:t>
      </w:r>
      <w:r>
        <w:rPr>
          <w:sz w:val="20"/>
          <w:szCs w:val="20"/>
          <w:color w:val="auto"/>
        </w:rPr>
        <w:tab/>
      </w:r>
      <w:r>
        <w:rPr>
          <w:rFonts w:ascii="Arial" w:cs="Arial" w:eastAsia="Arial" w:hAnsi="Arial"/>
          <w:sz w:val="15"/>
          <w:szCs w:val="15"/>
          <w:color w:val="auto"/>
        </w:rPr>
        <w:t>Notes will</w:t>
      </w:r>
    </w:p>
    <w:p>
      <w:pPr>
        <w:spacing w:after="0" w:line="22" w:lineRule="exact"/>
        <w:rPr>
          <w:sz w:val="24"/>
          <w:szCs w:val="24"/>
          <w:color w:val="auto"/>
        </w:rPr>
      </w:pPr>
    </w:p>
    <w:p>
      <w:pPr>
        <w:spacing w:after="0"/>
        <w:tabs>
          <w:tab w:leader="none" w:pos="1500" w:val="left"/>
          <w:tab w:leader="none" w:pos="1940" w:val="left"/>
          <w:tab w:leader="none" w:pos="3020" w:val="left"/>
          <w:tab w:leader="none" w:pos="3420" w:val="left"/>
        </w:tabs>
        <w:rPr>
          <w:sz w:val="20"/>
          <w:szCs w:val="20"/>
          <w:color w:val="auto"/>
        </w:rPr>
      </w:pPr>
      <w:r>
        <w:rPr>
          <w:rFonts w:ascii="Arial" w:cs="Arial" w:eastAsia="Arial" w:hAnsi="Arial"/>
          <w:sz w:val="16"/>
          <w:szCs w:val="16"/>
          <w:color w:val="auto"/>
        </w:rPr>
        <w:t>mature on</w:t>
      </w:r>
      <w:r>
        <w:rPr>
          <w:sz w:val="20"/>
          <w:szCs w:val="20"/>
          <w:color w:val="auto"/>
        </w:rPr>
        <w:tab/>
      </w:r>
      <w:r>
        <w:rPr>
          <w:rFonts w:ascii="Arial" w:cs="Arial" w:eastAsia="Arial" w:hAnsi="Arial"/>
          <w:sz w:val="16"/>
          <w:szCs w:val="16"/>
          <w:color w:val="auto"/>
        </w:rPr>
        <w:t>, 20</w:t>
        <w:tab/>
        <w:t>and</w:t>
      </w:r>
      <w:r>
        <w:rPr>
          <w:sz w:val="20"/>
          <w:szCs w:val="20"/>
          <w:color w:val="auto"/>
        </w:rPr>
        <w:tab/>
      </w:r>
      <w:r>
        <w:rPr>
          <w:rFonts w:ascii="Arial" w:cs="Arial" w:eastAsia="Arial" w:hAnsi="Arial"/>
          <w:sz w:val="16"/>
          <w:szCs w:val="16"/>
          <w:color w:val="auto"/>
        </w:rPr>
        <w:t>, 20</w:t>
      </w:r>
      <w:r>
        <w:rPr>
          <w:sz w:val="20"/>
          <w:szCs w:val="20"/>
          <w:color w:val="auto"/>
        </w:rPr>
        <w:tab/>
      </w:r>
      <w:r>
        <w:rPr>
          <w:rFonts w:ascii="Arial" w:cs="Arial" w:eastAsia="Arial" w:hAnsi="Arial"/>
          <w:sz w:val="14"/>
          <w:szCs w:val="14"/>
          <w:color w:val="auto"/>
        </w:rPr>
        <w:t>, respectively, unless redeemed prior to the maturity date.</w:t>
      </w:r>
    </w:p>
    <w:p>
      <w:pPr>
        <w:spacing w:after="0" w:line="123" w:lineRule="exact"/>
        <w:rPr>
          <w:sz w:val="24"/>
          <w:szCs w:val="24"/>
          <w:color w:val="auto"/>
        </w:rPr>
      </w:pPr>
    </w:p>
    <w:p>
      <w:pPr>
        <w:ind w:right="180" w:firstLine="342"/>
        <w:spacing w:after="0" w:line="293" w:lineRule="auto"/>
        <w:rPr>
          <w:sz w:val="20"/>
          <w:szCs w:val="20"/>
          <w:color w:val="auto"/>
        </w:rPr>
      </w:pPr>
      <w:r>
        <w:rPr>
          <w:rFonts w:ascii="Arial" w:cs="Arial" w:eastAsia="Arial" w:hAnsi="Arial"/>
          <w:sz w:val="16"/>
          <w:szCs w:val="16"/>
          <w:color w:val="auto"/>
        </w:rPr>
        <w:t>We may, at our option, redeem the Notes of either series at any time in whole or from time to time in part, prior to maturity, at the redemption prices as described herein under “Description of Notes—Optional Redemption.”</w:t>
      </w:r>
    </w:p>
    <w:p>
      <w:pPr>
        <w:spacing w:after="0" w:line="64" w:lineRule="exact"/>
        <w:rPr>
          <w:sz w:val="24"/>
          <w:szCs w:val="24"/>
          <w:color w:val="auto"/>
        </w:rPr>
      </w:pPr>
    </w:p>
    <w:p>
      <w:pPr>
        <w:ind w:right="20" w:firstLine="342"/>
        <w:spacing w:after="0" w:line="293" w:lineRule="auto"/>
        <w:rPr>
          <w:sz w:val="20"/>
          <w:szCs w:val="20"/>
          <w:color w:val="auto"/>
        </w:rPr>
      </w:pPr>
      <w:r>
        <w:rPr>
          <w:rFonts w:ascii="Arial" w:cs="Arial" w:eastAsia="Arial" w:hAnsi="Arial"/>
          <w:sz w:val="16"/>
          <w:szCs w:val="16"/>
          <w:color w:val="auto"/>
        </w:rPr>
        <w:t>The Notes will be the unsecured senior obligations of Plains All American Pipeline, L.P. and PAA Finance Corp. and will rank equally in right of payment with their other senior indebtedness from time to time outstanding.</w:t>
      </w:r>
    </w:p>
    <w:p>
      <w:pPr>
        <w:spacing w:after="0" w:line="64" w:lineRule="exact"/>
        <w:rPr>
          <w:sz w:val="24"/>
          <w:szCs w:val="24"/>
          <w:color w:val="auto"/>
        </w:rPr>
      </w:pPr>
    </w:p>
    <w:p>
      <w:pPr>
        <w:ind w:right="340" w:firstLine="342"/>
        <w:spacing w:after="0" w:line="293" w:lineRule="auto"/>
        <w:rPr>
          <w:sz w:val="20"/>
          <w:szCs w:val="20"/>
          <w:color w:val="auto"/>
        </w:rPr>
      </w:pPr>
      <w:r>
        <w:rPr>
          <w:rFonts w:ascii="Arial" w:cs="Arial" w:eastAsia="Arial" w:hAnsi="Arial"/>
          <w:sz w:val="16"/>
          <w:szCs w:val="16"/>
          <w:color w:val="auto"/>
        </w:rPr>
        <w:t>Each series of Notes is a new issue of securities with no established trading market. We do not currently intend to apply for listing of either series of the Notes on any securities exchange or have either series of the Notes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Investing in the Notes involves risks. See “</w:t>
      </w:r>
      <w:hyperlink w:anchor="page11">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S-6 of this prospectus supplement.</w:t>
      </w:r>
    </w:p>
    <w:p>
      <w:pPr>
        <w:spacing w:after="0" w:line="121" w:lineRule="exact"/>
        <w:rPr>
          <w:sz w:val="24"/>
          <w:szCs w:val="24"/>
          <w:color w:val="auto"/>
        </w:rPr>
      </w:pPr>
    </w:p>
    <w:p>
      <w:pPr>
        <w:ind w:right="300" w:firstLine="342"/>
        <w:spacing w:after="0" w:line="293"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Public</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Underwriting</w:t>
            </w:r>
          </w:p>
        </w:tc>
        <w:tc>
          <w:tcPr>
            <w:tcW w:w="36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Proceeds, Before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5"/>
              </w:rPr>
              <w:t>Offering</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w w:val="97"/>
              </w:rPr>
              <w:t>Price(1)</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579"/>
              <w:spacing w:after="0"/>
              <w:rPr>
                <w:sz w:val="20"/>
                <w:szCs w:val="20"/>
                <w:color w:val="auto"/>
              </w:rPr>
            </w:pPr>
            <w:r>
              <w:rPr>
                <w:rFonts w:ascii="Arial" w:cs="Arial" w:eastAsia="Arial" w:hAnsi="Arial"/>
                <w:sz w:val="14"/>
                <w:szCs w:val="14"/>
                <w:b w:val="1"/>
                <w:bCs w:val="1"/>
                <w:color w:val="auto"/>
              </w:rPr>
              <w:t>Discount</w:t>
            </w:r>
          </w:p>
        </w:tc>
        <w:tc>
          <w:tcPr>
            <w:tcW w:w="360" w:type="dxa"/>
            <w:vAlign w:val="bottom"/>
          </w:tcPr>
          <w:p>
            <w:pPr>
              <w:spacing w:after="0"/>
              <w:rPr>
                <w:sz w:val="14"/>
                <w:szCs w:val="14"/>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w w:val="90"/>
              </w:rPr>
              <w:t>Expenses, to Us</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Per 20</w:t>
            </w:r>
          </w:p>
        </w:tc>
        <w:tc>
          <w:tcPr>
            <w:tcW w:w="1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Note</w:t>
            </w:r>
          </w:p>
        </w:tc>
        <w:tc>
          <w:tcPr>
            <w:tcW w:w="28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4"/>
              </w:rPr>
              <w:t>%</w:t>
            </w: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4"/>
              </w:rPr>
              <w:t>%</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3380" w:type="dxa"/>
            <w:vAlign w:val="bottom"/>
            <w:gridSpan w:val="2"/>
          </w:tcPr>
          <w:p>
            <w:pPr>
              <w:ind w:left="28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3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 20</w:t>
            </w:r>
          </w:p>
        </w:tc>
        <w:tc>
          <w:tcPr>
            <w:tcW w:w="1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Note</w:t>
            </w:r>
          </w:p>
        </w:tc>
        <w:tc>
          <w:tcPr>
            <w:tcW w:w="2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4"/>
              </w:rPr>
              <w:t>%</w:t>
            </w:r>
          </w:p>
        </w:tc>
        <w:tc>
          <w:tcPr>
            <w:tcW w:w="172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3380" w:type="dxa"/>
            <w:vAlign w:val="bottom"/>
            <w:gridSpan w:val="2"/>
          </w:tcPr>
          <w:p>
            <w:pPr>
              <w:ind w:left="28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22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3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160" w:type="dxa"/>
            <w:vAlign w:val="bottom"/>
            <w:tcBorders>
              <w:bottom w:val="single" w:sz="8" w:color="auto"/>
            </w:tcBorders>
            <w:gridSpan w:val="2"/>
          </w:tcPr>
          <w:p>
            <w:pPr>
              <w:spacing w:after="0"/>
              <w:rPr>
                <w:sz w:val="11"/>
                <w:szCs w:val="11"/>
                <w:color w:val="auto"/>
              </w:rPr>
            </w:pPr>
          </w:p>
        </w:tc>
        <w:tc>
          <w:tcPr>
            <w:tcW w:w="2180" w:type="dxa"/>
            <w:vAlign w:val="bottom"/>
            <w:gridSpan w:val="2"/>
          </w:tcPr>
          <w:p>
            <w:pPr>
              <w:spacing w:after="0"/>
              <w:rPr>
                <w:sz w:val="11"/>
                <w:szCs w:val="11"/>
                <w:color w:val="auto"/>
              </w:rPr>
            </w:pPr>
          </w:p>
        </w:tc>
        <w:tc>
          <w:tcPr>
            <w:tcW w:w="338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3340" w:type="dxa"/>
            <w:vAlign w:val="bottom"/>
            <w:gridSpan w:val="4"/>
          </w:tcPr>
          <w:p>
            <w:pPr>
              <w:spacing w:after="0"/>
              <w:rPr>
                <w:sz w:val="20"/>
                <w:szCs w:val="20"/>
                <w:color w:val="auto"/>
              </w:rPr>
            </w:pPr>
            <w:r>
              <w:rPr>
                <w:rFonts w:ascii="Arial" w:cs="Arial" w:eastAsia="Arial" w:hAnsi="Arial"/>
                <w:sz w:val="16"/>
                <w:szCs w:val="16"/>
                <w:color w:val="auto"/>
                <w:w w:val="96"/>
              </w:rPr>
              <w:t>(1)  Plus accrued interest, if any, from December</w:t>
            </w:r>
          </w:p>
        </w:tc>
        <w:tc>
          <w:tcPr>
            <w:tcW w:w="3380" w:type="dxa"/>
            <w:vAlign w:val="bottom"/>
            <w:gridSpan w:val="2"/>
          </w:tcPr>
          <w:p>
            <w:pPr>
              <w:ind w:left="100"/>
              <w:spacing w:after="0"/>
              <w:rPr>
                <w:sz w:val="20"/>
                <w:szCs w:val="20"/>
                <w:color w:val="auto"/>
              </w:rPr>
            </w:pPr>
            <w:r>
              <w:rPr>
                <w:rFonts w:ascii="Arial" w:cs="Arial" w:eastAsia="Arial" w:hAnsi="Arial"/>
                <w:sz w:val="16"/>
                <w:szCs w:val="16"/>
                <w:color w:val="auto"/>
              </w:rPr>
              <w:t>, 2014 if settlement occurs after that date.</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1" w:lineRule="exact"/>
        <w:rPr>
          <w:sz w:val="24"/>
          <w:szCs w:val="24"/>
          <w:color w:val="auto"/>
        </w:rPr>
      </w:pPr>
    </w:p>
    <w:p>
      <w:pPr>
        <w:ind w:right="200" w:firstLine="342"/>
        <w:spacing w:after="0" w:line="304" w:lineRule="auto"/>
        <w:rPr>
          <w:sz w:val="20"/>
          <w:szCs w:val="20"/>
          <w:color w:val="auto"/>
        </w:rPr>
      </w:pPr>
      <w:r>
        <w:rPr>
          <w:rFonts w:ascii="Arial" w:cs="Arial" w:eastAsia="Arial" w:hAnsi="Arial"/>
          <w:sz w:val="14"/>
          <w:szCs w:val="14"/>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December</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220" w:type="dxa"/>
            <w:vAlign w:val="bottom"/>
          </w:tcPr>
          <w:p>
            <w:pPr>
              <w:jc w:val="center"/>
              <w:ind w:right="72"/>
              <w:spacing w:after="0"/>
              <w:rPr>
                <w:sz w:val="20"/>
                <w:szCs w:val="20"/>
                <w:color w:val="auto"/>
              </w:rPr>
            </w:pPr>
            <w:r>
              <w:rPr>
                <w:rFonts w:ascii="Arial" w:cs="Arial" w:eastAsia="Arial" w:hAnsi="Arial"/>
                <w:sz w:val="16"/>
                <w:szCs w:val="16"/>
                <w:color w:val="auto"/>
                <w:w w:val="89"/>
              </w:rPr>
              <w:t>, 2014, the</w:t>
            </w:r>
          </w:p>
        </w:tc>
        <w:tc>
          <w:tcPr>
            <w:tcW w:w="5680" w:type="dxa"/>
            <w:vAlign w:val="bottom"/>
            <w:gridSpan w:val="2"/>
          </w:tcPr>
          <w:p>
            <w:pPr>
              <w:ind w:left="200"/>
              <w:spacing w:after="0"/>
              <w:rPr>
                <w:sz w:val="20"/>
                <w:szCs w:val="20"/>
                <w:color w:val="auto"/>
              </w:rPr>
            </w:pPr>
            <w:r>
              <w:rPr>
                <w:rFonts w:ascii="Arial" w:cs="Arial" w:eastAsia="Arial" w:hAnsi="Arial"/>
                <w:sz w:val="16"/>
                <w:szCs w:val="16"/>
                <w:color w:val="auto"/>
              </w:rPr>
              <w:t>trading day after the date of this prospectus supplement.</w:t>
            </w:r>
          </w:p>
        </w:tc>
        <w:tc>
          <w:tcPr>
            <w:tcW w:w="4520" w:type="dxa"/>
            <w:vAlign w:val="bottom"/>
          </w:tcPr>
          <w:p>
            <w:pPr>
              <w:spacing w:after="0"/>
              <w:rPr>
                <w:sz w:val="17"/>
                <w:szCs w:val="17"/>
                <w:color w:val="auto"/>
              </w:rPr>
            </w:pPr>
          </w:p>
        </w:tc>
      </w:tr>
      <w:tr>
        <w:trPr>
          <w:trHeight w:val="232"/>
        </w:trPr>
        <w:tc>
          <w:tcPr>
            <w:tcW w:w="1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4520" w:type="dxa"/>
            <w:vAlign w:val="bottom"/>
          </w:tcPr>
          <w:p>
            <w:pPr>
              <w:spacing w:after="0"/>
              <w:rPr>
                <w:sz w:val="20"/>
                <w:szCs w:val="20"/>
                <w:color w:val="auto"/>
              </w:rPr>
            </w:pPr>
          </w:p>
        </w:tc>
      </w:tr>
      <w:tr>
        <w:trPr>
          <w:trHeight w:val="298"/>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380" w:type="dxa"/>
            <w:vAlign w:val="bottom"/>
          </w:tcPr>
          <w:p>
            <w:pPr>
              <w:ind w:left="200"/>
              <w:spacing w:after="0"/>
              <w:rPr>
                <w:sz w:val="20"/>
                <w:szCs w:val="20"/>
                <w:color w:val="auto"/>
              </w:rPr>
            </w:pPr>
            <w:r>
              <w:rPr>
                <w:rFonts w:ascii="Arial" w:cs="Arial" w:eastAsia="Arial" w:hAnsi="Arial"/>
                <w:sz w:val="16"/>
                <w:szCs w:val="16"/>
                <w:i w:val="1"/>
                <w:iCs w:val="1"/>
                <w:color w:val="auto"/>
              </w:rPr>
              <w:t>Joint Book-Running Managers</w:t>
            </w:r>
          </w:p>
        </w:tc>
        <w:tc>
          <w:tcPr>
            <w:tcW w:w="4520" w:type="dxa"/>
            <w:vAlign w:val="bottom"/>
          </w:tcPr>
          <w:p>
            <w:pPr>
              <w:spacing w:after="0"/>
              <w:rPr>
                <w:sz w:val="24"/>
                <w:szCs w:val="24"/>
                <w:color w:val="auto"/>
              </w:rPr>
            </w:pPr>
          </w:p>
        </w:tc>
      </w:tr>
      <w:tr>
        <w:trPr>
          <w:trHeight w:val="451"/>
        </w:trPr>
        <w:tc>
          <w:tcPr>
            <w:tcW w:w="1220" w:type="dxa"/>
            <w:vAlign w:val="bottom"/>
          </w:tcPr>
          <w:p>
            <w:pPr>
              <w:jc w:val="center"/>
              <w:ind w:right="112"/>
              <w:spacing w:after="0"/>
              <w:rPr>
                <w:sz w:val="20"/>
                <w:szCs w:val="20"/>
                <w:color w:val="auto"/>
              </w:rPr>
            </w:pPr>
            <w:r>
              <w:rPr>
                <w:rFonts w:ascii="Arial" w:cs="Arial" w:eastAsia="Arial" w:hAnsi="Arial"/>
                <w:sz w:val="27"/>
                <w:szCs w:val="27"/>
                <w:b w:val="1"/>
                <w:bCs w:val="1"/>
                <w:color w:val="auto"/>
                <w:w w:val="88"/>
              </w:rPr>
              <w:t>Barclays</w:t>
            </w:r>
          </w:p>
        </w:tc>
        <w:tc>
          <w:tcPr>
            <w:tcW w:w="5680" w:type="dxa"/>
            <w:vAlign w:val="bottom"/>
            <w:gridSpan w:val="2"/>
          </w:tcPr>
          <w:p>
            <w:pPr>
              <w:ind w:left="1620"/>
              <w:spacing w:after="0"/>
              <w:rPr>
                <w:sz w:val="20"/>
                <w:szCs w:val="20"/>
                <w:color w:val="auto"/>
              </w:rPr>
            </w:pPr>
            <w:r>
              <w:rPr>
                <w:rFonts w:ascii="Arial" w:cs="Arial" w:eastAsia="Arial" w:hAnsi="Arial"/>
                <w:sz w:val="27"/>
                <w:szCs w:val="27"/>
                <w:b w:val="1"/>
                <w:bCs w:val="1"/>
                <w:color w:val="auto"/>
              </w:rPr>
              <w:t>SunTrust Robinson Humphrey</w:t>
            </w:r>
          </w:p>
        </w:tc>
        <w:tc>
          <w:tcPr>
            <w:tcW w:w="4520" w:type="dxa"/>
            <w:vAlign w:val="bottom"/>
          </w:tcPr>
          <w:p>
            <w:pPr>
              <w:ind w:left="1940"/>
              <w:spacing w:after="0"/>
              <w:rPr>
                <w:sz w:val="20"/>
                <w:szCs w:val="20"/>
                <w:color w:val="auto"/>
              </w:rPr>
            </w:pPr>
            <w:r>
              <w:rPr>
                <w:rFonts w:ascii="Arial" w:cs="Arial" w:eastAsia="Arial" w:hAnsi="Arial"/>
                <w:sz w:val="27"/>
                <w:szCs w:val="27"/>
                <w:b w:val="1"/>
                <w:bCs w:val="1"/>
                <w:color w:val="auto"/>
                <w:w w:val="88"/>
              </w:rPr>
              <w:t>Wells Fargo Securities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25"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16"/>
          <w:szCs w:val="16"/>
          <w:b w:val="1"/>
          <w:bCs w:val="1"/>
          <w:color w:val="auto"/>
        </w:rPr>
        <w:t>The date of this prospectus supplement is December</w:t>
      </w:r>
      <w:r>
        <w:rPr>
          <w:sz w:val="20"/>
          <w:szCs w:val="20"/>
          <w:color w:val="auto"/>
        </w:rPr>
        <w:tab/>
      </w:r>
      <w:r>
        <w:rPr>
          <w:rFonts w:ascii="Arial" w:cs="Arial" w:eastAsia="Arial" w:hAnsi="Arial"/>
          <w:sz w:val="15"/>
          <w:szCs w:val="15"/>
          <w:b w:val="1"/>
          <w:bCs w:val="1"/>
          <w:color w:val="auto"/>
        </w:rPr>
        <w:t>, 2014.</w:t>
      </w:r>
    </w:p>
    <w:p>
      <w:pPr>
        <w:sectPr>
          <w:pgSz w:w="11900" w:h="16838" w:orient="portrait"/>
          <w:cols w:equalWidth="0" w:num="1">
            <w:col w:w="11420"/>
          </w:cols>
          <w:pgMar w:left="240" w:top="2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4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80" w:type="dxa"/>
            <w:vAlign w:val="bottom"/>
          </w:tcPr>
          <w:p>
            <w:pPr>
              <w:spacing w:after="0"/>
              <w:rPr>
                <w:sz w:val="17"/>
                <w:szCs w:val="17"/>
                <w:color w:val="auto"/>
              </w:rPr>
            </w:pPr>
          </w:p>
        </w:tc>
      </w:tr>
      <w:tr>
        <w:trPr>
          <w:trHeight w:val="534"/>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8"/>
              </w:rPr>
              <w:t>TABLE OF CONTENTS</w:t>
            </w:r>
          </w:p>
        </w:tc>
        <w:tc>
          <w:tcPr>
            <w:tcW w:w="188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7"/>
              </w:rPr>
              <w:t>Prospectus Supplement</w:t>
            </w:r>
          </w:p>
        </w:tc>
        <w:tc>
          <w:tcPr>
            <w:tcW w:w="1880" w:type="dxa"/>
            <w:vAlign w:val="bottom"/>
          </w:tcPr>
          <w:p>
            <w:pPr>
              <w:spacing w:after="0"/>
              <w:rPr>
                <w:sz w:val="24"/>
                <w:szCs w:val="24"/>
                <w:color w:val="auto"/>
              </w:rPr>
            </w:pPr>
          </w:p>
        </w:tc>
      </w:tr>
      <w:tr>
        <w:trPr>
          <w:trHeight w:val="419"/>
        </w:trPr>
        <w:tc>
          <w:tcPr>
            <w:tcW w:w="790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Important Notice About Information in This Prospectus Supplement and the Accompanying Base Prospectus</w:t>
              </w:r>
            </w:hyperlink>
          </w:p>
        </w:tc>
        <w:tc>
          <w:tcPr>
            <w:tcW w:w="15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944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7000" w:type="dxa"/>
            <w:vAlign w:val="bottom"/>
            <w:gridSpan w:val="8"/>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8520" w:type="dxa"/>
            <w:vAlign w:val="bottom"/>
            <w:gridSpan w:val="21"/>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8260" w:type="dxa"/>
            <w:vAlign w:val="bottom"/>
            <w:gridSpan w:val="16"/>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26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Ratio of Earnings To Fixed Charges</w:t>
              </w:r>
            </w:hyperlink>
          </w:p>
        </w:tc>
        <w:tc>
          <w:tcPr>
            <w:tcW w:w="6840" w:type="dxa"/>
            <w:vAlign w:val="bottom"/>
            <w:gridSpan w:val="6"/>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0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Capitalization</w:t>
              </w:r>
            </w:hyperlink>
          </w:p>
        </w:tc>
        <w:tc>
          <w:tcPr>
            <w:tcW w:w="8400" w:type="dxa"/>
            <w:vAlign w:val="bottom"/>
            <w:gridSpan w:val="17"/>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944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Notes</w:t>
              </w:r>
            </w:hyperlink>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20"/>
        </w:trPr>
        <w:tc>
          <w:tcPr>
            <w:tcW w:w="5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230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Book Entry, Delivery and Form</w:t>
              </w:r>
            </w:hyperlink>
          </w:p>
        </w:tc>
        <w:tc>
          <w:tcPr>
            <w:tcW w:w="7140" w:type="dxa"/>
            <w:vAlign w:val="bottom"/>
            <w:gridSpan w:val="9"/>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S-24</w:t>
            </w: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Material U.S. Federal Income Tax Consequences</w:t>
              </w:r>
            </w:hyperlink>
          </w:p>
        </w:tc>
        <w:tc>
          <w:tcPr>
            <w:tcW w:w="5900" w:type="dxa"/>
            <w:vAlign w:val="bottom"/>
            <w:gridSpan w:val="2"/>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Underwriting</w:t>
              </w:r>
            </w:hyperlink>
          </w:p>
        </w:tc>
        <w:tc>
          <w:tcPr>
            <w:tcW w:w="8460" w:type="dxa"/>
            <w:vAlign w:val="bottom"/>
            <w:gridSpan w:val="19"/>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S-32</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Legal Matters</w:t>
              </w:r>
            </w:hyperlink>
          </w:p>
        </w:tc>
        <w:tc>
          <w:tcPr>
            <w:tcW w:w="8420" w:type="dxa"/>
            <w:vAlign w:val="bottom"/>
            <w:gridSpan w:val="18"/>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Experts</w:t>
              </w:r>
            </w:hyperlink>
          </w:p>
        </w:tc>
        <w:tc>
          <w:tcPr>
            <w:tcW w:w="8880" w:type="dxa"/>
            <w:vAlign w:val="bottom"/>
            <w:gridSpan w:val="22"/>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196"/>
        </w:trPr>
        <w:tc>
          <w:tcPr>
            <w:tcW w:w="9440" w:type="dxa"/>
            <w:vAlign w:val="bottom"/>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85"/>
              </w:rPr>
              <w:t>Prospectus</w:t>
            </w:r>
          </w:p>
        </w:tc>
        <w:tc>
          <w:tcPr>
            <w:tcW w:w="1880" w:type="dxa"/>
            <w:vAlign w:val="bottom"/>
          </w:tcPr>
          <w:p>
            <w:pPr>
              <w:spacing w:after="0"/>
              <w:rPr>
                <w:sz w:val="24"/>
                <w:szCs w:val="24"/>
                <w:color w:val="auto"/>
              </w:rPr>
            </w:pPr>
          </w:p>
        </w:tc>
      </w:tr>
      <w:tr>
        <w:trPr>
          <w:trHeight w:val="419"/>
        </w:trPr>
        <w:tc>
          <w:tcPr>
            <w:tcW w:w="9440" w:type="dxa"/>
            <w:vAlign w:val="bottom"/>
            <w:gridSpan w:val="2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About This Prospectus</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Where You Can Find More Information</w:t>
              </w:r>
            </w:hyperlink>
          </w:p>
        </w:tc>
        <w:tc>
          <w:tcPr>
            <w:tcW w:w="6560" w:type="dxa"/>
            <w:vAlign w:val="bottom"/>
            <w:gridSpan w:val="4"/>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9440" w:type="dxa"/>
            <w:vAlign w:val="bottom"/>
            <w:gridSpan w:val="2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Forward-Looking Statements</w:t>
              </w:r>
            </w:hyperlink>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Who We Are</w:t>
              </w:r>
            </w:hyperlink>
          </w:p>
        </w:tc>
        <w:tc>
          <w:tcPr>
            <w:tcW w:w="1160" w:type="dxa"/>
            <w:vAlign w:val="bottom"/>
            <w:tcBorders>
              <w:top w:val="single" w:sz="8" w:color="0000EE"/>
            </w:tcBorders>
            <w:gridSpan w:val="10"/>
          </w:tcPr>
          <w:p>
            <w:pPr>
              <w:spacing w:after="0"/>
              <w:rPr>
                <w:sz w:val="17"/>
                <w:szCs w:val="17"/>
                <w:color w:val="auto"/>
              </w:rPr>
            </w:pPr>
          </w:p>
        </w:tc>
        <w:tc>
          <w:tcPr>
            <w:tcW w:w="7320" w:type="dxa"/>
            <w:vAlign w:val="bottom"/>
            <w:gridSpan w:val="10"/>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Risk Factors</w:t>
              </w:r>
            </w:hyperlink>
          </w:p>
        </w:tc>
        <w:tc>
          <w:tcPr>
            <w:tcW w:w="8520" w:type="dxa"/>
            <w:vAlign w:val="bottom"/>
            <w:gridSpan w:val="21"/>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Use Of Proceeds</w:t>
              </w:r>
            </w:hyperlink>
          </w:p>
        </w:tc>
        <w:tc>
          <w:tcPr>
            <w:tcW w:w="8220" w:type="dxa"/>
            <w:vAlign w:val="bottom"/>
            <w:gridSpan w:val="15"/>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6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Ratio Of Earnings To Fixed Charges</w:t>
              </w:r>
            </w:hyperlink>
          </w:p>
        </w:tc>
        <w:tc>
          <w:tcPr>
            <w:tcW w:w="6800" w:type="dxa"/>
            <w:vAlign w:val="bottom"/>
            <w:gridSpan w:val="5"/>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5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Description of Our Debt Securities</w:t>
              </w:r>
            </w:hyperlink>
          </w:p>
        </w:tc>
        <w:tc>
          <w:tcPr>
            <w:tcW w:w="6920" w:type="dxa"/>
            <w:vAlign w:val="bottom"/>
            <w:gridSpan w:val="7"/>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Description of Our Common Units</w:t>
              </w:r>
            </w:hyperlink>
          </w:p>
        </w:tc>
        <w:tc>
          <w:tcPr>
            <w:tcW w:w="6920" w:type="dxa"/>
            <w:vAlign w:val="bottom"/>
            <w:gridSpan w:val="7"/>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440" w:type="dxa"/>
            <w:vAlign w:val="bottom"/>
            <w:gridSpan w:val="2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Cash Distribution Policy</w:t>
              </w:r>
            </w:hyperlink>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500" w:type="dxa"/>
            <w:vAlign w:val="bottom"/>
            <w:tcBorders>
              <w:right w:val="single" w:sz="8" w:color="0000EE"/>
            </w:tcBorders>
            <w:gridSpan w:val="10"/>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Description of Our Partnership Agreement</w:t>
              </w:r>
            </w:hyperlink>
          </w:p>
        </w:tc>
        <w:tc>
          <w:tcPr>
            <w:tcW w:w="6360" w:type="dxa"/>
            <w:vAlign w:val="bottom"/>
            <w:gridSpan w:val="3"/>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Material U.S. Federal Income Tax Consequences</w:t>
              </w:r>
            </w:hyperlink>
          </w:p>
        </w:tc>
        <w:tc>
          <w:tcPr>
            <w:tcW w:w="5900" w:type="dxa"/>
            <w:vAlign w:val="bottom"/>
            <w:gridSpan w:val="2"/>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Plan of Distribution</w:t>
              </w:r>
            </w:hyperlink>
          </w:p>
        </w:tc>
        <w:tc>
          <w:tcPr>
            <w:tcW w:w="7940" w:type="dxa"/>
            <w:vAlign w:val="bottom"/>
            <w:gridSpan w:val="13"/>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Legal Matters</w:t>
              </w:r>
            </w:hyperlink>
          </w:p>
        </w:tc>
        <w:tc>
          <w:tcPr>
            <w:tcW w:w="8420" w:type="dxa"/>
            <w:vAlign w:val="bottom"/>
            <w:gridSpan w:val="18"/>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Experts</w:t>
              </w:r>
            </w:hyperlink>
          </w:p>
        </w:tc>
        <w:tc>
          <w:tcPr>
            <w:tcW w:w="8880" w:type="dxa"/>
            <w:vAlign w:val="bottom"/>
            <w:gridSpan w:val="22"/>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46"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IMPORTANT NOTICE ABOUT INFORMATION IN THIS PROSPECTUS SUPPLEMENT AND THE ACCOMPANYING BASE PROSPECTUS</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w:t>
      </w:r>
    </w:p>
    <w:p>
      <w:pPr>
        <w:spacing w:after="0" w:line="184"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If the description of the offering varies between the prospectus supplement and the accompanying base prospectus, you should rely on the information in the prospectus supplement.</w:t>
      </w:r>
    </w:p>
    <w:p>
      <w:pPr>
        <w:spacing w:after="0" w:line="162"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You should rely only on the information contained in or incorporated by reference in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74"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80"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color w:val="auto"/>
        </w:rPr>
        <w:t>We expect delivery of the Notes will be made against payment therefor on or about December , 2014, which is the business day following the date of pricing of the Notes (such settlement being referred to as “T+ ”). Under Rule 15c6-1 of the Securities Exchange Act of 1934, as amended (the “Exchange Act”), trades in the secondary market generally are required to settle in three business days unless the parties to any such trade expressly agree</w:t>
      </w:r>
    </w:p>
    <w:p>
      <w:pPr>
        <w:ind w:right="60"/>
        <w:spacing w:after="0" w:line="255" w:lineRule="auto"/>
        <w:rPr>
          <w:sz w:val="20"/>
          <w:szCs w:val="20"/>
          <w:color w:val="auto"/>
        </w:rPr>
      </w:pPr>
      <w:r>
        <w:rPr>
          <w:rFonts w:ascii="Arial" w:cs="Arial" w:eastAsia="Arial" w:hAnsi="Arial"/>
          <w:sz w:val="18"/>
          <w:szCs w:val="18"/>
          <w:color w:val="auto"/>
        </w:rPr>
        <w:t>otherwise. Accordingly, purchasers who wish to trade the 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9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0"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8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access to capital;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0" w:lineRule="exact"/>
        <w:rPr>
          <w:rFonts w:ascii="Arial" w:cs="Arial" w:eastAsia="Arial" w:hAnsi="Arial"/>
          <w:sz w:val="18"/>
          <w:szCs w:val="18"/>
          <w:color w:val="auto"/>
        </w:rPr>
      </w:pPr>
    </w:p>
    <w:p>
      <w:pPr>
        <w:ind w:left="460" w:right="5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3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30"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130"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S-6 of this prospectus supplement and in Item 1A. “Risk Factors” in our Annual Report on Form 10-K for the fiscal year ended December 31, 2013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80" w:firstLine="443"/>
        <w:spacing w:after="0" w:line="293"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beginning on page S-6 of this prospectus supplement and in our Annual Report on Form 10-K for the fiscal year ended December 31, 2013, which is incorporated by reference herein, for information regarding risks you should consider before making a decision to purchase any Notes in this offering.</w:t>
      </w:r>
    </w:p>
    <w:p>
      <w:pPr>
        <w:spacing w:after="0" w:line="165"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“Prospectus Supplement Summary—The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Plains All American Pipeline, L.P.</w:t>
      </w:r>
    </w:p>
    <w:p>
      <w:pPr>
        <w:spacing w:after="0" w:line="121"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w:t>
      </w:r>
    </w:p>
    <w:p>
      <w:pPr>
        <w:spacing w:after="0" w:line="187" w:lineRule="exact"/>
        <w:rPr>
          <w:sz w:val="20"/>
          <w:szCs w:val="20"/>
          <w:color w:val="auto"/>
        </w:rPr>
      </w:pPr>
    </w:p>
    <w:p>
      <w:pPr>
        <w:ind w:left="200" w:right="140" w:firstLine="443"/>
        <w:spacing w:after="0" w:line="286" w:lineRule="auto"/>
        <w:rPr>
          <w:sz w:val="20"/>
          <w:szCs w:val="20"/>
          <w:color w:val="auto"/>
        </w:rPr>
      </w:pPr>
      <w:r>
        <w:rPr>
          <w:rFonts w:ascii="Arial" w:cs="Arial" w:eastAsia="Arial" w:hAnsi="Arial"/>
          <w:sz w:val="17"/>
          <w:szCs w:val="17"/>
          <w:color w:val="auto"/>
        </w:rPr>
        <w:t>We are one of the largest publicly-traded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Ongoing Acquisition Activities</w:t>
      </w:r>
    </w:p>
    <w:p>
      <w:pPr>
        <w:spacing w:after="0" w:line="12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78"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03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803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BridgeTex Acquisition</w:t>
      </w:r>
    </w:p>
    <w:p>
      <w:pPr>
        <w:spacing w:after="0" w:line="121" w:lineRule="exact"/>
        <w:rPr>
          <w:sz w:val="20"/>
          <w:szCs w:val="20"/>
          <w:color w:val="auto"/>
        </w:rPr>
      </w:pPr>
    </w:p>
    <w:p>
      <w:pPr>
        <w:ind w:left="200" w:right="80" w:firstLine="443"/>
        <w:spacing w:after="0" w:line="272" w:lineRule="auto"/>
        <w:rPr>
          <w:sz w:val="20"/>
          <w:szCs w:val="20"/>
          <w:color w:val="auto"/>
        </w:rPr>
      </w:pPr>
      <w:r>
        <w:rPr>
          <w:rFonts w:ascii="Arial" w:cs="Arial" w:eastAsia="Arial" w:hAnsi="Arial"/>
          <w:sz w:val="17"/>
          <w:szCs w:val="17"/>
          <w:color w:val="auto"/>
        </w:rPr>
        <w:t>On November 14, 2014, we completed the acquisition from Occidental Petroleum Corporation (“Occidental”) of Occidental’s 50% interest in BridgeTex Pipeline Company LLC (“BridgeTex”) for $1.088 billion, including $13 million of working capital items. BridgeTex owns the BridgeTex pipeline, which is a new 300,000 barrel-per-day crude oil pipeline system that extends from Colorado City in West Texas to Texas City and is complementary to our existing West Texas assets. The remaining 50% interest in BridgeTex is owned by Magellan Midstream Partners, L.P. (“MMP”); MMP is also the operator of the BridgeTex pipeline. Contemporaneous with this acquisition, BridgeTex sold the southern leg of the pipeline system which runs from Houston to Texas City (the “Texas City Leg”) to MMP, and MMP entered into a long-term capacity lease with BridgeTex pursuant to which BridgeTex shippers have access to capacity on the Texas City Leg.</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Principal Executive Offices</w:t>
      </w:r>
    </w:p>
    <w:p>
      <w:pPr>
        <w:spacing w:after="0" w:line="121" w:lineRule="exact"/>
        <w:rPr>
          <w:sz w:val="20"/>
          <w:szCs w:val="20"/>
          <w:color w:val="auto"/>
        </w:rPr>
      </w:pPr>
    </w:p>
    <w:p>
      <w:pPr>
        <w:jc w:val="both"/>
        <w:ind w:left="200" w:right="60" w:firstLine="443"/>
        <w:spacing w:after="0" w:line="286" w:lineRule="auto"/>
        <w:rPr>
          <w:sz w:val="20"/>
          <w:szCs w:val="20"/>
          <w:color w:val="auto"/>
        </w:rPr>
      </w:pPr>
      <w:r>
        <w:rPr>
          <w:rFonts w:ascii="Arial" w:cs="Arial" w:eastAsia="Arial" w:hAnsi="Arial"/>
          <w:sz w:val="17"/>
          <w:szCs w:val="17"/>
          <w:color w:val="auto"/>
        </w:rPr>
        <w:t xml:space="preserve">Our executive offices are located at 333 Clay Street, Suite 1600, Houston, Texas 77002. Our telephone number is (713) 646-4100. We maintain a website at </w:t>
      </w:r>
      <w:r>
        <w:rPr>
          <w:rFonts w:ascii="Arial" w:cs="Arial" w:eastAsia="Arial" w:hAnsi="Arial"/>
          <w:sz w:val="17"/>
          <w:szCs w:val="17"/>
          <w:i w:val="1"/>
          <w:iCs w:val="1"/>
          <w:color w:val="auto"/>
        </w:rPr>
        <w:t>www.plainsallamerican.com</w:t>
      </w:r>
      <w:r>
        <w:rPr>
          <w:rFonts w:ascii="Arial" w:cs="Arial" w:eastAsia="Arial" w:hAnsi="Arial"/>
          <w:sz w:val="17"/>
          <w:szCs w:val="17"/>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2013 and our Quarterly Reports on Form 10-Q for the quarterly periods ended March 31, 2014, June 30, 2014 and September 30, 2014, each of which is incorporated by reference herein.</w:t>
      </w: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5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208"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Issuers</w:t>
      </w:r>
      <w:r>
        <w:rPr>
          <w:sz w:val="20"/>
          <w:szCs w:val="20"/>
          <w:color w:val="auto"/>
        </w:rPr>
        <w:tab/>
      </w:r>
      <w:r>
        <w:rPr>
          <w:rFonts w:ascii="Arial" w:cs="Arial" w:eastAsia="Arial" w:hAnsi="Arial"/>
          <w:sz w:val="18"/>
          <w:szCs w:val="18"/>
          <w:color w:val="auto"/>
        </w:rPr>
        <w:t>Plains All American Pipeline, L.P. and PAA Finance Corp.</w:t>
      </w:r>
    </w:p>
    <w:p>
      <w:pPr>
        <w:spacing w:after="0" w:line="266" w:lineRule="exact"/>
        <w:rPr>
          <w:sz w:val="20"/>
          <w:szCs w:val="20"/>
          <w:color w:val="auto"/>
        </w:rPr>
      </w:pPr>
    </w:p>
    <w:p>
      <w:pPr>
        <w:ind w:left="4400" w:right="20"/>
        <w:spacing w:after="0" w:line="276" w:lineRule="auto"/>
        <w:rPr>
          <w:sz w:val="20"/>
          <w:szCs w:val="20"/>
          <w:color w:val="auto"/>
        </w:rPr>
      </w:pPr>
      <w:r>
        <w:rPr>
          <w:rFonts w:ascii="Arial" w:cs="Arial" w:eastAsia="Arial" w:hAnsi="Arial"/>
          <w:sz w:val="17"/>
          <w:szCs w:val="17"/>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Future guarantees</w:t>
            </w:r>
          </w:p>
        </w:tc>
        <w:tc>
          <w:tcPr>
            <w:tcW w:w="8300" w:type="dxa"/>
            <w:vAlign w:val="bottom"/>
            <w:gridSpan w:val="5"/>
          </w:tcPr>
          <w:p>
            <w:pPr>
              <w:ind w:left="1460"/>
              <w:spacing w:after="0"/>
              <w:rPr>
                <w:sz w:val="20"/>
                <w:szCs w:val="20"/>
                <w:color w:val="auto"/>
              </w:rPr>
            </w:pPr>
            <w:r>
              <w:rPr>
                <w:rFonts w:ascii="Arial" w:cs="Arial" w:eastAsia="Arial" w:hAnsi="Arial"/>
                <w:sz w:val="18"/>
                <w:szCs w:val="18"/>
                <w:color w:val="auto"/>
                <w:w w:val="96"/>
              </w:rPr>
              <w:t>Initially, the Notes will not be guaranteed by any subsidiaries of the issuers. In the future,</w:t>
            </w:r>
          </w:p>
        </w:tc>
      </w:tr>
      <w:tr>
        <w:trPr>
          <w:trHeight w:val="216"/>
        </w:trPr>
        <w:tc>
          <w:tcPr>
            <w:tcW w:w="2740" w:type="dxa"/>
            <w:vAlign w:val="bottom"/>
          </w:tcPr>
          <w:p>
            <w:pPr>
              <w:spacing w:after="0"/>
              <w:rPr>
                <w:sz w:val="18"/>
                <w:szCs w:val="18"/>
                <w:color w:val="auto"/>
              </w:rPr>
            </w:pPr>
          </w:p>
        </w:tc>
        <w:tc>
          <w:tcPr>
            <w:tcW w:w="8300" w:type="dxa"/>
            <w:vAlign w:val="bottom"/>
            <w:gridSpan w:val="5"/>
          </w:tcPr>
          <w:p>
            <w:pPr>
              <w:ind w:left="1460"/>
              <w:spacing w:after="0"/>
              <w:rPr>
                <w:sz w:val="20"/>
                <w:szCs w:val="20"/>
                <w:color w:val="auto"/>
              </w:rPr>
            </w:pPr>
            <w:r>
              <w:rPr>
                <w:rFonts w:ascii="Arial" w:cs="Arial" w:eastAsia="Arial" w:hAnsi="Arial"/>
                <w:sz w:val="18"/>
                <w:szCs w:val="18"/>
                <w:color w:val="auto"/>
                <w:w w:val="92"/>
              </w:rPr>
              <w:t>however, if any subsidiaries guarantee any of the issuers’ other debt, then those subsidiaries</w:t>
            </w:r>
          </w:p>
        </w:tc>
      </w:tr>
      <w:tr>
        <w:trPr>
          <w:trHeight w:val="216"/>
        </w:trPr>
        <w:tc>
          <w:tcPr>
            <w:tcW w:w="2740" w:type="dxa"/>
            <w:vAlign w:val="bottom"/>
          </w:tcPr>
          <w:p>
            <w:pPr>
              <w:spacing w:after="0"/>
              <w:rPr>
                <w:sz w:val="18"/>
                <w:szCs w:val="18"/>
                <w:color w:val="auto"/>
              </w:rPr>
            </w:pPr>
          </w:p>
        </w:tc>
        <w:tc>
          <w:tcPr>
            <w:tcW w:w="8300" w:type="dxa"/>
            <w:vAlign w:val="bottom"/>
            <w:gridSpan w:val="5"/>
          </w:tcPr>
          <w:p>
            <w:pPr>
              <w:ind w:left="1460"/>
              <w:spacing w:after="0"/>
              <w:rPr>
                <w:sz w:val="20"/>
                <w:szCs w:val="20"/>
                <w:color w:val="auto"/>
              </w:rPr>
            </w:pPr>
            <w:r>
              <w:rPr>
                <w:rFonts w:ascii="Arial" w:cs="Arial" w:eastAsia="Arial" w:hAnsi="Arial"/>
                <w:sz w:val="18"/>
                <w:szCs w:val="18"/>
                <w:color w:val="auto"/>
                <w:w w:val="92"/>
              </w:rPr>
              <w:t>will, jointly and severally, fully and unconditionally guarantee the issuers’ payment obligations</w:t>
            </w:r>
          </w:p>
        </w:tc>
      </w:tr>
      <w:tr>
        <w:trPr>
          <w:trHeight w:val="230"/>
        </w:trPr>
        <w:tc>
          <w:tcPr>
            <w:tcW w:w="2740" w:type="dxa"/>
            <w:vAlign w:val="bottom"/>
          </w:tcPr>
          <w:p>
            <w:pPr>
              <w:spacing w:after="0"/>
              <w:rPr>
                <w:sz w:val="20"/>
                <w:szCs w:val="20"/>
                <w:color w:val="auto"/>
              </w:rPr>
            </w:pPr>
          </w:p>
        </w:tc>
        <w:tc>
          <w:tcPr>
            <w:tcW w:w="8300" w:type="dxa"/>
            <w:vAlign w:val="bottom"/>
            <w:gridSpan w:val="5"/>
          </w:tcPr>
          <w:p>
            <w:pPr>
              <w:ind w:left="1460"/>
              <w:spacing w:after="0"/>
              <w:rPr>
                <w:sz w:val="20"/>
                <w:szCs w:val="20"/>
                <w:color w:val="auto"/>
              </w:rPr>
            </w:pPr>
            <w:r>
              <w:rPr>
                <w:rFonts w:ascii="Arial" w:cs="Arial" w:eastAsia="Arial" w:hAnsi="Arial"/>
                <w:sz w:val="18"/>
                <w:szCs w:val="18"/>
                <w:color w:val="auto"/>
              </w:rPr>
              <w:t>under the Notes. Please read “Description of Notes— Possible Future Guarantees.”</w:t>
            </w:r>
          </w:p>
        </w:tc>
      </w:tr>
      <w:tr>
        <w:trPr>
          <w:trHeight w:val="459"/>
        </w:trPr>
        <w:tc>
          <w:tcPr>
            <w:tcW w:w="2740" w:type="dxa"/>
            <w:vAlign w:val="bottom"/>
          </w:tcPr>
          <w:p>
            <w:pPr>
              <w:spacing w:after="0"/>
              <w:rPr>
                <w:sz w:val="20"/>
                <w:szCs w:val="20"/>
                <w:color w:val="auto"/>
              </w:rPr>
            </w:pPr>
            <w:r>
              <w:rPr>
                <w:rFonts w:ascii="Arial" w:cs="Arial" w:eastAsia="Arial" w:hAnsi="Arial"/>
                <w:sz w:val="18"/>
                <w:szCs w:val="18"/>
                <w:color w:val="auto"/>
              </w:rPr>
              <w:t>Notes offered</w:t>
            </w:r>
          </w:p>
        </w:tc>
        <w:tc>
          <w:tcPr>
            <w:tcW w:w="1740" w:type="dxa"/>
            <w:vAlign w:val="bottom"/>
          </w:tcPr>
          <w:p>
            <w:pPr>
              <w:ind w:left="1460"/>
              <w:spacing w:after="0"/>
              <w:rPr>
                <w:sz w:val="20"/>
                <w:szCs w:val="20"/>
                <w:color w:val="auto"/>
              </w:rPr>
            </w:pPr>
            <w:r>
              <w:rPr>
                <w:rFonts w:ascii="Arial" w:cs="Arial" w:eastAsia="Arial" w:hAnsi="Arial"/>
                <w:sz w:val="18"/>
                <w:szCs w:val="18"/>
                <w:color w:val="auto"/>
              </w:rPr>
              <w:t>$</w:t>
            </w:r>
          </w:p>
        </w:tc>
        <w:tc>
          <w:tcPr>
            <w:tcW w:w="260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aggregate principal amount of</w:t>
            </w:r>
          </w:p>
        </w:tc>
        <w:tc>
          <w:tcPr>
            <w:tcW w:w="3960" w:type="dxa"/>
            <w:vAlign w:val="bottom"/>
          </w:tcPr>
          <w:p>
            <w:pPr>
              <w:spacing w:after="0"/>
              <w:rPr>
                <w:sz w:val="20"/>
                <w:szCs w:val="20"/>
                <w:color w:val="auto"/>
              </w:rPr>
            </w:pPr>
            <w:r>
              <w:rPr>
                <w:rFonts w:ascii="Arial" w:cs="Arial" w:eastAsia="Arial" w:hAnsi="Arial"/>
                <w:sz w:val="18"/>
                <w:szCs w:val="18"/>
                <w:color w:val="auto"/>
              </w:rPr>
              <w:t>% Senior Notes due 20  .</w:t>
            </w:r>
          </w:p>
        </w:tc>
      </w:tr>
      <w:tr>
        <w:trPr>
          <w:trHeight w:val="473"/>
        </w:trPr>
        <w:tc>
          <w:tcPr>
            <w:tcW w:w="2740" w:type="dxa"/>
            <w:vAlign w:val="bottom"/>
          </w:tcPr>
          <w:p>
            <w:pPr>
              <w:spacing w:after="0"/>
              <w:rPr>
                <w:sz w:val="24"/>
                <w:szCs w:val="24"/>
                <w:color w:val="auto"/>
              </w:rPr>
            </w:pPr>
          </w:p>
        </w:tc>
        <w:tc>
          <w:tcPr>
            <w:tcW w:w="1740" w:type="dxa"/>
            <w:vAlign w:val="bottom"/>
          </w:tcPr>
          <w:p>
            <w:pPr>
              <w:ind w:left="1460"/>
              <w:spacing w:after="0"/>
              <w:rPr>
                <w:sz w:val="20"/>
                <w:szCs w:val="20"/>
                <w:color w:val="auto"/>
              </w:rPr>
            </w:pPr>
            <w:r>
              <w:rPr>
                <w:rFonts w:ascii="Arial" w:cs="Arial" w:eastAsia="Arial" w:hAnsi="Arial"/>
                <w:sz w:val="18"/>
                <w:szCs w:val="18"/>
                <w:color w:val="auto"/>
              </w:rPr>
              <w:t>$</w:t>
            </w:r>
          </w:p>
        </w:tc>
        <w:tc>
          <w:tcPr>
            <w:tcW w:w="260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aggregate principal amount of</w:t>
            </w:r>
          </w:p>
        </w:tc>
        <w:tc>
          <w:tcPr>
            <w:tcW w:w="3960" w:type="dxa"/>
            <w:vAlign w:val="bottom"/>
          </w:tcPr>
          <w:p>
            <w:pPr>
              <w:spacing w:after="0"/>
              <w:rPr>
                <w:sz w:val="20"/>
                <w:szCs w:val="20"/>
                <w:color w:val="auto"/>
              </w:rPr>
            </w:pPr>
            <w:r>
              <w:rPr>
                <w:rFonts w:ascii="Arial" w:cs="Arial" w:eastAsia="Arial" w:hAnsi="Arial"/>
                <w:sz w:val="18"/>
                <w:szCs w:val="18"/>
                <w:color w:val="auto"/>
              </w:rPr>
              <w:t>% Senior Notes due 20  .</w:t>
            </w:r>
          </w:p>
        </w:tc>
      </w:tr>
      <w:tr>
        <w:trPr>
          <w:trHeight w:val="459"/>
        </w:trPr>
        <w:tc>
          <w:tcPr>
            <w:tcW w:w="2740" w:type="dxa"/>
            <w:vAlign w:val="bottom"/>
          </w:tcPr>
          <w:p>
            <w:pPr>
              <w:spacing w:after="0"/>
              <w:rPr>
                <w:sz w:val="20"/>
                <w:szCs w:val="20"/>
                <w:color w:val="auto"/>
              </w:rPr>
            </w:pPr>
            <w:r>
              <w:rPr>
                <w:rFonts w:ascii="Arial" w:cs="Arial" w:eastAsia="Arial" w:hAnsi="Arial"/>
                <w:sz w:val="18"/>
                <w:szCs w:val="18"/>
                <w:color w:val="auto"/>
              </w:rPr>
              <w:t>Maturity date</w:t>
            </w:r>
          </w:p>
        </w:tc>
        <w:tc>
          <w:tcPr>
            <w:tcW w:w="2300" w:type="dxa"/>
            <w:vAlign w:val="bottom"/>
            <w:gridSpan w:val="2"/>
          </w:tcPr>
          <w:p>
            <w:pPr>
              <w:ind w:left="1460"/>
              <w:spacing w:after="0"/>
              <w:rPr>
                <w:sz w:val="20"/>
                <w:szCs w:val="20"/>
                <w:color w:val="auto"/>
              </w:rPr>
            </w:pPr>
            <w:r>
              <w:rPr>
                <w:rFonts w:ascii="Arial" w:cs="Arial" w:eastAsia="Arial" w:hAnsi="Arial"/>
                <w:sz w:val="18"/>
                <w:szCs w:val="18"/>
                <w:color w:val="auto"/>
                <w:w w:val="99"/>
              </w:rPr>
              <w:t>For the 20</w:t>
            </w:r>
          </w:p>
        </w:tc>
        <w:tc>
          <w:tcPr>
            <w:tcW w:w="700" w:type="dxa"/>
            <w:vAlign w:val="bottom"/>
          </w:tcPr>
          <w:p>
            <w:pPr>
              <w:ind w:left="120"/>
              <w:spacing w:after="0"/>
              <w:rPr>
                <w:sz w:val="20"/>
                <w:szCs w:val="20"/>
                <w:color w:val="auto"/>
              </w:rPr>
            </w:pPr>
            <w:r>
              <w:rPr>
                <w:rFonts w:ascii="Arial" w:cs="Arial" w:eastAsia="Arial" w:hAnsi="Arial"/>
                <w:sz w:val="18"/>
                <w:szCs w:val="18"/>
                <w:color w:val="auto"/>
              </w:rPr>
              <w:t>Notes:</w:t>
            </w:r>
          </w:p>
        </w:tc>
        <w:tc>
          <w:tcPr>
            <w:tcW w:w="1340" w:type="dxa"/>
            <w:vAlign w:val="bottom"/>
          </w:tcPr>
          <w:p>
            <w:pPr>
              <w:jc w:val="right"/>
              <w:spacing w:after="0"/>
              <w:rPr>
                <w:sz w:val="20"/>
                <w:szCs w:val="20"/>
                <w:color w:val="auto"/>
              </w:rPr>
            </w:pPr>
            <w:r>
              <w:rPr>
                <w:rFonts w:ascii="Arial" w:cs="Arial" w:eastAsia="Arial" w:hAnsi="Arial"/>
                <w:sz w:val="18"/>
                <w:szCs w:val="18"/>
                <w:color w:val="auto"/>
              </w:rPr>
              <w:t>, 20  .</w:t>
            </w:r>
          </w:p>
        </w:tc>
        <w:tc>
          <w:tcPr>
            <w:tcW w:w="3960" w:type="dxa"/>
            <w:vAlign w:val="bottom"/>
          </w:tcPr>
          <w:p>
            <w:pPr>
              <w:spacing w:after="0"/>
              <w:rPr>
                <w:sz w:val="24"/>
                <w:szCs w:val="24"/>
                <w:color w:val="auto"/>
              </w:rPr>
            </w:pPr>
          </w:p>
        </w:tc>
      </w:tr>
      <w:tr>
        <w:trPr>
          <w:trHeight w:val="473"/>
        </w:trPr>
        <w:tc>
          <w:tcPr>
            <w:tcW w:w="2740" w:type="dxa"/>
            <w:vAlign w:val="bottom"/>
          </w:tcPr>
          <w:p>
            <w:pPr>
              <w:spacing w:after="0"/>
              <w:rPr>
                <w:sz w:val="24"/>
                <w:szCs w:val="24"/>
                <w:color w:val="auto"/>
              </w:rPr>
            </w:pPr>
          </w:p>
        </w:tc>
        <w:tc>
          <w:tcPr>
            <w:tcW w:w="2300" w:type="dxa"/>
            <w:vAlign w:val="bottom"/>
            <w:gridSpan w:val="2"/>
          </w:tcPr>
          <w:p>
            <w:pPr>
              <w:ind w:left="1460"/>
              <w:spacing w:after="0"/>
              <w:rPr>
                <w:sz w:val="20"/>
                <w:szCs w:val="20"/>
                <w:color w:val="auto"/>
              </w:rPr>
            </w:pPr>
            <w:r>
              <w:rPr>
                <w:rFonts w:ascii="Arial" w:cs="Arial" w:eastAsia="Arial" w:hAnsi="Arial"/>
                <w:sz w:val="18"/>
                <w:szCs w:val="18"/>
                <w:color w:val="auto"/>
                <w:w w:val="99"/>
              </w:rPr>
              <w:t>For the 20</w:t>
            </w:r>
          </w:p>
        </w:tc>
        <w:tc>
          <w:tcPr>
            <w:tcW w:w="700" w:type="dxa"/>
            <w:vAlign w:val="bottom"/>
          </w:tcPr>
          <w:p>
            <w:pPr>
              <w:ind w:left="120"/>
              <w:spacing w:after="0"/>
              <w:rPr>
                <w:sz w:val="20"/>
                <w:szCs w:val="20"/>
                <w:color w:val="auto"/>
              </w:rPr>
            </w:pPr>
            <w:r>
              <w:rPr>
                <w:rFonts w:ascii="Arial" w:cs="Arial" w:eastAsia="Arial" w:hAnsi="Arial"/>
                <w:sz w:val="18"/>
                <w:szCs w:val="18"/>
                <w:color w:val="auto"/>
              </w:rPr>
              <w:t>Notes:</w:t>
            </w:r>
          </w:p>
        </w:tc>
        <w:tc>
          <w:tcPr>
            <w:tcW w:w="1340" w:type="dxa"/>
            <w:vAlign w:val="bottom"/>
          </w:tcPr>
          <w:p>
            <w:pPr>
              <w:jc w:val="right"/>
              <w:spacing w:after="0"/>
              <w:rPr>
                <w:sz w:val="20"/>
                <w:szCs w:val="20"/>
                <w:color w:val="auto"/>
              </w:rPr>
            </w:pPr>
            <w:r>
              <w:rPr>
                <w:rFonts w:ascii="Arial" w:cs="Arial" w:eastAsia="Arial" w:hAnsi="Arial"/>
                <w:sz w:val="18"/>
                <w:szCs w:val="18"/>
                <w:color w:val="auto"/>
              </w:rPr>
              <w:t>, 20  .</w:t>
            </w:r>
          </w:p>
        </w:tc>
        <w:tc>
          <w:tcPr>
            <w:tcW w:w="3960" w:type="dxa"/>
            <w:vAlign w:val="bottom"/>
          </w:tcPr>
          <w:p>
            <w:pPr>
              <w:spacing w:after="0"/>
              <w:rPr>
                <w:sz w:val="24"/>
                <w:szCs w:val="24"/>
                <w:color w:val="auto"/>
              </w:rPr>
            </w:pPr>
          </w:p>
        </w:tc>
      </w:tr>
      <w:tr>
        <w:trPr>
          <w:trHeight w:val="459"/>
        </w:trPr>
        <w:tc>
          <w:tcPr>
            <w:tcW w:w="2740" w:type="dxa"/>
            <w:vAlign w:val="bottom"/>
          </w:tcPr>
          <w:p>
            <w:pPr>
              <w:spacing w:after="0"/>
              <w:rPr>
                <w:sz w:val="20"/>
                <w:szCs w:val="20"/>
                <w:color w:val="auto"/>
              </w:rPr>
            </w:pPr>
            <w:r>
              <w:rPr>
                <w:rFonts w:ascii="Arial" w:cs="Arial" w:eastAsia="Arial" w:hAnsi="Arial"/>
                <w:sz w:val="18"/>
                <w:szCs w:val="18"/>
                <w:color w:val="auto"/>
              </w:rPr>
              <w:t>Interest rate</w:t>
            </w:r>
          </w:p>
        </w:tc>
        <w:tc>
          <w:tcPr>
            <w:tcW w:w="2300" w:type="dxa"/>
            <w:vAlign w:val="bottom"/>
            <w:gridSpan w:val="2"/>
          </w:tcPr>
          <w:p>
            <w:pPr>
              <w:ind w:left="1460"/>
              <w:spacing w:after="0"/>
              <w:rPr>
                <w:sz w:val="20"/>
                <w:szCs w:val="20"/>
                <w:color w:val="auto"/>
              </w:rPr>
            </w:pPr>
            <w:r>
              <w:rPr>
                <w:rFonts w:ascii="Arial" w:cs="Arial" w:eastAsia="Arial" w:hAnsi="Arial"/>
                <w:sz w:val="18"/>
                <w:szCs w:val="18"/>
                <w:color w:val="auto"/>
                <w:w w:val="99"/>
              </w:rPr>
              <w:t>For the 20</w:t>
            </w:r>
          </w:p>
        </w:tc>
        <w:tc>
          <w:tcPr>
            <w:tcW w:w="700" w:type="dxa"/>
            <w:vAlign w:val="bottom"/>
          </w:tcPr>
          <w:p>
            <w:pPr>
              <w:ind w:left="120"/>
              <w:spacing w:after="0"/>
              <w:rPr>
                <w:sz w:val="20"/>
                <w:szCs w:val="20"/>
                <w:color w:val="auto"/>
              </w:rPr>
            </w:pPr>
            <w:r>
              <w:rPr>
                <w:rFonts w:ascii="Arial" w:cs="Arial" w:eastAsia="Arial" w:hAnsi="Arial"/>
                <w:sz w:val="18"/>
                <w:szCs w:val="18"/>
                <w:color w:val="auto"/>
              </w:rPr>
              <w:t>Notes:</w:t>
            </w:r>
          </w:p>
        </w:tc>
        <w:tc>
          <w:tcPr>
            <w:tcW w:w="134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3960" w:type="dxa"/>
            <w:vAlign w:val="bottom"/>
          </w:tcPr>
          <w:p>
            <w:pPr>
              <w:spacing w:after="0"/>
              <w:rPr>
                <w:sz w:val="24"/>
                <w:szCs w:val="24"/>
                <w:color w:val="auto"/>
              </w:rPr>
            </w:pPr>
          </w:p>
        </w:tc>
      </w:tr>
      <w:tr>
        <w:trPr>
          <w:trHeight w:val="473"/>
        </w:trPr>
        <w:tc>
          <w:tcPr>
            <w:tcW w:w="2740" w:type="dxa"/>
            <w:vAlign w:val="bottom"/>
          </w:tcPr>
          <w:p>
            <w:pPr>
              <w:spacing w:after="0"/>
              <w:rPr>
                <w:sz w:val="24"/>
                <w:szCs w:val="24"/>
                <w:color w:val="auto"/>
              </w:rPr>
            </w:pPr>
          </w:p>
        </w:tc>
        <w:tc>
          <w:tcPr>
            <w:tcW w:w="2300" w:type="dxa"/>
            <w:vAlign w:val="bottom"/>
            <w:gridSpan w:val="2"/>
          </w:tcPr>
          <w:p>
            <w:pPr>
              <w:ind w:left="1460"/>
              <w:spacing w:after="0"/>
              <w:rPr>
                <w:sz w:val="20"/>
                <w:szCs w:val="20"/>
                <w:color w:val="auto"/>
              </w:rPr>
            </w:pPr>
            <w:r>
              <w:rPr>
                <w:rFonts w:ascii="Arial" w:cs="Arial" w:eastAsia="Arial" w:hAnsi="Arial"/>
                <w:sz w:val="18"/>
                <w:szCs w:val="18"/>
                <w:color w:val="auto"/>
                <w:w w:val="99"/>
              </w:rPr>
              <w:t>For the 20</w:t>
            </w:r>
          </w:p>
        </w:tc>
        <w:tc>
          <w:tcPr>
            <w:tcW w:w="700" w:type="dxa"/>
            <w:vAlign w:val="bottom"/>
          </w:tcPr>
          <w:p>
            <w:pPr>
              <w:ind w:left="120"/>
              <w:spacing w:after="0"/>
              <w:rPr>
                <w:sz w:val="20"/>
                <w:szCs w:val="20"/>
                <w:color w:val="auto"/>
              </w:rPr>
            </w:pPr>
            <w:r>
              <w:rPr>
                <w:rFonts w:ascii="Arial" w:cs="Arial" w:eastAsia="Arial" w:hAnsi="Arial"/>
                <w:sz w:val="18"/>
                <w:szCs w:val="18"/>
                <w:color w:val="auto"/>
              </w:rPr>
              <w:t>Notes:</w:t>
            </w:r>
          </w:p>
        </w:tc>
        <w:tc>
          <w:tcPr>
            <w:tcW w:w="134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3960" w:type="dxa"/>
            <w:vAlign w:val="bottom"/>
          </w:tcPr>
          <w:p>
            <w:pPr>
              <w:spacing w:after="0"/>
              <w:rPr>
                <w:sz w:val="24"/>
                <w:szCs w:val="24"/>
                <w:color w:val="auto"/>
              </w:rPr>
            </w:pPr>
          </w:p>
        </w:tc>
      </w:tr>
    </w:tbl>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5980" w:type="dxa"/>
            <w:vAlign w:val="bottom"/>
            <w:gridSpan w:val="2"/>
          </w:tcPr>
          <w:p>
            <w:pPr>
              <w:ind w:left="1300"/>
              <w:spacing w:after="0"/>
              <w:rPr>
                <w:sz w:val="20"/>
                <w:szCs w:val="20"/>
                <w:color w:val="auto"/>
              </w:rPr>
            </w:pPr>
            <w:r>
              <w:rPr>
                <w:rFonts w:ascii="Arial" w:cs="Arial" w:eastAsia="Arial" w:hAnsi="Arial"/>
                <w:sz w:val="18"/>
                <w:szCs w:val="18"/>
                <w:color w:val="auto"/>
                <w:w w:val="96"/>
              </w:rPr>
              <w:t>We will pay interest on the Notes semi-annually in arrears on</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and</w:t>
            </w:r>
          </w:p>
        </w:tc>
        <w:tc>
          <w:tcPr>
            <w:tcW w:w="1380" w:type="dxa"/>
            <w:vAlign w:val="bottom"/>
          </w:tcPr>
          <w:p>
            <w:pPr>
              <w:ind w:left="440"/>
              <w:spacing w:after="0"/>
              <w:rPr>
                <w:sz w:val="20"/>
                <w:szCs w:val="20"/>
                <w:color w:val="auto"/>
              </w:rPr>
            </w:pPr>
            <w:r>
              <w:rPr>
                <w:rFonts w:ascii="Arial" w:cs="Arial" w:eastAsia="Arial" w:hAnsi="Arial"/>
                <w:sz w:val="18"/>
                <w:szCs w:val="18"/>
                <w:color w:val="auto"/>
                <w:w w:val="88"/>
              </w:rPr>
              <w:t>of each year,</w:t>
            </w:r>
          </w:p>
        </w:tc>
      </w:tr>
      <w:tr>
        <w:trPr>
          <w:trHeight w:val="230"/>
        </w:trPr>
        <w:tc>
          <w:tcPr>
            <w:tcW w:w="2900" w:type="dxa"/>
            <w:vAlign w:val="bottom"/>
          </w:tcPr>
          <w:p>
            <w:pPr>
              <w:spacing w:after="0"/>
              <w:rPr>
                <w:sz w:val="20"/>
                <w:szCs w:val="20"/>
                <w:color w:val="auto"/>
              </w:rPr>
            </w:pPr>
          </w:p>
        </w:tc>
        <w:tc>
          <w:tcPr>
            <w:tcW w:w="2960" w:type="dxa"/>
            <w:vAlign w:val="bottom"/>
          </w:tcPr>
          <w:p>
            <w:pPr>
              <w:ind w:left="1300"/>
              <w:spacing w:after="0"/>
              <w:rPr>
                <w:sz w:val="20"/>
                <w:szCs w:val="20"/>
                <w:color w:val="auto"/>
              </w:rPr>
            </w:pPr>
            <w:r>
              <w:rPr>
                <w:rFonts w:ascii="Arial" w:cs="Arial" w:eastAsia="Arial" w:hAnsi="Arial"/>
                <w:sz w:val="18"/>
                <w:szCs w:val="18"/>
                <w:color w:val="auto"/>
              </w:rPr>
              <w:t>beginning on</w:t>
            </w:r>
          </w:p>
        </w:tc>
        <w:tc>
          <w:tcPr>
            <w:tcW w:w="3020" w:type="dxa"/>
            <w:vAlign w:val="bottom"/>
          </w:tcPr>
          <w:p>
            <w:pPr>
              <w:jc w:val="right"/>
              <w:ind w:right="2210"/>
              <w:spacing w:after="0"/>
              <w:rPr>
                <w:sz w:val="20"/>
                <w:szCs w:val="20"/>
                <w:color w:val="auto"/>
              </w:rPr>
            </w:pPr>
            <w:r>
              <w:rPr>
                <w:rFonts w:ascii="Arial" w:cs="Arial" w:eastAsia="Arial" w:hAnsi="Arial"/>
                <w:sz w:val="18"/>
                <w:szCs w:val="18"/>
                <w:color w:val="auto"/>
              </w:rPr>
              <w:t>, 2015.</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45"/>
        </w:trPr>
        <w:tc>
          <w:tcPr>
            <w:tcW w:w="2900" w:type="dxa"/>
            <w:vAlign w:val="bottom"/>
          </w:tcPr>
          <w:p>
            <w:pPr>
              <w:spacing w:after="0"/>
              <w:rPr>
                <w:sz w:val="20"/>
                <w:szCs w:val="20"/>
                <w:color w:val="auto"/>
              </w:rPr>
            </w:pPr>
            <w:r>
              <w:rPr>
                <w:rFonts w:ascii="Arial" w:cs="Arial" w:eastAsia="Arial" w:hAnsi="Arial"/>
                <w:sz w:val="18"/>
                <w:szCs w:val="18"/>
                <w:color w:val="auto"/>
              </w:rPr>
              <w:t>Optional redemption</w:t>
            </w:r>
          </w:p>
        </w:tc>
        <w:tc>
          <w:tcPr>
            <w:tcW w:w="8160" w:type="dxa"/>
            <w:vAlign w:val="bottom"/>
            <w:gridSpan w:val="4"/>
          </w:tcPr>
          <w:p>
            <w:pPr>
              <w:ind w:left="1300"/>
              <w:spacing w:after="0"/>
              <w:rPr>
                <w:sz w:val="20"/>
                <w:szCs w:val="20"/>
                <w:color w:val="auto"/>
              </w:rPr>
            </w:pPr>
            <w:r>
              <w:rPr>
                <w:rFonts w:ascii="Arial" w:cs="Arial" w:eastAsia="Arial" w:hAnsi="Arial"/>
                <w:sz w:val="18"/>
                <w:szCs w:val="18"/>
                <w:color w:val="auto"/>
                <w:w w:val="90"/>
              </w:rPr>
              <w:t>We may redeem either or both series of Notes, in whole or in part, at any time and from time to</w:t>
            </w:r>
          </w:p>
        </w:tc>
      </w:tr>
      <w:tr>
        <w:trPr>
          <w:trHeight w:val="216"/>
        </w:trPr>
        <w:tc>
          <w:tcPr>
            <w:tcW w:w="2900" w:type="dxa"/>
            <w:vAlign w:val="bottom"/>
          </w:tcPr>
          <w:p>
            <w:pPr>
              <w:spacing w:after="0"/>
              <w:rPr>
                <w:sz w:val="18"/>
                <w:szCs w:val="18"/>
                <w:color w:val="auto"/>
              </w:rPr>
            </w:pPr>
          </w:p>
        </w:tc>
        <w:tc>
          <w:tcPr>
            <w:tcW w:w="5980" w:type="dxa"/>
            <w:vAlign w:val="bottom"/>
            <w:gridSpan w:val="2"/>
          </w:tcPr>
          <w:p>
            <w:pPr>
              <w:ind w:left="1300"/>
              <w:spacing w:after="0"/>
              <w:rPr>
                <w:sz w:val="20"/>
                <w:szCs w:val="20"/>
                <w:color w:val="auto"/>
              </w:rPr>
            </w:pPr>
            <w:r>
              <w:rPr>
                <w:rFonts w:ascii="Arial" w:cs="Arial" w:eastAsia="Arial" w:hAnsi="Arial"/>
                <w:sz w:val="18"/>
                <w:szCs w:val="18"/>
                <w:color w:val="auto"/>
              </w:rPr>
              <w:t>time prior to maturity. If we redeem the 20   Notes before</w:t>
            </w:r>
          </w:p>
        </w:tc>
        <w:tc>
          <w:tcPr>
            <w:tcW w:w="800" w:type="dxa"/>
            <w:vAlign w:val="bottom"/>
          </w:tcPr>
          <w:p>
            <w:pPr>
              <w:jc w:val="right"/>
              <w:spacing w:after="0"/>
              <w:rPr>
                <w:sz w:val="20"/>
                <w:szCs w:val="20"/>
                <w:color w:val="auto"/>
              </w:rPr>
            </w:pPr>
            <w:r>
              <w:rPr>
                <w:rFonts w:ascii="Arial" w:cs="Arial" w:eastAsia="Arial" w:hAnsi="Arial"/>
                <w:sz w:val="18"/>
                <w:szCs w:val="18"/>
                <w:color w:val="auto"/>
              </w:rPr>
              <w:t>, 20</w:t>
            </w: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rPr>
              <w:t>(   months</w:t>
            </w:r>
          </w:p>
        </w:tc>
      </w:tr>
      <w:tr>
        <w:trPr>
          <w:trHeight w:val="216"/>
        </w:trPr>
        <w:tc>
          <w:tcPr>
            <w:tcW w:w="2900" w:type="dxa"/>
            <w:vAlign w:val="bottom"/>
          </w:tcPr>
          <w:p>
            <w:pPr>
              <w:spacing w:after="0"/>
              <w:rPr>
                <w:sz w:val="18"/>
                <w:szCs w:val="18"/>
                <w:color w:val="auto"/>
              </w:rPr>
            </w:pPr>
          </w:p>
        </w:tc>
        <w:tc>
          <w:tcPr>
            <w:tcW w:w="5980" w:type="dxa"/>
            <w:vAlign w:val="bottom"/>
            <w:gridSpan w:val="2"/>
          </w:tcPr>
          <w:p>
            <w:pPr>
              <w:ind w:left="1300"/>
              <w:spacing w:after="0"/>
              <w:rPr>
                <w:sz w:val="20"/>
                <w:szCs w:val="20"/>
                <w:color w:val="auto"/>
              </w:rPr>
            </w:pPr>
            <w:r>
              <w:rPr>
                <w:rFonts w:ascii="Arial" w:cs="Arial" w:eastAsia="Arial" w:hAnsi="Arial"/>
                <w:sz w:val="18"/>
                <w:szCs w:val="18"/>
                <w:color w:val="auto"/>
              </w:rPr>
              <w:t>prior to their maturity date) or the 20   Notes before</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 20   (</w:t>
            </w: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3"/>
              </w:rPr>
              <w:t>months prior to</w:t>
            </w:r>
          </w:p>
        </w:tc>
      </w:tr>
      <w:tr>
        <w:trPr>
          <w:trHeight w:val="216"/>
        </w:trPr>
        <w:tc>
          <w:tcPr>
            <w:tcW w:w="2900" w:type="dxa"/>
            <w:vAlign w:val="bottom"/>
          </w:tcPr>
          <w:p>
            <w:pPr>
              <w:spacing w:after="0"/>
              <w:rPr>
                <w:sz w:val="18"/>
                <w:szCs w:val="18"/>
                <w:color w:val="auto"/>
              </w:rPr>
            </w:pPr>
          </w:p>
        </w:tc>
        <w:tc>
          <w:tcPr>
            <w:tcW w:w="8160" w:type="dxa"/>
            <w:vAlign w:val="bottom"/>
            <w:gridSpan w:val="4"/>
          </w:tcPr>
          <w:p>
            <w:pPr>
              <w:ind w:left="1300"/>
              <w:spacing w:after="0"/>
              <w:rPr>
                <w:sz w:val="20"/>
                <w:szCs w:val="20"/>
                <w:color w:val="auto"/>
              </w:rPr>
            </w:pPr>
            <w:r>
              <w:rPr>
                <w:rFonts w:ascii="Arial" w:cs="Arial" w:eastAsia="Arial" w:hAnsi="Arial"/>
                <w:sz w:val="18"/>
                <w:szCs w:val="18"/>
                <w:color w:val="auto"/>
                <w:w w:val="90"/>
              </w:rPr>
              <w:t>their maturity date), such Notes may be redeemed at a price equal to the greater of (i) 100% of</w:t>
            </w:r>
          </w:p>
        </w:tc>
      </w:tr>
      <w:tr>
        <w:trPr>
          <w:trHeight w:val="216"/>
        </w:trPr>
        <w:tc>
          <w:tcPr>
            <w:tcW w:w="2900" w:type="dxa"/>
            <w:vAlign w:val="bottom"/>
          </w:tcPr>
          <w:p>
            <w:pPr>
              <w:spacing w:after="0"/>
              <w:rPr>
                <w:sz w:val="18"/>
                <w:szCs w:val="18"/>
                <w:color w:val="auto"/>
              </w:rPr>
            </w:pPr>
          </w:p>
        </w:tc>
        <w:tc>
          <w:tcPr>
            <w:tcW w:w="8160" w:type="dxa"/>
            <w:vAlign w:val="bottom"/>
            <w:gridSpan w:val="4"/>
          </w:tcPr>
          <w:p>
            <w:pPr>
              <w:ind w:left="1300"/>
              <w:spacing w:after="0"/>
              <w:rPr>
                <w:sz w:val="20"/>
                <w:szCs w:val="20"/>
                <w:color w:val="auto"/>
              </w:rPr>
            </w:pPr>
            <w:r>
              <w:rPr>
                <w:rFonts w:ascii="Arial" w:cs="Arial" w:eastAsia="Arial" w:hAnsi="Arial"/>
                <w:sz w:val="18"/>
                <w:szCs w:val="18"/>
                <w:color w:val="auto"/>
                <w:w w:val="93"/>
              </w:rPr>
              <w:t>the principal amount of the Notes to be redeemed or (ii) the sum of the present values of the</w:t>
            </w:r>
          </w:p>
        </w:tc>
      </w:tr>
      <w:tr>
        <w:trPr>
          <w:trHeight w:val="216"/>
        </w:trPr>
        <w:tc>
          <w:tcPr>
            <w:tcW w:w="2900" w:type="dxa"/>
            <w:vAlign w:val="bottom"/>
          </w:tcPr>
          <w:p>
            <w:pPr>
              <w:spacing w:after="0"/>
              <w:rPr>
                <w:sz w:val="18"/>
                <w:szCs w:val="18"/>
                <w:color w:val="auto"/>
              </w:rPr>
            </w:pPr>
          </w:p>
        </w:tc>
        <w:tc>
          <w:tcPr>
            <w:tcW w:w="8160" w:type="dxa"/>
            <w:vAlign w:val="bottom"/>
            <w:gridSpan w:val="4"/>
          </w:tcPr>
          <w:p>
            <w:pPr>
              <w:ind w:left="1300"/>
              <w:spacing w:after="0"/>
              <w:rPr>
                <w:sz w:val="20"/>
                <w:szCs w:val="20"/>
                <w:color w:val="auto"/>
              </w:rPr>
            </w:pPr>
            <w:r>
              <w:rPr>
                <w:rFonts w:ascii="Arial" w:cs="Arial" w:eastAsia="Arial" w:hAnsi="Arial"/>
                <w:sz w:val="18"/>
                <w:szCs w:val="18"/>
                <w:color w:val="auto"/>
                <w:w w:val="97"/>
              </w:rPr>
              <w:t>remaining scheduled payments of principal of and interest on the Notes to be redeemed,</w:t>
            </w:r>
          </w:p>
        </w:tc>
      </w:tr>
      <w:tr>
        <w:trPr>
          <w:trHeight w:val="216"/>
        </w:trPr>
        <w:tc>
          <w:tcPr>
            <w:tcW w:w="2900" w:type="dxa"/>
            <w:vAlign w:val="bottom"/>
          </w:tcPr>
          <w:p>
            <w:pPr>
              <w:spacing w:after="0"/>
              <w:rPr>
                <w:sz w:val="18"/>
                <w:szCs w:val="18"/>
                <w:color w:val="auto"/>
              </w:rPr>
            </w:pPr>
          </w:p>
        </w:tc>
        <w:tc>
          <w:tcPr>
            <w:tcW w:w="8160" w:type="dxa"/>
            <w:vAlign w:val="bottom"/>
            <w:gridSpan w:val="4"/>
          </w:tcPr>
          <w:p>
            <w:pPr>
              <w:ind w:left="1300"/>
              <w:spacing w:after="0"/>
              <w:rPr>
                <w:sz w:val="20"/>
                <w:szCs w:val="20"/>
                <w:color w:val="auto"/>
              </w:rPr>
            </w:pPr>
            <w:r>
              <w:rPr>
                <w:rFonts w:ascii="Arial" w:cs="Arial" w:eastAsia="Arial" w:hAnsi="Arial"/>
                <w:sz w:val="18"/>
                <w:szCs w:val="18"/>
                <w:color w:val="auto"/>
                <w:w w:val="93"/>
              </w:rPr>
              <w:t>discounted to the redemption date on a semiannual basis at the Adjusted Treasury Rate (as</w:t>
            </w:r>
          </w:p>
        </w:tc>
      </w:tr>
      <w:tr>
        <w:trPr>
          <w:trHeight w:val="230"/>
        </w:trPr>
        <w:tc>
          <w:tcPr>
            <w:tcW w:w="2900" w:type="dxa"/>
            <w:vAlign w:val="bottom"/>
          </w:tcPr>
          <w:p>
            <w:pPr>
              <w:spacing w:after="0"/>
              <w:rPr>
                <w:sz w:val="20"/>
                <w:szCs w:val="20"/>
                <w:color w:val="auto"/>
              </w:rPr>
            </w:pPr>
          </w:p>
        </w:tc>
        <w:tc>
          <w:tcPr>
            <w:tcW w:w="2960" w:type="dxa"/>
            <w:vAlign w:val="bottom"/>
          </w:tcPr>
          <w:p>
            <w:pPr>
              <w:ind w:left="1300"/>
              <w:spacing w:after="0"/>
              <w:rPr>
                <w:sz w:val="20"/>
                <w:szCs w:val="20"/>
                <w:color w:val="auto"/>
              </w:rPr>
            </w:pPr>
            <w:r>
              <w:rPr>
                <w:rFonts w:ascii="Arial" w:cs="Arial" w:eastAsia="Arial" w:hAnsi="Arial"/>
                <w:sz w:val="18"/>
                <w:szCs w:val="18"/>
                <w:color w:val="auto"/>
              </w:rPr>
              <w:t>defined herein) plus</w:t>
            </w:r>
          </w:p>
        </w:tc>
        <w:tc>
          <w:tcPr>
            <w:tcW w:w="3020" w:type="dxa"/>
            <w:vAlign w:val="bottom"/>
          </w:tcPr>
          <w:p>
            <w:pPr>
              <w:jc w:val="right"/>
              <w:spacing w:after="0"/>
              <w:rPr>
                <w:sz w:val="20"/>
                <w:szCs w:val="20"/>
                <w:color w:val="auto"/>
              </w:rPr>
            </w:pPr>
            <w:r>
              <w:rPr>
                <w:rFonts w:ascii="Arial" w:cs="Arial" w:eastAsia="Arial" w:hAnsi="Arial"/>
                <w:sz w:val="18"/>
                <w:szCs w:val="18"/>
                <w:color w:val="auto"/>
              </w:rPr>
              <w:t>basis points for the 20   Notes and</w:t>
            </w:r>
          </w:p>
        </w:tc>
        <w:tc>
          <w:tcPr>
            <w:tcW w:w="2180" w:type="dxa"/>
            <w:vAlign w:val="bottom"/>
            <w:gridSpan w:val="2"/>
          </w:tcPr>
          <w:p>
            <w:pPr>
              <w:ind w:left="560"/>
              <w:spacing w:after="0"/>
              <w:rPr>
                <w:sz w:val="20"/>
                <w:szCs w:val="20"/>
                <w:color w:val="auto"/>
              </w:rPr>
            </w:pPr>
            <w:r>
              <w:rPr>
                <w:rFonts w:ascii="Arial" w:cs="Arial" w:eastAsia="Arial" w:hAnsi="Arial"/>
                <w:sz w:val="18"/>
                <w:szCs w:val="18"/>
                <w:color w:val="auto"/>
              </w:rPr>
              <w:t>basis points for the</w:t>
            </w:r>
          </w:p>
        </w:tc>
      </w:tr>
    </w:tbl>
    <w:p>
      <w:pPr>
        <w:ind w:left="5580" w:right="2520" w:hanging="1183"/>
        <w:spacing w:after="0" w:line="636" w:lineRule="auto"/>
        <w:tabs>
          <w:tab w:leader="none" w:pos="4793"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Notes, together with accrued and unpaid interest to the 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80"/>
        <w:spacing w:after="0" w:line="257" w:lineRule="auto"/>
        <w:rPr>
          <w:sz w:val="20"/>
          <w:szCs w:val="20"/>
          <w:color w:val="auto"/>
        </w:rPr>
      </w:pPr>
      <w:r>
        <w:rPr>
          <w:rFonts w:ascii="Arial" w:cs="Arial" w:eastAsia="Arial" w:hAnsi="Arial"/>
          <w:sz w:val="18"/>
          <w:szCs w:val="18"/>
          <w:color w:val="auto"/>
        </w:rPr>
        <w:t>date of redemption. If we redeem the 20 Notes on or after , 20 ( months prior to their maturity date) or the 20 Notes on or after , 20 ( months prior to their maturity date), the redemption price will equal 100% of the principal amount of the Notes to be redeemed plus accrued and unpaid interest to the redemption date. See “Description of Notes—Optional Redemption.”</w:t>
      </w:r>
    </w:p>
    <w:p>
      <w:pPr>
        <w:sectPr>
          <w:pgSz w:w="11900" w:h="16838" w:orient="portrait"/>
          <w:cols w:equalWidth="0" w:num="1">
            <w:col w:w="11220"/>
          </w:cols>
          <w:pgMar w:left="240" w:top="459" w:right="439" w:bottom="1440" w:gutter="0" w:footer="0" w:header="0"/>
        </w:sect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Notes will be general senior unsecured obligations of the issuers and will rank equally in right of payment with the existing and future senior indebtedness of the issuers.</w:t>
      </w:r>
    </w:p>
    <w:p>
      <w:pPr>
        <w:spacing w:after="0" w:line="15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The Notes will be issued under an indenture containing covenants for your benefit. These covenants restrict our ability, with certain exceptions, to:</w:t>
      </w:r>
    </w:p>
    <w:p>
      <w:pPr>
        <w:spacing w:after="0" w:line="76"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620" w:hanging="178"/>
        <w:spacing w:after="0"/>
        <w:tabs>
          <w:tab w:leader="none" w:pos="4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liens on principal properties to secure debt;</w:t>
      </w:r>
    </w:p>
    <w:p>
      <w:pPr>
        <w:spacing w:after="0" w:line="130" w:lineRule="exact"/>
        <w:rPr>
          <w:rFonts w:ascii="Arial" w:cs="Arial" w:eastAsia="Arial" w:hAnsi="Arial"/>
          <w:sz w:val="18"/>
          <w:szCs w:val="18"/>
          <w:color w:val="auto"/>
        </w:rPr>
      </w:pPr>
    </w:p>
    <w:p>
      <w:pPr>
        <w:ind w:left="4620" w:hanging="178"/>
        <w:spacing w:after="0"/>
        <w:tabs>
          <w:tab w:leader="none" w:pos="4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sale-leaseback transactions; and</w:t>
      </w:r>
    </w:p>
    <w:p>
      <w:pPr>
        <w:spacing w:after="0" w:line="130" w:lineRule="exact"/>
        <w:rPr>
          <w:rFonts w:ascii="Arial" w:cs="Arial" w:eastAsia="Arial" w:hAnsi="Arial"/>
          <w:sz w:val="18"/>
          <w:szCs w:val="18"/>
          <w:color w:val="auto"/>
        </w:rPr>
      </w:pPr>
    </w:p>
    <w:p>
      <w:pPr>
        <w:ind w:left="4620" w:right="300" w:hanging="178"/>
        <w:spacing w:after="0" w:line="277" w:lineRule="auto"/>
        <w:tabs>
          <w:tab w:leader="none" w:pos="4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 or consolidate with another entity or sell, lease or transfer substantially all of our properties or assets to another entity.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5340" w:type="dxa"/>
            <w:vAlign w:val="bottom"/>
          </w:tcPr>
          <w:p>
            <w:pPr>
              <w:ind w:left="1020"/>
              <w:spacing w:after="0"/>
              <w:rPr>
                <w:sz w:val="20"/>
                <w:szCs w:val="20"/>
                <w:color w:val="auto"/>
              </w:rPr>
            </w:pPr>
            <w:r>
              <w:rPr>
                <w:rFonts w:ascii="Arial" w:cs="Arial" w:eastAsia="Arial" w:hAnsi="Arial"/>
                <w:sz w:val="18"/>
                <w:szCs w:val="18"/>
                <w:color w:val="auto"/>
              </w:rPr>
              <w:t>See “Description of Notes—Covenants.”</w:t>
            </w:r>
          </w:p>
        </w:tc>
        <w:tc>
          <w:tcPr>
            <w:tcW w:w="2440" w:type="dxa"/>
            <w:vAlign w:val="bottom"/>
          </w:tcPr>
          <w:p>
            <w:pPr>
              <w:spacing w:after="0"/>
              <w:rPr>
                <w:sz w:val="20"/>
                <w:szCs w:val="20"/>
                <w:color w:val="auto"/>
              </w:rPr>
            </w:pPr>
          </w:p>
        </w:tc>
      </w:tr>
      <w:tr>
        <w:trPr>
          <w:trHeight w:val="445"/>
        </w:trPr>
        <w:tc>
          <w:tcPr>
            <w:tcW w:w="3180" w:type="dxa"/>
            <w:vAlign w:val="bottom"/>
          </w:tcPr>
          <w:p>
            <w:pPr>
              <w:spacing w:after="0"/>
              <w:rPr>
                <w:sz w:val="20"/>
                <w:szCs w:val="20"/>
                <w:color w:val="auto"/>
              </w:rPr>
            </w:pPr>
            <w:r>
              <w:rPr>
                <w:rFonts w:ascii="Arial" w:cs="Arial" w:eastAsia="Arial" w:hAnsi="Arial"/>
                <w:sz w:val="18"/>
                <w:szCs w:val="18"/>
                <w:color w:val="auto"/>
              </w:rPr>
              <w:t>Use of proceeds</w:t>
            </w:r>
          </w:p>
        </w:tc>
        <w:tc>
          <w:tcPr>
            <w:tcW w:w="5340" w:type="dxa"/>
            <w:vAlign w:val="bottom"/>
          </w:tcPr>
          <w:p>
            <w:pPr>
              <w:ind w:left="1020"/>
              <w:spacing w:after="0"/>
              <w:rPr>
                <w:sz w:val="20"/>
                <w:szCs w:val="20"/>
                <w:color w:val="auto"/>
              </w:rPr>
            </w:pPr>
            <w:r>
              <w:rPr>
                <w:rFonts w:ascii="Arial" w:cs="Arial" w:eastAsia="Arial" w:hAnsi="Arial"/>
                <w:sz w:val="18"/>
                <w:szCs w:val="18"/>
                <w:color w:val="auto"/>
                <w:w w:val="96"/>
              </w:rPr>
              <w:t>The net proceeds of this offering will be approximately $</w:t>
            </w:r>
          </w:p>
        </w:tc>
        <w:tc>
          <w:tcPr>
            <w:tcW w:w="2440" w:type="dxa"/>
            <w:vAlign w:val="bottom"/>
          </w:tcPr>
          <w:p>
            <w:pPr>
              <w:ind w:left="200"/>
              <w:spacing w:after="0"/>
              <w:rPr>
                <w:sz w:val="20"/>
                <w:szCs w:val="20"/>
                <w:color w:val="auto"/>
              </w:rPr>
            </w:pPr>
            <w:r>
              <w:rPr>
                <w:rFonts w:ascii="Arial" w:cs="Arial" w:eastAsia="Arial" w:hAnsi="Arial"/>
                <w:sz w:val="18"/>
                <w:szCs w:val="18"/>
                <w:color w:val="auto"/>
              </w:rPr>
              <w:t>million after deducting the</w:t>
            </w:r>
          </w:p>
        </w:tc>
      </w:tr>
      <w:tr>
        <w:trPr>
          <w:trHeight w:val="216"/>
        </w:trPr>
        <w:tc>
          <w:tcPr>
            <w:tcW w:w="3180" w:type="dxa"/>
            <w:vAlign w:val="bottom"/>
          </w:tcPr>
          <w:p>
            <w:pPr>
              <w:spacing w:after="0"/>
              <w:rPr>
                <w:sz w:val="18"/>
                <w:szCs w:val="18"/>
                <w:color w:val="auto"/>
              </w:rPr>
            </w:pPr>
          </w:p>
        </w:tc>
        <w:tc>
          <w:tcPr>
            <w:tcW w:w="7780" w:type="dxa"/>
            <w:vAlign w:val="bottom"/>
            <w:gridSpan w:val="2"/>
          </w:tcPr>
          <w:p>
            <w:pPr>
              <w:ind w:left="1020"/>
              <w:spacing w:after="0"/>
              <w:rPr>
                <w:sz w:val="20"/>
                <w:szCs w:val="20"/>
                <w:color w:val="auto"/>
              </w:rPr>
            </w:pPr>
            <w:r>
              <w:rPr>
                <w:rFonts w:ascii="Arial" w:cs="Arial" w:eastAsia="Arial" w:hAnsi="Arial"/>
                <w:sz w:val="18"/>
                <w:szCs w:val="18"/>
                <w:color w:val="auto"/>
                <w:w w:val="89"/>
              </w:rPr>
              <w:t>underwriting discount and our estimated offering expenses. We expect to use the net proceeds</w:t>
            </w:r>
          </w:p>
        </w:tc>
      </w:tr>
      <w:tr>
        <w:trPr>
          <w:trHeight w:val="216"/>
        </w:trPr>
        <w:tc>
          <w:tcPr>
            <w:tcW w:w="3180" w:type="dxa"/>
            <w:vAlign w:val="bottom"/>
          </w:tcPr>
          <w:p>
            <w:pPr>
              <w:spacing w:after="0"/>
              <w:rPr>
                <w:sz w:val="18"/>
                <w:szCs w:val="18"/>
                <w:color w:val="auto"/>
              </w:rPr>
            </w:pPr>
          </w:p>
        </w:tc>
        <w:tc>
          <w:tcPr>
            <w:tcW w:w="7780" w:type="dxa"/>
            <w:vAlign w:val="bottom"/>
            <w:gridSpan w:val="2"/>
          </w:tcPr>
          <w:p>
            <w:pPr>
              <w:ind w:left="1020"/>
              <w:spacing w:after="0"/>
              <w:rPr>
                <w:sz w:val="20"/>
                <w:szCs w:val="20"/>
                <w:color w:val="auto"/>
              </w:rPr>
            </w:pPr>
            <w:r>
              <w:rPr>
                <w:rFonts w:ascii="Arial" w:cs="Arial" w:eastAsia="Arial" w:hAnsi="Arial"/>
                <w:sz w:val="18"/>
                <w:szCs w:val="18"/>
                <w:color w:val="auto"/>
                <w:w w:val="93"/>
              </w:rPr>
              <w:t>from this offering to repay outstanding borrowings under our commercial paper program (a</w:t>
            </w:r>
          </w:p>
        </w:tc>
      </w:tr>
      <w:tr>
        <w:trPr>
          <w:trHeight w:val="216"/>
        </w:trPr>
        <w:tc>
          <w:tcPr>
            <w:tcW w:w="3180" w:type="dxa"/>
            <w:vAlign w:val="bottom"/>
          </w:tcPr>
          <w:p>
            <w:pPr>
              <w:spacing w:after="0"/>
              <w:rPr>
                <w:sz w:val="18"/>
                <w:szCs w:val="18"/>
                <w:color w:val="auto"/>
              </w:rPr>
            </w:pPr>
          </w:p>
        </w:tc>
        <w:tc>
          <w:tcPr>
            <w:tcW w:w="7780" w:type="dxa"/>
            <w:vAlign w:val="bottom"/>
            <w:gridSpan w:val="2"/>
          </w:tcPr>
          <w:p>
            <w:pPr>
              <w:ind w:left="1020"/>
              <w:spacing w:after="0"/>
              <w:rPr>
                <w:sz w:val="20"/>
                <w:szCs w:val="20"/>
                <w:color w:val="auto"/>
              </w:rPr>
            </w:pPr>
            <w:r>
              <w:rPr>
                <w:rFonts w:ascii="Arial" w:cs="Arial" w:eastAsia="Arial" w:hAnsi="Arial"/>
                <w:sz w:val="18"/>
                <w:szCs w:val="18"/>
                <w:color w:val="auto"/>
                <w:w w:val="96"/>
              </w:rPr>
              <w:t>portion of which was used to fund the BridgeTex acquisition) and for general partnership</w:t>
            </w:r>
          </w:p>
        </w:tc>
      </w:tr>
      <w:tr>
        <w:trPr>
          <w:trHeight w:val="230"/>
        </w:trPr>
        <w:tc>
          <w:tcPr>
            <w:tcW w:w="3180" w:type="dxa"/>
            <w:vAlign w:val="bottom"/>
          </w:tcPr>
          <w:p>
            <w:pPr>
              <w:spacing w:after="0"/>
              <w:rPr>
                <w:sz w:val="20"/>
                <w:szCs w:val="20"/>
                <w:color w:val="auto"/>
              </w:rPr>
            </w:pPr>
          </w:p>
        </w:tc>
        <w:tc>
          <w:tcPr>
            <w:tcW w:w="5340" w:type="dxa"/>
            <w:vAlign w:val="bottom"/>
          </w:tcPr>
          <w:p>
            <w:pPr>
              <w:ind w:left="1020"/>
              <w:spacing w:after="0"/>
              <w:rPr>
                <w:sz w:val="20"/>
                <w:szCs w:val="20"/>
                <w:color w:val="auto"/>
              </w:rPr>
            </w:pPr>
            <w:r>
              <w:rPr>
                <w:rFonts w:ascii="Arial" w:cs="Arial" w:eastAsia="Arial" w:hAnsi="Arial"/>
                <w:sz w:val="18"/>
                <w:szCs w:val="18"/>
                <w:color w:val="auto"/>
              </w:rPr>
              <w:t>purposes.</w:t>
            </w:r>
          </w:p>
        </w:tc>
        <w:tc>
          <w:tcPr>
            <w:tcW w:w="2440" w:type="dxa"/>
            <w:vAlign w:val="bottom"/>
          </w:tcPr>
          <w:p>
            <w:pPr>
              <w:spacing w:after="0"/>
              <w:rPr>
                <w:sz w:val="20"/>
                <w:szCs w:val="20"/>
                <w:color w:val="auto"/>
              </w:rPr>
            </w:pPr>
          </w:p>
        </w:tc>
      </w:tr>
      <w:tr>
        <w:trPr>
          <w:trHeight w:val="445"/>
        </w:trPr>
        <w:tc>
          <w:tcPr>
            <w:tcW w:w="3180" w:type="dxa"/>
            <w:vAlign w:val="bottom"/>
          </w:tcPr>
          <w:p>
            <w:pPr>
              <w:spacing w:after="0"/>
              <w:rPr>
                <w:sz w:val="24"/>
                <w:szCs w:val="24"/>
                <w:color w:val="auto"/>
              </w:rPr>
            </w:pPr>
          </w:p>
        </w:tc>
        <w:tc>
          <w:tcPr>
            <w:tcW w:w="7780" w:type="dxa"/>
            <w:vAlign w:val="bottom"/>
            <w:gridSpan w:val="2"/>
          </w:tcPr>
          <w:p>
            <w:pPr>
              <w:ind w:left="1020"/>
              <w:spacing w:after="0"/>
              <w:rPr>
                <w:sz w:val="20"/>
                <w:szCs w:val="20"/>
                <w:color w:val="auto"/>
              </w:rPr>
            </w:pPr>
            <w:r>
              <w:rPr>
                <w:rFonts w:ascii="Arial" w:cs="Arial" w:eastAsia="Arial" w:hAnsi="Arial"/>
                <w:sz w:val="18"/>
                <w:szCs w:val="18"/>
                <w:color w:val="auto"/>
                <w:w w:val="92"/>
              </w:rPr>
              <w:t>Amounts repaid under our commercial paper program may be reborrowed, as necessary, to</w:t>
            </w:r>
          </w:p>
        </w:tc>
      </w:tr>
      <w:tr>
        <w:trPr>
          <w:trHeight w:val="216"/>
        </w:trPr>
        <w:tc>
          <w:tcPr>
            <w:tcW w:w="3180" w:type="dxa"/>
            <w:vAlign w:val="bottom"/>
          </w:tcPr>
          <w:p>
            <w:pPr>
              <w:spacing w:after="0"/>
              <w:rPr>
                <w:sz w:val="18"/>
                <w:szCs w:val="18"/>
                <w:color w:val="auto"/>
              </w:rPr>
            </w:pPr>
          </w:p>
        </w:tc>
        <w:tc>
          <w:tcPr>
            <w:tcW w:w="7780" w:type="dxa"/>
            <w:vAlign w:val="bottom"/>
            <w:gridSpan w:val="2"/>
          </w:tcPr>
          <w:p>
            <w:pPr>
              <w:ind w:left="1020"/>
              <w:spacing w:after="0"/>
              <w:rPr>
                <w:sz w:val="20"/>
                <w:szCs w:val="20"/>
                <w:color w:val="auto"/>
              </w:rPr>
            </w:pPr>
            <w:r>
              <w:rPr>
                <w:rFonts w:ascii="Arial" w:cs="Arial" w:eastAsia="Arial" w:hAnsi="Arial"/>
                <w:sz w:val="18"/>
                <w:szCs w:val="18"/>
                <w:color w:val="auto"/>
                <w:w w:val="92"/>
              </w:rPr>
              <w:t>fund our ongoing expansion capital program or future acquisitions or for general partnership</w:t>
            </w:r>
          </w:p>
        </w:tc>
      </w:tr>
      <w:tr>
        <w:trPr>
          <w:trHeight w:val="230"/>
        </w:trPr>
        <w:tc>
          <w:tcPr>
            <w:tcW w:w="3180" w:type="dxa"/>
            <w:vAlign w:val="bottom"/>
          </w:tcPr>
          <w:p>
            <w:pPr>
              <w:spacing w:after="0"/>
              <w:rPr>
                <w:sz w:val="20"/>
                <w:szCs w:val="20"/>
                <w:color w:val="auto"/>
              </w:rPr>
            </w:pPr>
          </w:p>
        </w:tc>
        <w:tc>
          <w:tcPr>
            <w:tcW w:w="5340" w:type="dxa"/>
            <w:vAlign w:val="bottom"/>
          </w:tcPr>
          <w:p>
            <w:pPr>
              <w:ind w:left="1020"/>
              <w:spacing w:after="0"/>
              <w:rPr>
                <w:sz w:val="20"/>
                <w:szCs w:val="20"/>
                <w:color w:val="auto"/>
              </w:rPr>
            </w:pPr>
            <w:r>
              <w:rPr>
                <w:rFonts w:ascii="Arial" w:cs="Arial" w:eastAsia="Arial" w:hAnsi="Arial"/>
                <w:sz w:val="18"/>
                <w:szCs w:val="18"/>
                <w:color w:val="auto"/>
              </w:rPr>
              <w:t>purposes.</w:t>
            </w:r>
          </w:p>
        </w:tc>
        <w:tc>
          <w:tcPr>
            <w:tcW w:w="2440" w:type="dxa"/>
            <w:vAlign w:val="bottom"/>
          </w:tcPr>
          <w:p>
            <w:pPr>
              <w:spacing w:after="0"/>
              <w:rPr>
                <w:sz w:val="20"/>
                <w:szCs w:val="20"/>
                <w:color w:val="auto"/>
              </w:rPr>
            </w:pPr>
          </w:p>
        </w:tc>
      </w:tr>
      <w:tr>
        <w:trPr>
          <w:trHeight w:val="445"/>
        </w:trPr>
        <w:tc>
          <w:tcPr>
            <w:tcW w:w="3180" w:type="dxa"/>
            <w:vAlign w:val="bottom"/>
          </w:tcPr>
          <w:p>
            <w:pPr>
              <w:spacing w:after="0"/>
              <w:rPr>
                <w:sz w:val="20"/>
                <w:szCs w:val="20"/>
                <w:color w:val="auto"/>
              </w:rPr>
            </w:pPr>
            <w:r>
              <w:rPr>
                <w:rFonts w:ascii="Arial" w:cs="Arial" w:eastAsia="Arial" w:hAnsi="Arial"/>
                <w:sz w:val="18"/>
                <w:szCs w:val="18"/>
                <w:color w:val="auto"/>
              </w:rPr>
              <w:t>Book entry, delivery and form</w:t>
            </w:r>
          </w:p>
        </w:tc>
        <w:tc>
          <w:tcPr>
            <w:tcW w:w="7780" w:type="dxa"/>
            <w:vAlign w:val="bottom"/>
            <w:gridSpan w:val="2"/>
          </w:tcPr>
          <w:p>
            <w:pPr>
              <w:ind w:left="1020"/>
              <w:spacing w:after="0"/>
              <w:rPr>
                <w:sz w:val="20"/>
                <w:szCs w:val="20"/>
                <w:color w:val="auto"/>
              </w:rPr>
            </w:pPr>
            <w:r>
              <w:rPr>
                <w:rFonts w:ascii="Arial" w:cs="Arial" w:eastAsia="Arial" w:hAnsi="Arial"/>
                <w:sz w:val="18"/>
                <w:szCs w:val="18"/>
                <w:color w:val="auto"/>
                <w:w w:val="91"/>
              </w:rPr>
              <w:t>The Notes of each series will be represented by one or more permanent global certificates in</w:t>
            </w:r>
          </w:p>
        </w:tc>
      </w:tr>
      <w:tr>
        <w:trPr>
          <w:trHeight w:val="216"/>
        </w:trPr>
        <w:tc>
          <w:tcPr>
            <w:tcW w:w="3180" w:type="dxa"/>
            <w:vAlign w:val="bottom"/>
          </w:tcPr>
          <w:p>
            <w:pPr>
              <w:spacing w:after="0"/>
              <w:rPr>
                <w:sz w:val="18"/>
                <w:szCs w:val="18"/>
                <w:color w:val="auto"/>
              </w:rPr>
            </w:pPr>
          </w:p>
        </w:tc>
        <w:tc>
          <w:tcPr>
            <w:tcW w:w="7780" w:type="dxa"/>
            <w:vAlign w:val="bottom"/>
            <w:gridSpan w:val="2"/>
          </w:tcPr>
          <w:p>
            <w:pPr>
              <w:ind w:left="1020"/>
              <w:spacing w:after="0"/>
              <w:rPr>
                <w:sz w:val="20"/>
                <w:szCs w:val="20"/>
                <w:color w:val="auto"/>
              </w:rPr>
            </w:pPr>
            <w:r>
              <w:rPr>
                <w:rFonts w:ascii="Arial" w:cs="Arial" w:eastAsia="Arial" w:hAnsi="Arial"/>
                <w:sz w:val="18"/>
                <w:szCs w:val="18"/>
                <w:color w:val="auto"/>
                <w:w w:val="91"/>
              </w:rPr>
              <w:t>fully registered form deposited with a custodian for, and registered in the name of, a nominee</w:t>
            </w:r>
          </w:p>
        </w:tc>
      </w:tr>
      <w:tr>
        <w:trPr>
          <w:trHeight w:val="230"/>
        </w:trPr>
        <w:tc>
          <w:tcPr>
            <w:tcW w:w="3180" w:type="dxa"/>
            <w:vAlign w:val="bottom"/>
          </w:tcPr>
          <w:p>
            <w:pPr>
              <w:spacing w:after="0"/>
              <w:rPr>
                <w:sz w:val="20"/>
                <w:szCs w:val="20"/>
                <w:color w:val="auto"/>
              </w:rPr>
            </w:pPr>
          </w:p>
        </w:tc>
        <w:tc>
          <w:tcPr>
            <w:tcW w:w="5340" w:type="dxa"/>
            <w:vAlign w:val="bottom"/>
          </w:tcPr>
          <w:p>
            <w:pPr>
              <w:ind w:left="1020"/>
              <w:spacing w:after="0"/>
              <w:rPr>
                <w:sz w:val="20"/>
                <w:szCs w:val="20"/>
                <w:color w:val="auto"/>
              </w:rPr>
            </w:pPr>
            <w:r>
              <w:rPr>
                <w:rFonts w:ascii="Arial" w:cs="Arial" w:eastAsia="Arial" w:hAnsi="Arial"/>
                <w:sz w:val="18"/>
                <w:szCs w:val="18"/>
                <w:color w:val="auto"/>
              </w:rPr>
              <w:t>of The Depository Trust Company.</w:t>
            </w:r>
          </w:p>
        </w:tc>
        <w:tc>
          <w:tcPr>
            <w:tcW w:w="2440" w:type="dxa"/>
            <w:vAlign w:val="bottom"/>
          </w:tcPr>
          <w:p>
            <w:pPr>
              <w:spacing w:after="0"/>
              <w:rPr>
                <w:sz w:val="20"/>
                <w:szCs w:val="20"/>
                <w:color w:val="auto"/>
              </w:rPr>
            </w:pPr>
          </w:p>
        </w:tc>
      </w:tr>
      <w:tr>
        <w:trPr>
          <w:trHeight w:val="445"/>
        </w:trPr>
        <w:tc>
          <w:tcPr>
            <w:tcW w:w="3180" w:type="dxa"/>
            <w:vAlign w:val="bottom"/>
          </w:tcPr>
          <w:p>
            <w:pPr>
              <w:spacing w:after="0"/>
              <w:rPr>
                <w:sz w:val="20"/>
                <w:szCs w:val="20"/>
                <w:color w:val="auto"/>
              </w:rPr>
            </w:pPr>
            <w:r>
              <w:rPr>
                <w:rFonts w:ascii="Arial" w:cs="Arial" w:eastAsia="Arial" w:hAnsi="Arial"/>
                <w:sz w:val="18"/>
                <w:szCs w:val="18"/>
                <w:color w:val="auto"/>
              </w:rPr>
              <w:t>Further issuances</w:t>
            </w:r>
          </w:p>
        </w:tc>
        <w:tc>
          <w:tcPr>
            <w:tcW w:w="7780" w:type="dxa"/>
            <w:vAlign w:val="bottom"/>
            <w:gridSpan w:val="2"/>
          </w:tcPr>
          <w:p>
            <w:pPr>
              <w:ind w:left="1020"/>
              <w:spacing w:after="0"/>
              <w:rPr>
                <w:sz w:val="20"/>
                <w:szCs w:val="20"/>
                <w:color w:val="auto"/>
              </w:rPr>
            </w:pPr>
            <w:r>
              <w:rPr>
                <w:rFonts w:ascii="Arial" w:cs="Arial" w:eastAsia="Arial" w:hAnsi="Arial"/>
                <w:sz w:val="18"/>
                <w:szCs w:val="18"/>
                <w:color w:val="auto"/>
                <w:w w:val="90"/>
              </w:rPr>
              <w:t>We may create and issue additional Notes of either series ranking equally and ratably with the</w:t>
            </w:r>
          </w:p>
        </w:tc>
      </w:tr>
      <w:tr>
        <w:trPr>
          <w:trHeight w:val="230"/>
        </w:trPr>
        <w:tc>
          <w:tcPr>
            <w:tcW w:w="3180" w:type="dxa"/>
            <w:vAlign w:val="bottom"/>
          </w:tcPr>
          <w:p>
            <w:pPr>
              <w:spacing w:after="0"/>
              <w:rPr>
                <w:sz w:val="20"/>
                <w:szCs w:val="20"/>
                <w:color w:val="auto"/>
              </w:rPr>
            </w:pPr>
          </w:p>
        </w:tc>
        <w:tc>
          <w:tcPr>
            <w:tcW w:w="7780" w:type="dxa"/>
            <w:vAlign w:val="bottom"/>
            <w:gridSpan w:val="2"/>
          </w:tcPr>
          <w:p>
            <w:pPr>
              <w:ind w:left="1020"/>
              <w:spacing w:after="0"/>
              <w:rPr>
                <w:sz w:val="20"/>
                <w:szCs w:val="20"/>
                <w:color w:val="auto"/>
              </w:rPr>
            </w:pPr>
            <w:r>
              <w:rPr>
                <w:rFonts w:ascii="Arial" w:cs="Arial" w:eastAsia="Arial" w:hAnsi="Arial"/>
                <w:sz w:val="18"/>
                <w:szCs w:val="18"/>
                <w:color w:val="auto"/>
                <w:w w:val="98"/>
              </w:rPr>
              <w:t>Notes of that series offered by this prospectus supplement in all respects, so that such</w:t>
            </w:r>
          </w:p>
        </w:tc>
      </w:tr>
    </w:tbl>
    <w:p>
      <w:pPr>
        <w:ind w:left="4400"/>
        <w:spacing w:after="0" w:line="254" w:lineRule="auto"/>
        <w:rPr>
          <w:sz w:val="20"/>
          <w:szCs w:val="20"/>
          <w:color w:val="auto"/>
        </w:rPr>
      </w:pPr>
      <w:r>
        <w:rPr>
          <w:rFonts w:ascii="Arial" w:cs="Arial" w:eastAsia="Arial" w:hAnsi="Arial"/>
          <w:sz w:val="18"/>
          <w:szCs w:val="18"/>
          <w:color w:val="auto"/>
        </w:rPr>
        <w:t>additional Notes will be consolidated and form a single series with such Notes and will have the same terms, as to status, redemption or otherwise except for the issue date, the initial interest payment date, if applicable, and the payment of interest accruing prior to the issue date of such additional Notes.</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28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No listing</w:t>
            </w:r>
          </w:p>
        </w:tc>
        <w:tc>
          <w:tcPr>
            <w:tcW w:w="8620" w:type="dxa"/>
            <w:vAlign w:val="bottom"/>
            <w:tcBorders>
              <w:top w:val="single" w:sz="8" w:color="auto"/>
              <w:right w:val="single" w:sz="8" w:color="auto"/>
            </w:tcBorders>
          </w:tcPr>
          <w:p>
            <w:pPr>
              <w:ind w:left="1560"/>
              <w:spacing w:after="0"/>
              <w:rPr>
                <w:sz w:val="20"/>
                <w:szCs w:val="20"/>
                <w:color w:val="auto"/>
              </w:rPr>
            </w:pPr>
            <w:r>
              <w:rPr>
                <w:rFonts w:ascii="Arial" w:cs="Arial" w:eastAsia="Arial" w:hAnsi="Arial"/>
                <w:sz w:val="18"/>
                <w:szCs w:val="18"/>
                <w:color w:val="auto"/>
                <w:w w:val="92"/>
              </w:rPr>
              <w:t>Each series of Notes is a new issue of securities with no established trading market. We do not</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3"/>
              </w:rPr>
              <w:t>currently intend to apply for listing of either series of Notes on any securities exchange or have</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either series of Notes quoted on any automated quotation system. See “Risk Factors—Risks</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Related to the Notes—Your ability to transfer the Notes may be limited by the absence of an</w:t>
            </w:r>
          </w:p>
        </w:tc>
      </w:tr>
      <w:tr>
        <w:trPr>
          <w:trHeight w:val="230"/>
        </w:trPr>
        <w:tc>
          <w:tcPr>
            <w:tcW w:w="2840" w:type="dxa"/>
            <w:vAlign w:val="bottom"/>
            <w:tcBorders>
              <w:left w:val="single" w:sz="8" w:color="auto"/>
            </w:tcBorders>
          </w:tcPr>
          <w:p>
            <w:pPr>
              <w:spacing w:after="0"/>
              <w:rPr>
                <w:sz w:val="20"/>
                <w:szCs w:val="20"/>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organized trading market.”</w:t>
            </w:r>
          </w:p>
        </w:tc>
      </w:tr>
      <w:tr>
        <w:trPr>
          <w:trHeight w:val="459"/>
        </w:trPr>
        <w:tc>
          <w:tcPr>
            <w:tcW w:w="28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State of New York.</w:t>
            </w:r>
          </w:p>
        </w:tc>
      </w:tr>
      <w:tr>
        <w:trPr>
          <w:trHeight w:val="473"/>
        </w:trPr>
        <w:tc>
          <w:tcPr>
            <w:tcW w:w="28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28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7"/>
              </w:rPr>
              <w:t>Investing in the Notes involves risks. You should consider carefully all of the information in</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this prospectus supplement, the accompanying base prospectus, any free writing prospectus</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7"/>
              </w:rPr>
              <w:t>relating to this offering and the documents incorporated by reference herein and therein. In</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4"/>
              </w:rPr>
              <w:t>particular, you should consider carefully the specific risks set forth in “Risk Factors” beginning</w:t>
            </w:r>
          </w:p>
        </w:tc>
      </w:tr>
      <w:tr>
        <w:trPr>
          <w:trHeight w:val="230"/>
        </w:trPr>
        <w:tc>
          <w:tcPr>
            <w:tcW w:w="2840" w:type="dxa"/>
            <w:vAlign w:val="bottom"/>
            <w:tcBorders>
              <w:left w:val="single" w:sz="8" w:color="auto"/>
            </w:tcBorders>
          </w:tcPr>
          <w:p>
            <w:pPr>
              <w:spacing w:after="0"/>
              <w:rPr>
                <w:sz w:val="20"/>
                <w:szCs w:val="20"/>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on page S-6 of this prospectus supplement.</w:t>
            </w:r>
          </w:p>
        </w:tc>
      </w:tr>
      <w:tr>
        <w:trPr>
          <w:trHeight w:val="159"/>
        </w:trPr>
        <w:tc>
          <w:tcPr>
            <w:tcW w:w="2840" w:type="dxa"/>
            <w:vAlign w:val="bottom"/>
            <w:tcBorders>
              <w:left w:val="single" w:sz="8" w:color="auto"/>
              <w:bottom w:val="single" w:sz="8" w:color="auto"/>
            </w:tcBorders>
          </w:tcPr>
          <w:p>
            <w:pPr>
              <w:spacing w:after="0"/>
              <w:rPr>
                <w:sz w:val="13"/>
                <w:szCs w:val="13"/>
                <w:color w:val="auto"/>
              </w:rPr>
            </w:pPr>
          </w:p>
        </w:tc>
        <w:tc>
          <w:tcPr>
            <w:tcW w:w="8620" w:type="dxa"/>
            <w:vAlign w:val="bottom"/>
            <w:tcBorders>
              <w:bottom w:val="single" w:sz="8" w:color="auto"/>
              <w:right w:val="single" w:sz="8" w:color="auto"/>
            </w:tcBorders>
          </w:tcPr>
          <w:p>
            <w:pPr>
              <w:spacing w:after="0"/>
              <w:rPr>
                <w:sz w:val="13"/>
                <w:szCs w:val="13"/>
                <w:color w:val="auto"/>
              </w:rPr>
            </w:pPr>
          </w:p>
        </w:tc>
      </w:tr>
      <w:tr>
        <w:trPr>
          <w:trHeight w:val="361"/>
        </w:trPr>
        <w:tc>
          <w:tcPr>
            <w:tcW w:w="2840" w:type="dxa"/>
            <w:vAlign w:val="bottom"/>
          </w:tcPr>
          <w:p>
            <w:pPr>
              <w:spacing w:after="0"/>
              <w:rPr>
                <w:sz w:val="24"/>
                <w:szCs w:val="24"/>
                <w:color w:val="auto"/>
              </w:rPr>
            </w:pPr>
          </w:p>
        </w:tc>
        <w:tc>
          <w:tcPr>
            <w:tcW w:w="8620" w:type="dxa"/>
            <w:vAlign w:val="bottom"/>
          </w:tcPr>
          <w:p>
            <w:pPr>
              <w:ind w:left="27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Before making an investment in the Notes offered hereby, you should carefully consider the risk factors included below and those included in Item 1A. “Risk Factors” in our Annual Report on Form 10-K for the fiscal year ended December 31, 2013 (File No. 001-14569), which is incorporated by reference herein, together with all of the other information included or incorporated by reference in this prospectus supplement. If any of these risks were to occur, our business, financial condition or results of operations could be materially adversely affected. In such case, the value of the Notes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7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Notes are effectively subordinated to claims of our secured creditors and to any existing and future indebtedness and other obligations of our subsidiaries, including trade payables, other than subsidiaries that may guarantee the Notes in the future. As of September 30, 2014, on an as further adjusted basis as described under “Capitalization,” the Notes would have been effectively subordinated to no short-term secured indebtedness and structurally</w:t>
      </w:r>
    </w:p>
    <w:p>
      <w:pPr>
        <w:jc w:val="both"/>
        <w:ind w:right="460"/>
        <w:spacing w:after="0" w:line="302" w:lineRule="auto"/>
        <w:rPr>
          <w:sz w:val="20"/>
          <w:szCs w:val="20"/>
          <w:color w:val="auto"/>
        </w:rPr>
      </w:pPr>
      <w:r>
        <w:rPr>
          <w:rFonts w:ascii="Arial" w:cs="Arial" w:eastAsia="Arial" w:hAnsi="Arial"/>
          <w:sz w:val="16"/>
          <w:szCs w:val="16"/>
          <w:color w:val="auto"/>
        </w:rPr>
        <w:t>subordinated to all of our subsidiaries’ indebtedness, which totaled approximately $ million at that date.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leverage is significant in relation to our partners’ capital. As of September 30, 2014, on an as further adjusted basis as described under</w:t>
      </w:r>
    </w:p>
    <w:p>
      <w:pPr>
        <w:spacing w:after="0" w:line="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“Capitalization,” our total outstanding long-term debt was approximately $ billion, and our total outstanding short-term debt was approximately $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9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of each series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82"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Each series of Notes is a new issue of securities with no established trading market. We do not currently intend to apply for listing of either series of the Notes on any securities exchange or have either series of the Notes quoted on any automated quotation system. Although certain of the underwriters have informed us that they currently intend to make a market in the Notes of each series, they are not obligated to do so. In addition, the underwriters may discontinue any such market making at any time without notice. The liquidity of any market for the Notes of either series will depend on the number of holders of the Notes, the interest of securities dealers in making a market in those Notes and other factors. Accordingly, we can give no assurance as to the development, continuation or liquidity of any market for the Notes of either series.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of either series, we may be required to adopt one or more alternatives, such as a refinancing of such Notes. We cannot assure you that we would be able to refinance the Notes of either series.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of either series or to repay them at maturity.</w:t>
      </w:r>
    </w:p>
    <w:p>
      <w:pPr>
        <w:spacing w:after="0" w:line="6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77" w:lineRule="exact"/>
        <w:rPr>
          <w:sz w:val="20"/>
          <w:szCs w:val="20"/>
          <w:color w:val="auto"/>
        </w:rPr>
      </w:pPr>
    </w:p>
    <w:p>
      <w:pPr>
        <w:ind w:left="900" w:right="8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the general partner for any one or more of the next four calendar quarters;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net proceeds of this offering will be approximately $ million after deducting the underwriting discount and our estimated offering expenses. We expect to use the net proceeds from this offering to repay outstanding borrowings under our commercial paper program (a portion of which was used to fund the BridgeTex acquisition) and for general partnership purposes. Amounts repaid under our commercial paper program may be reborrowed, as necessary, to fund our ongoing expansion capital program or future acquisitions or for general partnership purposes.</w:t>
      </w:r>
    </w:p>
    <w:p>
      <w:pPr>
        <w:spacing w:after="0" w:line="171" w:lineRule="exact"/>
        <w:rPr>
          <w:sz w:val="20"/>
          <w:szCs w:val="20"/>
          <w:color w:val="auto"/>
        </w:rPr>
      </w:pPr>
    </w:p>
    <w:p>
      <w:pPr>
        <w:ind w:right="740" w:firstLine="456"/>
        <w:spacing w:after="0" w:line="264" w:lineRule="auto"/>
        <w:rPr>
          <w:sz w:val="20"/>
          <w:szCs w:val="20"/>
          <w:color w:val="auto"/>
        </w:rPr>
      </w:pPr>
      <w:r>
        <w:rPr>
          <w:rFonts w:ascii="Arial" w:cs="Arial" w:eastAsia="Arial" w:hAnsi="Arial"/>
          <w:sz w:val="18"/>
          <w:szCs w:val="18"/>
          <w:color w:val="auto"/>
        </w:rPr>
        <w:t>Affiliates of certain of the underwriters are dealers under our commercial paper program and may hold commercial paper notes thereunder. Accordingly, they may receive a portion of the net proceeds from this offering. Please read “Underwriting” in this prospectus supplement for further information.</w:t>
      </w:r>
    </w:p>
    <w:p>
      <w:pPr>
        <w:spacing w:after="0" w:line="18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As of December 1, 2014, we had approximately $1.8 billion of borrowings outstanding under our commercial paper program with a weighted average interest rate of approximately 0.4%. The outstanding borrowings under our commercial paper program have maturity dates of three months or less. Our commercial paper program is backstopped by our senior secured hedged inventory facility and our senior unsecured revolving credit facility.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Nine Months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1"/>
              </w:rPr>
              <w:t>Years Ended 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0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6"/>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1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0"/>
                <w:szCs w:val="10"/>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4.18x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4.41x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4.03x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4.13x</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34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$11 million for the nine months ended September 30, 2014 and $30 million, $12 million, $20 million, $17 million and $11 million for the years ended December 31, 2013, 2012, 2011, 2010 and 2009,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2014:</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 historical basis;</w:t>
      </w:r>
    </w:p>
    <w:p>
      <w:pPr>
        <w:spacing w:after="0" w:line="130"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an as adjusted basis to give effect to the closing of the BridgeTex acquisition for $1.088 billion (including $13 million of working capital items), assuming such acquisition was funded entirely by borrowings under our commercial paper program; and</w:t>
      </w:r>
    </w:p>
    <w:p>
      <w:pPr>
        <w:spacing w:after="0" w:line="51"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as further adjusted basis to give effect to the sale of the Notes offered hereby and the application of the net proceeds therefrom as described under “Use of Proceeds” in this prospectus supplement.</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6"/>
              </w:rPr>
              <w:t>As of September 30, 2014</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Historical</w:t>
            </w:r>
          </w:p>
        </w:tc>
        <w:tc>
          <w:tcPr>
            <w:tcW w:w="500" w:type="dxa"/>
            <w:vAlign w:val="bottom"/>
          </w:tcPr>
          <w:p>
            <w:pPr>
              <w:spacing w:after="0"/>
              <w:rPr>
                <w:sz w:val="10"/>
                <w:szCs w:val="10"/>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adjusted</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As further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SHORT-TERM DEBT(1)(2)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PAA senior secured hedged inventory facility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PAA senior unsecured revolving credit facility</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PAA commercial paper notes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PAA senior notes: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5.25% senior notes due June 2015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700"/>
              <w:spacing w:after="0"/>
              <w:rPr>
                <w:sz w:val="20"/>
                <w:szCs w:val="20"/>
                <w:color w:val="auto"/>
              </w:rPr>
            </w:pPr>
            <w:r>
              <w:rPr>
                <w:rFonts w:ascii="Arial" w:cs="Arial" w:eastAsia="Arial" w:hAnsi="Arial"/>
                <w:sz w:val="18"/>
                <w:szCs w:val="18"/>
                <w:color w:val="auto"/>
              </w:rPr>
              <w:t>3.95% senior notes due September 2015</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gridSpan w:val="2"/>
          </w:tcPr>
          <w:p>
            <w:pPr>
              <w:ind w:left="1060"/>
              <w:spacing w:after="0"/>
              <w:rPr>
                <w:sz w:val="20"/>
                <w:szCs w:val="20"/>
                <w:color w:val="auto"/>
              </w:rPr>
            </w:pPr>
            <w:r>
              <w:rPr>
                <w:rFonts w:ascii="Arial" w:cs="Arial" w:eastAsia="Arial" w:hAnsi="Arial"/>
                <w:sz w:val="18"/>
                <w:szCs w:val="18"/>
                <w:color w:val="auto"/>
              </w:rPr>
              <w:t>Total short-term debt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Senior notes, net of unamortized discounts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7,609</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7,609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   Notes offered hereby, net of unamortized discount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20   Notes offered hereby, net of unamortized discount</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PAA commercial paper notes(2)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Long-term debt under credit facilities and 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PARTNERS’ CAPITAL</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unitholders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7,740</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General partner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partners’ capital excluding noncontrolling interests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8,071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partners’ capital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ind w:left="1060"/>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15,743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16,831</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0" w:hanging="452"/>
        <w:spacing w:after="0" w:line="25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PAA commercial paper notes are backstopped by the PAA senior unsecured revolving credit facility and the PAA senior secured hedged inventory facility, which mature in August 2019 and August 2017, respectively; as such, any borrowings under the PAA commercial paper program effectively reduce the available capacity under these facilities. At September 30, 2014, we classified the borrowings under the commercial paper program as short-term as these borrowings were primarily designated as working capital borrowings, must be repaid within one year and were primarily for hedged NGL and crude oil inventory and NYMEX and ICE margin deposits.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a historical, as adjusted and as further adjusted basis as of September 30, 2014, our Canadian subsidiary, Plains Midstream Canada ULC, was the</w:t>
      </w:r>
    </w:p>
    <w:p>
      <w:pPr>
        <w:spacing w:after="0" w:line="46" w:lineRule="exact"/>
        <w:rPr>
          <w:rFonts w:ascii="Arial" w:cs="Arial" w:eastAsia="Arial" w:hAnsi="Arial"/>
          <w:sz w:val="16"/>
          <w:szCs w:val="16"/>
          <w:color w:val="auto"/>
        </w:rPr>
      </w:pPr>
    </w:p>
    <w:p>
      <w:pPr>
        <w:ind w:left="460"/>
        <w:spacing w:after="0" w:line="254" w:lineRule="auto"/>
        <w:rPr>
          <w:rFonts w:ascii="Arial" w:cs="Arial" w:eastAsia="Arial" w:hAnsi="Arial"/>
          <w:sz w:val="16"/>
          <w:szCs w:val="16"/>
          <w:color w:val="auto"/>
        </w:rPr>
      </w:pPr>
      <w:r>
        <w:rPr>
          <w:rFonts w:ascii="Arial" w:cs="Arial" w:eastAsia="Arial" w:hAnsi="Arial"/>
          <w:sz w:val="18"/>
          <w:szCs w:val="18"/>
          <w:color w:val="auto"/>
        </w:rPr>
        <w:t>obligor on approximately $266 million, $266 million and $ million, respectively, of outstanding commercial paper notes. As of December 1, 2014, we had approximately $1.8 billion of borrowings outstanding under our commercial paper program of which $1.088 billion is reflected in the as adjusted column as long-term debt related to the BridgeTex Acquisition. We did not have any borrowings outstanding under our senior secured hedged inventory facility or our senior unsecured revolving credit facility as of December 1, 2014.</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will issue the Notes under an indenture (the “Base Indenture”) dated as of September 25, 2002, among us, the subsidiary guarantors and U.S. Bank National Association, as successor trustee, and a supplemental indenture to the Base Indenture with respect to each series of Notes to be dated as of December , 2014 (each such supplemental indenture, together with the Base Indenture, the “Indenture”). Each series of Notes will constitute a new series of debt securities under the Indenture, and multiple other series are now outstanding under the Base Indenture, each issued under a separate supplemental indenture.</w:t>
      </w:r>
    </w:p>
    <w:p>
      <w:pPr>
        <w:spacing w:after="0" w:line="18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17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indentures creating each series of Notes from us as set forth under “Where You Can Find More Information.”</w:t>
      </w:r>
    </w:p>
    <w:p>
      <w:pPr>
        <w:spacing w:after="0" w:line="14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Each Series of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of each series will be:</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senior unsecured indebtedness ranking equally in right of payment with all of our existing and future unsubordinated indebtedness;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series of debt securities issued under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junior to existing and future indebtedness and other obligations of our subsidiaries, including trade payables, other than subsidiaries that may guarantee the Notes in the future.</w:t>
      </w:r>
    </w:p>
    <w:p>
      <w:pPr>
        <w:spacing w:after="0" w:line="17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As of September 30, 2014, on an as further adjusted basis as described under “Capitalization,” the Notes would have been effectively subordinated to no short-term secured indebtedness and structurally subordinated to all of our subsidiaries’ outstanding indebtedness, which totaled approximately</w:t>
      </w:r>
    </w:p>
    <w:p>
      <w:pPr>
        <w:ind w:right="140" w:firstLine="8"/>
        <w:spacing w:after="0" w:line="255"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million at that date.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may, from time to time, without notice to or the consent of the holders of the Notes of either series, create and issue additional Notes of the same series ranking equally and ratably with the Notes of that same series in all respects, so that such additional Notes will be consolidated and form a single series with such Notes and will have the same terms as to status, redemption or otherwise as such Notes (except for the issue date, the initial interest payment date, if applicable, and the payment of interest accruing prior to the issue date of such additional Notes).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Principal, Maturity and Interest</w:t>
            </w: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0"/>
        </w:trPr>
        <w:tc>
          <w:tcPr>
            <w:tcW w:w="280" w:type="dxa"/>
            <w:vAlign w:val="bottom"/>
          </w:tcPr>
          <w:p>
            <w:pPr>
              <w:spacing w:after="0"/>
              <w:rPr>
                <w:sz w:val="24"/>
                <w:szCs w:val="24"/>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w w:val="93"/>
              </w:rPr>
              <w:t>We will issue the Notes in an initial aggregate principal amount of $</w:t>
            </w:r>
          </w:p>
        </w:tc>
        <w:tc>
          <w:tcPr>
            <w:tcW w:w="2200" w:type="dxa"/>
            <w:vAlign w:val="bottom"/>
            <w:gridSpan w:val="2"/>
          </w:tcPr>
          <w:p>
            <w:pPr>
              <w:ind w:left="320"/>
              <w:spacing w:after="0"/>
              <w:rPr>
                <w:sz w:val="20"/>
                <w:szCs w:val="20"/>
                <w:color w:val="auto"/>
              </w:rPr>
            </w:pPr>
            <w:r>
              <w:rPr>
                <w:rFonts w:ascii="Arial" w:cs="Arial" w:eastAsia="Arial" w:hAnsi="Arial"/>
                <w:sz w:val="18"/>
                <w:szCs w:val="18"/>
                <w:color w:val="auto"/>
              </w:rPr>
              <w:t>million, consisting of $</w:t>
            </w:r>
          </w:p>
        </w:tc>
        <w:tc>
          <w:tcPr>
            <w:tcW w:w="3100" w:type="dxa"/>
            <w:vAlign w:val="bottom"/>
            <w:gridSpan w:val="4"/>
          </w:tcPr>
          <w:p>
            <w:pPr>
              <w:ind w:left="180"/>
              <w:spacing w:after="0"/>
              <w:rPr>
                <w:sz w:val="20"/>
                <w:szCs w:val="20"/>
                <w:color w:val="auto"/>
              </w:rPr>
            </w:pPr>
            <w:r>
              <w:rPr>
                <w:rFonts w:ascii="Arial" w:cs="Arial" w:eastAsia="Arial" w:hAnsi="Arial"/>
                <w:sz w:val="18"/>
                <w:szCs w:val="18"/>
                <w:color w:val="auto"/>
                <w:w w:val="98"/>
              </w:rPr>
              <w:t>million aggregate principal amount of</w:t>
            </w:r>
          </w:p>
        </w:tc>
        <w:tc>
          <w:tcPr>
            <w:tcW w:w="560" w:type="dxa"/>
            <w:vAlign w:val="bottom"/>
          </w:tcPr>
          <w:p>
            <w:pPr>
              <w:spacing w:after="0"/>
              <w:rPr>
                <w:sz w:val="24"/>
                <w:szCs w:val="24"/>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1200" w:type="dxa"/>
            <w:vAlign w:val="bottom"/>
          </w:tcPr>
          <w:p>
            <w:pPr>
              <w:ind w:left="140"/>
              <w:spacing w:after="0"/>
              <w:rPr>
                <w:sz w:val="20"/>
                <w:szCs w:val="20"/>
                <w:color w:val="auto"/>
              </w:rPr>
            </w:pPr>
            <w:r>
              <w:rPr>
                <w:rFonts w:ascii="Arial" w:cs="Arial" w:eastAsia="Arial" w:hAnsi="Arial"/>
                <w:sz w:val="18"/>
                <w:szCs w:val="18"/>
                <w:color w:val="auto"/>
              </w:rPr>
              <w:t>Notes and $</w:t>
            </w:r>
          </w:p>
        </w:tc>
        <w:tc>
          <w:tcPr>
            <w:tcW w:w="3980" w:type="dxa"/>
            <w:vAlign w:val="bottom"/>
          </w:tcPr>
          <w:p>
            <w:pPr>
              <w:ind w:left="200"/>
              <w:spacing w:after="0"/>
              <w:rPr>
                <w:sz w:val="20"/>
                <w:szCs w:val="20"/>
                <w:color w:val="auto"/>
              </w:rPr>
            </w:pPr>
            <w:r>
              <w:rPr>
                <w:rFonts w:ascii="Arial" w:cs="Arial" w:eastAsia="Arial" w:hAnsi="Arial"/>
                <w:sz w:val="18"/>
                <w:szCs w:val="18"/>
                <w:color w:val="auto"/>
                <w:w w:val="96"/>
              </w:rPr>
              <w:t>aggregate principal amount of 20   Notes. The 20</w:t>
            </w:r>
          </w:p>
        </w:tc>
        <w:tc>
          <w:tcPr>
            <w:tcW w:w="3060" w:type="dxa"/>
            <w:vAlign w:val="bottom"/>
            <w:gridSpan w:val="3"/>
          </w:tcPr>
          <w:p>
            <w:pPr>
              <w:ind w:left="80"/>
              <w:spacing w:after="0"/>
              <w:rPr>
                <w:sz w:val="20"/>
                <w:szCs w:val="20"/>
                <w:color w:val="auto"/>
              </w:rPr>
            </w:pPr>
            <w:r>
              <w:rPr>
                <w:rFonts w:ascii="Arial" w:cs="Arial" w:eastAsia="Arial" w:hAnsi="Arial"/>
                <w:sz w:val="18"/>
                <w:szCs w:val="18"/>
                <w:color w:val="auto"/>
                <w:w w:val="93"/>
              </w:rPr>
              <w:t>Notes and the 20   Notes will mature on</w:t>
            </w:r>
          </w:p>
        </w:tc>
        <w:tc>
          <w:tcPr>
            <w:tcW w:w="600" w:type="dxa"/>
            <w:vAlign w:val="bottom"/>
          </w:tcPr>
          <w:p>
            <w:pPr>
              <w:spacing w:after="0"/>
              <w:rPr>
                <w:sz w:val="18"/>
                <w:szCs w:val="18"/>
                <w:color w:val="auto"/>
              </w:rPr>
            </w:pPr>
          </w:p>
        </w:tc>
        <w:tc>
          <w:tcPr>
            <w:tcW w:w="760" w:type="dxa"/>
            <w:vAlign w:val="bottom"/>
          </w:tcPr>
          <w:p>
            <w:pPr>
              <w:ind w:left="320"/>
              <w:spacing w:after="0"/>
              <w:rPr>
                <w:sz w:val="20"/>
                <w:szCs w:val="20"/>
                <w:color w:val="auto"/>
              </w:rPr>
            </w:pPr>
            <w:r>
              <w:rPr>
                <w:rFonts w:ascii="Arial" w:cs="Arial" w:eastAsia="Arial" w:hAnsi="Arial"/>
                <w:sz w:val="18"/>
                <w:szCs w:val="18"/>
                <w:color w:val="auto"/>
              </w:rPr>
              <w:t>, 20</w:t>
            </w:r>
          </w:p>
        </w:tc>
        <w:tc>
          <w:tcPr>
            <w:tcW w:w="880" w:type="dxa"/>
            <w:vAlign w:val="bottom"/>
          </w:tcPr>
          <w:p>
            <w:pPr>
              <w:ind w:left="40"/>
              <w:spacing w:after="0"/>
              <w:rPr>
                <w:sz w:val="20"/>
                <w:szCs w:val="20"/>
                <w:color w:val="auto"/>
              </w:rPr>
            </w:pPr>
            <w:r>
              <w:rPr>
                <w:rFonts w:ascii="Arial" w:cs="Arial" w:eastAsia="Arial" w:hAnsi="Arial"/>
                <w:sz w:val="18"/>
                <w:szCs w:val="18"/>
                <w:color w:val="auto"/>
              </w:rPr>
              <w:t>and</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6"/>
              </w:rPr>
              <w:t>, respectively. The 20   Notes will bear interest at an annual rate of</w:t>
            </w:r>
          </w:p>
        </w:tc>
        <w:tc>
          <w:tcPr>
            <w:tcW w:w="4420" w:type="dxa"/>
            <w:vAlign w:val="bottom"/>
            <w:gridSpan w:val="5"/>
          </w:tcPr>
          <w:p>
            <w:pPr>
              <w:spacing w:after="0"/>
              <w:rPr>
                <w:sz w:val="20"/>
                <w:szCs w:val="20"/>
                <w:color w:val="auto"/>
              </w:rPr>
            </w:pPr>
            <w:r>
              <w:rPr>
                <w:rFonts w:ascii="Arial" w:cs="Arial" w:eastAsia="Arial" w:hAnsi="Arial"/>
                <w:sz w:val="18"/>
                <w:szCs w:val="18"/>
                <w:color w:val="auto"/>
                <w:w w:val="92"/>
              </w:rPr>
              <w:t>%, and the 20   Notes will bear interest at the annual rate of</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Interest on the</w:t>
            </w:r>
          </w:p>
        </w:tc>
      </w:tr>
      <w:tr>
        <w:trPr>
          <w:trHeight w:val="216"/>
        </w:trPr>
        <w:tc>
          <w:tcPr>
            <w:tcW w:w="6900" w:type="dxa"/>
            <w:vAlign w:val="bottom"/>
            <w:gridSpan w:val="4"/>
          </w:tcPr>
          <w:p>
            <w:pPr>
              <w:spacing w:after="0"/>
              <w:rPr>
                <w:sz w:val="20"/>
                <w:szCs w:val="20"/>
                <w:color w:val="auto"/>
              </w:rPr>
            </w:pPr>
            <w:r>
              <w:rPr>
                <w:rFonts w:ascii="Arial" w:cs="Arial" w:eastAsia="Arial" w:hAnsi="Arial"/>
                <w:sz w:val="18"/>
                <w:szCs w:val="18"/>
                <w:color w:val="auto"/>
                <w:w w:val="96"/>
              </w:rPr>
              <w:t>Notes will accrue from December   , 2014 and will be payable semi-annually in arrears on</w:t>
            </w:r>
          </w:p>
        </w:tc>
        <w:tc>
          <w:tcPr>
            <w:tcW w:w="760" w:type="dxa"/>
            <w:vAlign w:val="bottom"/>
          </w:tcPr>
          <w:p>
            <w:pPr>
              <w:ind w:left="320"/>
              <w:spacing w:after="0"/>
              <w:rPr>
                <w:sz w:val="20"/>
                <w:szCs w:val="20"/>
                <w:color w:val="auto"/>
              </w:rPr>
            </w:pPr>
            <w:r>
              <w:rPr>
                <w:rFonts w:ascii="Arial" w:cs="Arial" w:eastAsia="Arial" w:hAnsi="Arial"/>
                <w:sz w:val="18"/>
                <w:szCs w:val="18"/>
                <w:color w:val="auto"/>
              </w:rPr>
              <w:t>and</w:t>
            </w:r>
          </w:p>
        </w:tc>
        <w:tc>
          <w:tcPr>
            <w:tcW w:w="3100" w:type="dxa"/>
            <w:vAlign w:val="bottom"/>
            <w:gridSpan w:val="4"/>
          </w:tcPr>
          <w:p>
            <w:pPr>
              <w:ind w:left="440"/>
              <w:spacing w:after="0"/>
              <w:rPr>
                <w:sz w:val="20"/>
                <w:szCs w:val="20"/>
                <w:color w:val="auto"/>
              </w:rPr>
            </w:pPr>
            <w:r>
              <w:rPr>
                <w:rFonts w:ascii="Arial" w:cs="Arial" w:eastAsia="Arial" w:hAnsi="Arial"/>
                <w:sz w:val="18"/>
                <w:szCs w:val="18"/>
                <w:color w:val="auto"/>
              </w:rPr>
              <w:t>of each year, beginning on</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gridSpan w:val="6"/>
          </w:tcPr>
          <w:p>
            <w:pPr>
              <w:spacing w:after="0"/>
              <w:rPr>
                <w:sz w:val="20"/>
                <w:szCs w:val="20"/>
                <w:color w:val="auto"/>
              </w:rPr>
            </w:pPr>
            <w:r>
              <w:rPr>
                <w:rFonts w:ascii="Arial" w:cs="Arial" w:eastAsia="Arial" w:hAnsi="Arial"/>
                <w:sz w:val="18"/>
                <w:szCs w:val="18"/>
                <w:color w:val="auto"/>
                <w:w w:val="96"/>
              </w:rPr>
              <w:t>2015. We will make each interest payment to the holders of record of the Notes at the close of business on the</w:t>
            </w:r>
          </w:p>
        </w:tc>
        <w:tc>
          <w:tcPr>
            <w:tcW w:w="600" w:type="dxa"/>
            <w:vAlign w:val="bottom"/>
          </w:tcPr>
          <w:p>
            <w:pPr>
              <w:ind w:left="20"/>
              <w:spacing w:after="0"/>
              <w:rPr>
                <w:sz w:val="20"/>
                <w:szCs w:val="20"/>
                <w:color w:val="auto"/>
              </w:rPr>
            </w:pPr>
            <w:r>
              <w:rPr>
                <w:rFonts w:ascii="Arial" w:cs="Arial" w:eastAsia="Arial" w:hAnsi="Arial"/>
                <w:sz w:val="18"/>
                <w:szCs w:val="18"/>
                <w:color w:val="auto"/>
              </w:rPr>
              <w:t>and</w:t>
            </w:r>
          </w:p>
        </w:tc>
        <w:tc>
          <w:tcPr>
            <w:tcW w:w="2200" w:type="dxa"/>
            <w:vAlign w:val="bottom"/>
            <w:gridSpan w:val="3"/>
          </w:tcPr>
          <w:p>
            <w:pPr>
              <w:ind w:left="320"/>
              <w:spacing w:after="0"/>
              <w:rPr>
                <w:sz w:val="20"/>
                <w:szCs w:val="20"/>
                <w:color w:val="auto"/>
              </w:rPr>
            </w:pPr>
            <w:r>
              <w:rPr>
                <w:rFonts w:ascii="Arial" w:cs="Arial" w:eastAsia="Arial" w:hAnsi="Arial"/>
                <w:sz w:val="18"/>
                <w:szCs w:val="18"/>
                <w:color w:val="auto"/>
                <w:w w:val="99"/>
              </w:rPr>
              <w:t>preceding such interest</w:t>
            </w:r>
          </w:p>
        </w:tc>
      </w:tr>
      <w:tr>
        <w:trPr>
          <w:trHeight w:val="216"/>
        </w:trPr>
        <w:tc>
          <w:tcPr>
            <w:tcW w:w="10760" w:type="dxa"/>
            <w:vAlign w:val="bottom"/>
            <w:gridSpan w:val="9"/>
          </w:tcPr>
          <w:p>
            <w:pPr>
              <w:spacing w:after="0"/>
              <w:rPr>
                <w:sz w:val="20"/>
                <w:szCs w:val="20"/>
                <w:color w:val="auto"/>
              </w:rPr>
            </w:pPr>
            <w:r>
              <w:rPr>
                <w:rFonts w:ascii="Arial" w:cs="Arial" w:eastAsia="Arial" w:hAnsi="Arial"/>
                <w:sz w:val="18"/>
                <w:szCs w:val="18"/>
                <w:color w:val="auto"/>
                <w:w w:val="93"/>
              </w:rPr>
              <w:t>payment dates. Interest will be computed on the basis of a 360-day year consisting of twelve 30-day months. We will issue the Notes in minimum</w:t>
            </w:r>
          </w:p>
        </w:tc>
        <w:tc>
          <w:tcPr>
            <w:tcW w:w="560" w:type="dxa"/>
            <w:vAlign w:val="bottom"/>
          </w:tcPr>
          <w:p>
            <w:pPr>
              <w:spacing w:after="0"/>
              <w:rPr>
                <w:sz w:val="18"/>
                <w:szCs w:val="18"/>
                <w:color w:val="auto"/>
              </w:rPr>
            </w:pPr>
          </w:p>
        </w:tc>
      </w:t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w w:val="90"/>
              </w:rPr>
              <w:t>denominations of $2,000 and integral multiples of $1,000 in excess thereof.</w:t>
            </w: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76" w:lineRule="exact"/>
        <w:rPr>
          <w:sz w:val="20"/>
          <w:szCs w:val="20"/>
          <w:color w:val="auto"/>
        </w:rPr>
      </w:pPr>
    </w:p>
    <w:p>
      <w:pPr>
        <w:ind w:left="900" w:hanging="446"/>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460"/>
        <w:spacing w:after="0"/>
        <w:tabs>
          <w:tab w:leader="none" w:pos="10460" w:val="left"/>
        </w:tabs>
        <w:rPr>
          <w:sz w:val="20"/>
          <w:szCs w:val="20"/>
          <w:color w:val="auto"/>
        </w:rPr>
      </w:pPr>
      <w:r>
        <w:rPr>
          <w:rFonts w:ascii="Arial" w:cs="Arial" w:eastAsia="Arial" w:hAnsi="Arial"/>
          <w:sz w:val="18"/>
          <w:szCs w:val="18"/>
          <w:color w:val="auto"/>
        </w:rPr>
        <w:t>The Notes will be redeemable, in whole or in part, at our option at any time and from time to time prior to maturity. If we redeem the 20</w:t>
      </w:r>
      <w:r>
        <w:rPr>
          <w:sz w:val="20"/>
          <w:szCs w:val="20"/>
          <w:color w:val="auto"/>
        </w:rPr>
        <w:tab/>
      </w:r>
      <w:r>
        <w:rPr>
          <w:rFonts w:ascii="Arial" w:cs="Arial" w:eastAsia="Arial" w:hAnsi="Arial"/>
          <w:sz w:val="16"/>
          <w:szCs w:val="16"/>
          <w:color w:val="auto"/>
        </w:rPr>
        <w:t>Notes before</w:t>
      </w:r>
    </w:p>
    <w:p>
      <w:pPr>
        <w:spacing w:after="0" w:line="23" w:lineRule="exact"/>
        <w:rPr>
          <w:sz w:val="20"/>
          <w:szCs w:val="20"/>
          <w:color w:val="auto"/>
        </w:rPr>
      </w:pPr>
    </w:p>
    <w:p>
      <w:pPr>
        <w:ind w:right="180" w:firstLine="900"/>
        <w:spacing w:after="0" w:line="281" w:lineRule="auto"/>
        <w:rPr>
          <w:sz w:val="20"/>
          <w:szCs w:val="20"/>
          <w:color w:val="auto"/>
        </w:rPr>
      </w:pPr>
      <w:r>
        <w:rPr>
          <w:rFonts w:ascii="Arial" w:cs="Arial" w:eastAsia="Arial" w:hAnsi="Arial"/>
          <w:sz w:val="16"/>
          <w:szCs w:val="16"/>
          <w:color w:val="auto"/>
        </w:rPr>
        <w:t>, 20 ( months prior to their maturity date) or the 20 Notes before , 20 ( months prior to their maturity date), such Notes may be redeemed at a redemption price equal to the greater of (i) 100% of the principal amount of the Notes to be redeemed and (ii) as determined by the Quotation Agent, the sum of the present values of the remaining scheduled payments of principal of and interest on the Notes to be redeemed (not including any portion of those payments of interest accrued to the date of redemption), discounted to the date of redemption on a semiannual basis (assuming 360-day</w:t>
      </w:r>
    </w:p>
    <w:p>
      <w:pPr>
        <w:spacing w:after="0" w:line="3"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years, each consisting of twelve 30-day months) at the Adjusted Treasury Rate (as defined herein) plus basis points for the 20 Notes and basis points for the 20 Notes, together with accrued and unpaid interest to the date of redemption.</w:t>
      </w:r>
    </w:p>
    <w:p>
      <w:pPr>
        <w:spacing w:after="0" w:line="184" w:lineRule="exact"/>
        <w:rPr>
          <w:sz w:val="20"/>
          <w:szCs w:val="20"/>
          <w:color w:val="auto"/>
        </w:rPr>
      </w:pPr>
    </w:p>
    <w:p>
      <w:pPr>
        <w:ind w:left="460"/>
        <w:spacing w:after="0"/>
        <w:tabs>
          <w:tab w:leader="none" w:pos="2100" w:val="left"/>
          <w:tab w:leader="none" w:pos="4260" w:val="left"/>
          <w:tab w:leader="none" w:pos="4760" w:val="left"/>
          <w:tab w:leader="none" w:pos="5040" w:val="left"/>
          <w:tab w:leader="none" w:pos="10480" w:val="left"/>
        </w:tabs>
        <w:rPr>
          <w:sz w:val="20"/>
          <w:szCs w:val="20"/>
          <w:color w:val="auto"/>
        </w:rPr>
      </w:pPr>
      <w:r>
        <w:rPr>
          <w:rFonts w:ascii="Arial" w:cs="Arial" w:eastAsia="Arial" w:hAnsi="Arial"/>
          <w:sz w:val="18"/>
          <w:szCs w:val="18"/>
          <w:color w:val="auto"/>
        </w:rPr>
        <w:t>If we redeem the 20</w:t>
        <w:tab/>
        <w:t>Notes on or after</w:t>
      </w:r>
      <w:r>
        <w:rPr>
          <w:sz w:val="20"/>
          <w:szCs w:val="20"/>
          <w:color w:val="auto"/>
        </w:rPr>
        <w:tab/>
      </w:r>
      <w:r>
        <w:rPr>
          <w:rFonts w:ascii="Arial" w:cs="Arial" w:eastAsia="Arial" w:hAnsi="Arial"/>
          <w:sz w:val="18"/>
          <w:szCs w:val="18"/>
          <w:color w:val="auto"/>
        </w:rPr>
        <w:t>, 20</w:t>
        <w:tab/>
        <w:t>(</w:t>
        <w:tab/>
        <w:t>months prior to their maturity date) or the 20 Notes on or after</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ind w:right="320" w:firstLine="8"/>
        <w:spacing w:after="0" w:line="261"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months prior to their maturity date), the redemption price will equal 100% of the principal amount of the Notes to be redeemed plus accrued and unpaid interest to the redemption date.</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225"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w:t>
      </w:r>
      <w:r>
        <w:rPr>
          <w:rFonts w:ascii="Arial" w:cs="Arial" w:eastAsia="Arial" w:hAnsi="Arial"/>
          <w:sz w:val="16"/>
          <w:szCs w:val="16"/>
          <w:color w:val="auto"/>
        </w:rPr>
        <w:t>” means, Barclays Capital Inc., a primary U.S. Government securities dealer in the United States (a “Primary Treasury Dealer”) selected by SunTrust Robinson Humphrey, Inc. and a Primary Treasury Dealer selected by Wells Fargo Securities, LLC, or their respective successors; provided, however, if any of the foregoing ceases to be a Primary Treasury Dealer, we shall substitute another Primary Treasury Dealer.</w:t>
      </w:r>
    </w:p>
    <w:p>
      <w:pPr>
        <w:spacing w:after="0" w:line="14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less than all of the Notes of either series are to be redeemed at any time, the trustee will select Notes (or any portion of Notes in integral multiples of $1,000) for redemption as follows:</w:t>
      </w:r>
    </w:p>
    <w:p>
      <w:pPr>
        <w:spacing w:after="0" w:line="7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Notes are listed, in compliance with the requirements of the principal national securities exchange on which such Notes are listed; or</w:t>
      </w:r>
    </w:p>
    <w:p>
      <w:pPr>
        <w:spacing w:after="0" w:line="142"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by such method as the trustee shall deem fair and appropriate.</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 with respect to the Notes of either series:</w:t>
      </w:r>
    </w:p>
    <w:p>
      <w:pPr>
        <w:spacing w:after="0" w:line="13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default in payment when due of the principal of or any premium on any Note of that series at maturity, upon redemption or otherwise;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 of that series;</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us or, if and so long as the Notes of that series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92" w:lineRule="exact"/>
        <w:rPr>
          <w:rFonts w:ascii="Arial" w:cs="Arial" w:eastAsia="Arial" w:hAnsi="Arial"/>
          <w:sz w:val="18"/>
          <w:szCs w:val="18"/>
          <w:color w:val="auto"/>
        </w:rPr>
      </w:pPr>
    </w:p>
    <w:p>
      <w:pPr>
        <w:ind w:left="900" w:hanging="446"/>
        <w:spacing w:after="0" w:line="285"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w:t>
      </w:r>
    </w:p>
    <w:p>
      <w:pPr>
        <w:spacing w:after="0" w:line="2" w:lineRule="exact"/>
        <w:rPr>
          <w:rFonts w:ascii="Arial" w:cs="Arial" w:eastAsia="Arial" w:hAnsi="Arial"/>
          <w:sz w:val="16"/>
          <w:szCs w:val="16"/>
          <w:color w:val="auto"/>
        </w:rPr>
      </w:pPr>
    </w:p>
    <w:p>
      <w:pPr>
        <w:ind w:left="900" w:right="20" w:hanging="1"/>
        <w:spacing w:after="0" w:line="252" w:lineRule="auto"/>
        <w:tabs>
          <w:tab w:leader="none" w:pos="11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99"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of that series are guaranteed by a subsidiary guarantor, by such subsidiary guarantor;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13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guarantee by such subsidiary guarantor ceases to be in full force and effect, except as otherwise provided in the Indenture;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An Event of Default regarding the Notes of either series will not necessarily constitute an Event of Default for the Notes of the other series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of either series, the trustee or the holders of at least 25% in principal amount of the then outstanding Notes of that series may declare all the Notes of such series to be due and payable immediately.</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 Default with respect to the Notes of either series occurs and is continuing and is known to the trustee, the trustee must mail to each holder of such series of Notes a notice of the Default within 90 days after the Default occurs. Except in the case of a Default in the payment of principal, premium, if any, or interest with respect to the Notes of either series, the trustee may withhold such notice, but only if and so long as a committee of responsible officers of the trustee in good faith determines that withholding such notice is in the interests of such 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8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130" w:lineRule="exact"/>
        <w:rPr>
          <w:rFonts w:ascii="Arial" w:cs="Arial" w:eastAsia="Arial" w:hAnsi="Arial"/>
          <w:sz w:val="18"/>
          <w:szCs w:val="18"/>
          <w:color w:val="auto"/>
        </w:rPr>
      </w:pPr>
    </w:p>
    <w:p>
      <w:pPr>
        <w:ind w:left="1460" w:right="200" w:hanging="547"/>
        <w:spacing w:after="0" w:line="286" w:lineRule="auto"/>
        <w:tabs>
          <w:tab w:leader="none" w:pos="14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70" w:lineRule="exact"/>
        <w:rPr>
          <w:rFonts w:ascii="Arial" w:cs="Arial" w:eastAsia="Arial" w:hAnsi="Arial"/>
          <w:sz w:val="17"/>
          <w:szCs w:val="17"/>
          <w:color w:val="auto"/>
        </w:rPr>
      </w:pPr>
    </w:p>
    <w:p>
      <w:pPr>
        <w:ind w:left="1460" w:right="580" w:hanging="547"/>
        <w:spacing w:after="0" w:line="264"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or series of transactions, no Default or Event of Default has occurred and is continuing;</w:t>
      </w:r>
    </w:p>
    <w:p>
      <w:pPr>
        <w:spacing w:after="0" w:line="142" w:lineRule="exact"/>
        <w:rPr>
          <w:rFonts w:ascii="Arial" w:cs="Arial" w:eastAsia="Arial" w:hAnsi="Arial"/>
          <w:sz w:val="17"/>
          <w:szCs w:val="17"/>
          <w:color w:val="auto"/>
        </w:rPr>
      </w:pPr>
    </w:p>
    <w:p>
      <w:pPr>
        <w:ind w:left="900" w:right="28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86" w:lineRule="exact"/>
        <w:rPr>
          <w:rFonts w:ascii="Arial" w:cs="Arial" w:eastAsia="Arial" w:hAnsi="Arial"/>
          <w:sz w:val="18"/>
          <w:szCs w:val="18"/>
          <w:color w:val="auto"/>
        </w:rPr>
      </w:pPr>
    </w:p>
    <w:p>
      <w:pPr>
        <w:ind w:left="900" w:right="240" w:hanging="446"/>
        <w:spacing w:after="0" w:line="286"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Generally, we, any subsidiary guarantors and the trustee may amend or supplement the Indenture, any guarantees and the Notes with respect to each series of Notes with the consent of the holders of at least a majority in principal amount of the then outstanding Notes of the applicable series. However, without the consent of each holder affected, an amendment, supplement or waiver may not (with respect to any Notes held by a nonconsenting holder):</w:t>
      </w:r>
    </w:p>
    <w:p>
      <w:pPr>
        <w:spacing w:after="0" w:line="5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reduce or waive the premium payable upon redemption or alter or waive the other provisions with respect to the redemption of any Notes;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30" w:lineRule="exact"/>
        <w:rPr>
          <w:rFonts w:ascii="Arial" w:cs="Arial" w:eastAsia="Arial" w:hAnsi="Arial"/>
          <w:sz w:val="18"/>
          <w:szCs w:val="18"/>
          <w:color w:val="auto"/>
        </w:rPr>
      </w:pPr>
    </w:p>
    <w:p>
      <w:pPr>
        <w:ind w:left="900" w:right="36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make any change in the preceding amendment, supplement and waiver provisions (except to increase any percentage set forth therein).</w:t>
      </w:r>
    </w:p>
    <w:p>
      <w:pPr>
        <w:spacing w:after="0" w:line="23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 with respect to each series of Notes:</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add or release any subsidiary guarantors as permitted pursuant to the terms of the Indenture (see “—Possible Future Guarantees”);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7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30" w:lineRule="exact"/>
        <w:rPr>
          <w:rFonts w:ascii="Arial" w:cs="Arial" w:eastAsia="Arial" w:hAnsi="Arial"/>
          <w:sz w:val="18"/>
          <w:szCs w:val="18"/>
          <w:color w:val="auto"/>
        </w:rPr>
      </w:pPr>
    </w:p>
    <w:p>
      <w:pPr>
        <w:ind w:left="900" w:right="60" w:hanging="446"/>
        <w:spacing w:after="0" w:line="28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70" w:lineRule="exact"/>
        <w:rPr>
          <w:rFonts w:ascii="Arial" w:cs="Arial" w:eastAsia="Arial" w:hAnsi="Arial"/>
          <w:sz w:val="17"/>
          <w:szCs w:val="17"/>
          <w:color w:val="auto"/>
        </w:rPr>
      </w:pPr>
    </w:p>
    <w:p>
      <w:pPr>
        <w:ind w:left="900" w:right="240" w:hanging="446"/>
        <w:spacing w:after="0" w:line="28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70" w:lineRule="exact"/>
        <w:rPr>
          <w:rFonts w:ascii="Arial" w:cs="Arial" w:eastAsia="Arial" w:hAnsi="Arial"/>
          <w:sz w:val="17"/>
          <w:szCs w:val="17"/>
          <w:color w:val="auto"/>
        </w:rPr>
      </w:pPr>
    </w:p>
    <w:p>
      <w:pPr>
        <w:ind w:left="900" w:right="6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86"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70"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and will not permit any Subsidiary to, engage in a Sale-leaseback Transaction, unless:</w:t>
      </w:r>
    </w:p>
    <w:p>
      <w:pPr>
        <w:spacing w:after="0" w:line="131" w:lineRule="exact"/>
        <w:rPr>
          <w:sz w:val="20"/>
          <w:szCs w:val="20"/>
          <w:color w:val="auto"/>
        </w:rPr>
      </w:pPr>
    </w:p>
    <w:p>
      <w:pPr>
        <w:ind w:left="900" w:right="4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130" w:lineRule="exact"/>
        <w:rPr>
          <w:rFonts w:ascii="Arial" w:cs="Arial" w:eastAsia="Arial" w:hAnsi="Arial"/>
          <w:sz w:val="18"/>
          <w:szCs w:val="18"/>
          <w:color w:val="auto"/>
        </w:rPr>
      </w:pPr>
    </w:p>
    <w:p>
      <w:pPr>
        <w:ind w:left="900" w:right="240" w:hanging="44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29"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“—Limitations on Liens,” do not exceed 10% of Consolidated Net Tangible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121"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8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At any time we may terminate all our obligations under the Indenture as they relate to either series of the Notes (“legal defeasance”), except for certain obligations, including those respecting the defeasance trust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timely payments therefrom and obligations to register the transfer of or exchange the Notes of that series, to replace mutilated, destroyed, lost or stolen Notes and to maintain a registrar and paying agent for such Notes.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with respect to the Notes of the defeased series (“covenant defeasance”), and thereafter our failure to comply with any of such covenants would not constitute an Event of Default with respect to that series.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will be deemed to have been discharged with respect to the Notes of the defeased series.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defeased series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8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the event of any legal defeasance, holders of the Notes of the defeased series would be entitled to look only to the trust for payment of principal of and any premium and interest on their Notes until maturity.</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of either series and the Notes of that series are declared due and payable because of the occurrence of an Event of Default, such amount may not be sufficient to pay amounts due on such Notes at the time of the acceleration resulting from such Event of Default. We would remain liable for such payments, however.</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we may satisfy and discharge all our obligations under the Indenture with respect to either series of the Notes, other than certain obligations to the trustee and our obligation to register the transfer of or exchange the Notes, provided that we either:</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 all outstanding Notes of the applicable series to the trustee for cancellation; or</w:t>
      </w:r>
    </w:p>
    <w:p>
      <w:pPr>
        <w:spacing w:after="0" w:line="130" w:lineRule="exact"/>
        <w:rPr>
          <w:rFonts w:ascii="Arial" w:cs="Arial" w:eastAsia="Arial" w:hAnsi="Arial"/>
          <w:sz w:val="18"/>
          <w:szCs w:val="18"/>
          <w:color w:val="auto"/>
        </w:rPr>
      </w:pPr>
    </w:p>
    <w:p>
      <w:pPr>
        <w:ind w:left="900" w:right="240" w:hanging="446"/>
        <w:spacing w:after="0" w:line="30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Notes of the applicable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applicable series, including interest and premium, if any, to the stated maturity or applicable redemption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Attributable Indebtedness</w:t>
      </w:r>
      <w:r>
        <w:rPr>
          <w:rFonts w:ascii="Arial" w:cs="Arial" w:eastAsia="Arial" w:hAnsi="Arial"/>
          <w:sz w:val="17"/>
          <w:szCs w:val="17"/>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8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117" w:lineRule="exact"/>
        <w:rPr>
          <w:sz w:val="20"/>
          <w:szCs w:val="20"/>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117" w:lineRule="exact"/>
        <w:rPr>
          <w:rFonts w:ascii="Arial" w:cs="Arial" w:eastAsia="Arial" w:hAnsi="Arial"/>
          <w:sz w:val="18"/>
          <w:szCs w:val="18"/>
          <w:color w:val="auto"/>
        </w:rPr>
      </w:pPr>
    </w:p>
    <w:p>
      <w:pPr>
        <w:ind w:left="920" w:right="100" w:firstLine="421"/>
        <w:spacing w:after="0" w:line="277" w:lineRule="auto"/>
        <w:tabs>
          <w:tab w:leader="none" w:pos="15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117" w:lineRule="exact"/>
        <w:rPr>
          <w:rFonts w:ascii="Arial" w:cs="Arial" w:eastAsia="Arial" w:hAnsi="Arial"/>
          <w:sz w:val="18"/>
          <w:szCs w:val="18"/>
          <w:color w:val="auto"/>
        </w:rPr>
      </w:pPr>
    </w:p>
    <w:p>
      <w:pPr>
        <w:ind w:left="460" w:right="60" w:firstLine="443"/>
        <w:spacing w:after="0" w:line="286" w:lineRule="auto"/>
        <w:tabs>
          <w:tab w:leader="none" w:pos="11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57" w:lineRule="exact"/>
        <w:rPr>
          <w:rFonts w:ascii="Arial" w:cs="Arial" w:eastAsia="Arial" w:hAnsi="Arial"/>
          <w:sz w:val="17"/>
          <w:szCs w:val="17"/>
          <w:color w:val="auto"/>
        </w:rPr>
      </w:pPr>
    </w:p>
    <w:p>
      <w:pPr>
        <w:ind w:left="460" w:right="60" w:firstLine="443"/>
        <w:spacing w:after="0" w:line="277"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62" w:lineRule="exact"/>
        <w:rPr>
          <w:rFonts w:ascii="Arial" w:cs="Arial" w:eastAsia="Arial" w:hAnsi="Arial"/>
          <w:sz w:val="18"/>
          <w:szCs w:val="18"/>
          <w:color w:val="auto"/>
        </w:rPr>
      </w:pPr>
    </w:p>
    <w:p>
      <w:pPr>
        <w:ind w:left="460" w:right="460" w:firstLine="443"/>
        <w:spacing w:after="0" w:line="277"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117"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62"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62" w:lineRule="exact"/>
        <w:rPr>
          <w:rFonts w:ascii="Arial" w:cs="Arial" w:eastAsia="Arial" w:hAnsi="Arial"/>
          <w:sz w:val="18"/>
          <w:szCs w:val="18"/>
          <w:color w:val="auto"/>
        </w:rPr>
      </w:pPr>
    </w:p>
    <w:p>
      <w:pPr>
        <w:jc w:val="both"/>
        <w:ind w:left="460" w:right="720" w:firstLine="443"/>
        <w:spacing w:after="0" w:line="342" w:lineRule="auto"/>
        <w:tabs>
          <w:tab w:leader="none" w:pos="1153"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5" w:lineRule="exact"/>
        <w:rPr>
          <w:rFonts w:ascii="Arial" w:cs="Arial" w:eastAsia="Arial" w:hAnsi="Arial"/>
          <w:sz w:val="16"/>
          <w:szCs w:val="16"/>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117" w:lineRule="exact"/>
        <w:rPr>
          <w:rFonts w:ascii="Arial" w:cs="Arial" w:eastAsia="Arial" w:hAnsi="Arial"/>
          <w:sz w:val="18"/>
          <w:szCs w:val="18"/>
          <w:color w:val="auto"/>
        </w:rPr>
      </w:pPr>
    </w:p>
    <w:p>
      <w:pPr>
        <w:jc w:val="both"/>
        <w:ind w:left="460" w:firstLine="443"/>
        <w:spacing w:after="0" w:line="259" w:lineRule="auto"/>
        <w:tabs>
          <w:tab w:leader="none" w:pos="12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78" w:lineRule="exact"/>
        <w:rPr>
          <w:rFonts w:ascii="Arial" w:cs="Arial" w:eastAsia="Arial" w:hAnsi="Arial"/>
          <w:sz w:val="18"/>
          <w:szCs w:val="18"/>
          <w:color w:val="auto"/>
        </w:rPr>
      </w:pPr>
    </w:p>
    <w:p>
      <w:pPr>
        <w:ind w:left="1240" w:hanging="33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117" w:lineRule="exact"/>
        <w:rPr>
          <w:rFonts w:ascii="Arial" w:cs="Arial" w:eastAsia="Arial" w:hAnsi="Arial"/>
          <w:sz w:val="18"/>
          <w:szCs w:val="18"/>
          <w:color w:val="auto"/>
        </w:rPr>
      </w:pPr>
    </w:p>
    <w:p>
      <w:pPr>
        <w:ind w:left="460" w:right="20" w:firstLine="443"/>
        <w:spacing w:after="0" w:line="255" w:lineRule="auto"/>
        <w:tabs>
          <w:tab w:leader="none" w:pos="12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w:t>
      </w:r>
    </w:p>
    <w:p>
      <w:pPr>
        <w:spacing w:after="0" w:line="85" w:lineRule="exact"/>
        <w:rPr>
          <w:rFonts w:ascii="Arial" w:cs="Arial" w:eastAsia="Arial" w:hAnsi="Arial"/>
          <w:sz w:val="18"/>
          <w:szCs w:val="18"/>
          <w:color w:val="auto"/>
        </w:rPr>
      </w:pPr>
    </w:p>
    <w:p>
      <w:pPr>
        <w:ind w:left="460" w:right="200" w:firstLine="443"/>
        <w:spacing w:after="0" w:line="277" w:lineRule="auto"/>
        <w:tabs>
          <w:tab w:leader="none" w:pos="12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117" w:lineRule="exact"/>
        <w:rPr>
          <w:rFonts w:ascii="Arial" w:cs="Arial" w:eastAsia="Arial" w:hAnsi="Arial"/>
          <w:sz w:val="18"/>
          <w:szCs w:val="18"/>
          <w:color w:val="auto"/>
        </w:rPr>
      </w:pPr>
    </w:p>
    <w:p>
      <w:pPr>
        <w:ind w:left="460" w:right="80" w:firstLine="443"/>
        <w:spacing w:after="0" w:line="302" w:lineRule="auto"/>
        <w:tabs>
          <w:tab w:leader="none" w:pos="1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120" w:firstLine="443"/>
        <w:spacing w:after="0" w:line="259" w:lineRule="auto"/>
        <w:tabs>
          <w:tab w:leader="none" w:pos="12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78" w:lineRule="exact"/>
        <w:rPr>
          <w:rFonts w:ascii="Arial" w:cs="Arial" w:eastAsia="Arial" w:hAnsi="Arial"/>
          <w:sz w:val="18"/>
          <w:szCs w:val="18"/>
          <w:color w:val="auto"/>
        </w:rPr>
      </w:pPr>
    </w:p>
    <w:p>
      <w:pPr>
        <w:jc w:val="both"/>
        <w:ind w:left="460" w:right="20" w:firstLine="443"/>
        <w:spacing w:after="0" w:line="302" w:lineRule="auto"/>
        <w:tabs>
          <w:tab w:leader="none" w:pos="12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46" w:lineRule="exact"/>
        <w:rPr>
          <w:rFonts w:ascii="Arial" w:cs="Arial" w:eastAsia="Arial" w:hAnsi="Arial"/>
          <w:sz w:val="16"/>
          <w:szCs w:val="16"/>
          <w:color w:val="auto"/>
        </w:rPr>
      </w:pPr>
    </w:p>
    <w:p>
      <w:pPr>
        <w:ind w:left="460" w:right="580" w:firstLine="443"/>
        <w:spacing w:after="0" w:line="277" w:lineRule="auto"/>
        <w:tabs>
          <w:tab w:leader="none" w:pos="12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117" w:lineRule="exact"/>
        <w:rPr>
          <w:sz w:val="20"/>
          <w:szCs w:val="20"/>
          <w:color w:val="auto"/>
        </w:rPr>
      </w:pPr>
    </w:p>
    <w:p>
      <w:pPr>
        <w:ind w:left="460" w:right="80" w:firstLine="443"/>
        <w:spacing w:after="0" w:line="264" w:lineRule="auto"/>
        <w:tabs>
          <w:tab w:leader="none" w:pos="11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73"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jc w:val="both"/>
        <w:ind w:left="460" w:right="660" w:firstLine="443"/>
        <w:spacing w:after="0" w:line="312" w:lineRule="auto"/>
        <w:tabs>
          <w:tab w:leader="none" w:pos="115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38" w:lineRule="exact"/>
        <w:rPr>
          <w:rFonts w:ascii="Arial" w:cs="Arial" w:eastAsia="Arial" w:hAnsi="Arial"/>
          <w:sz w:val="16"/>
          <w:szCs w:val="16"/>
          <w:color w:val="auto"/>
        </w:rPr>
      </w:pPr>
    </w:p>
    <w:p>
      <w:pPr>
        <w:ind w:left="460" w:right="100" w:firstLine="443"/>
        <w:spacing w:after="0" w:line="342" w:lineRule="auto"/>
        <w:tabs>
          <w:tab w:leader="none" w:pos="1153"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BOOK ENTRY, DELIVERY AND FORM</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will issue the Notes of each series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8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8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w:t>
      </w:r>
    </w:p>
    <w:p>
      <w:pPr>
        <w:spacing w:after="0" w:line="189" w:lineRule="exact"/>
        <w:rPr>
          <w:sz w:val="20"/>
          <w:szCs w:val="20"/>
          <w:color w:val="auto"/>
        </w:rPr>
      </w:pPr>
    </w:p>
    <w:p>
      <w:pPr>
        <w:jc w:val="both"/>
        <w:ind w:right="500" w:firstLine="456"/>
        <w:spacing w:after="0" w:line="386"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9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7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61" w:lineRule="exact"/>
        <w:rPr>
          <w:sz w:val="20"/>
          <w:szCs w:val="20"/>
          <w:color w:val="auto"/>
        </w:rPr>
      </w:pPr>
    </w:p>
    <w:p>
      <w:pPr>
        <w:ind w:right="240" w:firstLine="456"/>
        <w:spacing w:after="0" w:line="314"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146" w:lineRule="exact"/>
        <w:rPr>
          <w:sz w:val="20"/>
          <w:szCs w:val="20"/>
          <w:color w:val="auto"/>
        </w:rPr>
      </w:pPr>
    </w:p>
    <w:p>
      <w:pPr>
        <w:ind w:right="1100" w:firstLine="456"/>
        <w:spacing w:after="0" w:line="277" w:lineRule="auto"/>
        <w:rPr>
          <w:sz w:val="20"/>
          <w:szCs w:val="20"/>
          <w:color w:val="auto"/>
        </w:rPr>
      </w:pPr>
      <w:r>
        <w:rPr>
          <w:rFonts w:ascii="Arial" w:cs="Arial" w:eastAsia="Arial" w:hAnsi="Arial"/>
          <w:sz w:val="18"/>
          <w:szCs w:val="18"/>
          <w:color w:val="auto"/>
        </w:rPr>
        <w:t>Cross-market transfers between the accountholders in DTC, on the one hand, and directly or indirectly through Euroclear or Clearstream accountholders, on the other hand, will be effected through DTC in accordance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w:t>
      </w:r>
    </w:p>
    <w:p>
      <w:pPr>
        <w:spacing w:after="0" w:line="15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 Entry Notes for Certificated Notes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7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persons deemed to sell the Notes under constructive sale provisions of the Code;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the discussion does not consider the effect of U.S. federal estate tax laws or gift tax laws or of any applicable foreign, state, local or other tax laws or income tax treaties.</w:t>
      </w:r>
    </w:p>
    <w:p>
      <w:pPr>
        <w:spacing w:after="0" w:line="170"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If an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are encouraged to consult their tax advisors about the U.S. federal income tax consequences of acquiring, owning and disposing of the Notes.</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PROSPECTIVE INVESTORS ARE ENCOURAGED TO CONSULT THEIR OWN TAX ADVISORS WITH REGARD TO THE APPLICATION OF THE TAX CONSEQUENCES DISCUSSED BELOW TO THEIR PARTICULAR SITUATIONS, AS WELL AS THE APPLICATION OF U.S. FEDERAL ESTATE OR GIFT TAX LAWS OR OF ANY STATE, LOCAL, FOREIGN OR OTHER TAX LAWS OR INCOME TAX TREATIES.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a “U.S. Holder” means a beneficial owner of a Note that is:</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individual who is a citizen or resident alien of the United States;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any political subdivision thereof;</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on a Note generally will be taxable to a U.S. Holder as ordinary income at the time it accrues or is received in accordance with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 regular method of accounting for U.S. federal income tax purposes.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the sale, exchange, retirement, redemption or other taxable disposition of a Note, a U.S. Holder will generally recognize capital gain or loss equal to the difference, if any,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18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under penalties of perjury, as well as certain other information or otherwise establishes an exemption from backup withholding. Any amount withheld under the backup withholding rules is allowable as 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credit against the U.S. Holder’s U.S. federal income tax liability, if any, and a refund may be obtained if the amounts withheld exceed the U.S. Holder’s actual U.S. federal income tax liability and the U.S. Holder timely provides the required information or appropriate claim form to the IRS.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used herein, a “Non-U.S. Holder” means a beneficial owner of a Note that is an individual, corporation, estate or trust that is not a U.S. Holder.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Subject to the discussion of backup withholding and FATCA withholding, below, the payment to a Non-U.S. Holder of interest on a Note generally will not be subject to U.S. federal income tax and will be exempt from withholding of U.S. federal income tax under the “portfolio interest” exemption provided that interest on the Note is not effectively connected with a U.S. trade or business conducted by the Non-U.S. Holder and the Non-U.S. Holder:</w:t>
      </w:r>
    </w:p>
    <w:p>
      <w:pPr>
        <w:spacing w:after="0" w:line="52"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does not actually or constructively own 10% or more of our capital or profits interests;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not a controlled foreign corporation for U.S. federal income tax purposes that is actually or constructively related to 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not a bank whose receipt of interest on the Note is in connection with an extension of credit made pursuant to a loan agreement entered into in the ordinary course of business;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properly certifies as to his foreign status as described below.</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portfolio interest exemption generally applies only if a Non-U.S. Holder appropriately certifies as to its foreign status. A Non-U.S. Holder can generally meet this certification requirement by providing a properly executed IRS Form W-8BEN or IRS Form W-8BEN-E (or applicable successor form) to the applicable withholding agent.</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a Non-U.S. Holder cannot satisfy the requirements described above, payments of interest made to the Non-U.S. Holder will be subject to a 30% U.S. federal withholding tax, unless the Non-U.S. Holder provides the applicable withholding agent with a properly executed IRS Form W-8BEN or IRS Form W-8BEN-E (or applicable successor form) claiming an exemption from or reduction of the rate of withholding under the benefit of an income tax treaty, or that the interest paid on the Note is effectively connected with the Non-U.S. Holder’s conduct of a trade or business in the United States and the Non-U.S. Holder satisfies the certification requirements described below. See “—Income or Gain Effectively Connected with a U.S. Trade or Business.”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117"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Subject to the discussion of backup withholding and FATCA withholding, below, a Non-U.S. Holder generally will not be subject to U.S. federal income tax with respect to gain realized on the sale, exchange, retirement, redemption or other taxable disposition of a Note unless:</w:t>
      </w:r>
    </w:p>
    <w:p>
      <w:pPr>
        <w:spacing w:after="0" w:line="52" w:lineRule="exact"/>
        <w:rPr>
          <w:sz w:val="20"/>
          <w:szCs w:val="20"/>
          <w:color w:val="auto"/>
        </w:rPr>
      </w:pPr>
    </w:p>
    <w:p>
      <w:pPr>
        <w:ind w:left="900" w:right="520" w:hanging="446"/>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trade or business in the United States (and if required by an applicable income tax treaty, is attributable to a permanent establishment maintained in the United States by the Non-U.S. Holder); or</w:t>
      </w:r>
    </w:p>
    <w:p>
      <w:pPr>
        <w:spacing w:after="0" w:line="29"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rate under an applicable income tax treaty) of U.S. federal income tax on the gain derived from the sale or other disposition, which may be offset by U.S. source capital losses.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If a Non-U.S. Holder of a Note is engaged in a trade or business in the United States and interest on a Note is effectively connected with the conduct of such trade or business, then the income or gain from the Note will generally be subject to U.S. federal income tax at regular graduated rates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(unless an applicable income tax treaty provides for a lower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or IRS Form W-8BEN-E (or applicable successor form) claiming exemption under an applicable income tax treaty) to the applicable withholding agent. For this purpose, interest received on a Note and gain recognized on the disposition of a Note will be included in earnings and profits if the interest or gain is effectively connected with the conduct by the Non-U.S. Holder of a U.S. trade or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Payments to a Non-U.S. Holder of interest on a Note, and amounts withheld from such payments, if any, generally will be required to be reported to the IRS and to the Non-U.S. Holder. Copies of these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Backup withholding generally will not apply to payments of interest and principal on a Note to a Non-U.S. Holder if the certification described in “U.S. Federal Income Taxation of Non-U.S. Holders—Interest on the Notes” is duly provided by the holder or the holder otherwise establishes an exemption, provided that the applicable withholding agent does not have actual knowledge or reason to know that the holder is a United States person.</w:t>
      </w:r>
    </w:p>
    <w:p>
      <w:pPr>
        <w:spacing w:after="0" w:line="166"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Payment of the proceeds from a disposition of a Note effected by the U.S. office of a U.S. or foreign broker will be subject to information reporting requirements and backup withholding unless the Non-U.S. 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78"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foreign person that derives 50% or more of its gross income for certain periods from the conduct of a trade or business in the United States;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 or</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Backup withholding is not an additional tax. Any amount withheld from payments to a Non-U.S. Holder under the backup withholding rules is allowable as a credit against such holder’s U.S. federal income tax liability, if any, and a refund of any excess may be obtained from the IRS if the required information or appropriate claim form is timely provided to the IRS.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Payments to Certain Foreign Entities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(pursuant to the provisions of the “Foreign Account Tax Compliance Act” or “FATCA”) impose a 30% withholding tax on any U.S.-source interest paid on debt obligations issued on or after July 1, 2014, such as the Notes, and on the gross proceeds from a disposition of such obligations occurring after December 31, 2016,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or (iii) the foreign financial institution or non-financial foreign entity otherwise qualifies for an exemption from these rules. Foreign financial institutions located in jurisdictions that have an intergovernmental agreement with the United States with respect to these rules may be subject to different rules. Under certain circumstances, a beneficial owner of the Notes might be eligible for refunds or credits of such taxes.</w:t>
      </w:r>
    </w:p>
    <w:p>
      <w:pPr>
        <w:spacing w:after="0" w:line="16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rules under FATCA are new and complex. You are encouraged to consult with your own tax advisor regarding the implications of FATCA on your investment in the Notes.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PRECEDING DISCUSSION OF MATERIAL U.S. FEDERAL INCOME TAX CONSEQUENCES IS FOR GENERAL INFORMATION ONLY AND IS NOT TAX ADVICE. EACH PROSPECTIVE INVESTOR IS ENCOURAGED TO CONSULT ITS OWN TAX ADVISOR REGARDING THE PARTICULAR U.S. FEDERAL, STATE, LOCAL AND FOREIGN TAX CONSEQUENCES OF PURCHASING, HOLDING AND DISPOSING OF THE NOTES,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Subject to the terms and conditions set forth in an underwriting agreement, dated the date of this prospectus supplement, between us and the underwriters named below, we have agreed to sell to each of the underwriters, for whom Barclays Capital Inc., SunTrust Robinson Humphrey, Inc. and Wells Fargo Securities, LLC are acting as representatives, and the underwriters have agreed, severally and not jointly, to purchase the principal amount of the Notes of each series set forth opposite their respective names below:</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ind w:left="22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w:t>
            </w:r>
          </w:p>
        </w:tc>
        <w:tc>
          <w:tcPr>
            <w:tcW w:w="4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87"/>
              </w:rPr>
              <w:t>Notes</w:t>
            </w:r>
          </w:p>
        </w:tc>
        <w:tc>
          <w:tcPr>
            <w:tcW w:w="1360" w:type="dxa"/>
            <w:vAlign w:val="bottom"/>
            <w:tcBorders>
              <w:top w:val="single" w:sz="8" w:color="auto"/>
            </w:tcBorders>
            <w:gridSpan w:val="2"/>
          </w:tcPr>
          <w:p>
            <w:pPr>
              <w:ind w:left="680"/>
              <w:spacing w:after="0" w:line="142" w:lineRule="exact"/>
              <w:rPr>
                <w:sz w:val="20"/>
                <w:szCs w:val="20"/>
                <w:color w:val="auto"/>
              </w:rPr>
            </w:pPr>
            <w:r>
              <w:rPr>
                <w:rFonts w:ascii="Arial" w:cs="Arial" w:eastAsia="Arial" w:hAnsi="Arial"/>
                <w:sz w:val="14"/>
                <w:szCs w:val="14"/>
                <w:b w:val="1"/>
                <w:bCs w:val="1"/>
                <w:color w:val="auto"/>
                <w:w w:val="99"/>
              </w:rPr>
              <w:t>20   Notes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w:t>
            </w: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Inc.</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underwriters propose initially to offer the Notes to the public at the public offering price set forth on the cover page of this prospectus supplement and may offer the 20 Notes to certain dealers at such price less a concession not in excess of % of the principal amount of the 20 Notes and the</w:t>
      </w:r>
    </w:p>
    <w:p>
      <w:pPr>
        <w:ind w:right="220"/>
        <w:spacing w:after="0" w:line="265" w:lineRule="auto"/>
        <w:rPr>
          <w:sz w:val="20"/>
          <w:szCs w:val="20"/>
          <w:color w:val="auto"/>
        </w:rPr>
      </w:pPr>
      <w:r>
        <w:rPr>
          <w:rFonts w:ascii="Arial" w:cs="Arial" w:eastAsia="Arial" w:hAnsi="Arial"/>
          <w:sz w:val="17"/>
          <w:szCs w:val="17"/>
          <w:color w:val="auto"/>
        </w:rPr>
        <w:t>20 Notes to certain dealers at such price less a concession not in excess of % of the principal amount of the 20 Notes. The underwriters may allow a discount with respect to the 20 Notes not in excess of % of the principal amount of the 20 Notes and with respect to the 20 Notes not in excess of</w:t>
      </w:r>
    </w:p>
    <w:p>
      <w:pPr>
        <w:ind w:right="60" w:firstLine="188"/>
        <w:spacing w:after="0" w:line="261" w:lineRule="auto"/>
        <w:tabs>
          <w:tab w:leader="none" w:pos="3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the principal amount of the 20 Notes, in each case on sales to certain other brokers and dealers. After this initial public offering, the public offering price, concession and discount may be changed.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Underwriting</w:t>
            </w:r>
          </w:p>
        </w:tc>
        <w:tc>
          <w:tcPr>
            <w:tcW w:w="840" w:type="dxa"/>
            <w:vAlign w:val="bottom"/>
          </w:tcPr>
          <w:p>
            <w:pPr>
              <w:spacing w:after="0"/>
              <w:rPr>
                <w:sz w:val="14"/>
                <w:szCs w:val="14"/>
                <w:color w:val="auto"/>
              </w:rPr>
            </w:pPr>
          </w:p>
        </w:tc>
      </w:tr>
      <w:tr>
        <w:trPr>
          <w:trHeight w:val="171"/>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Discount</w:t>
            </w:r>
          </w:p>
        </w:tc>
        <w:tc>
          <w:tcPr>
            <w:tcW w:w="84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20</w:t>
            </w:r>
          </w:p>
        </w:tc>
        <w:tc>
          <w:tcPr>
            <w:tcW w:w="61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Note</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Per 20</w:t>
            </w:r>
          </w:p>
        </w:tc>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8100" w:type="dxa"/>
            <w:vAlign w:val="bottom"/>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6"/>
        </w:trPr>
        <w:tc>
          <w:tcPr>
            <w:tcW w:w="9140" w:type="dxa"/>
            <w:vAlign w:val="bottom"/>
            <w:gridSpan w:val="6"/>
          </w:tcPr>
          <w:p>
            <w:pPr>
              <w:jc w:val="right"/>
              <w:ind w:right="50"/>
              <w:spacing w:after="0"/>
              <w:rPr>
                <w:sz w:val="20"/>
                <w:szCs w:val="20"/>
                <w:color w:val="auto"/>
              </w:rPr>
            </w:pPr>
            <w:r>
              <w:rPr>
                <w:rFonts w:ascii="Arial" w:cs="Arial" w:eastAsia="Arial" w:hAnsi="Arial"/>
                <w:sz w:val="18"/>
                <w:szCs w:val="18"/>
                <w:color w:val="auto"/>
                <w:w w:val="91"/>
              </w:rPr>
              <w:t>We estimate that our share of the total expenses of the offering, excluding the underwriting discount, will be approximately $</w:t>
            </w:r>
          </w:p>
        </w:tc>
        <w:tc>
          <w:tcPr>
            <w:tcW w:w="840" w:type="dxa"/>
            <w:vAlign w:val="bottom"/>
          </w:tcPr>
          <w:p>
            <w:pPr>
              <w:ind w:left="280"/>
              <w:spacing w:after="0"/>
              <w:rPr>
                <w:sz w:val="20"/>
                <w:szCs w:val="20"/>
                <w:color w:val="auto"/>
              </w:rPr>
            </w:pPr>
            <w:r>
              <w:rPr>
                <w:rFonts w:ascii="Arial" w:cs="Arial" w:eastAsia="Arial" w:hAnsi="Arial"/>
                <w:sz w:val="18"/>
                <w:szCs w:val="18"/>
                <w:color w:val="auto"/>
                <w:w w:val="96"/>
              </w:rPr>
              <w:t>million.</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series of Notes is a new issue of securities with no established trading market. We do not currently intend to apply for listing of either series of the Notes on any securities exchange or have either series of the Notes quoted on any automated quotation system. We have been advised by the underwriters that the underwriters intend to make a market in the Notes of each series but are not obligated to do so and may discontinue market making at any time without notice. No assurance can be given as to whether or not a trading market for the Notes of either series will develop or as to the liquidity of any trading market for the Notes which may develop.</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121"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4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We expect delivery of the Notes will be made against payment therefor on or about December , 2014, which is the business day following the date of pricing of the Notes (such settlement being referred to as “T+ ”). Under Rule 15c6-1 of the Exchange Act, trades in the secondary market</w:t>
      </w:r>
    </w:p>
    <w:p>
      <w:pPr>
        <w:spacing w:after="0"/>
        <w:rPr>
          <w:sz w:val="20"/>
          <w:szCs w:val="20"/>
          <w:color w:val="auto"/>
        </w:rPr>
      </w:pPr>
      <w:r>
        <w:rPr>
          <w:rFonts w:ascii="Arial" w:cs="Arial" w:eastAsia="Arial" w:hAnsi="Arial"/>
          <w:sz w:val="16"/>
          <w:szCs w:val="16"/>
          <w:color w:val="auto"/>
        </w:rPr>
        <w:t>generally are required to settle in three business days unless the parties to any such trade expressly agree otherwise. Accordingly, purchasers who wish to</w:t>
      </w:r>
    </w:p>
    <w:p>
      <w:pPr>
        <w:spacing w:after="0" w:line="38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trade the 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w:t>
      </w:r>
    </w:p>
    <w:p>
      <w:pPr>
        <w:ind w:right="160" w:firstLine="8"/>
        <w:spacing w:after="0" w:line="254"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w:t>
      </w:r>
    </w:p>
    <w:p>
      <w:pPr>
        <w:spacing w:after="0" w:line="19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Notes are only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w:t>
      </w:r>
    </w:p>
    <w:p>
      <w:pPr>
        <w:spacing w:after="0" w:line="52" w:lineRule="exact"/>
        <w:rPr>
          <w:sz w:val="20"/>
          <w:szCs w:val="20"/>
          <w:color w:val="auto"/>
        </w:rPr>
      </w:pPr>
    </w:p>
    <w:p>
      <w:pPr>
        <w:ind w:left="5540" w:right="4280" w:hanging="5086"/>
        <w:spacing w:after="0" w:line="449"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S-33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446"/>
        <w:spacing w:after="0" w:line="31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provided that no such offer of securities shall require us or any underwriter to publish a prospectus pursuant to Article 3 of the Prospectus Directive.</w:t>
      </w:r>
    </w:p>
    <w:p>
      <w:pPr>
        <w:spacing w:after="0" w:line="23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Affiliates of certain of the underwriters are dealers under our commercial paper program and may hold commercial paper notes thereunder.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they may receive a portion of the net proceeds from this offering.</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2013, have been incorporated in reliance on the report of PricewaterhouseCoopers LLP, an independent registered public accounting firm, given on the authority of said firm as experts in auditing and accounting.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9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2014, June 30, 2014 and September 30, 2014; and</w:t>
      </w:r>
    </w:p>
    <w:p>
      <w:pPr>
        <w:spacing w:after="0" w:line="130"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Current Reports on Form 8-K filed with the SEC on April 18, 2014 (documentation related to debt offering), April 29, 2014 (documentation related to debt offering), August 22, 2014 (continuous equity offering program), September 5, 2014 (documentation related to debt offering), September 11, 2014 (documentation related to debt offering), October 20, 2014 (increased capacity to commercial paper program) and November 6, 2014 (purchase of 50% interest in BridgeTex Pipeline Company LLC).</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PAA Finance Corp.</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Common Units</w:t>
      </w:r>
    </w:p>
    <w:p>
      <w:pPr>
        <w:spacing w:after="0" w:line="78"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1" w:lineRule="exact"/>
        <w:rPr>
          <w:sz w:val="20"/>
          <w:szCs w:val="20"/>
          <w:color w:val="auto"/>
        </w:rPr>
      </w:pPr>
    </w:p>
    <w:p>
      <w:pPr>
        <w:ind w:right="4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units and the debt securities involves risks. Limited partnerships are inherently different from corporations. You should carefully consider the risk factors described under “</w:t>
      </w:r>
      <w:hyperlink w:anchor="page4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before you make an investment in our securities.</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September 27, 2012.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2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About This Prospectus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Ratio Of Earnings To Fixed Charges</w:t>
              </w:r>
            </w:hyperlink>
          </w:p>
        </w:tc>
        <w:tc>
          <w:tcPr>
            <w:tcW w:w="15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Our Debt Securities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make available free of charge on our website, at </w:t>
      </w:r>
      <w:r>
        <w:rPr>
          <w:rFonts w:ascii="Arial" w:cs="Arial" w:eastAsia="Arial" w:hAnsi="Arial"/>
          <w:sz w:val="18"/>
          <w:szCs w:val="18"/>
          <w:i w:val="1"/>
          <w:iCs w:val="1"/>
          <w:color w:val="auto"/>
        </w:rPr>
        <w:t>www.paalp.com</w:t>
      </w:r>
      <w:r>
        <w:rPr>
          <w:rFonts w:ascii="Arial" w:cs="Arial" w:eastAsia="Arial" w:hAnsi="Arial"/>
          <w:sz w:val="18"/>
          <w:szCs w:val="18"/>
          <w:color w:val="auto"/>
        </w:rPr>
        <w:t>, all materials that we file electronically with the SEC, including our Annual Report on Form 10-K, Quarterly Reports on Form 10-Q,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w:t>
      </w:r>
    </w:p>
    <w:p>
      <w:pPr>
        <w:spacing w:after="0" w:line="37" w:lineRule="exact"/>
        <w:rPr>
          <w:sz w:val="20"/>
          <w:szCs w:val="20"/>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2012 and June 30,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(documentation related to debt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w:t>
      </w:r>
    </w:p>
    <w:p>
      <w:pPr>
        <w:spacing w:after="0" w:line="90" w:lineRule="exact"/>
        <w:rPr>
          <w:rFonts w:ascii="Arial" w:cs="Arial" w:eastAsia="Arial" w:hAnsi="Arial"/>
          <w:sz w:val="18"/>
          <w:szCs w:val="18"/>
          <w:color w:val="auto"/>
        </w:rPr>
      </w:pPr>
    </w:p>
    <w:p>
      <w:pPr>
        <w:ind w:left="440" w:right="500" w:hanging="324"/>
        <w:spacing w:after="0" w:line="268"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(completion of acquisition of BP Canada Energy Company; amendment of Limited Partnership Agreement of Plains All American Pipeline, L.P.);</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17, 2012 (announcement to withdraw offer to acquire SemGroup Corporation);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50" w:lineRule="exact"/>
        <w:rPr>
          <w:rFonts w:ascii="Arial" w:cs="Arial" w:eastAsia="Arial" w:hAnsi="Arial"/>
          <w:sz w:val="18"/>
          <w:szCs w:val="18"/>
          <w:color w:val="auto"/>
        </w:rPr>
      </w:pPr>
    </w:p>
    <w:p>
      <w:pPr>
        <w:ind w:left="440" w:right="660" w:hanging="324"/>
        <w:spacing w:after="0" w:line="268"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left="320" w:right="540"/>
        <w:spacing w:after="0" w:line="440" w:lineRule="auto"/>
        <w:rPr>
          <w:sz w:val="20"/>
          <w:szCs w:val="20"/>
          <w:color w:val="auto"/>
        </w:rPr>
      </w:pPr>
      <w:r>
        <w:rPr>
          <w:rFonts w:ascii="Arial" w:cs="Arial" w:eastAsia="Arial" w:hAnsi="Arial"/>
          <w:sz w:val="18"/>
          <w:szCs w:val="18"/>
          <w:color w:val="auto"/>
        </w:rPr>
        <w:t>Plains All American Pipeline, L.P. 333 Clay Street, Suite 1600 Houston, Texas 77002 Attention: Corporate Secretary Telephone: (713) 646-4100 iii</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440" w:right="78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440" w:right="540" w:hanging="324"/>
        <w:spacing w:after="0" w:line="26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ind w:left="440" w:right="200" w:hanging="324"/>
        <w:spacing w:after="0" w:line="259"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(as defined under “— Events of Default and Remedies” below) may exist.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440" w:right="380" w:hanging="324"/>
        <w:spacing w:after="0" w:line="259"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440" w:right="220" w:hanging="324"/>
        <w:spacing w:after="0" w:line="268"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440" w:right="220" w:hanging="324"/>
        <w:spacing w:after="0" w:line="268"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440" w:right="720" w:hanging="324"/>
        <w:spacing w:after="0" w:line="268"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440" w:right="260" w:hanging="324"/>
        <w:spacing w:after="0" w:line="268"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9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440" w:right="360" w:hanging="324"/>
        <w:spacing w:after="0" w:line="259"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440" w:right="480" w:hanging="324"/>
        <w:spacing w:after="0" w:line="268"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440" w:right="400" w:hanging="324"/>
        <w:spacing w:after="0" w:line="268"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0"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71"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90" w:lineRule="exact"/>
        <w:rPr>
          <w:sz w:val="20"/>
          <w:szCs w:val="20"/>
          <w:color w:val="auto"/>
        </w:rPr>
      </w:pPr>
    </w:p>
    <w:p>
      <w:pPr>
        <w:ind w:left="440" w:hanging="324"/>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90" w:lineRule="exact"/>
        <w:rPr>
          <w:sz w:val="20"/>
          <w:szCs w:val="20"/>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440" w:right="20" w:hanging="324"/>
        <w:spacing w:after="0" w:line="268" w:lineRule="auto"/>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440" w:right="200" w:hanging="324"/>
        <w:spacing w:after="0" w:line="268"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How Distributions from Capital Surplus Will Be Made. </w:t>
      </w:r>
      <w:r>
        <w:rPr>
          <w:rFonts w:ascii="Arial" w:cs="Arial" w:eastAsia="Arial" w:hAnsi="Arial"/>
          <w:sz w:val="16"/>
          <w:szCs w:val="16"/>
          <w:color w:val="auto"/>
        </w:rPr>
        <w:t>We will make distributions of available cash from capital surplus in the following manner:</w:t>
      </w:r>
    </w:p>
    <w:p>
      <w:pPr>
        <w:spacing w:after="0" w:line="113" w:lineRule="exact"/>
        <w:rPr>
          <w:sz w:val="20"/>
          <w:szCs w:val="20"/>
          <w:color w:val="auto"/>
        </w:rPr>
      </w:pPr>
    </w:p>
    <w:p>
      <w:pPr>
        <w:ind w:left="440" w:right="160" w:hanging="324"/>
        <w:spacing w:after="0" w:line="268"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Effect of a Distribution from Capital Surplus</w:t>
      </w:r>
      <w:r>
        <w:rPr>
          <w:rFonts w:ascii="Arial" w:cs="Arial" w:eastAsia="Arial" w:hAnsi="Arial"/>
          <w:sz w:val="18"/>
          <w:szCs w:val="18"/>
          <w:color w:val="auto"/>
        </w:rPr>
        <w:t>. 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i.e., when the unrecovered capital of the common units is zero, then</w:t>
      </w:r>
    </w:p>
    <w:p>
      <w:pPr>
        <w:spacing w:after="0" w:line="113" w:lineRule="exact"/>
        <w:rPr>
          <w:sz w:val="20"/>
          <w:szCs w:val="20"/>
          <w:color w:val="auto"/>
        </w:rPr>
      </w:pPr>
    </w:p>
    <w:p>
      <w:pPr>
        <w:ind w:left="440" w:hanging="324"/>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440" w:right="140" w:hanging="324"/>
        <w:spacing w:after="0" w:line="259"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If we dissolve and liquidate, we will sell our assets or otherwise dispose of our assets and we will adjust the partners’ capital account balances to</w:t>
      </w:r>
      <w:r>
        <w:rPr>
          <w:rFonts w:ascii="Arial" w:cs="Arial" w:eastAsia="Arial" w:hAnsi="Arial"/>
          <w:sz w:val="15"/>
          <w:szCs w:val="15"/>
          <w:i w:val="1"/>
          <w:iCs w:val="1"/>
          <w:color w:val="auto"/>
        </w:rPr>
        <w:t xml:space="preserve"> </w:t>
      </w:r>
      <w:r>
        <w:rPr>
          <w:rFonts w:ascii="Arial" w:cs="Arial" w:eastAsia="Arial" w:hAnsi="Arial"/>
          <w:sz w:val="15"/>
          <w:szCs w:val="15"/>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90" w:lineRule="exact"/>
        <w:rPr>
          <w:sz w:val="20"/>
          <w:szCs w:val="20"/>
          <w:color w:val="auto"/>
        </w:rPr>
      </w:pPr>
    </w:p>
    <w:p>
      <w:pPr>
        <w:ind w:left="440" w:right="500" w:hanging="324"/>
        <w:spacing w:after="0" w:line="268" w:lineRule="auto"/>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440" w:hanging="324"/>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440" w:hanging="324"/>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440" w:right="220" w:hanging="324"/>
        <w:spacing w:after="0" w:line="268" w:lineRule="auto"/>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firstLine="8"/>
        <w:spacing w:after="0" w:line="261"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7704 of the Code generally provides that publicly-traded partnerships will be treated as corporations for federal income tax purposes. However, if 90% or more of a partnership’s gross income for every taxable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43" w:lineRule="exact"/>
        <w:rPr>
          <w:sz w:val="20"/>
          <w:szCs w:val="20"/>
          <w:color w:val="auto"/>
        </w:rPr>
      </w:pPr>
    </w:p>
    <w:p>
      <w:pPr>
        <w:ind w:left="700" w:hanging="236"/>
        <w:spacing w:after="0"/>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64"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16"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9" w:lineRule="exact"/>
        <w:rPr>
          <w:sz w:val="20"/>
          <w:szCs w:val="20"/>
          <w:color w:val="auto"/>
        </w:rPr>
      </w:pPr>
    </w:p>
    <w:p>
      <w:pPr>
        <w:ind w:left="440" w:hanging="324"/>
        <w:spacing w:after="0"/>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unitholder’s tax basis in its units initially will be the amount paid for those units plus the unitholder’s share of our liabilities. That basis generally will be</w:t>
      </w:r>
    </w:p>
    <w:p>
      <w:pPr>
        <w:spacing w:after="0" w:line="38" w:lineRule="exact"/>
        <w:rPr>
          <w:sz w:val="20"/>
          <w:szCs w:val="20"/>
          <w:color w:val="auto"/>
        </w:rPr>
      </w:pPr>
    </w:p>
    <w:p>
      <w:pPr>
        <w:ind w:right="140" w:firstLine="8"/>
        <w:spacing w:after="0" w:line="261" w:lineRule="auto"/>
        <w:tabs>
          <w:tab w:leader="none" w:pos="21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deductibility of a non-corporate taxpayer’s “investment interest expense” generally is limited to the amount of that taxpayer’s “net investment income.” Investment interest expense includes:</w:t>
      </w:r>
    </w:p>
    <w:p>
      <w:pPr>
        <w:spacing w:after="0" w:line="51" w:lineRule="exact"/>
        <w:rPr>
          <w:sz w:val="20"/>
          <w:szCs w:val="20"/>
          <w:color w:val="auto"/>
        </w:rPr>
      </w:pPr>
    </w:p>
    <w:p>
      <w:pPr>
        <w:ind w:left="440" w:hanging="324"/>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Rates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9" w:lineRule="exact"/>
        <w:rPr>
          <w:sz w:val="20"/>
          <w:szCs w:val="20"/>
          <w:color w:val="auto"/>
        </w:rPr>
      </w:pPr>
    </w:p>
    <w:p>
      <w:pPr>
        <w:ind w:left="440" w:hanging="324"/>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Allocations Between Transferors and Transferee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disposition. More than 50% of our assets may consist of U.S. real property interests. Therefore, non-U.S. unitholders may be subject to federal income tax on gain from the sale or disposition of their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2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171" w:lineRule="exact"/>
        <w:rPr>
          <w:sz w:val="20"/>
          <w:szCs w:val="20"/>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237"/>
        <w:spacing w:after="0"/>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1"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648970</wp:posOffset>
            </wp:positionV>
            <wp:extent cx="1697990" cy="548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40" w:hanging="949"/>
        <w:spacing w:after="0"/>
        <w:tabs>
          <w:tab w:leader="none" w:pos="4840" w:val="left"/>
        </w:tabs>
        <w:numPr>
          <w:ilvl w:val="0"/>
          <w:numId w:val="84"/>
        </w:numPr>
        <w:rPr>
          <w:rFonts w:ascii="Arial" w:cs="Arial" w:eastAsia="Arial" w:hAnsi="Arial"/>
          <w:sz w:val="25"/>
          <w:szCs w:val="25"/>
          <w:b w:val="1"/>
          <w:bCs w:val="1"/>
          <w:color w:val="auto"/>
        </w:rPr>
      </w:pPr>
      <w:r>
        <w:rPr>
          <w:rFonts w:ascii="Arial" w:cs="Arial" w:eastAsia="Arial" w:hAnsi="Arial"/>
          <w:sz w:val="25"/>
          <w:szCs w:val="25"/>
          <w:b w:val="1"/>
          <w:bCs w:val="1"/>
          <w:color w:val="auto"/>
        </w:rPr>
        <w:t>% Senior Notes due 20</w:t>
      </w:r>
    </w:p>
    <w:p>
      <w:pPr>
        <w:spacing w:after="0" w:line="37" w:lineRule="exact"/>
        <w:rPr>
          <w:rFonts w:ascii="Arial" w:cs="Arial" w:eastAsia="Arial" w:hAnsi="Arial"/>
          <w:sz w:val="25"/>
          <w:szCs w:val="25"/>
          <w:b w:val="1"/>
          <w:bCs w:val="1"/>
          <w:color w:val="auto"/>
        </w:rPr>
      </w:pPr>
    </w:p>
    <w:p>
      <w:pPr>
        <w:ind w:left="4840" w:hanging="949"/>
        <w:spacing w:after="0"/>
        <w:tabs>
          <w:tab w:leader="none" w:pos="4840" w:val="left"/>
        </w:tabs>
        <w:numPr>
          <w:ilvl w:val="0"/>
          <w:numId w:val="84"/>
        </w:numPr>
        <w:rPr>
          <w:rFonts w:ascii="Arial" w:cs="Arial" w:eastAsia="Arial" w:hAnsi="Arial"/>
          <w:sz w:val="25"/>
          <w:szCs w:val="25"/>
          <w:b w:val="1"/>
          <w:bCs w:val="1"/>
          <w:color w:val="auto"/>
        </w:rPr>
      </w:pPr>
      <w:r>
        <w:rPr>
          <w:rFonts w:ascii="Arial" w:cs="Arial" w:eastAsia="Arial" w:hAnsi="Arial"/>
          <w:sz w:val="25"/>
          <w:szCs w:val="25"/>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852170</wp:posOffset>
            </wp:positionV>
            <wp:extent cx="15176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88"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Barclays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6"/>
          <w:szCs w:val="26"/>
          <w:b w:val="1"/>
          <w:bCs w:val="1"/>
          <w:color w:val="auto"/>
        </w:rPr>
        <w:t>SunTrust Robinson Humphrey</w:t>
      </w:r>
    </w:p>
    <w:p>
      <w:pPr>
        <w:spacing w:after="0" w:line="147"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871855</wp:posOffset>
            </wp:positionV>
            <wp:extent cx="15176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80"/>
        <w:spacing w:after="0"/>
        <w:tabs>
          <w:tab w:leader="none" w:pos="5960" w:val="left"/>
        </w:tabs>
        <w:rPr>
          <w:sz w:val="20"/>
          <w:szCs w:val="20"/>
          <w:color w:val="auto"/>
        </w:rPr>
      </w:pPr>
      <w:r>
        <w:rPr>
          <w:rFonts w:ascii="Arial" w:cs="Arial" w:eastAsia="Arial" w:hAnsi="Arial"/>
          <w:sz w:val="18"/>
          <w:szCs w:val="18"/>
          <w:b w:val="1"/>
          <w:bCs w:val="1"/>
          <w:color w:val="auto"/>
        </w:rPr>
        <w:t>December</w:t>
        <w:tab/>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20"/>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decimal"/>
      <w:start w:val="2"/>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1"/>
      <w:numFmt w:val="decimal"/>
      <w:start w:val="20"/>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lvl w:ilvl="1">
      <w:lvlJc w:val="left"/>
      <w:lvlText w:val="(%2)"/>
      <w:numFmt w:val="lowerLetter"/>
      <w:start w:val="2"/>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lvl w:ilvl="1">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1)"/>
      <w:numFmt w:val="decimal"/>
      <w:start w:val="1"/>
    </w:lvl>
    <w:lvl w:ilvl="1">
      <w:lvlJc w:val="left"/>
      <w:lvlText w:val="(%2)"/>
      <w:numFmt w:val="lowerLetter"/>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6"/>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lowerRoman"/>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lowerLetter"/>
      <w:start w:val="1"/>
    </w:lvl>
    <w:lvl w:ilvl="1">
      <w:lvlJc w:val="left"/>
      <w:lvlText w:val="(%2)"/>
      <w:numFmt w:val="decimal"/>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1)"/>
      <w:numFmt w:val="decimal"/>
      <w:start w:val="2"/>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1)"/>
      <w:numFmt w:val="lowerRoman"/>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1)"/>
      <w:numFmt w:val="decimal"/>
      <w:start w:val="1"/>
    </w:lvl>
    <w:lvl w:ilvl="1">
      <w:lvlJc w:val="left"/>
      <w:lvlText w:val="(%2)"/>
      <w:numFmt w:val="lowerLetter"/>
      <w:start w:val="1"/>
    </w:lvl>
  </w:abstractNum>
  <w:abstractNum w:abstractNumId="78">
    <w:nsid w:val="6A5EE64"/>
    <w:multiLevelType w:val="hybridMultilevel"/>
    <w:lvl w:ilvl="0">
      <w:lvlJc w:val="left"/>
      <w:lvlText w:val="%1"/>
      <w:numFmt w:val="decimal"/>
      <w:start w:val="1"/>
    </w:lvl>
    <w:lvl w:ilvl="1">
      <w:lvlJc w:val="left"/>
      <w:lvlText w:val="(%2)"/>
      <w:numFmt w:val="lowerLetter"/>
      <w:start w:val="3"/>
    </w:lvl>
  </w:abstractNum>
  <w:abstractNum w:abstractNumId="79">
    <w:nsid w:val="14330624"/>
    <w:multiLevelType w:val="hybridMultilevel"/>
    <w:lvl w:ilvl="0">
      <w:lvlJc w:val="left"/>
      <w:lvlText w:val="(%1)"/>
      <w:numFmt w:val="decimal"/>
      <w:start w:val="3"/>
    </w:lvl>
    <w:lvl w:ilvl="1">
      <w:lvlJc w:val="left"/>
      <w:lvlText w:val="%2"/>
      <w:numFmt w:val="lowerLetter"/>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2020-01-28T19:19:16Z</dcterms:created>
  <dcterms:modified xsi:type="dcterms:W3CDTF">2020-01-28T19:19:16Z</dcterms:modified>
</cp:coreProperties>
</file>