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5304155</wp:posOffset>
            </wp:positionH>
            <wp:positionV relativeFrom="paragraph">
              <wp:posOffset>-603250</wp:posOffset>
            </wp:positionV>
            <wp:extent cx="8255" cy="6038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-611505</wp:posOffset>
            </wp:positionV>
            <wp:extent cx="8255" cy="6121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4022725</wp:posOffset>
            </wp:positionH>
            <wp:positionV relativeFrom="paragraph">
              <wp:posOffset>-586740</wp:posOffset>
            </wp:positionV>
            <wp:extent cx="1264920" cy="563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563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27940</wp:posOffset>
            </wp:positionV>
            <wp:extent cx="6968490" cy="1607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07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PEFANIS HARRY 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#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4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PAGP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" w:right="640" w:hanging="1"/>
        <w:spacing w:after="0" w:line="237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00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CCO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40" w:space="699"/>
            <w:col w:w="3341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8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Class A Shares representing limited partner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10/21/2020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500,000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1,733,653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interests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20" w:type="dxa"/>
            <w:vAlign w:val="bottom"/>
            <w:gridSpan w:val="11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42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Units/Class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341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0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10/21/2020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500,000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2,268,988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shares/GP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-3011170</wp:posOffset>
            </wp:positionV>
            <wp:extent cx="7033895" cy="31496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14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units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240" w:firstLine="1"/>
        <w:spacing w:after="0" w:line="302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Pursuant to the limited partnership agreement of Plains AAP, L.P. ("AAP"), a holder of Class A Units of AAP (the "Class A Units") and Class B shares (the "Class B shares") of Plains GP Holdings, L.P. (the "Issuer"), has the right at any time (without expiration) to exchange its Class A Units, together with a like number of associated Class B shares and GP units in PAA GP Holdings LLC, if applicable, for an equal number of Class A shares of the Issuer (the "Class A shares"). On October 21, 2020, the Reporting Person exchanged 500,000 Class A Units, Class B shares and GP units for 500,000 Class A shares.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Harry N. Pefanis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10/21/2020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3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7250" TargetMode="External"/><Relationship Id="rId14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2020-10-21T16:50:17Z</dcterms:created>
  <dcterms:modified xsi:type="dcterms:W3CDTF">2020-10-21T16:50:17Z</dcterms:modified>
</cp:coreProperties>
</file>