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double" w:sz="24" w:space="1" w:color="000000"/>
        </w:rPr>
      </w:pPr>
      <w:bookmarkStart w:id="0" w:name="a05-11651_18k.htm"/>
      <w:bookmarkStart w:id="1" w:name="ksa0511651_18k"/>
      <w:bookmarkEnd w:id="0"/>
      <w:bookmarkEnd w:id="1"/>
      <w:r>
        <w:rPr>
          <w:bdr w:val="double" w:sz="24" w:space="1" w:color="000000"/>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b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June 30, 2005</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435"/>
        <w:gridCol w:w="208"/>
        <w:gridCol w:w="2918"/>
        <w:gridCol w:w="208"/>
        <w:gridCol w:w="3436"/>
      </w:tblGrid>
      <w:tr>
        <w:trPr/>
        <w:tc>
          <w:tcPr>
            <w:tcW w:w="3435"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8" w:type="dxa"/>
            <w:tcBorders/>
            <w:shd w:fill="auto" w:val="clear"/>
            <w:vAlign w:val="bottom"/>
          </w:tcPr>
          <w:p>
            <w:pPr>
              <w:pStyle w:val="TableContents"/>
              <w:spacing w:before="0" w:after="0"/>
              <w:ind w:left="0" w:right="0" w:hanging="0"/>
              <w:rPr/>
            </w:pPr>
            <w:r>
              <w:rPr/>
              <w:t> </w:t>
            </w:r>
          </w:p>
        </w:tc>
        <w:tc>
          <w:tcPr>
            <w:tcW w:w="2918"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8" w:type="dxa"/>
            <w:tcBorders/>
            <w:shd w:fill="auto" w:val="clear"/>
            <w:vAlign w:val="bottom"/>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435"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8" w:type="dxa"/>
            <w:tcBorders/>
            <w:shd w:fill="auto" w:val="clear"/>
            <w:vAlign w:val="bottom"/>
          </w:tcPr>
          <w:p>
            <w:pPr>
              <w:pStyle w:val="TableContents"/>
              <w:spacing w:before="0" w:after="0"/>
              <w:ind w:left="0" w:right="0" w:hanging="0"/>
              <w:rPr/>
            </w:pPr>
            <w:r>
              <w:rPr/>
              <w:t> </w:t>
            </w:r>
          </w:p>
        </w:tc>
        <w:tc>
          <w:tcPr>
            <w:tcW w:w="2918"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8" w:type="dxa"/>
            <w:tcBorders/>
            <w:shd w:fill="auto" w:val="clear"/>
            <w:vAlign w:val="bottom"/>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r>
        <w:trPr/>
        <w:tc>
          <w:tcPr>
            <w:tcW w:w="3435" w:type="dxa"/>
            <w:tcBorders/>
            <w:shd w:fill="auto" w:val="clear"/>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2918" w:type="dxa"/>
            <w:tcBorders/>
            <w:shd w:fill="auto" w:val="clear"/>
          </w:tcPr>
          <w:p>
            <w:pPr>
              <w:pStyle w:val="TableContents"/>
              <w:spacing w:before="0" w:after="0"/>
              <w:ind w:left="0" w:right="0" w:hanging="0"/>
              <w:jc w:val="center"/>
              <w:rPr/>
            </w:pPr>
            <w:r>
              <w:rPr/>
              <w:t> </w:t>
            </w:r>
          </w:p>
        </w:tc>
        <w:tc>
          <w:tcPr>
            <w:tcW w:w="208" w:type="dxa"/>
            <w:tcBorders/>
            <w:shd w:fill="auto" w:val="clear"/>
            <w:vAlign w:val="bottom"/>
          </w:tcPr>
          <w:p>
            <w:pPr>
              <w:pStyle w:val="TableContents"/>
              <w:spacing w:before="0" w:after="0"/>
              <w:ind w:left="0" w:right="0" w:hanging="0"/>
              <w:rPr/>
            </w:pPr>
            <w:r>
              <w:rPr/>
              <w:t> </w:t>
            </w:r>
          </w:p>
        </w:tc>
        <w:tc>
          <w:tcPr>
            <w:tcW w:w="3436" w:type="dxa"/>
            <w:tcBorders/>
            <w:shd w:fill="auto" w:val="clear"/>
          </w:tcPr>
          <w:p>
            <w:pPr>
              <w:pStyle w:val="TableContents"/>
              <w:spacing w:before="0" w:after="0"/>
              <w:ind w:left="0" w:right="0" w:hanging="0"/>
              <w:jc w:val="center"/>
              <w:rPr/>
            </w:pPr>
            <w:r>
              <w:rPr/>
              <w:t> </w:t>
            </w:r>
          </w:p>
        </w:tc>
      </w:tr>
      <w:tr>
        <w:trPr/>
        <w:tc>
          <w:tcPr>
            <w:tcW w:w="10205" w:type="dxa"/>
            <w:gridSpan w:val="5"/>
            <w:tcBorders/>
            <w:shd w:fill="auto" w:val="clear"/>
          </w:tcPr>
          <w:p>
            <w:pPr>
              <w:pStyle w:val="TableContents"/>
              <w:spacing w:before="0" w:after="0"/>
              <w:ind w:left="0" w:right="0" w:hanging="0"/>
              <w:jc w:val="center"/>
              <w:rPr>
                <w:sz w:val="17"/>
              </w:rPr>
            </w:pPr>
            <w:r>
              <w:rPr>
                <w:rFonts w:ascii="Times New Roman" w:hAnsi="Times New Roman"/>
                <w:b/>
                <w:sz w:val="17"/>
              </w:rPr>
              <w:t>333 Clay Street, Suite 1600, Houston, Texas 77002</w:t>
            </w:r>
            <w:r>
              <w:rPr>
                <w:sz w:val="17"/>
              </w:rPr>
              <w:t> </w:t>
            </w:r>
          </w:p>
        </w:tc>
      </w:tr>
      <w:tr>
        <w:trPr/>
        <w:tc>
          <w:tcPr>
            <w:tcW w:w="10205" w:type="dxa"/>
            <w:gridSpan w:val="5"/>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 executive offices) (Zip Code)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713-646-4100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(Former name or former address, if changed since last report.)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Wingdings" w:hAnsi="Wingdings"/>
          <w:sz w:val="17"/>
        </w:rPr>
        <w:t>o</w:t>
      </w:r>
      <w:r>
        <w:rPr>
          <w:rFonts w:ascii="Times New Roman" w:hAnsi="Times New Roman"/>
          <w:sz w:val="17"/>
        </w:rPr>
        <w:t>            Pre-commencement communications pursuant to Rule 13e-4(c) under the Exchange Act (17 CFR 240.13e-4(c))</w:t>
      </w:r>
    </w:p>
    <w:p>
      <w:pPr>
        <w:pStyle w:val="TextBody"/>
        <w:pBdr/>
        <w:spacing w:before="0" w:after="0"/>
        <w:ind w:left="0" w:right="0" w:hanging="0"/>
        <w:rPr>
          <w:bdr w:val="double" w:sz="24" w:space="1" w:color="000000"/>
        </w:rPr>
      </w:pPr>
      <w:r>
        <w:rPr>
          <w:bdr w:val="double" w:sz="24" w:space="1" w:color="000000"/>
        </w:rPr>
        <w:t> </w:t>
      </w:r>
    </w:p>
    <w:p>
      <w:pPr>
        <w:pStyle w:val="TextBody"/>
        <w:spacing w:before="0" w:after="0"/>
        <w:ind w:left="0" w:right="0" w:hanging="0"/>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b/>
          <w:sz w:val="17"/>
        </w:rPr>
        <w:t>Item 7.01.</w:t>
      </w:r>
      <w:r>
        <w:rPr>
          <w:rFonts w:ascii="Times New Roman" w:hAnsi="Times New Roman"/>
          <w:sz w:val="17"/>
        </w:rPr>
        <w:t xml:space="preserve">              </w:t>
      </w:r>
      <w:r>
        <w:rPr>
          <w:rFonts w:ascii="Times New Roman" w:hAnsi="Times New Roman"/>
          <w:b/>
          <w:sz w:val="17"/>
        </w:rPr>
        <w:t>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accordance with General Instruction B.2. of Form 8K, the following information shall not be deemed filed for purposes of Section 18 of the Securities Act of 1934, as amended, nor shall it be deemed incorporated by reference in any filing under the Securities Act of 1933, as amended, except as shall be expressly set forth by specific reference in such a filing.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Representatives of Plains All American Pipeline, L.P. (PAA) intend to make a presentation at the 15</w:t>
      </w:r>
      <w:r>
        <w:rPr>
          <w:rFonts w:ascii="Times New Roman" w:hAnsi="Times New Roman"/>
          <w:position w:val="5"/>
          <w:sz w:val="13"/>
          <w:sz w:val="17"/>
        </w:rPr>
        <w:t>th</w:t>
      </w:r>
      <w:r>
        <w:rPr>
          <w:rFonts w:ascii="Times New Roman" w:hAnsi="Times New Roman"/>
          <w:sz w:val="17"/>
        </w:rPr>
        <w:t xml:space="preserve"> Annual Wachovia Securities Nantucket Equity Conference in Nantucket, Massachusetts on Thursday, June 30, 2005. Such presentation will give an overview of PAA, including financial position, industry fundamentals and PAAs business plan.  On the morning of June 30, 2005, the prepared presentation materials will be made available for viewing on the Partnerships website at www.PAALP.com.  PAA does not undertake to update the information as posted on its website; however, it may post additional information included in future press releases and Forms 8-K, as well as posting its periodic Exchange Act reports.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37"/>
        <w:gridCol w:w="1103"/>
        <w:gridCol w:w="945"/>
        <w:gridCol w:w="590"/>
        <w:gridCol w:w="630"/>
      </w:tblGrid>
      <w:tr>
        <w:trPr/>
        <w:tc>
          <w:tcPr>
            <w:tcW w:w="6937" w:type="dxa"/>
            <w:tcBorders/>
            <w:shd w:fill="auto" w:val="clear"/>
          </w:tcPr>
          <w:p>
            <w:pPr>
              <w:pStyle w:val="TableContents"/>
              <w:spacing w:before="0" w:after="0"/>
              <w:ind w:left="0" w:right="0" w:hanging="0"/>
              <w:rPr/>
            </w:pPr>
            <w:r>
              <w:rPr/>
              <w:t> </w:t>
            </w:r>
          </w:p>
        </w:tc>
        <w:tc>
          <w:tcPr>
            <w:tcW w:w="3268" w:type="dxa"/>
            <w:gridSpan w:val="4"/>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6937" w:type="dxa"/>
            <w:tcBorders/>
            <w:shd w:fill="auto" w:val="clear"/>
          </w:tcPr>
          <w:p>
            <w:pPr>
              <w:pStyle w:val="TableContents"/>
              <w:spacing w:before="0" w:after="0"/>
              <w:ind w:left="0" w:right="0" w:hanging="0"/>
              <w:rPr/>
            </w:pPr>
            <w:r>
              <w:rPr/>
              <w:t> </w:t>
            </w:r>
          </w:p>
        </w:tc>
        <w:tc>
          <w:tcPr>
            <w:tcW w:w="3268" w:type="dxa"/>
            <w:gridSpan w:val="4"/>
            <w:tcBorders/>
            <w:shd w:fill="auto" w:val="clear"/>
          </w:tcPr>
          <w:p>
            <w:pPr>
              <w:pStyle w:val="TableContents"/>
              <w:spacing w:before="0" w:after="0"/>
              <w:ind w:left="0" w:right="0" w:hanging="0"/>
              <w:rPr/>
            </w:pPr>
            <w:r>
              <w:rPr/>
              <w:t> </w:t>
            </w:r>
          </w:p>
        </w:tc>
      </w:tr>
      <w:tr>
        <w:trPr/>
        <w:tc>
          <w:tcPr>
            <w:tcW w:w="693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June 30, 2005</w:t>
            </w:r>
          </w:p>
        </w:tc>
        <w:tc>
          <w:tcPr>
            <w:tcW w:w="1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16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general partner</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pPr>
            <w:r>
              <w:rPr/>
              <w:t> </w:t>
            </w:r>
          </w:p>
        </w:tc>
        <w:tc>
          <w:tcPr>
            <w:tcW w:w="2165" w:type="dxa"/>
            <w:gridSpan w:val="3"/>
            <w:tcBorders/>
            <w:shd w:fill="auto" w:val="clear"/>
          </w:tcPr>
          <w:p>
            <w:pPr>
              <w:pStyle w:val="TableContents"/>
              <w:spacing w:before="0" w:after="0"/>
              <w:ind w:left="0" w:right="0" w:hanging="0"/>
              <w:rPr/>
            </w:pPr>
            <w:r>
              <w:rPr/>
              <w:t> </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2165"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pPr>
            <w:r>
              <w:rPr/>
              <w:t> </w:t>
            </w:r>
          </w:p>
        </w:tc>
        <w:tc>
          <w:tcPr>
            <w:tcW w:w="2165" w:type="dxa"/>
            <w:gridSpan w:val="3"/>
            <w:tcBorders/>
            <w:shd w:fill="auto" w:val="clear"/>
          </w:tcPr>
          <w:p>
            <w:pPr>
              <w:pStyle w:val="TableContents"/>
              <w:spacing w:before="0" w:after="0"/>
              <w:ind w:left="0" w:right="0" w:hanging="0"/>
              <w:rPr/>
            </w:pPr>
            <w:r>
              <w:rPr/>
              <w:t> </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1535"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TIM MOORE</w:t>
            </w:r>
          </w:p>
        </w:tc>
        <w:tc>
          <w:tcPr>
            <w:tcW w:w="630" w:type="dxa"/>
            <w:tcBorders/>
            <w:shd w:fill="auto" w:val="clear"/>
          </w:tcPr>
          <w:p>
            <w:pPr>
              <w:pStyle w:val="TableContents"/>
              <w:spacing w:before="0" w:after="0"/>
              <w:ind w:left="0" w:right="0" w:hanging="0"/>
              <w:rPr/>
            </w:pPr>
            <w:r>
              <w:rPr/>
              <w:t> </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pPr>
            <w:r>
              <w:rPr/>
              <w:t> </w:t>
            </w:r>
          </w:p>
        </w:tc>
        <w:tc>
          <w:tcPr>
            <w:tcW w:w="9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Name: </w:t>
            </w:r>
          </w:p>
        </w:tc>
        <w:tc>
          <w:tcPr>
            <w:tcW w:w="122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Tim Moore</w:t>
            </w:r>
          </w:p>
        </w:tc>
      </w:tr>
      <w:tr>
        <w:trPr/>
        <w:tc>
          <w:tcPr>
            <w:tcW w:w="6937" w:type="dxa"/>
            <w:tcBorders/>
            <w:shd w:fill="auto" w:val="clear"/>
          </w:tcPr>
          <w:p>
            <w:pPr>
              <w:pStyle w:val="TableContents"/>
              <w:spacing w:before="0" w:after="0"/>
              <w:ind w:left="0" w:right="0" w:hanging="0"/>
              <w:rPr/>
            </w:pPr>
            <w:r>
              <w:rPr/>
              <w:t> </w:t>
            </w:r>
          </w:p>
        </w:tc>
        <w:tc>
          <w:tcPr>
            <w:tcW w:w="1103" w:type="dxa"/>
            <w:tcBorders/>
            <w:shd w:fill="auto" w:val="clear"/>
          </w:tcPr>
          <w:p>
            <w:pPr>
              <w:pStyle w:val="TableContents"/>
              <w:spacing w:before="0" w:after="0"/>
              <w:ind w:left="0" w:right="0" w:hanging="0"/>
              <w:rPr/>
            </w:pPr>
            <w:r>
              <w:rPr/>
              <w:t> </w:t>
            </w:r>
          </w:p>
        </w:tc>
        <w:tc>
          <w:tcPr>
            <w:tcW w:w="94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122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w:t>
            </w:r>
          </w:p>
        </w:tc>
      </w:tr>
      <w:tr>
        <w:trPr/>
        <w:tc>
          <w:tcPr>
            <w:tcW w:w="6937"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p>
    <w:p>
      <w:pPr>
        <w:pStyle w:val="HorizontalLine"/>
        <w:pBdr>
          <w:bottom w:val="single" w:sz="12" w:space="0" w:color="808080"/>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435</Words>
  <CharactersWithSpaces>2830</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