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0-3395_18k.htm"/>
      <w:bookmarkStart w:id="1" w:name="ksa103395_1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February 10,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February 10, 2010.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fourth-quarter and annual 2009 results.  We are furnishing the press release, attached as Exhibit 99.1, pursuant to Item 2.02 and Item 7.01 of Form 8-K.  Pursuant to Item 7.01 we are providing detailed guidance for financial performance for the first quarter of calendar 2010 and for the full year.  In accordance with General Instruction B.2. of Form 8-K, the information presented herein under this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First Quarter and Full Year 2010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9 below, we reconcile net income to EBIT and EBITDA for the 2010 guidance periods presented. It is, however, impractical to reconcile EBIT and EBITDA to cash flows from operating activities for a forecasted period.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equity compensation plans on Segment Profit, EBITDA, Net Income attributable to Plains and Net Income per Basic and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guidance for the three-month period ending March 31, 2010 and twelve-month period ending December 31, 2010 is based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LPG sales) and acquisition synergies. Our assumptions and future performance, however, are both subject to a wide range of business risks and uncertainties, so no assurance can be provided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9, 2010.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January 25, 2010, PAA announced that its wholly owned subsidiary, PAA Natural Gas Storage, L.P. (PNGS), had filed a registration statement on Form S-1 with the SEC relating to its proposed initial public offering of common units representing limited partner interests in PNGS. The registration statement is available on the SECs web site at http://www.sec.gov under the registrants name, PAA Natural Gas Storage, L.P., but has not yet become effective. Although PAA is an existing issuer, PNGS is not. Under these circumstances, SEC rules restrict the disclosure of certain types of information about a potential issuer.  In respect of these restrictions, we have modified the format and level of detail we typically apply to certain aspects of our presentation as they relate to specific information regarding PNGS activities.  The PNGS securities may not be sold nor may offers to buy be accepted prior to the time the registration statement becomes effective.  This notice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101010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769"/>
        <w:gridCol w:w="213"/>
        <w:gridCol w:w="110"/>
        <w:gridCol w:w="755"/>
        <w:gridCol w:w="214"/>
        <w:gridCol w:w="110"/>
        <w:gridCol w:w="755"/>
        <w:gridCol w:w="214"/>
        <w:gridCol w:w="110"/>
        <w:gridCol w:w="759"/>
        <w:gridCol w:w="214"/>
        <w:gridCol w:w="110"/>
        <w:gridCol w:w="759"/>
        <w:gridCol w:w="113"/>
      </w:tblGrid>
      <w:tr>
        <w:trPr/>
        <w:tc>
          <w:tcPr>
            <w:tcW w:w="57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4110"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Guidance </w:t>
            </w:r>
            <w:r>
              <w:rPr>
                <w:b/>
                <w:sz w:val="8"/>
              </w:rPr>
              <w:t>(1)</w:t>
            </w:r>
          </w:p>
        </w:tc>
        <w:tc>
          <w:tcPr>
            <w:tcW w:w="113" w:type="dxa"/>
            <w:tcBorders/>
            <w:shd w:fill="auto" w:val="clear"/>
            <w:vAlign w:val="bottom"/>
          </w:tcPr>
          <w:p>
            <w:pPr>
              <w:pStyle w:val="TableContents"/>
              <w:spacing w:before="0" w:after="0"/>
              <w:ind w:left="0" w:right="0" w:hanging="0"/>
              <w:jc w:val="center"/>
              <w:rPr/>
            </w:pPr>
            <w:r>
              <w:rPr/>
              <w:t> </w:t>
            </w:r>
          </w:p>
        </w:tc>
      </w:tr>
      <w:tr>
        <w:trPr/>
        <w:tc>
          <w:tcPr>
            <w:tcW w:w="57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9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br/>
              <w:t>March 31, 2010</w:t>
            </w:r>
          </w:p>
        </w:tc>
        <w:tc>
          <w:tcPr>
            <w:tcW w:w="214" w:type="dxa"/>
            <w:tcBorders/>
            <w:shd w:fill="auto" w:val="clear"/>
            <w:vAlign w:val="bottom"/>
          </w:tcPr>
          <w:p>
            <w:pPr>
              <w:pStyle w:val="TableContents"/>
              <w:spacing w:before="0" w:after="0"/>
              <w:ind w:left="0" w:right="0" w:hanging="0"/>
              <w:jc w:val="center"/>
              <w:rPr/>
            </w:pPr>
            <w:r>
              <w:rPr/>
              <w:t> </w:t>
            </w:r>
          </w:p>
        </w:tc>
        <w:tc>
          <w:tcPr>
            <w:tcW w:w="19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br/>
              <w:t>December 31, 2010</w:t>
            </w:r>
          </w:p>
        </w:tc>
        <w:tc>
          <w:tcPr>
            <w:tcW w:w="113" w:type="dxa"/>
            <w:tcBorders/>
            <w:shd w:fill="auto" w:val="clear"/>
            <w:vAlign w:val="bottom"/>
          </w:tcPr>
          <w:p>
            <w:pPr>
              <w:pStyle w:val="TableContents"/>
              <w:spacing w:before="0" w:after="0"/>
              <w:ind w:left="0" w:right="0" w:hanging="0"/>
              <w:jc w:val="center"/>
              <w:rPr/>
            </w:pPr>
            <w:r>
              <w:rPr/>
              <w:t> </w:t>
            </w:r>
          </w:p>
        </w:tc>
      </w:tr>
      <w:tr>
        <w:trPr/>
        <w:tc>
          <w:tcPr>
            <w:tcW w:w="57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4" w:type="dxa"/>
            <w:tcBorders/>
            <w:shd w:fill="auto" w:val="clear"/>
            <w:vAlign w:val="bottom"/>
          </w:tcPr>
          <w:p>
            <w:pPr>
              <w:pStyle w:val="TableContents"/>
              <w:spacing w:before="0" w:after="0"/>
              <w:ind w:left="0" w:right="0" w:hanging="0"/>
              <w:jc w:val="center"/>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4" w:type="dxa"/>
            <w:tcBorders/>
            <w:shd w:fill="auto" w:val="clear"/>
            <w:vAlign w:val="bottom"/>
          </w:tcPr>
          <w:p>
            <w:pPr>
              <w:pStyle w:val="TableContents"/>
              <w:spacing w:before="0" w:after="0"/>
              <w:ind w:left="0" w:right="0" w:hanging="0"/>
              <w:jc w:val="center"/>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4" w:type="dxa"/>
            <w:tcBorders/>
            <w:shd w:fill="auto" w:val="clear"/>
            <w:vAlign w:val="bottom"/>
          </w:tcPr>
          <w:p>
            <w:pPr>
              <w:pStyle w:val="TableContents"/>
              <w:spacing w:before="0" w:after="0"/>
              <w:ind w:left="0" w:right="0" w:hanging="0"/>
              <w:jc w:val="center"/>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3" w:type="dxa"/>
            <w:tcBorders/>
            <w:shd w:fill="auto" w:val="clear"/>
            <w:vAlign w:val="bottom"/>
          </w:tcPr>
          <w:p>
            <w:pPr>
              <w:pStyle w:val="TableContents"/>
              <w:spacing w:before="0" w:after="0"/>
              <w:ind w:left="0" w:right="0" w:hanging="0"/>
              <w:jc w:val="center"/>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Total Segment Profit </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from unconsolidated entities)</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1,895</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1,930</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(693</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(206</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239</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981</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1,031</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expense</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110</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135</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471</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537</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the noncontrolling interest</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110</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135</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469</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535</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pPr>
            <w:r>
              <w:rPr/>
              <w:t> </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PlainsLimited Partners</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Per Unit</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4"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pPr>
            <w:r>
              <w:rPr/>
              <w:t> </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173</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195</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722</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778</w:t>
            </w:r>
          </w:p>
        </w:tc>
        <w:tc>
          <w:tcPr>
            <w:tcW w:w="113" w:type="dxa"/>
            <w:tcBorders/>
            <w:shd w:fill="CCEEFF" w:val="clear"/>
            <w:vAlign w:val="bottom"/>
          </w:tcPr>
          <w:p>
            <w:pPr>
              <w:pStyle w:val="TableContents"/>
              <w:spacing w:before="0" w:after="0"/>
              <w:ind w:left="0" w:right="0" w:hanging="0"/>
              <w:rPr/>
            </w:pPr>
            <w:r>
              <w:rPr/>
              <w:t> </w:t>
            </w:r>
          </w:p>
        </w:tc>
      </w:tr>
      <w:tr>
        <w:trPr/>
        <w:tc>
          <w:tcPr>
            <w:tcW w:w="576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238</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258</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979</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1,029</w:t>
            </w:r>
          </w:p>
        </w:tc>
        <w:tc>
          <w:tcPr>
            <w:tcW w:w="113" w:type="dxa"/>
            <w:tcBorders/>
            <w:shd w:fill="auto" w:val="clear"/>
            <w:vAlign w:val="bottom"/>
          </w:tcPr>
          <w:p>
            <w:pPr>
              <w:pStyle w:val="TableContents"/>
              <w:spacing w:before="0" w:after="0"/>
              <w:ind w:left="0" w:right="0" w:hanging="0"/>
              <w:rPr/>
            </w:pPr>
            <w:r>
              <w:rPr/>
              <w:t> </w:t>
            </w:r>
          </w:p>
        </w:tc>
      </w:tr>
      <w:tr>
        <w:trPr/>
        <w:tc>
          <w:tcPr>
            <w:tcW w:w="576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1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 Impacting Comparability</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11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5769"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13"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pPr>
            <w:r>
              <w:rPr/>
              <w:t> </w:t>
            </w:r>
          </w:p>
        </w:tc>
        <w:tc>
          <w:tcPr>
            <w:tcW w:w="11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Segment Profit </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pPr>
            <w:r>
              <w:rPr/>
              <w:t> </w:t>
            </w:r>
          </w:p>
        </w:tc>
        <w:tc>
          <w:tcPr>
            <w:tcW w:w="11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14"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528</w:t>
            </w:r>
          </w:p>
        </w:tc>
        <w:tc>
          <w:tcPr>
            <w:tcW w:w="11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Facilities</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14" w:type="dxa"/>
            <w:tcBorders/>
            <w:shd w:fill="CCEEFF" w:val="clear"/>
            <w:vAlign w:val="bottom"/>
          </w:tcPr>
          <w:p>
            <w:pPr>
              <w:pStyle w:val="TableContents"/>
              <w:spacing w:before="0" w:after="0"/>
              <w:ind w:left="0" w:right="0" w:hanging="0"/>
              <w:rPr/>
            </w:pPr>
            <w:r>
              <w:rPr/>
              <w:t> </w:t>
            </w:r>
          </w:p>
        </w:tc>
        <w:tc>
          <w:tcPr>
            <w:tcW w:w="8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214" w:type="dxa"/>
            <w:tcBorders/>
            <w:shd w:fill="CCEEFF" w:val="clear"/>
            <w:vAlign w:val="bottom"/>
          </w:tcPr>
          <w:p>
            <w:pPr>
              <w:pStyle w:val="TableContents"/>
              <w:spacing w:before="0" w:after="0"/>
              <w:ind w:left="0" w:right="0" w:hanging="0"/>
              <w:rPr/>
            </w:pPr>
            <w:r>
              <w:rPr/>
              <w:t> </w:t>
            </w:r>
          </w:p>
        </w:tc>
        <w:tc>
          <w:tcPr>
            <w:tcW w:w="8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1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w:t>
            </w:r>
          </w:p>
        </w:tc>
        <w:tc>
          <w:tcPr>
            <w:tcW w:w="213"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4" w:type="dxa"/>
            <w:tcBorders/>
            <w:shd w:fill="auto" w:val="clear"/>
            <w:vAlign w:val="bottom"/>
          </w:tcPr>
          <w:p>
            <w:pPr>
              <w:pStyle w:val="TableContents"/>
              <w:spacing w:before="0" w:after="0"/>
              <w:ind w:left="0" w:right="0" w:hanging="0"/>
              <w:rPr/>
            </w:pPr>
            <w:r>
              <w:rPr/>
              <w:t> </w:t>
            </w:r>
          </w:p>
        </w:tc>
        <w:tc>
          <w:tcPr>
            <w:tcW w:w="8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4" w:type="dxa"/>
            <w:tcBorders/>
            <w:shd w:fill="auto" w:val="clear"/>
            <w:vAlign w:val="bottom"/>
          </w:tcPr>
          <w:p>
            <w:pPr>
              <w:pStyle w:val="TableContents"/>
              <w:spacing w:before="0" w:after="0"/>
              <w:ind w:left="0" w:right="0" w:hanging="0"/>
              <w:rPr/>
            </w:pPr>
            <w:r>
              <w:rPr/>
              <w:t> </w:t>
            </w:r>
          </w:p>
        </w:tc>
        <w:tc>
          <w:tcPr>
            <w:tcW w:w="8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267</w:t>
            </w:r>
          </w:p>
        </w:tc>
        <w:tc>
          <w:tcPr>
            <w:tcW w:w="11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(Expense), net</w:t>
            </w:r>
          </w:p>
        </w:tc>
        <w:tc>
          <w:tcPr>
            <w:tcW w:w="213" w:type="dxa"/>
            <w:tcBorders/>
            <w:shd w:fill="CCEEFF" w:val="clear"/>
            <w:vAlign w:val="bottom"/>
          </w:tcPr>
          <w:p>
            <w:pPr>
              <w:pStyle w:val="TableContents"/>
              <w:spacing w:before="0" w:after="0"/>
              <w:ind w:left="0" w:right="0" w:hanging="0"/>
              <w:rPr/>
            </w:pPr>
            <w:r>
              <w:rPr/>
              <w:t> </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3"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69"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1,015</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1,065</w:t>
            </w:r>
          </w:p>
        </w:tc>
        <w:tc>
          <w:tcPr>
            <w:tcW w:w="11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571</w:t>
            </w:r>
          </w:p>
        </w:tc>
        <w:tc>
          <w:tcPr>
            <w:tcW w:w="11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0.78</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214"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w:t>
            </w:r>
          </w:p>
        </w:tc>
        <w:tc>
          <w:tcPr>
            <w:tcW w:w="113"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0.78</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14"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13"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5769"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1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4"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13"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projected average foreign exchange rate is $1.10 Canadian dollar to $1 U.S. Dollar. The rate as of February 9, 2010 was $1.07 Canadian dollar to $1 U.S. Dollar. A $0.10 change in the FX rate will impact annual EBITDA by approximately $13 million.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102500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65"/>
        <w:gridCol w:w="205"/>
        <w:gridCol w:w="7735"/>
      </w:tblGrid>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Adjusted Segment Profit</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 as adjusted for selected items impacting comparability as itemized in the Operating and Financial Guidance table on page 3</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LPG</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Liquefied petroleum gas and other natural gas-related petroleum products (primarily propane and butane)</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refers to any or all of (i) PAA GP LLC, the owner of our 2% general partner interest, (ii) Plains AAP, L.P., the sole member of PAA GP LLC and owner of our incentive distribution rights and (iii) Plains All American GP LLC, the general partner of Plains AAP, L.P.</w:t>
            </w:r>
          </w:p>
        </w:tc>
      </w:tr>
      <w:tr>
        <w:trPr/>
        <w:tc>
          <w:tcPr>
            <w:tcW w:w="22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w:t>
            </w:r>
          </w:p>
        </w:tc>
        <w:tc>
          <w:tcPr>
            <w:tcW w:w="205" w:type="dxa"/>
            <w:tcBorders/>
            <w:shd w:fill="auto" w:val="clear"/>
            <w:vAlign w:val="bottom"/>
          </w:tcPr>
          <w:p>
            <w:pPr>
              <w:pStyle w:val="TableContents"/>
              <w:spacing w:before="0" w:after="0"/>
              <w:ind w:left="0" w:right="0" w:hanging="0"/>
              <w:rPr/>
            </w:pPr>
            <w:r>
              <w:rPr/>
              <w:t> </w:t>
            </w:r>
          </w:p>
        </w:tc>
        <w:tc>
          <w:tcPr>
            <w:tcW w:w="773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Class B units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Business Segments</w:t>
      </w:r>
      <w:r>
        <w:rPr>
          <w:rFonts w:ascii="Times New Roman" w:hAnsi="Times New Roman"/>
          <w:sz w:val="17"/>
        </w:rPr>
        <w:t>.  We manage our operations through three operating segments: (i) Transportation, (ii) Facilities and (iii) Supply and Logistics. We previously referred to the Supply and Logistics segment as the Marketing segment.  We revised the segment name to better describe the business activities conducted within that segment.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refined products on pipelines, gathering systems, trucks and barges. We generate revenue through a combination of tariffs, third-party leases of pipeline capacity and transportation fees. Our transportation segment also includes our equity earnings from our investments in the Butte and Frontier pipeline systems and Settoon Towing,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completion of internal growth projects. Actual volumes are influenced by maintenance schedules at refineries, production declines, weather and other natural disasters including hurricanes, changes in the quantity of inventory held in tanks, and other external factors beyond our control. Adjusted segment profit is forecast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our total pipeline volumes and highlights major systems that are significant either in total volumes transported or in contribution to total transportation segment profit.</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3840"/>
        <w:gridCol w:w="211"/>
        <w:gridCol w:w="213"/>
        <w:gridCol w:w="1205"/>
        <w:gridCol w:w="249"/>
        <w:gridCol w:w="228"/>
        <w:gridCol w:w="1248"/>
        <w:gridCol w:w="255"/>
      </w:tblGrid>
      <w:tr>
        <w:trPr/>
        <w:tc>
          <w:tcPr>
            <w:tcW w:w="384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31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 Guidance</w:t>
            </w:r>
          </w:p>
        </w:tc>
        <w:tc>
          <w:tcPr>
            <w:tcW w:w="255" w:type="dxa"/>
            <w:tcBorders/>
            <w:shd w:fill="auto" w:val="clear"/>
            <w:vAlign w:val="bottom"/>
          </w:tcPr>
          <w:p>
            <w:pPr>
              <w:pStyle w:val="TableContents"/>
              <w:spacing w:before="0" w:after="0"/>
              <w:ind w:left="0" w:right="0" w:hanging="0"/>
              <w:jc w:val="center"/>
              <w:rPr/>
            </w:pPr>
            <w:r>
              <w:rPr/>
              <w:t> </w:t>
            </w:r>
          </w:p>
        </w:tc>
      </w:tr>
      <w:tr>
        <w:trPr/>
        <w:tc>
          <w:tcPr>
            <w:tcW w:w="384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br/>
              <w:t>Ending</w:t>
              <w:br/>
              <w:t>March 31,</w:t>
            </w:r>
          </w:p>
        </w:tc>
        <w:tc>
          <w:tcPr>
            <w:tcW w:w="249" w:type="dxa"/>
            <w:tcBorders/>
            <w:shd w:fill="auto" w:val="clear"/>
            <w:vAlign w:val="bottom"/>
          </w:tcPr>
          <w:p>
            <w:pPr>
              <w:pStyle w:val="TableContents"/>
              <w:spacing w:before="0" w:after="0"/>
              <w:ind w:left="0" w:right="0" w:hanging="0"/>
              <w:jc w:val="center"/>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br/>
              <w:t>Ending</w:t>
              <w:br/>
              <w:t>December 31,</w:t>
            </w:r>
          </w:p>
        </w:tc>
        <w:tc>
          <w:tcPr>
            <w:tcW w:w="255" w:type="dxa"/>
            <w:tcBorders/>
            <w:shd w:fill="auto" w:val="clear"/>
            <w:vAlign w:val="bottom"/>
          </w:tcPr>
          <w:p>
            <w:pPr>
              <w:pStyle w:val="TableContents"/>
              <w:spacing w:before="0" w:after="0"/>
              <w:ind w:left="0" w:right="0" w:hanging="0"/>
              <w:jc w:val="center"/>
              <w:rPr/>
            </w:pPr>
            <w:r>
              <w:rPr/>
              <w:t> </w:t>
            </w:r>
          </w:p>
        </w:tc>
      </w:tr>
      <w:tr>
        <w:trPr/>
        <w:tc>
          <w:tcPr>
            <w:tcW w:w="3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(000 Bbls/d)</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pPr>
            <w:r>
              <w:rPr/>
              <w:t> </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pPr>
            <w:r>
              <w:rPr/>
              <w:t> </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2000</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pPr>
            <w:r>
              <w:rPr>
                <w:rFonts w:ascii="Times New Roman" w:hAnsi="Times New Roman"/>
                <w:sz w:val="17"/>
              </w:rPr>
              <w:t xml:space="preserve">West Texas / New Mexico Area Systems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375</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1,204</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1,184</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41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2,920</w:t>
            </w:r>
          </w:p>
        </w:tc>
        <w:tc>
          <w:tcPr>
            <w:tcW w:w="249" w:type="dxa"/>
            <w:tcBorders/>
            <w:shd w:fill="CCEEFF" w:val="clear"/>
            <w:vAlign w:val="bottom"/>
          </w:tcPr>
          <w:p>
            <w:pPr>
              <w:pStyle w:val="TableContents"/>
              <w:spacing w:before="0" w:after="0"/>
              <w:ind w:left="0" w:right="0" w:hanging="0"/>
              <w:rPr/>
            </w:pPr>
            <w:r>
              <w:rPr/>
              <w:t> </w:t>
            </w:r>
          </w:p>
        </w:tc>
        <w:tc>
          <w:tcPr>
            <w:tcW w:w="14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2,915</w:t>
            </w:r>
          </w:p>
        </w:tc>
        <w:tc>
          <w:tcPr>
            <w:tcW w:w="255" w:type="dxa"/>
            <w:tcBorders/>
            <w:shd w:fill="CCEEFF" w:val="clear"/>
            <w:vAlign w:val="bottom"/>
          </w:tcPr>
          <w:p>
            <w:pPr>
              <w:pStyle w:val="TableContents"/>
              <w:spacing w:before="0" w:after="0"/>
              <w:ind w:left="0" w:right="0" w:hanging="0"/>
              <w:rPr/>
            </w:pPr>
            <w:r>
              <w:rPr/>
              <w:t> </w:t>
            </w:r>
          </w:p>
        </w:tc>
      </w:tr>
      <w:tr>
        <w:trPr/>
        <w:tc>
          <w:tcPr>
            <w:tcW w:w="3840"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418" w:type="dxa"/>
            <w:gridSpan w:val="2"/>
            <w:tcBorders/>
            <w:shd w:fill="auto" w:val="clear"/>
            <w:vAlign w:val="bottom"/>
          </w:tcPr>
          <w:p>
            <w:pPr>
              <w:pStyle w:val="TableContents"/>
              <w:spacing w:before="0" w:after="0"/>
              <w:ind w:left="0" w:right="0" w:hanging="0"/>
              <w:jc w:val="right"/>
              <w:rPr/>
            </w:pPr>
            <w:r>
              <w:rPr/>
              <w:t> </w:t>
            </w:r>
          </w:p>
        </w:tc>
        <w:tc>
          <w:tcPr>
            <w:tcW w:w="249" w:type="dxa"/>
            <w:tcBorders/>
            <w:shd w:fill="auto" w:val="clear"/>
            <w:vAlign w:val="bottom"/>
          </w:tcPr>
          <w:p>
            <w:pPr>
              <w:pStyle w:val="TableContents"/>
              <w:spacing w:before="0" w:after="0"/>
              <w:ind w:left="0" w:right="0" w:hanging="0"/>
              <w:rPr/>
            </w:pPr>
            <w:r>
              <w:rPr/>
              <w:t> </w:t>
            </w:r>
          </w:p>
        </w:tc>
        <w:tc>
          <w:tcPr>
            <w:tcW w:w="1476" w:type="dxa"/>
            <w:gridSpan w:val="2"/>
            <w:tcBorders/>
            <w:shd w:fill="auto" w:val="clear"/>
            <w:vAlign w:val="bottom"/>
          </w:tcPr>
          <w:p>
            <w:pPr>
              <w:pStyle w:val="TableContents"/>
              <w:spacing w:before="0" w:after="0"/>
              <w:ind w:left="0" w:right="0" w:hanging="0"/>
              <w:jc w:val="right"/>
              <w:rPr/>
            </w:pPr>
            <w:r>
              <w:rPr/>
              <w:t> </w:t>
            </w:r>
          </w:p>
        </w:tc>
        <w:tc>
          <w:tcPr>
            <w:tcW w:w="255" w:type="dxa"/>
            <w:tcBorders/>
            <w:shd w:fill="auto" w:val="clear"/>
            <w:vAlign w:val="bottom"/>
          </w:tcPr>
          <w:p>
            <w:pPr>
              <w:pStyle w:val="TableContents"/>
              <w:spacing w:before="0" w:after="0"/>
              <w:ind w:left="0" w:right="0" w:hanging="0"/>
              <w:rPr/>
            </w:pPr>
            <w:r>
              <w:rPr/>
              <w:t> </w:t>
            </w:r>
          </w:p>
        </w:tc>
      </w:tr>
      <w:tr>
        <w:trPr/>
        <w:tc>
          <w:tcPr>
            <w:tcW w:w="38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 per Barrel ($/Bbl)</w:t>
            </w:r>
          </w:p>
        </w:tc>
        <w:tc>
          <w:tcPr>
            <w:tcW w:w="211"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0.46</w:t>
            </w:r>
          </w:p>
        </w:tc>
        <w:tc>
          <w:tcPr>
            <w:tcW w:w="249"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0.49</w:t>
            </w:r>
          </w:p>
        </w:tc>
        <w:tc>
          <w:tcPr>
            <w:tcW w:w="255"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8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103419_5796"/>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b. </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LPG and natural gas, as well as LPG fractionation and isomerization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is forecast using the volume assumptions in the table below, priced at forecasted rates, less estimated field operating costs and G&amp;A expenses. Field operating costs do not include depreciation.</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3654"/>
        <w:gridCol w:w="208"/>
        <w:gridCol w:w="213"/>
        <w:gridCol w:w="1303"/>
        <w:gridCol w:w="247"/>
        <w:gridCol w:w="227"/>
        <w:gridCol w:w="1345"/>
        <w:gridCol w:w="252"/>
      </w:tblGrid>
      <w:tr>
        <w:trPr/>
        <w:tc>
          <w:tcPr>
            <w:tcW w:w="365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33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 Guidance</w:t>
            </w:r>
          </w:p>
        </w:tc>
        <w:tc>
          <w:tcPr>
            <w:tcW w:w="252" w:type="dxa"/>
            <w:tcBorders/>
            <w:shd w:fill="auto" w:val="clear"/>
            <w:vAlign w:val="bottom"/>
          </w:tcPr>
          <w:p>
            <w:pPr>
              <w:pStyle w:val="TableContents"/>
              <w:spacing w:before="0" w:after="0"/>
              <w:ind w:left="0" w:right="0" w:hanging="0"/>
              <w:jc w:val="center"/>
              <w:rPr/>
            </w:pPr>
            <w:r>
              <w:rPr/>
              <w:t> </w:t>
            </w:r>
          </w:p>
        </w:tc>
      </w:tr>
      <w:tr>
        <w:trPr/>
        <w:tc>
          <w:tcPr>
            <w:tcW w:w="365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51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br/>
              <w:t>Ending</w:t>
              <w:br/>
              <w:t>March 31,</w:t>
            </w:r>
          </w:p>
        </w:tc>
        <w:tc>
          <w:tcPr>
            <w:tcW w:w="247" w:type="dxa"/>
            <w:tcBorders/>
            <w:shd w:fill="auto" w:val="clear"/>
            <w:vAlign w:val="bottom"/>
          </w:tcPr>
          <w:p>
            <w:pPr>
              <w:pStyle w:val="TableContents"/>
              <w:spacing w:before="0" w:after="0"/>
              <w:ind w:left="0" w:right="0" w:hanging="0"/>
              <w:jc w:val="center"/>
              <w:rPr/>
            </w:pPr>
            <w:r>
              <w:rPr/>
              <w:t> </w:t>
            </w:r>
          </w:p>
        </w:tc>
        <w:tc>
          <w:tcPr>
            <w:tcW w:w="15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br/>
              <w:t>Ending</w:t>
              <w:br/>
              <w:t>December 31,</w:t>
            </w:r>
          </w:p>
        </w:tc>
        <w:tc>
          <w:tcPr>
            <w:tcW w:w="252" w:type="dxa"/>
            <w:tcBorders/>
            <w:shd w:fill="auto" w:val="clear"/>
            <w:vAlign w:val="bottom"/>
          </w:tcPr>
          <w:p>
            <w:pPr>
              <w:pStyle w:val="TableContents"/>
              <w:spacing w:before="0" w:after="0"/>
              <w:ind w:left="0" w:right="0" w:hanging="0"/>
              <w:jc w:val="center"/>
              <w:rPr/>
            </w:pPr>
            <w:r>
              <w:rPr/>
              <w:t> </w:t>
            </w:r>
          </w:p>
        </w:tc>
      </w:tr>
      <w:tr>
        <w:trPr/>
        <w:tc>
          <w:tcPr>
            <w:tcW w:w="3654" w:type="dxa"/>
            <w:tcBorders/>
            <w:shd w:fill="CCEEFF" w:val="clear"/>
            <w:vAlign w:val="bottom"/>
          </w:tcPr>
          <w:p>
            <w:pPr>
              <w:pStyle w:val="TableContents"/>
              <w:spacing w:before="0" w:after="0"/>
              <w:ind w:left="0" w:right="0" w:hanging="0"/>
              <w:rPr/>
            </w:pPr>
            <w:r>
              <w:rPr>
                <w:rFonts w:ascii="Times New Roman" w:hAnsi="Times New Roman"/>
                <w:sz w:val="17"/>
              </w:rPr>
              <w:t xml:space="preserve">Facilities Total Operating Activities </w:t>
            </w:r>
            <w:r>
              <w:rPr>
                <w:sz w:val="11"/>
              </w:rPr>
              <w:t>(1)</w:t>
            </w:r>
          </w:p>
        </w:tc>
        <w:tc>
          <w:tcPr>
            <w:tcW w:w="208" w:type="dxa"/>
            <w:tcBorders/>
            <w:shd w:fill="CCEEFF" w:val="clear"/>
            <w:vAlign w:val="bottom"/>
          </w:tcPr>
          <w:p>
            <w:pPr>
              <w:pStyle w:val="TableContents"/>
              <w:spacing w:before="0" w:after="0"/>
              <w:ind w:left="0" w:right="0" w:hanging="0"/>
              <w:rPr/>
            </w:pPr>
            <w:r>
              <w:rPr/>
              <w:t> </w:t>
            </w:r>
          </w:p>
        </w:tc>
        <w:tc>
          <w:tcPr>
            <w:tcW w:w="1516" w:type="dxa"/>
            <w:gridSpan w:val="2"/>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72"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r>
      <w:tr>
        <w:trPr/>
        <w:tc>
          <w:tcPr>
            <w:tcW w:w="365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Avg. Capacity (MMBbls/Mo.)</w:t>
            </w:r>
          </w:p>
        </w:tc>
        <w:tc>
          <w:tcPr>
            <w:tcW w:w="208" w:type="dxa"/>
            <w:tcBorders/>
            <w:shd w:fill="auto" w:val="clear"/>
            <w:vAlign w:val="bottom"/>
          </w:tcPr>
          <w:p>
            <w:pPr>
              <w:pStyle w:val="TableContents"/>
              <w:spacing w:before="0" w:after="0"/>
              <w:ind w:left="0" w:right="0" w:hanging="0"/>
              <w:rPr/>
            </w:pPr>
            <w:r>
              <w:rPr/>
              <w:t> </w:t>
            </w:r>
          </w:p>
        </w:tc>
        <w:tc>
          <w:tcPr>
            <w:tcW w:w="151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47" w:type="dxa"/>
            <w:tcBorders/>
            <w:shd w:fill="auto" w:val="clear"/>
            <w:vAlign w:val="bottom"/>
          </w:tcPr>
          <w:p>
            <w:pPr>
              <w:pStyle w:val="TableContents"/>
              <w:spacing w:before="0" w:after="0"/>
              <w:ind w:left="0" w:right="0" w:hanging="0"/>
              <w:rPr/>
            </w:pPr>
            <w:r>
              <w:rPr/>
              <w:t> </w:t>
            </w:r>
          </w:p>
        </w:tc>
        <w:tc>
          <w:tcPr>
            <w:tcW w:w="15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52" w:type="dxa"/>
            <w:tcBorders/>
            <w:shd w:fill="auto" w:val="clear"/>
            <w:vAlign w:val="bottom"/>
          </w:tcPr>
          <w:p>
            <w:pPr>
              <w:pStyle w:val="TableContents"/>
              <w:spacing w:before="0" w:after="0"/>
              <w:ind w:left="0" w:right="0" w:hanging="0"/>
              <w:rPr/>
            </w:pPr>
            <w:r>
              <w:rPr/>
              <w:t> </w:t>
            </w:r>
          </w:p>
        </w:tc>
      </w:tr>
      <w:tr>
        <w:trPr/>
        <w:tc>
          <w:tcPr>
            <w:tcW w:w="3654"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516" w:type="dxa"/>
            <w:gridSpan w:val="2"/>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572"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r>
      <w:tr>
        <w:trPr/>
        <w:tc>
          <w:tcPr>
            <w:tcW w:w="365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516" w:type="dxa"/>
            <w:gridSpan w:val="2"/>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572"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r>
      <w:tr>
        <w:trPr/>
        <w:tc>
          <w:tcPr>
            <w:tcW w:w="365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 per Barrel ($/Bbl)</w:t>
            </w:r>
          </w:p>
        </w:tc>
        <w:tc>
          <w:tcPr>
            <w:tcW w:w="208" w:type="dxa"/>
            <w:tcBorders/>
            <w:shd w:fill="CCEEFF" w:val="clear"/>
            <w:vAlign w:val="bottom"/>
          </w:tcPr>
          <w:p>
            <w:pPr>
              <w:pStyle w:val="TableContents"/>
              <w:spacing w:before="0" w:after="0"/>
              <w:ind w:left="0" w:right="0" w:hanging="0"/>
              <w:rPr/>
            </w:pPr>
            <w:r>
              <w:rPr/>
              <w:t> </w:t>
            </w:r>
          </w:p>
        </w:tc>
        <w:tc>
          <w:tcPr>
            <w:tcW w:w="21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0.31</w:t>
            </w:r>
          </w:p>
        </w:tc>
        <w:tc>
          <w:tcPr>
            <w:tcW w:w="24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4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0.33</w:t>
            </w:r>
          </w:p>
        </w:tc>
        <w:tc>
          <w:tcPr>
            <w:tcW w:w="252"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365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LPG storage capacity; (ii) natural gas storage capacity divided by 6 to account for the 6:1 mcf of gas to barrel of crude oil ratio; and (iii) LPG processing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 xml:space="preserve">c. </w:t>
      </w:r>
      <w:r>
        <w:rPr>
          <w:rFonts w:ascii="Times New Roman" w:hAnsi="Times New Roman"/>
        </w:rPr>
        <w:t xml:space="preserve">            </w:t>
      </w:r>
      <w:r>
        <w:rPr>
          <w:rFonts w:ascii="Times New Roman" w:hAnsi="Times New Roman"/>
          <w:i/>
          <w:sz w:val="17"/>
        </w:rPr>
        <w:t>Supply and</w:t>
      </w:r>
      <w:r>
        <w:rPr>
          <w:rFonts w:ascii="Times New Roman" w:hAnsi="Times New Roman"/>
        </w:rPr>
        <w:t xml:space="preserve"> </w:t>
      </w:r>
      <w:r>
        <w:rPr>
          <w:rFonts w:ascii="Times New Roman" w:hAnsi="Times New Roman"/>
          <w:i/>
          <w:sz w:val="17"/>
        </w:rPr>
        <w:t>Logistics</w:t>
      </w:r>
      <w:r>
        <w:rPr>
          <w:rFonts w:ascii="Times New Roman" w:hAnsi="Times New Roman"/>
          <w:sz w:val="17"/>
        </w:rPr>
        <w:t>.  Our supply and logistics segment operations generally consist of the following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crude oil at the wellhead and the bulk purchase of crude oil at pipeline and terminal facilities, as well as the purchase of foreign cargoes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LPG;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refined products and LPG from producers, refiners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refined products and LPG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refined products and LPG on trucks, barges, railcars, pipelines and ocean-going vessels to our terminals and third-party terminals.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level of profit in the supply and logistics segment is influenced by overall market structure and the degree of volatility in the crude oil market as well as variable operating expenses. Forecasted operating results for the three-month period ending March 31, 2010 reflect the current market structure and seasonal, weather-related variations in LPG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production declines, weather, and other external factors beyond our control.  Field operating costs do not include depreciation. Realized unit margins for any given lease-gathered barrel could vary significantly based on a variety of factors including location, quality and contract structure.  Accordingly, the actual segment profit per barrel can vary significantly even if aggregate volumes are in line with the forecasted levels.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104035_2897"/>
      <w:bookmarkEnd w:id="5"/>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3853"/>
        <w:gridCol w:w="209"/>
        <w:gridCol w:w="215"/>
        <w:gridCol w:w="1200"/>
        <w:gridCol w:w="248"/>
        <w:gridCol w:w="229"/>
        <w:gridCol w:w="1243"/>
        <w:gridCol w:w="252"/>
      </w:tblGrid>
      <w:tr>
        <w:trPr/>
        <w:tc>
          <w:tcPr>
            <w:tcW w:w="385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31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 Guidance</w:t>
            </w:r>
          </w:p>
        </w:tc>
        <w:tc>
          <w:tcPr>
            <w:tcW w:w="252" w:type="dxa"/>
            <w:tcBorders/>
            <w:shd w:fill="auto" w:val="clear"/>
            <w:vAlign w:val="bottom"/>
          </w:tcPr>
          <w:p>
            <w:pPr>
              <w:pStyle w:val="TableContents"/>
              <w:spacing w:before="0" w:after="0"/>
              <w:ind w:left="0" w:right="0" w:hanging="0"/>
              <w:jc w:val="center"/>
              <w:rPr/>
            </w:pPr>
            <w:r>
              <w:rPr/>
              <w:t> </w:t>
            </w:r>
          </w:p>
        </w:tc>
      </w:tr>
      <w:tr>
        <w:trPr/>
        <w:tc>
          <w:tcPr>
            <w:tcW w:w="385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br/>
              <w:t>Ending</w:t>
              <w:br/>
              <w:t>March 31,</w:t>
            </w:r>
          </w:p>
        </w:tc>
        <w:tc>
          <w:tcPr>
            <w:tcW w:w="248" w:type="dxa"/>
            <w:tcBorders/>
            <w:shd w:fill="auto" w:val="clear"/>
            <w:vAlign w:val="bottom"/>
          </w:tcPr>
          <w:p>
            <w:pPr>
              <w:pStyle w:val="TableContents"/>
              <w:spacing w:before="0" w:after="0"/>
              <w:ind w:left="0" w:right="0" w:hanging="0"/>
              <w:jc w:val="center"/>
              <w:rPr/>
            </w:pPr>
            <w:r>
              <w:rPr/>
              <w:t> </w:t>
            </w:r>
          </w:p>
        </w:tc>
        <w:tc>
          <w:tcPr>
            <w:tcW w:w="14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br/>
              <w:t>Ending</w:t>
              <w:br/>
              <w:t>December 31,</w:t>
            </w:r>
          </w:p>
        </w:tc>
        <w:tc>
          <w:tcPr>
            <w:tcW w:w="252" w:type="dxa"/>
            <w:tcBorders/>
            <w:shd w:fill="auto" w:val="clear"/>
            <w:vAlign w:val="bottom"/>
          </w:tcPr>
          <w:p>
            <w:pPr>
              <w:pStyle w:val="TableContents"/>
              <w:spacing w:before="0" w:after="0"/>
              <w:ind w:left="0" w:right="0" w:hanging="0"/>
              <w:jc w:val="center"/>
              <w:rPr/>
            </w:pPr>
            <w:r>
              <w:rPr/>
              <w:t> </w:t>
            </w:r>
          </w:p>
        </w:tc>
      </w:tr>
      <w:tr>
        <w:trPr/>
        <w:tc>
          <w:tcPr>
            <w:tcW w:w="3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Average Daily Volumes (MBbl/d)</w:t>
            </w:r>
          </w:p>
        </w:tc>
        <w:tc>
          <w:tcPr>
            <w:tcW w:w="209" w:type="dxa"/>
            <w:tcBorders/>
            <w:shd w:fill="CCEEFF" w:val="clear"/>
            <w:vAlign w:val="bottom"/>
          </w:tcPr>
          <w:p>
            <w:pPr>
              <w:pStyle w:val="TableContents"/>
              <w:spacing w:before="0" w:after="0"/>
              <w:ind w:left="0" w:right="0" w:hanging="0"/>
              <w:rPr/>
            </w:pPr>
            <w:r>
              <w:rPr/>
              <w:t> </w:t>
            </w:r>
          </w:p>
        </w:tc>
        <w:tc>
          <w:tcPr>
            <w:tcW w:w="1415" w:type="dxa"/>
            <w:gridSpan w:val="2"/>
            <w:tcBorders/>
            <w:shd w:fill="CCEEFF" w:val="clear"/>
            <w:vAlign w:val="bottom"/>
          </w:tcPr>
          <w:p>
            <w:pPr>
              <w:pStyle w:val="TableContents"/>
              <w:spacing w:before="0" w:after="0"/>
              <w:ind w:left="0" w:right="0" w:hanging="0"/>
              <w:jc w:val="right"/>
              <w:rPr/>
            </w:pPr>
            <w:r>
              <w:rPr/>
              <w:t> </w:t>
            </w:r>
          </w:p>
        </w:tc>
        <w:tc>
          <w:tcPr>
            <w:tcW w:w="248" w:type="dxa"/>
            <w:tcBorders/>
            <w:shd w:fill="CCEEFF" w:val="clear"/>
            <w:vAlign w:val="bottom"/>
          </w:tcPr>
          <w:p>
            <w:pPr>
              <w:pStyle w:val="TableContents"/>
              <w:spacing w:before="0" w:after="0"/>
              <w:ind w:left="0" w:right="0" w:hanging="0"/>
              <w:rPr/>
            </w:pPr>
            <w:r>
              <w:rPr/>
              <w:t> </w:t>
            </w:r>
          </w:p>
        </w:tc>
        <w:tc>
          <w:tcPr>
            <w:tcW w:w="1472"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r>
      <w:tr>
        <w:trPr/>
        <w:tc>
          <w:tcPr>
            <w:tcW w:w="3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9" w:type="dxa"/>
            <w:tcBorders/>
            <w:shd w:fill="auto" w:val="clear"/>
            <w:vAlign w:val="bottom"/>
          </w:tcPr>
          <w:p>
            <w:pPr>
              <w:pStyle w:val="TableContents"/>
              <w:spacing w:before="0" w:after="0"/>
              <w:ind w:left="0" w:right="0" w:hanging="0"/>
              <w:rPr/>
            </w:pPr>
            <w:r>
              <w:rPr/>
              <w:t> </w:t>
            </w:r>
          </w:p>
        </w:tc>
        <w:tc>
          <w:tcPr>
            <w:tcW w:w="14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248"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252" w:type="dxa"/>
            <w:tcBorders/>
            <w:shd w:fill="auto" w:val="clear"/>
            <w:vAlign w:val="bottom"/>
          </w:tcPr>
          <w:p>
            <w:pPr>
              <w:pStyle w:val="TableContents"/>
              <w:spacing w:before="0" w:after="0"/>
              <w:ind w:left="0" w:right="0" w:hanging="0"/>
              <w:rPr/>
            </w:pPr>
            <w:r>
              <w:rPr/>
              <w:t> </w:t>
            </w:r>
          </w:p>
        </w:tc>
      </w:tr>
      <w:tr>
        <w:trPr/>
        <w:tc>
          <w:tcPr>
            <w:tcW w:w="3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9" w:type="dxa"/>
            <w:tcBorders/>
            <w:shd w:fill="CCEEFF" w:val="clear"/>
            <w:vAlign w:val="bottom"/>
          </w:tcPr>
          <w:p>
            <w:pPr>
              <w:pStyle w:val="TableContents"/>
              <w:spacing w:before="0" w:after="0"/>
              <w:ind w:left="0" w:right="0" w:hanging="0"/>
              <w:rPr/>
            </w:pPr>
            <w:r>
              <w:rPr/>
              <w:t> </w:t>
            </w:r>
          </w:p>
        </w:tc>
        <w:tc>
          <w:tcPr>
            <w:tcW w:w="14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48" w:type="dxa"/>
            <w:tcBorders/>
            <w:shd w:fill="CCEEFF" w:val="clear"/>
            <w:vAlign w:val="bottom"/>
          </w:tcPr>
          <w:p>
            <w:pPr>
              <w:pStyle w:val="TableContents"/>
              <w:spacing w:before="0" w:after="0"/>
              <w:ind w:left="0" w:right="0" w:hanging="0"/>
              <w:rPr/>
            </w:pPr>
            <w:r>
              <w:rPr/>
              <w:t> </w:t>
            </w:r>
          </w:p>
        </w:tc>
        <w:tc>
          <w:tcPr>
            <w:tcW w:w="14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52" w:type="dxa"/>
            <w:tcBorders/>
            <w:shd w:fill="CCEEFF" w:val="clear"/>
            <w:vAlign w:val="bottom"/>
          </w:tcPr>
          <w:p>
            <w:pPr>
              <w:pStyle w:val="TableContents"/>
              <w:spacing w:before="0" w:after="0"/>
              <w:ind w:left="0" w:right="0" w:hanging="0"/>
              <w:rPr/>
            </w:pPr>
            <w:r>
              <w:rPr/>
              <w:t> </w:t>
            </w:r>
          </w:p>
        </w:tc>
      </w:tr>
      <w:tr>
        <w:trPr/>
        <w:tc>
          <w:tcPr>
            <w:tcW w:w="38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Sales</w:t>
            </w:r>
          </w:p>
        </w:tc>
        <w:tc>
          <w:tcPr>
            <w:tcW w:w="209" w:type="dxa"/>
            <w:tcBorders/>
            <w:shd w:fill="auto" w:val="clear"/>
            <w:vAlign w:val="bottom"/>
          </w:tcPr>
          <w:p>
            <w:pPr>
              <w:pStyle w:val="TableContents"/>
              <w:spacing w:before="0" w:after="0"/>
              <w:ind w:left="0" w:right="0" w:hanging="0"/>
              <w:rPr/>
            </w:pPr>
            <w:r>
              <w:rPr/>
              <w:t> </w:t>
            </w:r>
          </w:p>
        </w:tc>
        <w:tc>
          <w:tcPr>
            <w:tcW w:w="141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48" w:type="dxa"/>
            <w:tcBorders/>
            <w:shd w:fill="auto" w:val="clear"/>
            <w:vAlign w:val="bottom"/>
          </w:tcPr>
          <w:p>
            <w:pPr>
              <w:pStyle w:val="TableContents"/>
              <w:spacing w:before="0" w:after="0"/>
              <w:ind w:left="0" w:right="0" w:hanging="0"/>
              <w:rPr/>
            </w:pPr>
            <w:r>
              <w:rPr/>
              <w:t> </w:t>
            </w:r>
          </w:p>
        </w:tc>
        <w:tc>
          <w:tcPr>
            <w:tcW w:w="14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52" w:type="dxa"/>
            <w:tcBorders/>
            <w:shd w:fill="auto" w:val="clear"/>
            <w:vAlign w:val="bottom"/>
          </w:tcPr>
          <w:p>
            <w:pPr>
              <w:pStyle w:val="TableContents"/>
              <w:spacing w:before="0" w:after="0"/>
              <w:ind w:left="0" w:right="0" w:hanging="0"/>
              <w:rPr/>
            </w:pPr>
            <w:r>
              <w:rPr/>
              <w:t> </w:t>
            </w:r>
          </w:p>
        </w:tc>
      </w:tr>
      <w:tr>
        <w:trPr/>
        <w:tc>
          <w:tcPr>
            <w:tcW w:w="3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9" w:type="dxa"/>
            <w:tcBorders/>
            <w:shd w:fill="CCEEFF" w:val="clear"/>
            <w:vAlign w:val="bottom"/>
          </w:tcPr>
          <w:p>
            <w:pPr>
              <w:pStyle w:val="TableContents"/>
              <w:spacing w:before="0" w:after="0"/>
              <w:ind w:left="0" w:right="0" w:hanging="0"/>
              <w:rPr/>
            </w:pPr>
            <w:r>
              <w:rPr/>
              <w:t> </w:t>
            </w:r>
          </w:p>
        </w:tc>
        <w:tc>
          <w:tcPr>
            <w:tcW w:w="141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48" w:type="dxa"/>
            <w:tcBorders/>
            <w:shd w:fill="CCEEFF" w:val="clear"/>
            <w:vAlign w:val="bottom"/>
          </w:tcPr>
          <w:p>
            <w:pPr>
              <w:pStyle w:val="TableContents"/>
              <w:spacing w:before="0" w:after="0"/>
              <w:ind w:left="0" w:right="0" w:hanging="0"/>
              <w:rPr/>
            </w:pPr>
            <w:r>
              <w:rPr/>
              <w:t> </w:t>
            </w:r>
          </w:p>
        </w:tc>
        <w:tc>
          <w:tcPr>
            <w:tcW w:w="14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52" w:type="dxa"/>
            <w:tcBorders/>
            <w:shd w:fill="CCEEFF" w:val="clear"/>
            <w:vAlign w:val="bottom"/>
          </w:tcPr>
          <w:p>
            <w:pPr>
              <w:pStyle w:val="TableContents"/>
              <w:spacing w:before="0" w:after="0"/>
              <w:ind w:left="0" w:right="0" w:hanging="0"/>
              <w:rPr/>
            </w:pPr>
            <w:r>
              <w:rPr/>
              <w:t> </w:t>
            </w:r>
          </w:p>
        </w:tc>
      </w:tr>
      <w:tr>
        <w:trPr/>
        <w:tc>
          <w:tcPr>
            <w:tcW w:w="385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rPr/>
            </w:pPr>
            <w:r>
              <w:rPr/>
              <w:t> </w:t>
            </w:r>
          </w:p>
        </w:tc>
        <w:tc>
          <w:tcPr>
            <w:tcW w:w="1415"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48" w:type="dxa"/>
            <w:tcBorders/>
            <w:shd w:fill="auto" w:val="clear"/>
            <w:vAlign w:val="bottom"/>
          </w:tcPr>
          <w:p>
            <w:pPr>
              <w:pStyle w:val="TableContents"/>
              <w:spacing w:before="0" w:after="0"/>
              <w:ind w:left="0" w:right="0" w:hanging="0"/>
              <w:rPr/>
            </w:pPr>
            <w:r>
              <w:rPr/>
              <w:t> </w:t>
            </w:r>
          </w:p>
        </w:tc>
        <w:tc>
          <w:tcPr>
            <w:tcW w:w="147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252" w:type="dxa"/>
            <w:tcBorders/>
            <w:shd w:fill="auto" w:val="clear"/>
            <w:vAlign w:val="bottom"/>
          </w:tcPr>
          <w:p>
            <w:pPr>
              <w:pStyle w:val="TableContents"/>
              <w:spacing w:before="0" w:after="0"/>
              <w:ind w:left="0" w:right="0" w:hanging="0"/>
              <w:rPr/>
            </w:pPr>
            <w:r>
              <w:rPr/>
              <w:t> </w:t>
            </w:r>
          </w:p>
        </w:tc>
      </w:tr>
      <w:tr>
        <w:trPr/>
        <w:tc>
          <w:tcPr>
            <w:tcW w:w="38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 per Barrel ($/Bbl)</w:t>
            </w:r>
          </w:p>
        </w:tc>
        <w:tc>
          <w:tcPr>
            <w:tcW w:w="209" w:type="dxa"/>
            <w:tcBorders/>
            <w:shd w:fill="CCEEFF" w:val="clear"/>
            <w:vAlign w:val="bottom"/>
          </w:tcPr>
          <w:p>
            <w:pPr>
              <w:pStyle w:val="TableContents"/>
              <w:spacing w:before="0" w:after="0"/>
              <w:ind w:left="0" w:right="0" w:hanging="0"/>
              <w:rPr/>
            </w:pPr>
            <w:r>
              <w:rPr/>
              <w:t> </w:t>
            </w:r>
          </w:p>
        </w:tc>
        <w:tc>
          <w:tcPr>
            <w:tcW w:w="21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00" w:type="dxa"/>
            <w:tcBorders>
              <w:top w:val="double" w:sz="6"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48"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top w:val="double" w:sz="6"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0.83</w:t>
            </w:r>
          </w:p>
        </w:tc>
        <w:tc>
          <w:tcPr>
            <w:tcW w:w="252"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385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during any one period due to gains and losses on intermittent sales of assets, asset retirement obligations, or asset impairments.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Acquisitions and Other Capital Expenditures.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to which we may commit after the date hereof. We forecast capital expenditures during calendar 2010 to be approximately $360 million for expansion projects with an additional $85 million for maintenance capital projects.  Following are some of the more notable projects and forecasted expenditures for the year ending December 31, 2010 (in millions):</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6128"/>
        <w:gridCol w:w="162"/>
        <w:gridCol w:w="110"/>
        <w:gridCol w:w="953"/>
        <w:gridCol w:w="96"/>
      </w:tblGrid>
      <w:tr>
        <w:trPr/>
        <w:tc>
          <w:tcPr>
            <w:tcW w:w="6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16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96" w:type="dxa"/>
            <w:tcBorders/>
            <w:shd w:fill="CCEEFF" w:val="clear"/>
            <w:vAlign w:val="bottom"/>
          </w:tcPr>
          <w:p>
            <w:pPr>
              <w:pStyle w:val="TableContents"/>
              <w:spacing w:before="0" w:after="0"/>
              <w:ind w:left="0" w:right="0" w:hanging="0"/>
              <w:rPr/>
            </w:pPr>
            <w:r>
              <w:rPr/>
              <w:t> </w:t>
            </w:r>
          </w:p>
        </w:tc>
      </w:tr>
      <w:tr>
        <w:trPr/>
        <w:tc>
          <w:tcPr>
            <w:tcW w:w="6128"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Patoka Phase III</w:t>
            </w:r>
          </w:p>
        </w:tc>
        <w:tc>
          <w:tcPr>
            <w:tcW w:w="16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96" w:type="dxa"/>
            <w:tcBorders/>
            <w:shd w:fill="auto" w:val="clear"/>
            <w:vAlign w:val="bottom"/>
          </w:tcPr>
          <w:p>
            <w:pPr>
              <w:pStyle w:val="TableContents"/>
              <w:spacing w:before="0" w:after="0"/>
              <w:ind w:left="0" w:right="0" w:hanging="0"/>
              <w:rPr/>
            </w:pPr>
            <w:r>
              <w:rPr/>
              <w:t> </w:t>
            </w:r>
          </w:p>
        </w:tc>
      </w:tr>
      <w:tr>
        <w:trPr/>
        <w:tc>
          <w:tcPr>
            <w:tcW w:w="6128"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West Texas gathering lines</w:t>
            </w:r>
          </w:p>
        </w:tc>
        <w:tc>
          <w:tcPr>
            <w:tcW w:w="16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96" w:type="dxa"/>
            <w:tcBorders/>
            <w:shd w:fill="CCEEFF" w:val="clear"/>
            <w:vAlign w:val="bottom"/>
          </w:tcPr>
          <w:p>
            <w:pPr>
              <w:pStyle w:val="TableContents"/>
              <w:spacing w:before="0" w:after="0"/>
              <w:ind w:left="0" w:right="0" w:hanging="0"/>
              <w:rPr/>
            </w:pPr>
            <w:r>
              <w:rPr/>
              <w:t> </w:t>
            </w:r>
          </w:p>
        </w:tc>
      </w:tr>
      <w:tr>
        <w:trPr/>
        <w:tc>
          <w:tcPr>
            <w:tcW w:w="6128"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Bumstead facility upgrade</w:t>
            </w:r>
          </w:p>
        </w:tc>
        <w:tc>
          <w:tcPr>
            <w:tcW w:w="16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96" w:type="dxa"/>
            <w:tcBorders/>
            <w:shd w:fill="auto" w:val="clear"/>
            <w:vAlign w:val="bottom"/>
          </w:tcPr>
          <w:p>
            <w:pPr>
              <w:pStyle w:val="TableContents"/>
              <w:spacing w:before="0" w:after="0"/>
              <w:ind w:left="0" w:right="0" w:hanging="0"/>
              <w:rPr/>
            </w:pPr>
            <w:r>
              <w:rPr/>
              <w:t> </w:t>
            </w:r>
          </w:p>
        </w:tc>
      </w:tr>
      <w:tr>
        <w:trPr/>
        <w:tc>
          <w:tcPr>
            <w:tcW w:w="6128"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Cushing - Phase VII</w:t>
            </w:r>
          </w:p>
        </w:tc>
        <w:tc>
          <w:tcPr>
            <w:tcW w:w="16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96" w:type="dxa"/>
            <w:tcBorders/>
            <w:shd w:fill="CCEEFF" w:val="clear"/>
            <w:vAlign w:val="bottom"/>
          </w:tcPr>
          <w:p>
            <w:pPr>
              <w:pStyle w:val="TableContents"/>
              <w:spacing w:before="0" w:after="0"/>
              <w:ind w:left="0" w:right="0" w:hanging="0"/>
              <w:rPr/>
            </w:pPr>
            <w:r>
              <w:rPr/>
              <w:t> </w:t>
            </w:r>
          </w:p>
        </w:tc>
      </w:tr>
      <w:tr>
        <w:trPr/>
        <w:tc>
          <w:tcPr>
            <w:tcW w:w="6128"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 Phase III</w:t>
            </w:r>
          </w:p>
        </w:tc>
        <w:tc>
          <w:tcPr>
            <w:tcW w:w="16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96" w:type="dxa"/>
            <w:tcBorders/>
            <w:shd w:fill="auto" w:val="clear"/>
            <w:vAlign w:val="bottom"/>
          </w:tcPr>
          <w:p>
            <w:pPr>
              <w:pStyle w:val="TableContents"/>
              <w:spacing w:before="0" w:after="0"/>
              <w:ind w:left="0" w:right="0" w:hanging="0"/>
              <w:rPr/>
            </w:pPr>
            <w:r>
              <w:rPr/>
              <w:t> </w:t>
            </w:r>
          </w:p>
        </w:tc>
      </w:tr>
      <w:tr>
        <w:trPr/>
        <w:tc>
          <w:tcPr>
            <w:tcW w:w="6128"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Cushing - Phase VIII</w:t>
            </w:r>
          </w:p>
        </w:tc>
        <w:tc>
          <w:tcPr>
            <w:tcW w:w="16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96" w:type="dxa"/>
            <w:tcBorders/>
            <w:shd w:fill="CCEEFF" w:val="clear"/>
            <w:vAlign w:val="bottom"/>
          </w:tcPr>
          <w:p>
            <w:pPr>
              <w:pStyle w:val="TableContents"/>
              <w:spacing w:before="0" w:after="0"/>
              <w:ind w:left="0" w:right="0" w:hanging="0"/>
              <w:rPr/>
            </w:pPr>
            <w:r>
              <w:rPr/>
              <w:t> </w:t>
            </w:r>
          </w:p>
        </w:tc>
      </w:tr>
      <w:tr>
        <w:trPr/>
        <w:tc>
          <w:tcPr>
            <w:tcW w:w="6128"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Wichita Falls tanks</w:t>
            </w:r>
          </w:p>
        </w:tc>
        <w:tc>
          <w:tcPr>
            <w:tcW w:w="162"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96" w:type="dxa"/>
            <w:tcBorders/>
            <w:shd w:fill="auto" w:val="clear"/>
            <w:vAlign w:val="bottom"/>
          </w:tcPr>
          <w:p>
            <w:pPr>
              <w:pStyle w:val="TableContents"/>
              <w:spacing w:before="0" w:after="0"/>
              <w:ind w:left="0" w:right="0" w:hanging="0"/>
              <w:rPr/>
            </w:pPr>
            <w:r>
              <w:rPr/>
              <w:t> </w:t>
            </w:r>
          </w:p>
        </w:tc>
      </w:tr>
      <w:tr>
        <w:trPr/>
        <w:tc>
          <w:tcPr>
            <w:tcW w:w="6128"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Martinez tanks</w:t>
            </w:r>
          </w:p>
        </w:tc>
        <w:tc>
          <w:tcPr>
            <w:tcW w:w="16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96" w:type="dxa"/>
            <w:tcBorders/>
            <w:shd w:fill="CCEEFF" w:val="clear"/>
            <w:vAlign w:val="bottom"/>
          </w:tcPr>
          <w:p>
            <w:pPr>
              <w:pStyle w:val="TableContents"/>
              <w:spacing w:before="0" w:after="0"/>
              <w:ind w:left="0" w:right="0" w:hanging="0"/>
              <w:rPr/>
            </w:pPr>
            <w:r>
              <w:rPr/>
              <w:t> </w:t>
            </w:r>
          </w:p>
        </w:tc>
      </w:tr>
      <w:tr>
        <w:trPr/>
        <w:tc>
          <w:tcPr>
            <w:tcW w:w="6128"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including acquisition related expansion projects </w:t>
            </w:r>
            <w:r>
              <w:rPr>
                <w:sz w:val="11"/>
              </w:rPr>
              <w:t>(1)</w:t>
            </w:r>
          </w:p>
        </w:tc>
        <w:tc>
          <w:tcPr>
            <w:tcW w:w="162"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w:t>
            </w:r>
          </w:p>
        </w:tc>
        <w:tc>
          <w:tcPr>
            <w:tcW w:w="96" w:type="dxa"/>
            <w:tcBorders/>
            <w:shd w:fill="auto" w:val="clear"/>
            <w:vAlign w:val="bottom"/>
          </w:tcPr>
          <w:p>
            <w:pPr>
              <w:pStyle w:val="TableContents"/>
              <w:spacing w:before="0" w:after="0"/>
              <w:ind w:left="0" w:right="0" w:hanging="0"/>
              <w:rPr/>
            </w:pPr>
            <w:r>
              <w:rPr/>
              <w:t> </w:t>
            </w:r>
          </w:p>
        </w:tc>
      </w:tr>
      <w:tr>
        <w:trPr/>
        <w:tc>
          <w:tcPr>
            <w:tcW w:w="6128" w:type="dxa"/>
            <w:tcBorders/>
            <w:shd w:fill="CCEEFF" w:val="clear"/>
            <w:vAlign w:val="bottom"/>
          </w:tcPr>
          <w:p>
            <w:pPr>
              <w:pStyle w:val="TableContents"/>
              <w:spacing w:before="0" w:after="0"/>
              <w:ind w:left="0" w:right="0" w:hanging="0"/>
              <w:rPr/>
            </w:pPr>
            <w:r>
              <w:rPr/>
              <w:t> </w:t>
            </w:r>
          </w:p>
        </w:tc>
        <w:tc>
          <w:tcPr>
            <w:tcW w:w="162"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96" w:type="dxa"/>
            <w:tcBorders/>
            <w:shd w:fill="CCEEFF" w:val="clear"/>
            <w:vAlign w:val="bottom"/>
          </w:tcPr>
          <w:p>
            <w:pPr>
              <w:pStyle w:val="TableContents"/>
              <w:spacing w:before="0" w:after="0"/>
              <w:ind w:left="0" w:right="0" w:hanging="0"/>
              <w:rPr/>
            </w:pPr>
            <w:r>
              <w:rPr/>
              <w:t> </w:t>
            </w:r>
          </w:p>
        </w:tc>
      </w:tr>
      <w:tr>
        <w:trPr/>
        <w:tc>
          <w:tcPr>
            <w:tcW w:w="6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w:t>
            </w:r>
          </w:p>
        </w:tc>
        <w:tc>
          <w:tcPr>
            <w:tcW w:w="162"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96" w:type="dxa"/>
            <w:tcBorders/>
            <w:shd w:fill="auto" w:val="clear"/>
            <w:vAlign w:val="bottom"/>
          </w:tcPr>
          <w:p>
            <w:pPr>
              <w:pStyle w:val="TableContents"/>
              <w:spacing w:before="0" w:after="0"/>
              <w:ind w:left="0" w:right="0" w:hanging="0"/>
              <w:rPr/>
            </w:pPr>
            <w:r>
              <w:rPr/>
              <w:t> </w:t>
            </w:r>
          </w:p>
        </w:tc>
      </w:tr>
      <w:tr>
        <w:trPr/>
        <w:tc>
          <w:tcPr>
            <w:tcW w:w="6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Total Projected Capital Expenditures (excluding acquisitions) </w:t>
            </w:r>
          </w:p>
        </w:tc>
        <w:tc>
          <w:tcPr>
            <w:tcW w:w="16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9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ind w:left="1800" w:right="0"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Primarily gas storage construction projects, pipeline connections, upgrades and truck stations, new tank construction and refurbishing, and carry-over of projects started in 2009.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105430_3020"/>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December 31, 2009.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and capital expenditures for maintenance and expansion projects, expected timing of collections and payments, and forecasted levels of inventory and other working capital sources and uses.  Interest rate assumptions for variable rate debt are based on the current forward LIBOR curve.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Included in interest expense are commitment fees, amortization of long-term debt discounts or premiums, amortization of deferred amounts associated with terminated interest-rate hedges and interest on short-term debt for non-contango inventory (primarily hedged LPG inventory and New York Mercantile Exchange and IntercontinentalExchange margin deposits). Interest expense is net of amounts capitalized for major expansion capital projects and does not include interest on borrowings for inventory stored in a contango market. We treat interest on contango-related borrowings as carrying costs of crude oil and include it in purchases and related costs.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Net Income per Unit.</w:t>
      </w:r>
      <w:r>
        <w:rPr>
          <w:rFonts w:ascii="Times New Roman" w:hAnsi="Times New Roman"/>
        </w:rPr>
        <w:t xml:space="preserve">  </w:t>
      </w:r>
      <w:r>
        <w:rPr>
          <w:rFonts w:ascii="Times New Roman" w:hAnsi="Times New Roman"/>
          <w:sz w:val="17"/>
        </w:rPr>
        <w:t>Basic net income per limited partner unit is calculated by dividing net income allocated to limited partners by the basic weighted average units outstanding during the period.</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4770"/>
        <w:gridCol w:w="185"/>
        <w:gridCol w:w="110"/>
        <w:gridCol w:w="676"/>
        <w:gridCol w:w="189"/>
        <w:gridCol w:w="110"/>
        <w:gridCol w:w="676"/>
        <w:gridCol w:w="189"/>
        <w:gridCol w:w="110"/>
        <w:gridCol w:w="676"/>
        <w:gridCol w:w="189"/>
        <w:gridCol w:w="110"/>
        <w:gridCol w:w="676"/>
        <w:gridCol w:w="110"/>
      </w:tblGrid>
      <w:tr>
        <w:trPr/>
        <w:tc>
          <w:tcPr>
            <w:tcW w:w="4770"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3711"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 (in millions, except per unit data)</w:t>
            </w:r>
          </w:p>
        </w:tc>
        <w:tc>
          <w:tcPr>
            <w:tcW w:w="110" w:type="dxa"/>
            <w:tcBorders/>
            <w:shd w:fill="auto" w:val="clear"/>
            <w:vAlign w:val="bottom"/>
          </w:tcPr>
          <w:p>
            <w:pPr>
              <w:pStyle w:val="TableContents"/>
              <w:spacing w:before="0" w:after="0"/>
              <w:ind w:left="0" w:right="0" w:hanging="0"/>
              <w:jc w:val="center"/>
              <w:rPr/>
            </w:pPr>
            <w:r>
              <w:rPr/>
              <w:t> </w:t>
            </w:r>
          </w:p>
        </w:tc>
      </w:tr>
      <w:tr>
        <w:trPr/>
        <w:tc>
          <w:tcPr>
            <w:tcW w:w="4770"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17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xml:space="preserve">3 Months Ending </w:t>
              <w:br/>
              <w:t>March 31, 2010</w:t>
            </w:r>
          </w:p>
        </w:tc>
        <w:tc>
          <w:tcPr>
            <w:tcW w:w="189" w:type="dxa"/>
            <w:tcBorders/>
            <w:shd w:fill="auto" w:val="clear"/>
            <w:vAlign w:val="bottom"/>
          </w:tcPr>
          <w:p>
            <w:pPr>
              <w:pStyle w:val="TableContents"/>
              <w:spacing w:before="0" w:after="0"/>
              <w:ind w:left="0" w:right="0" w:hanging="0"/>
              <w:jc w:val="center"/>
              <w:rPr/>
            </w:pPr>
            <w:r>
              <w:rPr/>
              <w:t> </w:t>
            </w:r>
          </w:p>
        </w:tc>
        <w:tc>
          <w:tcPr>
            <w:tcW w:w="176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xml:space="preserve">12 Months Ending </w:t>
              <w:br/>
              <w:t>December 31, 2010</w:t>
            </w:r>
          </w:p>
        </w:tc>
        <w:tc>
          <w:tcPr>
            <w:tcW w:w="110" w:type="dxa"/>
            <w:tcBorders/>
            <w:shd w:fill="auto" w:val="clear"/>
            <w:vAlign w:val="bottom"/>
          </w:tcPr>
          <w:p>
            <w:pPr>
              <w:pStyle w:val="TableContents"/>
              <w:spacing w:before="0" w:after="0"/>
              <w:ind w:left="0" w:right="0" w:hanging="0"/>
              <w:jc w:val="center"/>
              <w:rPr/>
            </w:pPr>
            <w:r>
              <w:rPr/>
              <w:t> </w:t>
            </w:r>
          </w:p>
        </w:tc>
      </w:tr>
      <w:tr>
        <w:trPr/>
        <w:tc>
          <w:tcPr>
            <w:tcW w:w="4770" w:type="dxa"/>
            <w:tcBorders/>
            <w:shd w:fill="auto" w:val="clear"/>
            <w:vAlign w:val="bottom"/>
          </w:tcPr>
          <w:p>
            <w:pPr>
              <w:pStyle w:val="TableContents"/>
              <w:spacing w:before="0" w:after="0"/>
              <w:ind w:left="0" w:right="0" w:hanging="0"/>
              <w:rPr/>
            </w:pPr>
            <w:r>
              <w:rPr/>
              <w:t> </w:t>
            </w:r>
          </w:p>
        </w:tc>
        <w:tc>
          <w:tcPr>
            <w:tcW w:w="185" w:type="dxa"/>
            <w:tcBorders/>
            <w:shd w:fill="auto" w:val="clear"/>
            <w:vAlign w:val="bottom"/>
          </w:tcPr>
          <w:p>
            <w:pPr>
              <w:pStyle w:val="TableContents"/>
              <w:spacing w:before="0" w:after="0"/>
              <w:ind w:left="0" w:right="0" w:hanging="0"/>
              <w:jc w:val="center"/>
              <w:rPr/>
            </w:pPr>
            <w:r>
              <w:rPr/>
              <w:t> </w:t>
            </w:r>
          </w:p>
        </w:tc>
        <w:tc>
          <w:tcPr>
            <w:tcW w:w="7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89" w:type="dxa"/>
            <w:tcBorders/>
            <w:shd w:fill="auto" w:val="clear"/>
            <w:vAlign w:val="bottom"/>
          </w:tcPr>
          <w:p>
            <w:pPr>
              <w:pStyle w:val="TableContents"/>
              <w:spacing w:before="0" w:after="0"/>
              <w:ind w:left="0" w:right="0" w:hanging="0"/>
              <w:jc w:val="center"/>
              <w:rPr/>
            </w:pPr>
            <w:r>
              <w:rPr/>
              <w:t> </w:t>
            </w:r>
          </w:p>
        </w:tc>
        <w:tc>
          <w:tcPr>
            <w:tcW w:w="78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8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0" w:type="dxa"/>
            <w:tcBorders/>
            <w:shd w:fill="auto" w:val="clear"/>
            <w:vAlign w:val="bottom"/>
          </w:tcPr>
          <w:p>
            <w:pPr>
              <w:pStyle w:val="TableContents"/>
              <w:spacing w:before="0" w:after="0"/>
              <w:ind w:left="0" w:right="0" w:hanging="0"/>
              <w:jc w:val="center"/>
              <w:rPr/>
            </w:pPr>
            <w:r>
              <w:rPr/>
              <w:t> </w:t>
            </w:r>
          </w:p>
        </w:tc>
      </w:tr>
      <w:tr>
        <w:trPr/>
        <w:tc>
          <w:tcPr>
            <w:tcW w:w="4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185"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469</w:t>
            </w:r>
          </w:p>
        </w:tc>
        <w:tc>
          <w:tcPr>
            <w:tcW w:w="189"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535</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pPr>
            <w:r>
              <w:rPr>
                <w:rFonts w:ascii="Times New Roman" w:hAnsi="Times New Roman"/>
                <w:sz w:val="17"/>
              </w:rPr>
              <w:t>Less: General partners incentive distribution paid</w:t>
            </w:r>
            <w:r>
              <w:rPr>
                <w:sz w:val="11"/>
              </w:rPr>
              <w:t>(1)</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85"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185"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373</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pPr>
            <w:r>
              <w:rPr>
                <w:rFonts w:ascii="Times New Roman" w:hAnsi="Times New Roman"/>
                <w:sz w:val="17"/>
              </w:rPr>
              <w:t xml:space="preserve">Adjustment in accordance with application of the two-class method for MLPs </w:t>
            </w:r>
            <w:r>
              <w:rPr>
                <w:sz w:val="11"/>
              </w:rPr>
              <w:t>(1)</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770" w:type="dxa"/>
            <w:tcBorders/>
            <w:shd w:fill="auto" w:val="clear"/>
            <w:vAlign w:val="bottom"/>
          </w:tcPr>
          <w:p>
            <w:pPr>
              <w:pStyle w:val="TableContents"/>
              <w:spacing w:before="0" w:after="0"/>
              <w:ind w:left="0" w:right="0" w:hanging="0"/>
              <w:rPr/>
            </w:pPr>
            <w:r>
              <w:rPr>
                <w:rFonts w:ascii="Times New Roman" w:hAnsi="Times New Roman"/>
                <w:sz w:val="17"/>
              </w:rPr>
              <w:t xml:space="preserve">Net income available to limited partners in accordance with application of the two-class method for MLPs </w:t>
            </w:r>
            <w:r>
              <w:rPr>
                <w:sz w:val="11"/>
              </w:rPr>
              <w:t>(1)</w:t>
            </w:r>
          </w:p>
        </w:tc>
        <w:tc>
          <w:tcPr>
            <w:tcW w:w="185" w:type="dxa"/>
            <w:tcBorders/>
            <w:shd w:fill="auto" w:val="clear"/>
            <w:vAlign w:val="bottom"/>
          </w:tcPr>
          <w:p>
            <w:pPr>
              <w:pStyle w:val="TableContents"/>
              <w:spacing w:before="0" w:after="0"/>
              <w:ind w:left="0" w:right="0" w:hanging="0"/>
              <w:rPr/>
            </w:pPr>
            <w:r>
              <w:rPr/>
              <w:t> </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89" w:type="dxa"/>
            <w:tcBorders/>
            <w:shd w:fill="auto" w:val="clear"/>
            <w:vAlign w:val="bottom"/>
          </w:tcPr>
          <w:p>
            <w:pPr>
              <w:pStyle w:val="TableContents"/>
              <w:spacing w:before="0" w:after="0"/>
              <w:ind w:left="0" w:right="0" w:hanging="0"/>
              <w:rPr/>
            </w:pPr>
            <w:r>
              <w:rPr/>
              <w:t> </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189" w:type="dxa"/>
            <w:tcBorders/>
            <w:shd w:fill="auto" w:val="clear"/>
            <w:vAlign w:val="bottom"/>
          </w:tcPr>
          <w:p>
            <w:pPr>
              <w:pStyle w:val="TableContents"/>
              <w:spacing w:before="0" w:after="0"/>
              <w:ind w:left="0" w:right="0" w:hanging="0"/>
              <w:rPr/>
            </w:pPr>
            <w:r>
              <w:rPr/>
              <w:t> </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w:t>
            </w:r>
          </w:p>
        </w:tc>
        <w:tc>
          <w:tcPr>
            <w:tcW w:w="189" w:type="dxa"/>
            <w:tcBorders/>
            <w:shd w:fill="auto" w:val="clear"/>
            <w:vAlign w:val="bottom"/>
          </w:tcPr>
          <w:p>
            <w:pPr>
              <w:pStyle w:val="TableContents"/>
              <w:spacing w:before="0" w:after="0"/>
              <w:ind w:left="0" w:right="0" w:hanging="0"/>
              <w:rPr/>
            </w:pPr>
            <w:r>
              <w:rPr/>
              <w:t> </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top w:val="double" w:sz="6" w:space="0" w:color="000000"/>
            </w:tcBorders>
            <w:shd w:fill="CCEEFF" w:val="clear"/>
            <w:tcMar>
              <w:top w:w="28" w:type="dxa"/>
            </w:tcM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185"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110" w:type="dxa"/>
            <w:tcBorders/>
            <w:shd w:fill="CCEEFF" w:val="clear"/>
            <w:vAlign w:val="bottom"/>
          </w:tcPr>
          <w:p>
            <w:pPr>
              <w:pStyle w:val="TableContents"/>
              <w:spacing w:before="0" w:after="0"/>
              <w:ind w:left="0" w:right="0" w:hanging="0"/>
              <w:rPr/>
            </w:pPr>
            <w:r>
              <w:rPr/>
              <w:t> </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185"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shd w:fill="auto" w:val="clear"/>
            <w:vAlign w:val="bottom"/>
          </w:tcPr>
          <w:p>
            <w:pPr>
              <w:pStyle w:val="TableContents"/>
              <w:spacing w:before="0" w:after="0"/>
              <w:ind w:left="0" w:right="0" w:hanging="0"/>
              <w:jc w:val="right"/>
              <w:rPr/>
            </w:pPr>
            <w:r>
              <w:rPr/>
              <w:t> </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0" w:type="dxa"/>
            <w:tcBorders/>
            <w:shd w:fill="CCEEFF" w:val="clear"/>
            <w:vAlign w:val="bottom"/>
          </w:tcPr>
          <w:p>
            <w:pPr>
              <w:pStyle w:val="TableContents"/>
              <w:spacing w:before="0" w:after="0"/>
              <w:ind w:left="0" w:right="0" w:hanging="0"/>
              <w:rPr/>
            </w:pPr>
            <w:r>
              <w:rPr/>
              <w:t> </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185" w:type="dxa"/>
            <w:tcBorders/>
            <w:shd w:fill="auto" w:val="clear"/>
            <w:vAlign w:val="bottom"/>
          </w:tcPr>
          <w:p>
            <w:pPr>
              <w:pStyle w:val="TableContents"/>
              <w:spacing w:before="0" w:after="0"/>
              <w:ind w:left="0" w:right="0" w:hanging="0"/>
              <w:rPr/>
            </w:pPr>
            <w:r>
              <w:rPr/>
              <w:t> </w:t>
            </w:r>
          </w:p>
        </w:tc>
        <w:tc>
          <w:tcPr>
            <w:tcW w:w="78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89" w:type="dxa"/>
            <w:tcBorders/>
            <w:shd w:fill="auto" w:val="clear"/>
            <w:vAlign w:val="bottom"/>
          </w:tcPr>
          <w:p>
            <w:pPr>
              <w:pStyle w:val="TableContents"/>
              <w:spacing w:before="0" w:after="0"/>
              <w:ind w:left="0" w:right="0" w:hanging="0"/>
              <w:rPr/>
            </w:pPr>
            <w:r>
              <w:rPr/>
              <w:t> </w:t>
            </w:r>
          </w:p>
        </w:tc>
        <w:tc>
          <w:tcPr>
            <w:tcW w:w="78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pPr>
            <w:r>
              <w:rPr/>
              <w:t> </w:t>
            </w:r>
          </w:p>
        </w:tc>
        <w:tc>
          <w:tcPr>
            <w:tcW w:w="185"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86" w:type="dxa"/>
            <w:gridSpan w:val="2"/>
            <w:tcBorders/>
            <w:shd w:fill="CCEEFF" w:val="clear"/>
            <w:vAlign w:val="bottom"/>
          </w:tcPr>
          <w:p>
            <w:pPr>
              <w:pStyle w:val="TableContents"/>
              <w:spacing w:before="0" w:after="0"/>
              <w:ind w:left="0" w:right="0" w:hanging="0"/>
              <w:jc w:val="right"/>
              <w:rPr/>
            </w:pPr>
            <w:r>
              <w:rPr/>
              <w:t> </w:t>
            </w:r>
          </w:p>
        </w:tc>
        <w:tc>
          <w:tcPr>
            <w:tcW w:w="110" w:type="dxa"/>
            <w:tcBorders/>
            <w:shd w:fill="CCEEFF" w:val="clear"/>
            <w:vAlign w:val="bottom"/>
          </w:tcPr>
          <w:p>
            <w:pPr>
              <w:pStyle w:val="TableContents"/>
              <w:spacing w:before="0" w:after="0"/>
              <w:ind w:left="0" w:right="0" w:hanging="0"/>
              <w:rPr/>
            </w:pPr>
            <w:r>
              <w:rPr/>
              <w:t> </w:t>
            </w:r>
          </w:p>
        </w:tc>
      </w:tr>
      <w:tr>
        <w:trPr/>
        <w:tc>
          <w:tcPr>
            <w:tcW w:w="47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18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189"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0.70</w:t>
            </w:r>
          </w:p>
        </w:tc>
        <w:tc>
          <w:tcPr>
            <w:tcW w:w="189"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189"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10" w:type="dxa"/>
            <w:tcBorders/>
            <w:shd w:fill="auto" w:val="clear"/>
            <w:vAlign w:val="bottom"/>
          </w:tcPr>
          <w:p>
            <w:pPr>
              <w:pStyle w:val="TableContents"/>
              <w:spacing w:before="0" w:after="0"/>
              <w:ind w:left="0" w:right="0" w:hanging="0"/>
              <w:rPr/>
            </w:pPr>
            <w:r>
              <w:rPr/>
              <w:t> </w:t>
            </w:r>
          </w:p>
        </w:tc>
      </w:tr>
      <w:tr>
        <w:trPr/>
        <w:tc>
          <w:tcPr>
            <w:tcW w:w="47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185"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0.51</w:t>
            </w:r>
          </w:p>
        </w:tc>
        <w:tc>
          <w:tcPr>
            <w:tcW w:w="189"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0.69</w:t>
            </w:r>
          </w:p>
        </w:tc>
        <w:tc>
          <w:tcPr>
            <w:tcW w:w="189"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189"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11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to our general partner based on the distribution paid during the current quarter (including the incentive distribution interest in excess of the 2% general partner interest).  However, FASB requires that the distribution pertaining to the current periods net income, which is to be paid in the subsequent quarter, be utilized within the earnings per unit calculation.  After adjusting for this distribution, the remaining undistributed earnings or excess distribution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 class method for MLPs.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conjunction with the Pacific, Rainbow and PNGS acquisitions, our general partner reduced the amounts due it as incentive distributions by an aggregate amount of $83 million. Approximately $60 million of this reduction was realized as of December 31, 2009.  Incentive distributions will be reduced approximately $16 million in 2010 and $7 million in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relative amount of the incentive distribution varies directionally with the number of units outstanding and the level of the distribution on the units. Based on the current number of units outstanding, each $0.05 per unit annual increase or decrease in the distribution relative to forecasted amounts decreases or increases net income available for limited partners by approximately $7 million ($0.05 per unit) on an annualized basis.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110225_7748"/>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Equity Compensation Plans</w:t>
      </w:r>
      <w:r>
        <w:rPr>
          <w:rFonts w:ascii="Times New Roman" w:hAnsi="Times New Roman"/>
          <w:sz w:val="17"/>
        </w:rPr>
        <w:t>.  The majority of grants outstanding under our equity compensation plans (LTIP and Class B units)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outstanding as of February 10, 2010, estimated vesting dates range from May 2010 to May 2019 and annualized distribution levels range from $3.00 to $4.50. For some awards, a percentage of any units remaining unvested as of a date certain will vest on such date and all others are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January 20, 2010, we declared an annualized distribution of $3.71 payable on February 12, 2010 to our unitholders of record as of February 2, 2010. We have made the assessment that a $3.90 distribution level is probable of occurring prior to the expiration dates of the underlying LTIP grants and accordingly, for grants that vest at annualized distribution levels of $3.90 or less, guidance includes an accrual over the applicable service period at an assumed market price of approximately $53.00 per unit as well as the fair value associated with awards that will vest on a date certain.  The actual amount of equity compensation expense amortization in any given period will be directly influenced by (i) our unit price at the end of each reporting period, (ii) our unit price on the date of actual vesting, (iii) the amount of the amortization in the early years, (iv) the probability assessment of achieving future distribution rates, and (v) new equity compensation award grants. For example, a $3.00 change in the unit price assumption at March 31, 2010 would change the first-quarter equity compensation expense by approximately $6 million. Therefore, actual net income could differ materially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Reconciliation of Net Income to EBIT and EBITDA.</w:t>
      </w:r>
      <w:r>
        <w:rPr>
          <w:rFonts w:ascii="Times New Roman" w:hAnsi="Times New Roman"/>
        </w:rPr>
        <w:t xml:space="preserve">  </w:t>
      </w:r>
      <w:r>
        <w:rPr>
          <w:rFonts w:ascii="Times New Roman" w:hAnsi="Times New Roman"/>
          <w:sz w:val="17"/>
        </w:rPr>
        <w:t>The following table reconciles net income to EBIT and EBITDA, for the three-month and twelve-month guidance ranges ending March 31, 2010 and December 31, 2010, respectively.</w:t>
      </w:r>
    </w:p>
    <w:p>
      <w:pPr>
        <w:pStyle w:val="TextBody"/>
        <w:spacing w:before="0" w:after="0"/>
        <w:ind w:left="0" w:right="0" w:hanging="0"/>
        <w:jc w:val="center"/>
        <w:rPr/>
      </w:pPr>
      <w:r>
        <w:rPr/>
        <w:t> </w:t>
      </w:r>
    </w:p>
    <w:tbl>
      <w:tblPr>
        <w:tblW w:w="4300" w:type="pct"/>
        <w:jc w:val="left"/>
        <w:tblInd w:w="0" w:type="dxa"/>
        <w:tblCellMar>
          <w:top w:w="0" w:type="dxa"/>
          <w:left w:w="0" w:type="dxa"/>
          <w:bottom w:w="0" w:type="dxa"/>
          <w:right w:w="0" w:type="dxa"/>
        </w:tblCellMar>
      </w:tblPr>
      <w:tblGrid>
        <w:gridCol w:w="3831"/>
        <w:gridCol w:w="180"/>
        <w:gridCol w:w="112"/>
        <w:gridCol w:w="903"/>
        <w:gridCol w:w="186"/>
        <w:gridCol w:w="112"/>
        <w:gridCol w:w="903"/>
        <w:gridCol w:w="186"/>
        <w:gridCol w:w="112"/>
        <w:gridCol w:w="903"/>
        <w:gridCol w:w="186"/>
        <w:gridCol w:w="111"/>
        <w:gridCol w:w="940"/>
        <w:gridCol w:w="111"/>
      </w:tblGrid>
      <w:tr>
        <w:trPr/>
        <w:tc>
          <w:tcPr>
            <w:tcW w:w="3831"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221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xml:space="preserve">3 Months Ending </w:t>
              <w:br/>
              <w:t>March 31, 2010</w:t>
            </w:r>
          </w:p>
        </w:tc>
        <w:tc>
          <w:tcPr>
            <w:tcW w:w="186" w:type="dxa"/>
            <w:tcBorders/>
            <w:shd w:fill="auto" w:val="clear"/>
            <w:vAlign w:val="bottom"/>
          </w:tcPr>
          <w:p>
            <w:pPr>
              <w:pStyle w:val="TableContents"/>
              <w:spacing w:before="0" w:after="0"/>
              <w:ind w:left="0" w:right="0" w:hanging="0"/>
              <w:jc w:val="center"/>
              <w:rPr/>
            </w:pPr>
            <w:r>
              <w:rPr/>
              <w:t> </w:t>
            </w:r>
          </w:p>
        </w:tc>
        <w:tc>
          <w:tcPr>
            <w:tcW w:w="22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xml:space="preserve">12 Months Ending </w:t>
              <w:br/>
              <w:t>December 31, 2010</w:t>
            </w:r>
          </w:p>
        </w:tc>
        <w:tc>
          <w:tcPr>
            <w:tcW w:w="111" w:type="dxa"/>
            <w:tcBorders/>
            <w:shd w:fill="auto" w:val="clear"/>
            <w:vAlign w:val="bottom"/>
          </w:tcPr>
          <w:p>
            <w:pPr>
              <w:pStyle w:val="TableContents"/>
              <w:spacing w:before="0" w:after="0"/>
              <w:ind w:left="0" w:right="0" w:hanging="0"/>
              <w:jc w:val="center"/>
              <w:rPr/>
            </w:pPr>
            <w:r>
              <w:rPr/>
              <w:t> </w:t>
            </w:r>
          </w:p>
        </w:tc>
      </w:tr>
      <w:tr>
        <w:trPr/>
        <w:tc>
          <w:tcPr>
            <w:tcW w:w="3831"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jc w:val="center"/>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6" w:type="dxa"/>
            <w:tcBorders/>
            <w:shd w:fill="auto" w:val="clear"/>
            <w:vAlign w:val="bottom"/>
          </w:tcPr>
          <w:p>
            <w:pPr>
              <w:pStyle w:val="TableContents"/>
              <w:spacing w:before="0" w:after="0"/>
              <w:ind w:left="0" w:right="0" w:hanging="0"/>
              <w:jc w:val="center"/>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86" w:type="dxa"/>
            <w:tcBorders/>
            <w:shd w:fill="auto" w:val="clear"/>
            <w:vAlign w:val="bottom"/>
          </w:tcPr>
          <w:p>
            <w:pPr>
              <w:pStyle w:val="TableContents"/>
              <w:spacing w:before="0" w:after="0"/>
              <w:ind w:left="0" w:right="0" w:hanging="0"/>
              <w:jc w:val="center"/>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8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11" w:type="dxa"/>
            <w:tcBorders/>
            <w:shd w:fill="auto" w:val="clear"/>
            <w:vAlign w:val="bottom"/>
          </w:tcPr>
          <w:p>
            <w:pPr>
              <w:pStyle w:val="TableContents"/>
              <w:spacing w:before="0" w:after="0"/>
              <w:ind w:left="0" w:right="0" w:hanging="0"/>
              <w:jc w:val="center"/>
              <w:rPr/>
            </w:pPr>
            <w:r>
              <w:rPr/>
              <w:t> </w:t>
            </w:r>
          </w:p>
        </w:tc>
      </w:tr>
      <w:tr>
        <w:trPr/>
        <w:tc>
          <w:tcPr>
            <w:tcW w:w="3831" w:type="dxa"/>
            <w:tcBorders/>
            <w:shd w:fill="auto" w:val="clear"/>
            <w:vAlign w:val="bottom"/>
          </w:tcPr>
          <w:p>
            <w:pPr>
              <w:pStyle w:val="TableContents"/>
              <w:spacing w:before="0" w:after="0"/>
              <w:ind w:left="0" w:right="0" w:hanging="0"/>
              <w:rPr/>
            </w:pPr>
            <w:r>
              <w:rPr/>
              <w:t> </w:t>
            </w:r>
          </w:p>
        </w:tc>
        <w:tc>
          <w:tcPr>
            <w:tcW w:w="180"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015" w:type="dxa"/>
            <w:gridSpan w:val="2"/>
            <w:tcBorders/>
            <w:shd w:fill="auto" w:val="clear"/>
            <w:vAlign w:val="bottom"/>
          </w:tcPr>
          <w:p>
            <w:pPr>
              <w:pStyle w:val="TableContents"/>
              <w:spacing w:before="0" w:after="0"/>
              <w:ind w:left="0" w:right="0" w:hanging="0"/>
              <w:jc w:val="right"/>
              <w:rPr/>
            </w:pPr>
            <w:r>
              <w:rPr/>
              <w:t> </w:t>
            </w:r>
          </w:p>
        </w:tc>
        <w:tc>
          <w:tcPr>
            <w:tcW w:w="186"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0"/>
              <w:ind w:left="0" w:right="0" w:hanging="0"/>
              <w:rPr/>
            </w:pPr>
            <w:r>
              <w:rPr/>
              <w:t> </w:t>
            </w:r>
          </w:p>
        </w:tc>
      </w:tr>
      <w:tr>
        <w:trPr/>
        <w:tc>
          <w:tcPr>
            <w:tcW w:w="38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80"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pPr>
            <w:r>
              <w:rPr/>
              <w:t> </w:t>
            </w:r>
          </w:p>
        </w:tc>
        <w:tc>
          <w:tcPr>
            <w:tcW w:w="186"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111" w:type="dxa"/>
            <w:tcBorders/>
            <w:shd w:fill="CCEEFF" w:val="clear"/>
            <w:vAlign w:val="bottom"/>
          </w:tcPr>
          <w:p>
            <w:pPr>
              <w:pStyle w:val="TableContents"/>
              <w:spacing w:before="0" w:after="0"/>
              <w:ind w:left="0" w:right="0" w:hanging="0"/>
              <w:rPr/>
            </w:pPr>
            <w:r>
              <w:rPr/>
              <w:t> </w:t>
            </w:r>
          </w:p>
        </w:tc>
      </w:tr>
      <w:tr>
        <w:trPr/>
        <w:tc>
          <w:tcPr>
            <w:tcW w:w="38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180"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18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186" w:type="dxa"/>
            <w:tcBorders/>
            <w:shd w:fill="auto" w:val="clear"/>
            <w:vAlign w:val="bottom"/>
          </w:tcPr>
          <w:p>
            <w:pPr>
              <w:pStyle w:val="TableContents"/>
              <w:spacing w:before="0" w:after="0"/>
              <w:ind w:left="0" w:right="0" w:hanging="0"/>
              <w:rPr/>
            </w:pPr>
            <w:r>
              <w:rPr/>
              <w:t> </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471</w:t>
            </w:r>
          </w:p>
        </w:tc>
        <w:tc>
          <w:tcPr>
            <w:tcW w:w="18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537</w:t>
            </w:r>
          </w:p>
        </w:tc>
        <w:tc>
          <w:tcPr>
            <w:tcW w:w="111" w:type="dxa"/>
            <w:tcBorders/>
            <w:shd w:fill="auto" w:val="clear"/>
            <w:vAlign w:val="bottom"/>
          </w:tcPr>
          <w:p>
            <w:pPr>
              <w:pStyle w:val="TableContents"/>
              <w:spacing w:before="0" w:after="0"/>
              <w:ind w:left="0" w:right="0" w:hanging="0"/>
              <w:rPr/>
            </w:pPr>
            <w:r>
              <w:rPr/>
              <w:t> </w:t>
            </w:r>
          </w:p>
        </w:tc>
      </w:tr>
      <w:tr>
        <w:trPr/>
        <w:tc>
          <w:tcPr>
            <w:tcW w:w="38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0"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8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0" w:type="dxa"/>
            <w:tcBorders/>
            <w:shd w:fill="auto"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180"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186"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w:t>
            </w:r>
          </w:p>
        </w:tc>
        <w:tc>
          <w:tcPr>
            <w:tcW w:w="186" w:type="dxa"/>
            <w:tcBorders/>
            <w:shd w:fill="CCEEFF" w:val="clear"/>
            <w:vAlign w:val="bottom"/>
          </w:tcPr>
          <w:p>
            <w:pPr>
              <w:pStyle w:val="TableContents"/>
              <w:spacing w:before="0" w:after="0"/>
              <w:ind w:left="0" w:right="0" w:hanging="0"/>
              <w:rPr/>
            </w:pPr>
            <w:r>
              <w:rPr/>
              <w:t> </w:t>
            </w:r>
          </w:p>
        </w:tc>
        <w:tc>
          <w:tcPr>
            <w:tcW w:w="101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722</w:t>
            </w:r>
          </w:p>
        </w:tc>
        <w:tc>
          <w:tcPr>
            <w:tcW w:w="186"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778</w:t>
            </w:r>
          </w:p>
        </w:tc>
        <w:tc>
          <w:tcPr>
            <w:tcW w:w="111" w:type="dxa"/>
            <w:tcBorders/>
            <w:shd w:fill="CCEEFF" w:val="clear"/>
            <w:vAlign w:val="bottom"/>
          </w:tcPr>
          <w:p>
            <w:pPr>
              <w:pStyle w:val="TableContents"/>
              <w:spacing w:before="0" w:after="0"/>
              <w:ind w:left="0" w:right="0" w:hanging="0"/>
              <w:rPr/>
            </w:pPr>
            <w:r>
              <w:rPr/>
              <w:t> </w:t>
            </w:r>
          </w:p>
        </w:tc>
      </w:tr>
      <w:tr>
        <w:trPr/>
        <w:tc>
          <w:tcPr>
            <w:tcW w:w="38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0" w:type="dxa"/>
            <w:tcBorders/>
            <w:shd w:fill="auto" w:val="clear"/>
            <w:vAlign w:val="bottom"/>
          </w:tcPr>
          <w:p>
            <w:pPr>
              <w:pStyle w:val="TableContents"/>
              <w:spacing w:before="0" w:after="0"/>
              <w:ind w:left="0" w:right="0" w:hanging="0"/>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8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180"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238</w:t>
            </w:r>
          </w:p>
        </w:tc>
        <w:tc>
          <w:tcPr>
            <w:tcW w:w="186"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w:t>
            </w:r>
          </w:p>
        </w:tc>
        <w:tc>
          <w:tcPr>
            <w:tcW w:w="186" w:type="dxa"/>
            <w:tcBorders/>
            <w:shd w:fill="CCEEFF" w:val="clear"/>
            <w:vAlign w:val="bottom"/>
          </w:tcPr>
          <w:p>
            <w:pPr>
              <w:pStyle w:val="TableContents"/>
              <w:spacing w:before="0" w:after="0"/>
              <w:ind w:left="0" w:right="0" w:hanging="0"/>
              <w:rPr/>
            </w:pPr>
            <w:r>
              <w:rPr/>
              <w:t> </w:t>
            </w:r>
          </w:p>
        </w:tc>
        <w:tc>
          <w:tcPr>
            <w:tcW w:w="1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979</w:t>
            </w:r>
          </w:p>
        </w:tc>
        <w:tc>
          <w:tcPr>
            <w:tcW w:w="18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1,029</w:t>
            </w:r>
          </w:p>
        </w:tc>
        <w:tc>
          <w:tcPr>
            <w:tcW w:w="11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110506_141"/>
      <w:bookmarkEnd w:id="8"/>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the results anticipated in the forward-looking statements.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abrupt or severe declines or interruptions in outer continental shelf production located offshore California and transported on our pipeline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power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and fluctuations in tariffs or volumes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110554_7608"/>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natural gas storage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future developments and circumstances at the time distributions are declared;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deteriorated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refined products and liquefied petroleum gas and other natural gas related petroleum products.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110612_8146"/>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5"/>
        <w:gridCol w:w="411"/>
        <w:gridCol w:w="618"/>
        <w:gridCol w:w="4021"/>
      </w:tblGrid>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February 10, 2010</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55"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21" w:type="dxa"/>
            <w:tcBorders/>
            <w:shd w:fill="auto" w:val="clear"/>
          </w:tcPr>
          <w:p>
            <w:pPr>
              <w:pStyle w:val="TableContents"/>
              <w:spacing w:before="0" w:after="0"/>
              <w:ind w:left="0" w:right="0" w:hanging="0"/>
              <w:rPr/>
            </w:pPr>
            <w:r>
              <w:rPr>
                <w:rFonts w:ascii="Times New Roman" w:hAnsi="Times New Roman"/>
                <w:i/>
                <w:sz w:val="17"/>
              </w:rPr>
              <w:t>Senior Vice</w:t>
            </w:r>
            <w:r>
              <w:rPr/>
              <w:t xml:space="preserve"> </w:t>
            </w:r>
            <w:r>
              <w:rPr>
                <w:i/>
                <w:sz w:val="17"/>
              </w:rPr>
              <w:t>President and</w:t>
            </w:r>
            <w:r>
              <w:rPr>
                <w:sz w:val="17"/>
              </w:rPr>
              <w:t xml:space="preserve"> </w:t>
              <w:br/>
            </w:r>
            <w:r>
              <w:rPr>
                <w:i/>
                <w:sz w:val="17"/>
              </w:rPr>
              <w:t>Chief Financial Officer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110814_7091"/>
      <w:bookmarkEnd w:id="11"/>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2" w:name="a10-3395_1ex99d1.htm"/>
      <w:bookmarkStart w:id="13" w:name="ksa103395_1ex99d1"/>
      <w:bookmarkEnd w:id="12"/>
      <w:bookmarkEnd w:id="13"/>
      <w:r>
        <w:rPr>
          <w:rFonts w:ascii="Times New Roman" w:hAnsi="Times New Roman"/>
          <w:b/>
          <w:sz w:val="17"/>
        </w:rPr>
        <w:t>Exhibit 99.1</w:t>
      </w:r>
    </w:p>
    <w:p>
      <w:pPr>
        <w:pStyle w:val="TextBody"/>
        <w:spacing w:before="0" w:after="0"/>
        <w:ind w:left="0" w:right="0" w:hanging="0"/>
        <w:jc w:val="right"/>
        <w:rPr/>
      </w:pPr>
      <w:r>
        <w:rPr/>
        <w:t> </w:t>
      </w:r>
    </w:p>
    <w:tbl>
      <w:tblPr>
        <w:tblW w:w="5000" w:type="pct"/>
        <w:jc w:val="left"/>
        <w:tblInd w:w="0" w:type="dxa"/>
        <w:tblCellMar>
          <w:top w:w="0" w:type="dxa"/>
          <w:left w:w="0" w:type="dxa"/>
          <w:bottom w:w="0" w:type="dxa"/>
          <w:right w:w="0" w:type="dxa"/>
        </w:tblCellMar>
      </w:tblPr>
      <w:tblGrid>
        <w:gridCol w:w="5101"/>
        <w:gridCol w:w="5104"/>
      </w:tblGrid>
      <w:tr>
        <w:trPr/>
        <w:tc>
          <w:tcPr>
            <w:tcW w:w="5101" w:type="dxa"/>
            <w:tcBorders/>
            <w:shd w:fill="auto" w:val="clear"/>
          </w:tcPr>
          <w:p>
            <w:pPr>
              <w:pStyle w:val="TableContents"/>
              <w:spacing w:before="0" w:after="0"/>
              <w:ind w:left="0" w:right="0" w:hanging="0"/>
              <w:rPr/>
            </w:pPr>
            <w:r>
              <w:rPr/>
              <w:drawing>
                <wp:inline distT="0" distB="0" distL="0" distR="0">
                  <wp:extent cx="3209925"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990600"/>
                          </a:xfrm>
                          <a:prstGeom prst="rect">
                            <a:avLst/>
                          </a:prstGeom>
                        </pic:spPr>
                      </pic:pic>
                    </a:graphicData>
                  </a:graphic>
                </wp:inline>
              </w:drawing>
            </w:r>
          </w:p>
        </w:tc>
        <w:tc>
          <w:tcPr>
            <w:tcW w:w="5104" w:type="dxa"/>
            <w:tcBorders/>
            <w:shd w:fill="auto" w:val="clear"/>
          </w:tcPr>
          <w:p>
            <w:pPr>
              <w:pStyle w:val="TableContents"/>
              <w:spacing w:before="0" w:after="0"/>
              <w:ind w:left="0" w:right="0" w:hanging="0"/>
              <w:jc w:val="right"/>
              <w:rPr/>
            </w:pPr>
            <w:r>
              <w:rPr/>
              <w:drawing>
                <wp:inline distT="0" distB="0" distL="0" distR="0">
                  <wp:extent cx="24288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676275"/>
                          </a:xfrm>
                          <a:prstGeom prst="rect">
                            <a:avLst/>
                          </a:prstGeom>
                        </pic:spPr>
                      </pic:pic>
                    </a:graphicData>
                  </a:graphic>
                </wp:inline>
              </w:drawing>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339"/>
        <w:gridCol w:w="4741"/>
        <w:gridCol w:w="4125"/>
      </w:tblGrid>
      <w:tr>
        <w:trPr/>
        <w:tc>
          <w:tcPr>
            <w:tcW w:w="1339" w:type="dxa"/>
            <w:tcBorders/>
            <w:shd w:fill="auto" w:val="clear"/>
          </w:tcPr>
          <w:p>
            <w:pPr>
              <w:pStyle w:val="TableContents"/>
              <w:spacing w:before="0" w:after="0"/>
              <w:ind w:left="0" w:right="0" w:hanging="0"/>
              <w:rPr/>
            </w:pPr>
            <w:r>
              <w:rPr>
                <w:rFonts w:ascii="Times New Roman" w:hAnsi="Times New Roman"/>
                <w:b/>
                <w:sz w:val="17"/>
                <w:u w:val="single"/>
              </w:rPr>
              <w:t>Contacts</w:t>
            </w:r>
            <w:r>
              <w:rPr>
                <w:b/>
                <w:sz w:val="17"/>
              </w:rPr>
              <w:t>:</w:t>
            </w:r>
          </w:p>
        </w:tc>
        <w:tc>
          <w:tcPr>
            <w:tcW w:w="474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Roy I. Lamoreaux</w:t>
            </w:r>
          </w:p>
        </w:tc>
        <w:tc>
          <w:tcPr>
            <w:tcW w:w="412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Al Swanson</w:t>
            </w:r>
          </w:p>
        </w:tc>
      </w:tr>
      <w:tr>
        <w:trPr/>
        <w:tc>
          <w:tcPr>
            <w:tcW w:w="1339" w:type="dxa"/>
            <w:tcBorders/>
            <w:shd w:fill="auto" w:val="clear"/>
          </w:tcPr>
          <w:p>
            <w:pPr>
              <w:pStyle w:val="TableContents"/>
              <w:spacing w:before="0" w:after="0"/>
              <w:ind w:left="0" w:right="0" w:hanging="0"/>
              <w:rPr/>
            </w:pPr>
            <w:r>
              <w:rPr/>
              <w:t> </w:t>
            </w:r>
          </w:p>
        </w:tc>
        <w:tc>
          <w:tcPr>
            <w:tcW w:w="474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Director, Investor Relations</w:t>
            </w:r>
          </w:p>
        </w:tc>
        <w:tc>
          <w:tcPr>
            <w:tcW w:w="412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Senior Vice President, CFO</w:t>
            </w:r>
          </w:p>
        </w:tc>
      </w:tr>
      <w:tr>
        <w:trPr/>
        <w:tc>
          <w:tcPr>
            <w:tcW w:w="1339" w:type="dxa"/>
            <w:tcBorders/>
            <w:shd w:fill="auto" w:val="clear"/>
          </w:tcPr>
          <w:p>
            <w:pPr>
              <w:pStyle w:val="TableContents"/>
              <w:spacing w:before="0" w:after="0"/>
              <w:ind w:left="0" w:right="0" w:hanging="0"/>
              <w:rPr/>
            </w:pPr>
            <w:r>
              <w:rPr/>
              <w:t> </w:t>
            </w:r>
          </w:p>
        </w:tc>
        <w:tc>
          <w:tcPr>
            <w:tcW w:w="474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c>
          <w:tcPr>
            <w:tcW w:w="412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713/646-4455  800/564-3036</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b/>
          <w:sz w:val="17"/>
        </w:rPr>
        <w:t>Plains All American Pipeline, L.P. Reports</w:t>
      </w:r>
    </w:p>
    <w:p>
      <w:pPr>
        <w:pStyle w:val="TextBody"/>
        <w:spacing w:before="0" w:after="0"/>
        <w:ind w:left="0" w:right="0" w:hanging="0"/>
        <w:rPr/>
      </w:pPr>
      <w:r>
        <w:rPr>
          <w:rStyle w:val="StrongEmphasis"/>
        </w:rPr>
        <w:t> </w:t>
      </w:r>
      <w:r>
        <w:rPr>
          <w:rStyle w:val="StrongEmphasis"/>
          <w:rFonts w:ascii="Times New Roman" w:hAnsi="Times New Roman"/>
          <w:b/>
          <w:sz w:val="17"/>
        </w:rPr>
        <w:t>Solid Fourth-Quarter and Full-Year 2009 Results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(Houston  February 10, 2010) Plains All American Pipeline, L.P. (NYSE: PAA) today reported net income attributable to Plains</w:t>
      </w:r>
      <w:r>
        <w:rPr>
          <w:rFonts w:ascii="Times New Roman" w:hAnsi="Times New Roman"/>
        </w:rPr>
        <w:t xml:space="preserve"> </w:t>
      </w:r>
      <w:r>
        <w:rPr>
          <w:rFonts w:ascii="Times New Roman" w:hAnsi="Times New Roman"/>
          <w:sz w:val="17"/>
        </w:rPr>
        <w:t>of $110 million, or $0.52 per diluted limited partner unit, for the fourth quarter 2009 and net income attributable to Plains</w:t>
      </w:r>
      <w:r>
        <w:rPr>
          <w:rFonts w:ascii="Times New Roman" w:hAnsi="Times New Roman"/>
        </w:rPr>
        <w:t xml:space="preserve"> </w:t>
      </w:r>
      <w:r>
        <w:rPr>
          <w:rFonts w:ascii="Times New Roman" w:hAnsi="Times New Roman"/>
          <w:sz w:val="17"/>
        </w:rPr>
        <w:t>of $579 million, or $3.32 per diluted limited partner unit, for the full year 2009.  Net income attributable to Plains</w:t>
      </w:r>
      <w:r>
        <w:rPr>
          <w:rFonts w:ascii="Times New Roman" w:hAnsi="Times New Roman"/>
        </w:rPr>
        <w:t xml:space="preserve"> </w:t>
      </w:r>
      <w:r>
        <w:rPr>
          <w:rFonts w:ascii="Times New Roman" w:hAnsi="Times New Roman"/>
          <w:sz w:val="17"/>
        </w:rPr>
        <w:t>for the fourth quarter 2008 was $98 million, or $0.56 per diluted limited partner unit, and net income attributable to Plains</w:t>
      </w:r>
      <w:r>
        <w:rPr>
          <w:rFonts w:ascii="Times New Roman" w:hAnsi="Times New Roman"/>
        </w:rPr>
        <w:t xml:space="preserve"> </w:t>
      </w:r>
      <w:r>
        <w:rPr>
          <w:rFonts w:ascii="Times New Roman" w:hAnsi="Times New Roman"/>
          <w:sz w:val="17"/>
        </w:rPr>
        <w:t>for the full year 2008 was $437 million, or $2.64 per diluted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reported earnings before interest, taxes, depreciation and amortization (EBITDA) of $236 million and $1.05 billion for the respective fourth-quarter and full-year 2009 periods, compared with reported EBITDA for the comparable 2008 periods of $213 million and $852 million. (See the section of this release entitled Non-GAAP Financial Measures and the attached tables for discussion of EBITDA and other non-GAAP financial measures, and reconciliations of such measures to the comparable GAAP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2009 represents another year of solid execution for the Partnership and marks eight consecutive years of delivering performance in line with guidance, stated Greg L. Armstrong, Chairman and CEO of Plains All American. These solid results, generated during a period of significant volatility in the energy markets, further reinforce the durability and predictability of PAAs baseline cash flow and are indicative of the positive transformation that PAA has undertaken over the past several years towards a lower risk profile.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Armstrong continued, In addition to delivering operating and financial performance in line with guidance, throughout 2009 we invested approximately $760 million in organic growth projects and acquisitions, increased the distributions we paid by 3.6%, and generated aggregate annual distribution coverage of 114%.  We ended the year with a solid balance sheet and approximately $975 million of committed liquidity.  As we look forward to 2010 and beyond, we are well positioned to continue to grow our business platforms and distributable cash flow through a combination of our organic growth capital projects and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Partnerships reported results include the impact of items that affect comparability between reporting periods. These items are excluded from adjusted results, as further described in the table below.  Accordingly, the Partnerships fourth-quarter 2009 adjusted net income attributable to Plains, adjusted net income per diluted limited partner unit and adjusted EBITDA were $149 million, $0.80 and $275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million, respectively, as compared to fourth-quarter 2008 adjusted net income attributable to Plains, adjusted net income per diluted limited partner unit and adjusted EBITDA of $121 million, $0.74 and $236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adjusted net income attributable to Plains, adjusted net income per diluted limited partner unit and adjusted EBITDA for the full year 2009 were $555 million, $3.14 and $1.02 billion, respectively, as compared to adjusted net income attributable to Plains, adjusted net income per diluted limited partner unit and adjusted EBITDA for the full year 2008 of $472 million, $2.93 and $887 million,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items that the Partnership believes impact comparability of financial results between reporting periods (amounts in millions, except per unit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87"/>
        <w:gridCol w:w="211"/>
        <w:gridCol w:w="110"/>
        <w:gridCol w:w="855"/>
        <w:gridCol w:w="212"/>
        <w:gridCol w:w="110"/>
        <w:gridCol w:w="855"/>
        <w:gridCol w:w="212"/>
        <w:gridCol w:w="110"/>
        <w:gridCol w:w="852"/>
        <w:gridCol w:w="212"/>
        <w:gridCol w:w="110"/>
        <w:gridCol w:w="855"/>
        <w:gridCol w:w="114"/>
      </w:tblGrid>
      <w:tr>
        <w:trPr/>
        <w:tc>
          <w:tcPr>
            <w:tcW w:w="538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4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2" w:type="dxa"/>
            <w:tcBorders/>
            <w:shd w:fill="auto" w:val="clear"/>
            <w:vAlign w:val="bottom"/>
          </w:tcPr>
          <w:p>
            <w:pPr>
              <w:pStyle w:val="TableContents"/>
              <w:spacing w:before="0" w:after="0"/>
              <w:ind w:left="0" w:right="0" w:hanging="0"/>
              <w:jc w:val="center"/>
              <w:rPr/>
            </w:pPr>
            <w:r>
              <w:rPr/>
              <w:t> </w:t>
            </w:r>
          </w:p>
        </w:tc>
        <w:tc>
          <w:tcPr>
            <w:tcW w:w="213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14" w:type="dxa"/>
            <w:tcBorders/>
            <w:shd w:fill="auto" w:val="clear"/>
            <w:vAlign w:val="bottom"/>
          </w:tcPr>
          <w:p>
            <w:pPr>
              <w:pStyle w:val="TableContents"/>
              <w:spacing w:before="0" w:after="0"/>
              <w:ind w:left="0" w:right="0" w:hanging="0"/>
              <w:jc w:val="center"/>
              <w:rPr/>
            </w:pPr>
            <w:r>
              <w:rPr/>
              <w:t> </w:t>
            </w:r>
          </w:p>
        </w:tc>
      </w:tr>
      <w:tr>
        <w:trPr/>
        <w:tc>
          <w:tcPr>
            <w:tcW w:w="538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4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2" w:type="dxa"/>
            <w:tcBorders/>
            <w:shd w:fill="auto" w:val="clear"/>
            <w:vAlign w:val="bottom"/>
          </w:tcPr>
          <w:p>
            <w:pPr>
              <w:pStyle w:val="TableContents"/>
              <w:spacing w:before="0" w:after="0"/>
              <w:ind w:left="0" w:right="0" w:hanging="0"/>
              <w:jc w:val="center"/>
              <w:rPr/>
            </w:pPr>
            <w:r>
              <w:rPr/>
              <w:t> </w:t>
            </w:r>
          </w:p>
        </w:tc>
        <w:tc>
          <w:tcPr>
            <w:tcW w:w="213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4" w:type="dxa"/>
            <w:tcBorders/>
            <w:shd w:fill="auto" w:val="clear"/>
            <w:vAlign w:val="bottom"/>
          </w:tcPr>
          <w:p>
            <w:pPr>
              <w:pStyle w:val="TableContents"/>
              <w:spacing w:before="0" w:after="0"/>
              <w:ind w:left="0" w:right="0" w:hanging="0"/>
              <w:jc w:val="center"/>
              <w:rPr/>
            </w:pPr>
            <w:r>
              <w:rPr/>
              <w:t> </w:t>
            </w:r>
          </w:p>
        </w:tc>
      </w:tr>
      <w:tr>
        <w:trPr/>
        <w:tc>
          <w:tcPr>
            <w:tcW w:w="538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9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9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2" w:type="dxa"/>
            <w:tcBorders/>
            <w:shd w:fill="auto" w:val="clear"/>
            <w:vAlign w:val="bottom"/>
          </w:tcPr>
          <w:p>
            <w:pPr>
              <w:pStyle w:val="TableContents"/>
              <w:spacing w:before="0" w:after="0"/>
              <w:ind w:left="0" w:right="0" w:hanging="0"/>
              <w:jc w:val="center"/>
              <w:rPr/>
            </w:pPr>
            <w:r>
              <w:rPr/>
              <w:t> </w:t>
            </w:r>
          </w:p>
        </w:tc>
        <w:tc>
          <w:tcPr>
            <w:tcW w:w="96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9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4" w:type="dxa"/>
            <w:tcBorders/>
            <w:shd w:fill="auto" w:val="clear"/>
            <w:vAlign w:val="bottom"/>
          </w:tcPr>
          <w:p>
            <w:pPr>
              <w:pStyle w:val="TableContents"/>
              <w:spacing w:before="0" w:after="0"/>
              <w:ind w:left="0" w:right="0" w:hanging="0"/>
              <w:jc w:val="center"/>
              <w:rPr/>
            </w:pPr>
            <w:r>
              <w:rPr/>
              <w:t> </w:t>
            </w:r>
          </w:p>
        </w:tc>
      </w:tr>
      <w:tr>
        <w:trPr/>
        <w:tc>
          <w:tcPr>
            <w:tcW w:w="538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4493"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 except per unit data)</w:t>
            </w:r>
          </w:p>
        </w:tc>
        <w:tc>
          <w:tcPr>
            <w:tcW w:w="114" w:type="dxa"/>
            <w:tcBorders/>
            <w:shd w:fill="auto" w:val="clear"/>
            <w:vAlign w:val="bottom"/>
          </w:tcPr>
          <w:p>
            <w:pPr>
              <w:pStyle w:val="TableContents"/>
              <w:spacing w:before="0" w:after="0"/>
              <w:ind w:left="0" w:right="0" w:hanging="0"/>
              <w:jc w:val="center"/>
              <w:rPr/>
            </w:pPr>
            <w:r>
              <w:rPr/>
              <w:t> </w:t>
            </w:r>
          </w:p>
        </w:tc>
      </w:tr>
      <w:tr>
        <w:trPr/>
        <w:tc>
          <w:tcPr>
            <w:tcW w:w="5387"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 - Income / (Loss):</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5387" w:type="dxa"/>
            <w:tcBorders/>
            <w:shd w:fill="auto" w:val="clear"/>
            <w:vAlign w:val="bottom"/>
          </w:tcPr>
          <w:p>
            <w:pPr>
              <w:pStyle w:val="TableContents"/>
              <w:spacing w:before="0" w:after="0"/>
              <w:ind w:left="0" w:right="0" w:hanging="0"/>
              <w:rPr/>
            </w:pPr>
            <w:r>
              <w:rPr>
                <w:rFonts w:ascii="Times New Roman" w:hAnsi="Times New Roman"/>
                <w:sz w:val="17"/>
              </w:rPr>
              <w:t xml:space="preserve">Equity compensation benefit/(charge)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87" w:type="dxa"/>
            <w:tcBorders/>
            <w:shd w:fill="CCEEFF" w:val="clear"/>
            <w:vAlign w:val="bottom"/>
          </w:tcPr>
          <w:p>
            <w:pPr>
              <w:pStyle w:val="TableContents"/>
              <w:spacing w:before="0" w:after="0"/>
              <w:ind w:left="0" w:right="0" w:hanging="0"/>
              <w:rPr/>
            </w:pPr>
            <w:r>
              <w:rPr>
                <w:rFonts w:ascii="Times New Roman" w:hAnsi="Times New Roman"/>
                <w:sz w:val="17"/>
              </w:rPr>
              <w:t>Inventory valuation adjustments net of gains/(losses) from related derivative activities</w:t>
            </w:r>
            <w:r>
              <w:rPr/>
              <w:t xml:space="preserve"> </w:t>
            </w:r>
            <w:r>
              <w:rPr>
                <w:sz w:val="11"/>
              </w:rPr>
              <w:t>(2)</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87" w:type="dxa"/>
            <w:tcBorders/>
            <w:shd w:fill="auto"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(2) (3)</w:t>
            </w:r>
          </w:p>
        </w:tc>
        <w:tc>
          <w:tcPr>
            <w:tcW w:w="211"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auto" w:val="clear"/>
            <w:vAlign w:val="bottom"/>
          </w:tcPr>
          <w:p>
            <w:pPr>
              <w:pStyle w:val="TableContents"/>
              <w:spacing w:before="0" w:after="0"/>
              <w:ind w:left="0" w:right="0" w:hanging="0"/>
              <w:rPr/>
            </w:pPr>
            <w:r>
              <w:rPr/>
              <w:t> </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212"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14" w:type="dxa"/>
            <w:tcBorders/>
            <w:shd w:fill="auto" w:val="clear"/>
            <w:vAlign w:val="bottom"/>
          </w:tcPr>
          <w:p>
            <w:pPr>
              <w:pStyle w:val="TableContents"/>
              <w:spacing w:before="0" w:after="0"/>
              <w:ind w:left="0" w:right="0" w:hanging="0"/>
              <w:rPr/>
            </w:pPr>
            <w:r>
              <w:rPr/>
              <w:t> </w:t>
            </w:r>
          </w:p>
        </w:tc>
      </w:tr>
      <w:tr>
        <w:trPr/>
        <w:tc>
          <w:tcPr>
            <w:tcW w:w="53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early repayment of 7.125% $250 million senior notes</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r>
      <w:tr>
        <w:trPr/>
        <w:tc>
          <w:tcPr>
            <w:tcW w:w="53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PNGS contingent consideration fair value adjustment</w:t>
            </w:r>
          </w:p>
        </w:tc>
        <w:tc>
          <w:tcPr>
            <w:tcW w:w="211"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auto" w:val="clear"/>
            <w:vAlign w:val="bottom"/>
          </w:tcPr>
          <w:p>
            <w:pPr>
              <w:pStyle w:val="TableContents"/>
              <w:spacing w:before="0" w:after="0"/>
              <w:ind w:left="0" w:right="0" w:hanging="0"/>
              <w:rPr/>
            </w:pPr>
            <w:r>
              <w:rPr/>
              <w:t> </w:t>
            </w:r>
          </w:p>
        </w:tc>
      </w:tr>
      <w:tr>
        <w:trPr/>
        <w:tc>
          <w:tcPr>
            <w:tcW w:w="53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purchase of remaining 50% interest in PNGS</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r>
      <w:tr>
        <w:trPr/>
        <w:tc>
          <w:tcPr>
            <w:tcW w:w="53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gain/(loss) on foreign currency revaluation</w:t>
            </w:r>
          </w:p>
        </w:tc>
        <w:tc>
          <w:tcPr>
            <w:tcW w:w="211"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12"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Gains on acquisition-related foreign currency and linefill hedges</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4" w:type="dxa"/>
            <w:tcBorders/>
            <w:shd w:fill="CCEEFF" w:val="clear"/>
            <w:vAlign w:val="bottom"/>
          </w:tcPr>
          <w:p>
            <w:pPr>
              <w:pStyle w:val="TableContents"/>
              <w:spacing w:before="0" w:after="0"/>
              <w:ind w:left="0" w:right="0" w:hanging="0"/>
              <w:rPr/>
            </w:pPr>
            <w:r>
              <w:rPr/>
              <w:t> </w:t>
            </w:r>
          </w:p>
        </w:tc>
      </w:tr>
      <w:tr>
        <w:trPr/>
        <w:tc>
          <w:tcPr>
            <w:tcW w:w="53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2"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GP 2% portion of 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4" w:type="dxa"/>
            <w:tcBorders/>
            <w:shd w:fill="CCEEFF" w:val="clear"/>
            <w:vAlign w:val="bottom"/>
          </w:tcPr>
          <w:p>
            <w:pPr>
              <w:pStyle w:val="TableContents"/>
              <w:spacing w:before="0" w:after="0"/>
              <w:ind w:left="0" w:right="0" w:hanging="0"/>
              <w:rPr/>
            </w:pPr>
            <w:r>
              <w:rPr/>
              <w:t> </w:t>
            </w:r>
          </w:p>
        </w:tc>
      </w:tr>
      <w:tr>
        <w:trPr/>
        <w:tc>
          <w:tcPr>
            <w:tcW w:w="53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 98% portion of 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8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62"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53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basic net income per limited partner unit</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(0.19</w:t>
            </w:r>
          </w:p>
        </w:tc>
        <w:tc>
          <w:tcPr>
            <w:tcW w:w="2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Impact to 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(0.28</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0.18</w:t>
            </w:r>
          </w:p>
        </w:tc>
        <w:tc>
          <w:tcPr>
            <w:tcW w:w="21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(0.29</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equity compensation benefits and charges for the three and twelve months ended December 31, 2009 and 2008 exclude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$6 million and less than $1 million for the three months ended December 31, 2009 and 2008, respectively, and approximately $18 million and $3 million for the twelve months ended December 31, 2009 and 2008, respectively.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Gains and losses from other derivative activities for the three and twelve months ended December 31, 2009 includes losses of approximately $2 million and $4 million, respectively, related to interest rate derivatives, which are included in other income/(expense), net, but do not impact segment profit.  Gains and losses from other derivative activities for both the three and twelve months ended December 31, 2008 include gains of approximately $3 million related to interest rate derivatives, which are included in other income/(expense), net, but do not impact segment profit.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tables present certain selected financial information by segment for the fourth-quarter and full-year reporting periods (amounts 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502"/>
        <w:gridCol w:w="157"/>
        <w:gridCol w:w="262"/>
        <w:gridCol w:w="988"/>
        <w:gridCol w:w="173"/>
        <w:gridCol w:w="180"/>
        <w:gridCol w:w="716"/>
        <w:gridCol w:w="173"/>
        <w:gridCol w:w="142"/>
        <w:gridCol w:w="793"/>
        <w:gridCol w:w="173"/>
        <w:gridCol w:w="262"/>
        <w:gridCol w:w="988"/>
        <w:gridCol w:w="173"/>
        <w:gridCol w:w="180"/>
        <w:gridCol w:w="716"/>
        <w:gridCol w:w="173"/>
        <w:gridCol w:w="141"/>
        <w:gridCol w:w="794"/>
        <w:gridCol w:w="519"/>
      </w:tblGrid>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42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73" w:type="dxa"/>
            <w:tcBorders/>
            <w:shd w:fill="auto" w:val="clear"/>
            <w:vAlign w:val="bottom"/>
          </w:tcPr>
          <w:p>
            <w:pPr>
              <w:pStyle w:val="TableContents"/>
              <w:spacing w:before="0" w:after="0"/>
              <w:ind w:left="0" w:right="0" w:hanging="0"/>
              <w:jc w:val="center"/>
              <w:rPr/>
            </w:pPr>
            <w:r>
              <w:rPr/>
              <w:t> </w:t>
            </w:r>
          </w:p>
        </w:tc>
        <w:tc>
          <w:tcPr>
            <w:tcW w:w="342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42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73" w:type="dxa"/>
            <w:tcBorders/>
            <w:shd w:fill="auto" w:val="clear"/>
            <w:vAlign w:val="bottom"/>
          </w:tcPr>
          <w:p>
            <w:pPr>
              <w:pStyle w:val="TableContents"/>
              <w:spacing w:before="0" w:after="0"/>
              <w:ind w:left="0" w:right="0" w:hanging="0"/>
              <w:jc w:val="center"/>
              <w:rPr/>
            </w:pPr>
            <w:r>
              <w:rPr/>
              <w:t> </w:t>
            </w:r>
          </w:p>
        </w:tc>
        <w:tc>
          <w:tcPr>
            <w:tcW w:w="342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2008</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rFonts w:ascii="Times New Roman" w:hAnsi="Times New Roman"/>
                <w:b/>
                <w:sz w:val="13"/>
              </w:rPr>
              <w:t>Supply &amp;</w:t>
              <w:br/>
              <w:t xml:space="preserve">Logistics </w:t>
            </w:r>
            <w:r>
              <w:rPr>
                <w:rFonts w:ascii="Times New Roman" w:hAnsi="Times New Roman"/>
                <w:b/>
                <w:sz w:val="8"/>
              </w:rPr>
              <w:t>(1)</w:t>
            </w:r>
          </w:p>
        </w:tc>
        <w:tc>
          <w:tcPr>
            <w:tcW w:w="173"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rFonts w:ascii="Times New Roman" w:hAnsi="Times New Roman"/>
                <w:b/>
                <w:sz w:val="13"/>
              </w:rPr>
              <w:t>Supply &amp;</w:t>
              <w:br/>
              <w:t xml:space="preserve">Logistics </w:t>
            </w:r>
            <w:r>
              <w:rPr>
                <w:rFonts w:ascii="Times New Roman" w:hAnsi="Times New Roman"/>
                <w:b/>
                <w:sz w:val="8"/>
              </w:rPr>
              <w:t>(1)</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(2)</w:t>
            </w:r>
          </w:p>
        </w:tc>
        <w:tc>
          <w:tcPr>
            <w:tcW w:w="157" w:type="dxa"/>
            <w:tcBorders/>
            <w:shd w:fill="CCEEFF" w:val="clear"/>
            <w:vAlign w:val="bottom"/>
          </w:tcPr>
          <w:p>
            <w:pPr>
              <w:pStyle w:val="TableContents"/>
              <w:spacing w:before="0" w:after="0"/>
              <w:ind w:left="0" w:right="0" w:hanging="0"/>
              <w:rPr/>
            </w:pPr>
            <w:r>
              <w:rPr/>
              <w:t> </w:t>
            </w:r>
          </w:p>
        </w:tc>
        <w:tc>
          <w:tcPr>
            <w:tcW w:w="26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248</w:t>
            </w:r>
          </w:p>
        </w:tc>
        <w:tc>
          <w:tcPr>
            <w:tcW w:w="173" w:type="dxa"/>
            <w:tcBorders/>
            <w:shd w:fill="CCEEFF" w:val="clear"/>
            <w:vAlign w:val="bottom"/>
          </w:tcPr>
          <w:p>
            <w:pPr>
              <w:pStyle w:val="TableContents"/>
              <w:spacing w:before="0" w:after="0"/>
              <w:ind w:left="0" w:right="0" w:hanging="0"/>
              <w:rPr/>
            </w:pPr>
            <w:r>
              <w:rPr/>
              <w:t> </w:t>
            </w:r>
          </w:p>
        </w:tc>
        <w:tc>
          <w:tcPr>
            <w:tcW w:w="180"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73" w:type="dxa"/>
            <w:tcBorders/>
            <w:shd w:fill="CCEEFF" w:val="clear"/>
            <w:vAlign w:val="bottom"/>
          </w:tcPr>
          <w:p>
            <w:pPr>
              <w:pStyle w:val="TableContents"/>
              <w:spacing w:before="0" w:after="0"/>
              <w:ind w:left="0" w:right="0" w:hanging="0"/>
              <w:rPr/>
            </w:pPr>
            <w:r>
              <w:rPr/>
              <w:t> </w:t>
            </w:r>
          </w:p>
        </w:tc>
        <w:tc>
          <w:tcPr>
            <w:tcW w:w="14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5,881</w:t>
            </w:r>
          </w:p>
        </w:tc>
        <w:tc>
          <w:tcPr>
            <w:tcW w:w="173" w:type="dxa"/>
            <w:tcBorders/>
            <w:shd w:fill="CCEEFF" w:val="clear"/>
            <w:vAlign w:val="bottom"/>
          </w:tcPr>
          <w:p>
            <w:pPr>
              <w:pStyle w:val="TableContents"/>
              <w:spacing w:before="0" w:after="0"/>
              <w:ind w:left="0" w:right="0" w:hanging="0"/>
              <w:rPr/>
            </w:pPr>
            <w:r>
              <w:rPr/>
              <w:t> </w:t>
            </w:r>
          </w:p>
        </w:tc>
        <w:tc>
          <w:tcPr>
            <w:tcW w:w="26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173" w:type="dxa"/>
            <w:tcBorders/>
            <w:shd w:fill="CCEEFF" w:val="clear"/>
            <w:vAlign w:val="bottom"/>
          </w:tcPr>
          <w:p>
            <w:pPr>
              <w:pStyle w:val="TableContents"/>
              <w:spacing w:before="0" w:after="0"/>
              <w:ind w:left="0" w:right="0" w:hanging="0"/>
              <w:rPr/>
            </w:pPr>
            <w:r>
              <w:rPr/>
              <w:t> </w:t>
            </w:r>
          </w:p>
        </w:tc>
        <w:tc>
          <w:tcPr>
            <w:tcW w:w="180"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73" w:type="dxa"/>
            <w:tcBorders/>
            <w:shd w:fill="CCEEFF" w:val="clear"/>
            <w:vAlign w:val="bottom"/>
          </w:tcPr>
          <w:p>
            <w:pPr>
              <w:pStyle w:val="TableContents"/>
              <w:spacing w:before="0" w:after="0"/>
              <w:ind w:left="0" w:right="0" w:hanging="0"/>
              <w:rPr/>
            </w:pPr>
            <w:r>
              <w:rPr/>
              <w:t> </w:t>
            </w:r>
          </w:p>
        </w:tc>
        <w:tc>
          <w:tcPr>
            <w:tcW w:w="141"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4,755</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(5,752</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(4,663</w:t>
            </w:r>
          </w:p>
        </w:tc>
        <w:tc>
          <w:tcPr>
            <w:tcW w:w="5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charge) </w:t>
            </w:r>
            <w:r>
              <w:rPr>
                <w:sz w:val="11"/>
              </w:rPr>
              <w:t>(2)</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operations</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benefit/(charge)) </w:t>
            </w:r>
            <w:r>
              <w:rPr>
                <w:sz w:val="11"/>
              </w:rPr>
              <w:t>(3)</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benefit/(charge) - general and administrative</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57"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73" w:type="dxa"/>
            <w:tcBorders/>
            <w:shd w:fill="auto" w:val="clear"/>
            <w:vAlign w:val="bottom"/>
          </w:tcPr>
          <w:p>
            <w:pPr>
              <w:pStyle w:val="TableContents"/>
              <w:spacing w:before="0" w:after="0"/>
              <w:ind w:left="0" w:right="0" w:hanging="0"/>
              <w:rPr/>
            </w:pPr>
            <w:r>
              <w:rPr/>
              <w:t> </w:t>
            </w:r>
          </w:p>
        </w:tc>
        <w:tc>
          <w:tcPr>
            <w:tcW w:w="1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w:t>
            </w:r>
          </w:p>
        </w:tc>
        <w:tc>
          <w:tcPr>
            <w:tcW w:w="173"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3" w:type="dxa"/>
            <w:tcBorders/>
            <w:shd w:fill="auto" w:val="clear"/>
            <w:vAlign w:val="bottom"/>
          </w:tcPr>
          <w:p>
            <w:pPr>
              <w:pStyle w:val="TableContents"/>
              <w:spacing w:before="0" w:after="0"/>
              <w:ind w:left="0" w:right="0" w:hanging="0"/>
              <w:rPr/>
            </w:pPr>
            <w:r>
              <w:rPr/>
              <w:t> </w:t>
            </w:r>
          </w:p>
        </w:tc>
        <w:tc>
          <w:tcPr>
            <w:tcW w:w="14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(benefit)/charge </w:t>
            </w:r>
            <w:r>
              <w:rPr>
                <w:sz w:val="11"/>
              </w:rPr>
              <w:t>(4)</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(5)</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(5) (6)</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loss on foreign currency revaluation</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57"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73"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73"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73"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57"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3"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896"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935"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896" w:type="dxa"/>
            <w:gridSpan w:val="2"/>
            <w:tcBorders/>
            <w:shd w:fill="auto" w:val="clear"/>
            <w:vAlign w:val="bottom"/>
          </w:tcPr>
          <w:p>
            <w:pPr>
              <w:pStyle w:val="TableContents"/>
              <w:spacing w:before="0" w:after="0"/>
              <w:ind w:left="0" w:right="0" w:hanging="0"/>
              <w:jc w:val="center"/>
              <w:rPr/>
            </w:pPr>
            <w:r>
              <w:rPr/>
              <w:t> </w:t>
            </w:r>
          </w:p>
        </w:tc>
        <w:tc>
          <w:tcPr>
            <w:tcW w:w="173" w:type="dxa"/>
            <w:tcBorders/>
            <w:shd w:fill="auto" w:val="clear"/>
            <w:vAlign w:val="bottom"/>
          </w:tcPr>
          <w:p>
            <w:pPr>
              <w:pStyle w:val="TableContents"/>
              <w:spacing w:before="0" w:after="0"/>
              <w:ind w:left="0" w:right="0" w:hanging="0"/>
              <w:jc w:val="center"/>
              <w:rPr/>
            </w:pPr>
            <w:r>
              <w:rPr/>
              <w:t> </w:t>
            </w:r>
          </w:p>
        </w:tc>
        <w:tc>
          <w:tcPr>
            <w:tcW w:w="935" w:type="dxa"/>
            <w:gridSpan w:val="2"/>
            <w:tcBorders/>
            <w:shd w:fill="auto" w:val="clear"/>
            <w:vAlign w:val="bottom"/>
          </w:tcPr>
          <w:p>
            <w:pPr>
              <w:pStyle w:val="TableContents"/>
              <w:spacing w:before="0" w:after="0"/>
              <w:ind w:left="0" w:right="0" w:hanging="0"/>
              <w:jc w:val="center"/>
              <w:rPr/>
            </w:pPr>
            <w:r>
              <w:rPr/>
              <w:t> </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42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73" w:type="dxa"/>
            <w:tcBorders/>
            <w:shd w:fill="auto" w:val="clear"/>
            <w:vAlign w:val="bottom"/>
          </w:tcPr>
          <w:p>
            <w:pPr>
              <w:pStyle w:val="TableContents"/>
              <w:spacing w:before="0" w:after="0"/>
              <w:ind w:left="0" w:right="0" w:hanging="0"/>
              <w:jc w:val="center"/>
              <w:rPr/>
            </w:pPr>
            <w:r>
              <w:rPr/>
              <w:t> </w:t>
            </w:r>
          </w:p>
        </w:tc>
        <w:tc>
          <w:tcPr>
            <w:tcW w:w="3427"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342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2009</w:t>
            </w:r>
          </w:p>
        </w:tc>
        <w:tc>
          <w:tcPr>
            <w:tcW w:w="173" w:type="dxa"/>
            <w:tcBorders/>
            <w:shd w:fill="auto" w:val="clear"/>
            <w:vAlign w:val="bottom"/>
          </w:tcPr>
          <w:p>
            <w:pPr>
              <w:pStyle w:val="TableContents"/>
              <w:spacing w:before="0" w:after="0"/>
              <w:ind w:left="0" w:right="0" w:hanging="0"/>
              <w:jc w:val="center"/>
              <w:rPr/>
            </w:pPr>
            <w:r>
              <w:rPr/>
              <w:t> </w:t>
            </w:r>
          </w:p>
        </w:tc>
        <w:tc>
          <w:tcPr>
            <w:tcW w:w="3427"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2008</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auto" w:val="clear"/>
            <w:vAlign w:val="bottom"/>
          </w:tcPr>
          <w:p>
            <w:pPr>
              <w:pStyle w:val="TableContents"/>
              <w:spacing w:before="0" w:after="0"/>
              <w:ind w:left="0" w:right="0" w:hanging="0"/>
              <w:rPr/>
            </w:pPr>
            <w:r>
              <w:rPr/>
              <w:t> </w:t>
            </w:r>
          </w:p>
        </w:tc>
        <w:tc>
          <w:tcPr>
            <w:tcW w:w="157"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rFonts w:ascii="Times New Roman" w:hAnsi="Times New Roman"/>
                <w:b/>
                <w:sz w:val="13"/>
              </w:rPr>
              <w:t>Supply &amp;</w:t>
              <w:br/>
              <w:t xml:space="preserve">Logistics </w:t>
            </w:r>
            <w:r>
              <w:rPr>
                <w:rFonts w:ascii="Times New Roman" w:hAnsi="Times New Roman"/>
                <w:b/>
                <w:sz w:val="8"/>
              </w:rPr>
              <w:t>(1)</w:t>
            </w:r>
          </w:p>
        </w:tc>
        <w:tc>
          <w:tcPr>
            <w:tcW w:w="173" w:type="dxa"/>
            <w:tcBorders/>
            <w:shd w:fill="auto" w:val="clear"/>
            <w:vAlign w:val="bottom"/>
          </w:tcPr>
          <w:p>
            <w:pPr>
              <w:pStyle w:val="TableContents"/>
              <w:spacing w:before="0" w:after="0"/>
              <w:ind w:left="0" w:right="0" w:hanging="0"/>
              <w:jc w:val="center"/>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6"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35"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rFonts w:ascii="Times New Roman" w:hAnsi="Times New Roman"/>
                <w:b/>
                <w:sz w:val="13"/>
              </w:rPr>
              <w:t>Supply &amp;</w:t>
              <w:br/>
              <w:t xml:space="preserve">Logistics </w:t>
            </w:r>
            <w:r>
              <w:rPr>
                <w:rFonts w:ascii="Times New Roman" w:hAnsi="Times New Roman"/>
                <w:b/>
                <w:sz w:val="8"/>
              </w:rPr>
              <w:t>(1)</w:t>
            </w:r>
          </w:p>
        </w:tc>
        <w:tc>
          <w:tcPr>
            <w:tcW w:w="519" w:type="dxa"/>
            <w:tcBorders/>
            <w:shd w:fill="auto" w:val="clear"/>
            <w:vAlign w:val="bottom"/>
          </w:tcPr>
          <w:p>
            <w:pPr>
              <w:pStyle w:val="TableContents"/>
              <w:spacing w:before="0" w:after="0"/>
              <w:ind w:left="0" w:right="0" w:hanging="0"/>
              <w:jc w:val="center"/>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(2)</w:t>
            </w:r>
          </w:p>
        </w:tc>
        <w:tc>
          <w:tcPr>
            <w:tcW w:w="157" w:type="dxa"/>
            <w:tcBorders/>
            <w:shd w:fill="CCEEFF" w:val="clear"/>
            <w:vAlign w:val="bottom"/>
          </w:tcPr>
          <w:p>
            <w:pPr>
              <w:pStyle w:val="TableContents"/>
              <w:spacing w:before="0" w:after="0"/>
              <w:ind w:left="0" w:right="0" w:hanging="0"/>
              <w:rPr/>
            </w:pPr>
            <w:r>
              <w:rPr/>
              <w:t> </w:t>
            </w:r>
          </w:p>
        </w:tc>
        <w:tc>
          <w:tcPr>
            <w:tcW w:w="26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961</w:t>
            </w:r>
          </w:p>
        </w:tc>
        <w:tc>
          <w:tcPr>
            <w:tcW w:w="173" w:type="dxa"/>
            <w:tcBorders/>
            <w:shd w:fill="CCEEFF" w:val="clear"/>
            <w:vAlign w:val="bottom"/>
          </w:tcPr>
          <w:p>
            <w:pPr>
              <w:pStyle w:val="TableContents"/>
              <w:spacing w:before="0" w:after="0"/>
              <w:ind w:left="0" w:right="0" w:hanging="0"/>
              <w:rPr/>
            </w:pPr>
            <w:r>
              <w:rPr/>
              <w:t> </w:t>
            </w:r>
          </w:p>
        </w:tc>
        <w:tc>
          <w:tcPr>
            <w:tcW w:w="180"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73" w:type="dxa"/>
            <w:tcBorders/>
            <w:shd w:fill="CCEEFF" w:val="clear"/>
            <w:vAlign w:val="bottom"/>
          </w:tcPr>
          <w:p>
            <w:pPr>
              <w:pStyle w:val="TableContents"/>
              <w:spacing w:before="0" w:after="0"/>
              <w:ind w:left="0" w:right="0" w:hanging="0"/>
              <w:rPr/>
            </w:pPr>
            <w:r>
              <w:rPr/>
              <w:t> </w:t>
            </w:r>
          </w:p>
        </w:tc>
        <w:tc>
          <w:tcPr>
            <w:tcW w:w="14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17,759</w:t>
            </w:r>
          </w:p>
        </w:tc>
        <w:tc>
          <w:tcPr>
            <w:tcW w:w="173" w:type="dxa"/>
            <w:tcBorders/>
            <w:shd w:fill="CCEEFF" w:val="clear"/>
            <w:vAlign w:val="bottom"/>
          </w:tcPr>
          <w:p>
            <w:pPr>
              <w:pStyle w:val="TableContents"/>
              <w:spacing w:before="0" w:after="0"/>
              <w:ind w:left="0" w:right="0" w:hanging="0"/>
              <w:rPr/>
            </w:pPr>
            <w:r>
              <w:rPr/>
              <w:t> </w:t>
            </w:r>
          </w:p>
        </w:tc>
        <w:tc>
          <w:tcPr>
            <w:tcW w:w="262"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927</w:t>
            </w:r>
          </w:p>
        </w:tc>
        <w:tc>
          <w:tcPr>
            <w:tcW w:w="173" w:type="dxa"/>
            <w:tcBorders/>
            <w:shd w:fill="CCEEFF" w:val="clear"/>
            <w:vAlign w:val="bottom"/>
          </w:tcPr>
          <w:p>
            <w:pPr>
              <w:pStyle w:val="TableContents"/>
              <w:spacing w:before="0" w:after="0"/>
              <w:ind w:left="0" w:right="0" w:hanging="0"/>
              <w:rPr/>
            </w:pPr>
            <w:r>
              <w:rPr/>
              <w:t> </w:t>
            </w:r>
          </w:p>
        </w:tc>
        <w:tc>
          <w:tcPr>
            <w:tcW w:w="180"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w:t>
            </w:r>
          </w:p>
        </w:tc>
        <w:tc>
          <w:tcPr>
            <w:tcW w:w="173" w:type="dxa"/>
            <w:tcBorders/>
            <w:shd w:fill="CCEEFF" w:val="clear"/>
            <w:vAlign w:val="bottom"/>
          </w:tcPr>
          <w:p>
            <w:pPr>
              <w:pStyle w:val="TableContents"/>
              <w:spacing w:before="0" w:after="0"/>
              <w:ind w:left="0" w:right="0" w:hanging="0"/>
              <w:rPr/>
            </w:pPr>
            <w:r>
              <w:rPr/>
              <w:t> </w:t>
            </w:r>
          </w:p>
        </w:tc>
        <w:tc>
          <w:tcPr>
            <w:tcW w:w="141" w:type="dxa"/>
            <w:tcBorders>
              <w:top w:val="single" w:sz="8" w:space="0" w:color="000000"/>
            </w:tcBorders>
            <w:shd w:fill="CCEEFF"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29,350</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(2)</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(17,141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(28,873</w:t>
            </w:r>
          </w:p>
        </w:tc>
        <w:tc>
          <w:tcPr>
            <w:tcW w:w="5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 compensation charge) </w:t>
            </w:r>
            <w:r>
              <w:rPr>
                <w:sz w:val="11"/>
              </w:rPr>
              <w:t>(2)</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(333</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operations</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 compensation charge) </w:t>
            </w:r>
            <w:r>
              <w:rPr>
                <w:sz w:val="11"/>
              </w:rPr>
              <w:t>(3)</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charge - general and administrative</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5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57"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477</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73" w:type="dxa"/>
            <w:tcBorders/>
            <w:shd w:fill="auto" w:val="clear"/>
            <w:vAlign w:val="bottom"/>
          </w:tcPr>
          <w:p>
            <w:pPr>
              <w:pStyle w:val="TableContents"/>
              <w:spacing w:before="0" w:after="0"/>
              <w:ind w:left="0" w:right="0" w:hanging="0"/>
              <w:rPr/>
            </w:pPr>
            <w:r>
              <w:rPr/>
              <w:t> </w:t>
            </w:r>
          </w:p>
        </w:tc>
        <w:tc>
          <w:tcPr>
            <w:tcW w:w="14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173" w:type="dxa"/>
            <w:tcBorders/>
            <w:shd w:fill="auto" w:val="clear"/>
            <w:vAlign w:val="bottom"/>
          </w:tcPr>
          <w:p>
            <w:pPr>
              <w:pStyle w:val="TableContents"/>
              <w:spacing w:before="0" w:after="0"/>
              <w:ind w:left="0" w:right="0" w:hanging="0"/>
              <w:rPr/>
            </w:pPr>
            <w:r>
              <w:rPr/>
              <w:t> </w:t>
            </w:r>
          </w:p>
        </w:tc>
        <w:tc>
          <w:tcPr>
            <w:tcW w:w="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73" w:type="dxa"/>
            <w:tcBorders/>
            <w:shd w:fill="auto" w:val="clear"/>
            <w:vAlign w:val="bottom"/>
          </w:tcPr>
          <w:p>
            <w:pPr>
              <w:pStyle w:val="TableContents"/>
              <w:spacing w:before="0" w:after="0"/>
              <w:ind w:left="0" w:right="0" w:hanging="0"/>
              <w:rPr/>
            </w:pPr>
            <w:r>
              <w:rPr/>
              <w:t> </w:t>
            </w:r>
          </w:p>
        </w:tc>
        <w:tc>
          <w:tcPr>
            <w:tcW w:w="14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segment profit:</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pPr>
            <w:r>
              <w:rPr/>
              <w:t> </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Equity compensation charge </w:t>
            </w:r>
            <w:r>
              <w:rPr>
                <w:sz w:val="11"/>
              </w:rPr>
              <w:t>(4)</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pPr>
            <w:r>
              <w:rPr>
                <w:rFonts w:ascii="Times New Roman" w:hAnsi="Times New Roman"/>
                <w:sz w:val="17"/>
              </w:rPr>
              <w:t xml:space="preserve">Inventory valuation adjustments net of (gains)/losses from related derivative activities </w:t>
            </w:r>
            <w:r>
              <w:rPr>
                <w:sz w:val="11"/>
              </w:rPr>
              <w:t>(5)</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rFonts w:ascii="Times New Roman" w:hAnsi="Times New Roman"/>
                <w:sz w:val="17"/>
              </w:rPr>
              <w:t xml:space="preserve">(Gains)/losses from other derivative activities </w:t>
            </w:r>
            <w:r>
              <w:rPr>
                <w:sz w:val="11"/>
              </w:rPr>
              <w:t>(5)</w:t>
            </w:r>
            <w:r>
              <w:rPr/>
              <w:t> </w:t>
            </w:r>
            <w:r>
              <w:rPr>
                <w:sz w:val="11"/>
              </w:rPr>
              <w:t>(6)</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5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(gain)/loss on foreign currency revaluation</w:t>
            </w:r>
          </w:p>
        </w:tc>
        <w:tc>
          <w:tcPr>
            <w:tcW w:w="157" w:type="dxa"/>
            <w:tcBorders/>
            <w:shd w:fill="auto"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3" w:type="dxa"/>
            <w:tcBorders/>
            <w:shd w:fill="auto"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7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5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57"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w:t>
            </w:r>
          </w:p>
        </w:tc>
        <w:tc>
          <w:tcPr>
            <w:tcW w:w="173"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w:t>
            </w:r>
          </w:p>
        </w:tc>
        <w:tc>
          <w:tcPr>
            <w:tcW w:w="173"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456</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173"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519" w:type="dxa"/>
            <w:tcBorders/>
            <w:shd w:fill="auto" w:val="clear"/>
            <w:vAlign w:val="bottom"/>
          </w:tcPr>
          <w:p>
            <w:pPr>
              <w:pStyle w:val="TableContents"/>
              <w:spacing w:before="0" w:after="0"/>
              <w:ind w:left="0" w:right="0" w:hanging="0"/>
              <w:rPr/>
            </w:pPr>
            <w:r>
              <w:rPr/>
              <w:t> </w:t>
            </w:r>
          </w:p>
        </w:tc>
      </w:tr>
      <w:tr>
        <w:trPr/>
        <w:tc>
          <w:tcPr>
            <w:tcW w:w="2502" w:type="dxa"/>
            <w:tcBorders/>
            <w:shd w:fill="CCEEFF" w:val="clear"/>
            <w:vAlign w:val="bottom"/>
          </w:tcPr>
          <w:p>
            <w:pPr>
              <w:pStyle w:val="TableContents"/>
              <w:spacing w:before="0" w:after="0"/>
              <w:ind w:left="0" w:right="0" w:hanging="0"/>
              <w:rPr/>
            </w:pPr>
            <w:r>
              <w:rPr/>
              <w:t> </w:t>
            </w:r>
          </w:p>
        </w:tc>
        <w:tc>
          <w:tcPr>
            <w:tcW w:w="157"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1250"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73" w:type="dxa"/>
            <w:tcBorders/>
            <w:shd w:fill="CCEEFF" w:val="clear"/>
            <w:vAlign w:val="bottom"/>
          </w:tcPr>
          <w:p>
            <w:pPr>
              <w:pStyle w:val="TableContents"/>
              <w:spacing w:before="0" w:after="0"/>
              <w:ind w:left="0" w:right="0" w:hanging="0"/>
              <w:rPr/>
            </w:pPr>
            <w:r>
              <w:rPr/>
              <w:t> </w:t>
            </w:r>
          </w:p>
        </w:tc>
        <w:tc>
          <w:tcPr>
            <w:tcW w:w="935" w:type="dxa"/>
            <w:gridSpan w:val="2"/>
            <w:tcBorders/>
            <w:shd w:fill="CCEEFF" w:val="clear"/>
            <w:vAlign w:val="bottom"/>
          </w:tcPr>
          <w:p>
            <w:pPr>
              <w:pStyle w:val="TableContents"/>
              <w:spacing w:before="0" w:after="0"/>
              <w:ind w:left="0" w:right="0" w:hanging="0"/>
              <w:jc w:val="right"/>
              <w:rPr/>
            </w:pPr>
            <w:r>
              <w:rPr/>
              <w:t> </w:t>
            </w:r>
          </w:p>
        </w:tc>
        <w:tc>
          <w:tcPr>
            <w:tcW w:w="519" w:type="dxa"/>
            <w:tcBorders/>
            <w:shd w:fill="CCEEFF" w:val="clear"/>
            <w:vAlign w:val="bottom"/>
          </w:tcPr>
          <w:p>
            <w:pPr>
              <w:pStyle w:val="TableContents"/>
              <w:spacing w:before="0" w:after="0"/>
              <w:ind w:left="0" w:right="0" w:hanging="0"/>
              <w:rPr/>
            </w:pPr>
            <w:r>
              <w:rPr/>
              <w:t> </w:t>
            </w:r>
          </w:p>
        </w:tc>
      </w:tr>
      <w:tr>
        <w:trPr/>
        <w:tc>
          <w:tcPr>
            <w:tcW w:w="250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57"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73"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73" w:type="dxa"/>
            <w:tcBorders/>
            <w:shd w:fill="auto" w:val="clear"/>
            <w:vAlign w:val="bottom"/>
          </w:tcPr>
          <w:p>
            <w:pPr>
              <w:pStyle w:val="TableContents"/>
              <w:spacing w:before="0" w:after="0"/>
              <w:ind w:left="0" w:right="0" w:hanging="0"/>
              <w:rPr/>
            </w:pPr>
            <w:r>
              <w:rPr/>
              <w:t> </w:t>
            </w:r>
          </w:p>
        </w:tc>
        <w:tc>
          <w:tcPr>
            <w:tcW w:w="26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173" w:type="dxa"/>
            <w:tcBorders/>
            <w:shd w:fill="auto" w:val="clear"/>
            <w:vAlign w:val="bottom"/>
          </w:tcPr>
          <w:p>
            <w:pPr>
              <w:pStyle w:val="TableContents"/>
              <w:spacing w:before="0" w:after="0"/>
              <w:ind w:left="0" w:right="0" w:hanging="0"/>
              <w:rPr/>
            </w:pPr>
            <w:r>
              <w:rPr/>
              <w:t> </w:t>
            </w:r>
          </w:p>
        </w:tc>
        <w:tc>
          <w:tcPr>
            <w:tcW w:w="18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3" w:type="dxa"/>
            <w:tcBorders/>
            <w:shd w:fill="auto" w:val="clear"/>
            <w:vAlign w:val="bottom"/>
          </w:tcPr>
          <w:p>
            <w:pPr>
              <w:pStyle w:val="TableContents"/>
              <w:spacing w:before="0" w:after="0"/>
              <w:ind w:left="0" w:right="0" w:hanging="0"/>
              <w:rPr/>
            </w:pPr>
            <w:r>
              <w:rPr/>
              <w:t> </w:t>
            </w:r>
          </w:p>
        </w:tc>
        <w:tc>
          <w:tcPr>
            <w:tcW w:w="14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4"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51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306"/>
        <w:gridCol w:w="516"/>
        <w:gridCol w:w="9383"/>
      </w:tblGrid>
      <w:tr>
        <w:trPr/>
        <w:tc>
          <w:tcPr>
            <w:tcW w:w="30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(1)</w:t>
            </w:r>
          </w:p>
        </w:tc>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previously referred to the Supply and Logistics segment as the Marketing segment. We revised the segment name to better describe the business activities conducted within that segment.</w:t>
            </w:r>
          </w:p>
        </w:tc>
      </w:tr>
      <w:tr>
        <w:trPr/>
        <w:tc>
          <w:tcPr>
            <w:tcW w:w="30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(2)</w:t>
            </w:r>
          </w:p>
        </w:tc>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Includes intersegment amounts.</w:t>
            </w:r>
          </w:p>
        </w:tc>
      </w:tr>
      <w:tr>
        <w:trPr/>
        <w:tc>
          <w:tcPr>
            <w:tcW w:w="30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(3)</w:t>
            </w:r>
          </w:p>
        </w:tc>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general and administrative expenses (G&amp;A)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tc>
      </w:tr>
      <w:tr>
        <w:trPr/>
        <w:tc>
          <w:tcPr>
            <w:tcW w:w="30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(4)</w:t>
            </w:r>
          </w:p>
        </w:tc>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equity compensation benefits and charges for the three and twelve months ended December 31, 2009 and 2008 exclude the portion of the equity compensation expense represented by grants under the LTIP Plans that, pursuant to the terms of the grant, will be settled in cash only and have no impact on diluted units. The portion of the equity compensation expense attributable to the cash portion of the LTIP Plans is approximately $6 million and less than $1 million for the three months ended December 31, 2009 and 2008, respectively, and approximately $18 million and $3 million for the twelve months ended December 31, 2009 and 2008, respectively.</w:t>
            </w:r>
          </w:p>
        </w:tc>
      </w:tr>
      <w:tr>
        <w:trPr/>
        <w:tc>
          <w:tcPr>
            <w:tcW w:w="30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(5)</w:t>
            </w:r>
          </w:p>
        </w:tc>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 and losses from derivative activities related to revalued inventory are included in the line item Inventory valuation adjustments net of (gains)/losses from related derivative activities; gains and losses from derivative activities not related to revalued inventory are included in the line item Gains/(losses) from other derivative activities.</w:t>
            </w:r>
          </w:p>
        </w:tc>
      </w:tr>
      <w:tr>
        <w:trPr/>
        <w:tc>
          <w:tcPr>
            <w:tcW w:w="306" w:type="dxa"/>
            <w:tcBorders/>
            <w:shd w:fill="auto" w:val="clear"/>
          </w:tcPr>
          <w:p>
            <w:pPr>
              <w:pStyle w:val="TableContents"/>
              <w:spacing w:before="0" w:after="0"/>
              <w:ind w:left="0" w:right="0" w:hanging="0"/>
              <w:rPr/>
            </w:pPr>
            <w:r>
              <w:rPr/>
              <w:t> </w:t>
            </w:r>
          </w:p>
        </w:tc>
        <w:tc>
          <w:tcPr>
            <w:tcW w:w="5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(6)</w:t>
            </w:r>
          </w:p>
        </w:tc>
        <w:tc>
          <w:tcPr>
            <w:tcW w:w="93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Gains and losses from other derivative activities for the three and twelve months ended December 31, 2009 includes losses of approximately $2 million and $4 million, respectively, related to interest rate derivatives, which are included in other income/(expense), net, but do not impact segment profit. Gains and losses from other derivative activities for both the three and twelve months ended December 31, 2008 include gains of approximately $3 million related to interest rate derivatives, which are included in other income/(expense), net, but do not impact segment profit.</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Transportation segment for the fourth quarter and full year of 2009 increased 1% and 10%, respectively, over corresponding 2008 results.  The fourth-quarter increase reflects the benefit of increased tariff rates partially offset by lower volumes.  The full-year increase primarily reflects higher average tariff rates and increased pipeline loss allowance revenue, partially offset by a gain on sale of linefill during the 2008 period.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Facilities segment for the fourth quarter and full year of 2009 increased 22% and 39%, respectively, over comparable 2008 metrics primarily due to capacity increases from recently completed capital projects and acquisitions.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segment profit for the Supply &amp; Logistics segment for the fourth quarter and full year of 2009 increased 45% and 12% over comparable 2008 metrics.  The increase in the fourth-quarter results over the prior period resulted primarily from higher average LPG margins, partially offset by lower quality arbitrage opportunities resulting from tighter crude oil differentials.  The increase in the full-year 2009 results over the prior period resulted primarily from higher LPG margins and favorable contango market conditions experienced early in the year, partially offset by lower gathering margins.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basic weighted average units outstanding for the fourth quarter of 2009 totaled 136 million (137 million diluted) as compared to 123 million (124 million diluted) in last years fourth quarter. At December 31, 2009, the Partnership had approximately 136.1 million units outstanding, long-term debt of approximately $4.1 billion ($222 million of which supports hedged inventory) and an adjusted long-term debt-to-total capitalization ratio of 49%.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has declared a quarterly distribution of $0.9275 per unit ($3.71 per unit on an annualized basis) payable February 12, 2010 on its outstanding limited partner units.  This distribution represents an increase of approximately 3.9% over the quarterly distribution paid in February 2009 and an increase of approximately 0.8% from the November 2009 distribution level.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Prior to its February 11</w:t>
      </w:r>
      <w:r>
        <w:rPr>
          <w:rFonts w:ascii="Times New Roman" w:hAnsi="Times New Roman"/>
          <w:sz w:val="11"/>
        </w:rPr>
        <w:t>th</w:t>
      </w:r>
      <w:r>
        <w:rPr>
          <w:rFonts w:ascii="Times New Roman" w:hAnsi="Times New Roman"/>
        </w:rPr>
        <w:t> </w:t>
      </w:r>
      <w:r>
        <w:rPr>
          <w:rFonts w:ascii="Times New Roman" w:hAnsi="Times New Roman"/>
          <w:sz w:val="17"/>
        </w:rPr>
        <w:t>conference call, the Partnership will furnish a current report on Form 8-K, which will include material in this press release and financial and operational guidance for the first quarter and full year 2010. A copy of the Form 8-K will be available on the Partnerships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reconciliation of EBITDA to net income and cash flows from operating activities for the periods presented is included in the tables attached to this release. In addition, the Partnership maintains on its website (www.paalp.com) a reconciliation of all non-GAAP financial information, such as EBITDA, to the most comparable GAAP measures. To access the information, investors should click on the Investor Relations link on the Partnerships home page and then the Non-GAAP Reconciliation link on the Investor Relations page.</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17"/>
        </w:rPr>
      </w:pPr>
      <w:r>
        <w:rPr>
          <w:rFonts w:ascii="Times New Roman" w:hAnsi="Times New Roman"/>
          <w:b/>
          <w:i/>
          <w:sz w:val="17"/>
        </w:rPr>
        <w:t>Conference Call</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host a conference call at 11:00 AM (Eastern) on Thursday, February 11, 2010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fourth-quarter and full-year 2009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first quarter and full year 2010;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Webcast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please go to the Partnerships website at www.paalp.com, choose Investor Relations, and then choose Conference Calls.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you are unable to participate in the webcast, please dial 800-230-1059, or, for international callers, 612-234-9960, at approximately 10:55 AM (Eastern). No password is required.  You may access the slide presentation accompanying the conference call a few minutes prior to the call under the Conference Call Summaries portion of the Conference Calls tab of the Investor Relations section of PAAs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800-475-6701, or, for international callers, 320-365-3844, and replay access code 141692.  The replay will be available beginning Thursday, February 11, 2010, at approximately 12:00 PM (Central) and continue until 10:59 PM (Central) Thursday, March 11,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refined products and liquefied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petroleum gas and other natural gas related petroleum products. The Partnership is also engaged in the development and operation of natural gas storage facilities. The Partnership is headquartered in Houston, Texas.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on planned internal growth projects; maintenance of our credit rating and ability to receive open credit from our suppliers and trade counterparties; continued creditworthiness of, and performance by, our counterparties, including financial institutions and trading companies with which we do business; the success of our risk management activities; environmental liabilities or events that are not covered by an indemnity, insurance or existing reserves; abrupt or severe declines or interruptions in outer continental shelf production located offshore California and transported on our pipeline systems; shortages or cost increases of power supplies, materials or labor; 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governmental regulations, accounting standards and statements, and related interpretations; the effects of competition; interruptions in service and fluctuations in tariffs or volumes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natural gas storage facilities; future developments and circumstances at the time distributions are declared; general economic, market or business conditions and the amplification of other risks caused by deteriorated financial markets, capital constraints and pervasive liquidity concerns;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439"/>
        <w:gridCol w:w="215"/>
        <w:gridCol w:w="110"/>
        <w:gridCol w:w="1086"/>
        <w:gridCol w:w="216"/>
        <w:gridCol w:w="110"/>
        <w:gridCol w:w="1086"/>
        <w:gridCol w:w="216"/>
        <w:gridCol w:w="110"/>
        <w:gridCol w:w="1089"/>
        <w:gridCol w:w="216"/>
        <w:gridCol w:w="110"/>
        <w:gridCol w:w="1089"/>
        <w:gridCol w:w="113"/>
      </w:tblGrid>
      <w:tr>
        <w:trPr/>
        <w:tc>
          <w:tcPr>
            <w:tcW w:w="443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6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61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13" w:type="dxa"/>
            <w:tcBorders/>
            <w:shd w:fill="auto" w:val="clear"/>
            <w:vAlign w:val="bottom"/>
          </w:tcPr>
          <w:p>
            <w:pPr>
              <w:pStyle w:val="TableContents"/>
              <w:spacing w:before="0" w:after="0"/>
              <w:ind w:left="0" w:right="0" w:hanging="0"/>
              <w:jc w:val="center"/>
              <w:rPr/>
            </w:pPr>
            <w:r>
              <w:rPr/>
              <w:t> </w:t>
            </w:r>
          </w:p>
        </w:tc>
      </w:tr>
      <w:tr>
        <w:trPr/>
        <w:tc>
          <w:tcPr>
            <w:tcW w:w="443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26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6" w:type="dxa"/>
            <w:tcBorders/>
            <w:shd w:fill="auto" w:val="clear"/>
            <w:vAlign w:val="bottom"/>
          </w:tcPr>
          <w:p>
            <w:pPr>
              <w:pStyle w:val="TableContents"/>
              <w:spacing w:before="0" w:after="0"/>
              <w:ind w:left="0" w:right="0" w:hanging="0"/>
              <w:jc w:val="center"/>
              <w:rPr/>
            </w:pPr>
            <w:r>
              <w:rPr/>
              <w:t> </w:t>
            </w:r>
          </w:p>
        </w:tc>
        <w:tc>
          <w:tcPr>
            <w:tcW w:w="261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3" w:type="dxa"/>
            <w:tcBorders/>
            <w:shd w:fill="auto" w:val="clear"/>
            <w:vAlign w:val="bottom"/>
          </w:tcPr>
          <w:p>
            <w:pPr>
              <w:pStyle w:val="TableContents"/>
              <w:spacing w:before="0" w:after="0"/>
              <w:ind w:left="0" w:right="0" w:hanging="0"/>
              <w:jc w:val="center"/>
              <w:rPr/>
            </w:pPr>
            <w:r>
              <w:rPr/>
              <w:t> </w:t>
            </w:r>
          </w:p>
        </w:tc>
      </w:tr>
      <w:tr>
        <w:trPr/>
        <w:tc>
          <w:tcPr>
            <w:tcW w:w="443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jc w:val="center"/>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6" w:type="dxa"/>
            <w:tcBorders/>
            <w:shd w:fill="auto" w:val="clear"/>
            <w:vAlign w:val="bottom"/>
          </w:tcPr>
          <w:p>
            <w:pPr>
              <w:pStyle w:val="TableContents"/>
              <w:spacing w:before="0" w:after="0"/>
              <w:ind w:left="0" w:right="0" w:hanging="0"/>
              <w:jc w:val="center"/>
              <w:rPr/>
            </w:pPr>
            <w:r>
              <w:rPr/>
              <w:t> </w:t>
            </w:r>
          </w:p>
        </w:tc>
        <w:tc>
          <w:tcPr>
            <w:tcW w:w="119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6" w:type="dxa"/>
            <w:tcBorders/>
            <w:shd w:fill="auto" w:val="clear"/>
            <w:vAlign w:val="bottom"/>
          </w:tcPr>
          <w:p>
            <w:pPr>
              <w:pStyle w:val="TableContents"/>
              <w:spacing w:before="0" w:after="0"/>
              <w:ind w:left="0" w:right="0" w:hanging="0"/>
              <w:jc w:val="center"/>
              <w:rPr/>
            </w:pPr>
            <w:r>
              <w:rPr/>
              <w:t> </w:t>
            </w:r>
          </w:p>
        </w:tc>
        <w:tc>
          <w:tcPr>
            <w:tcW w:w="11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3" w:type="dxa"/>
            <w:tcBorders/>
            <w:shd w:fill="auto" w:val="clear"/>
            <w:vAlign w:val="bottom"/>
          </w:tcPr>
          <w:p>
            <w:pPr>
              <w:pStyle w:val="TableContents"/>
              <w:spacing w:before="0" w:after="0"/>
              <w:ind w:left="0" w:right="0" w:hanging="0"/>
              <w:jc w:val="center"/>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5"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6,078</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4,943</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18,520</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30,061</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5,620</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4,550</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16,656</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28,479</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617</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5,905</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4,801</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17,741</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29,467</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779</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the noncontrolling interest</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shd w:fill="auto" w:val="clear"/>
            <w:vAlign w:val="bottom"/>
          </w:tcPr>
          <w:p>
            <w:pPr>
              <w:pStyle w:val="TableContents"/>
              <w:spacing w:before="0" w:after="0"/>
              <w:ind w:left="0" w:right="0" w:hanging="0"/>
              <w:jc w:val="right"/>
              <w:rPr/>
            </w:pPr>
            <w:r>
              <w:rPr/>
              <w:t> </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5"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3" w:type="dxa"/>
            <w:tcBorders/>
            <w:shd w:fill="auto" w:val="clear"/>
            <w:vAlign w:val="bottom"/>
          </w:tcPr>
          <w:p>
            <w:pPr>
              <w:pStyle w:val="TableContents"/>
              <w:spacing w:before="0" w:after="0"/>
              <w:ind w:left="0" w:right="0" w:hanging="0"/>
              <w:rPr/>
            </w:pPr>
            <w:r>
              <w:rPr/>
              <w:t> </w:t>
            </w:r>
          </w:p>
        </w:tc>
      </w:tr>
      <w:tr>
        <w:trPr/>
        <w:tc>
          <w:tcPr>
            <w:tcW w:w="4439" w:type="dxa"/>
            <w:tcBorders/>
            <w:shd w:fill="CCEEFF" w:val="clear"/>
            <w:vAlign w:val="bottom"/>
          </w:tcPr>
          <w:p>
            <w:pPr>
              <w:pStyle w:val="TableContents"/>
              <w:spacing w:before="0" w:after="0"/>
              <w:ind w:left="0" w:right="0" w:hanging="0"/>
              <w:rPr/>
            </w:pPr>
            <w:r>
              <w:rPr/>
              <w:t> </w:t>
            </w:r>
          </w:p>
        </w:tc>
        <w:tc>
          <w:tcPr>
            <w:tcW w:w="215"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9" w:type="dxa"/>
            <w:gridSpan w:val="2"/>
            <w:tcBorders/>
            <w:shd w:fill="CCEEFF" w:val="clear"/>
            <w:vAlign w:val="bottom"/>
          </w:tcPr>
          <w:p>
            <w:pPr>
              <w:pStyle w:val="TableContents"/>
              <w:spacing w:before="0" w:after="0"/>
              <w:ind w:left="0" w:right="0" w:hanging="0"/>
              <w:jc w:val="right"/>
              <w:rPr/>
            </w:pPr>
            <w:r>
              <w:rPr/>
              <w:t> </w:t>
            </w:r>
          </w:p>
        </w:tc>
        <w:tc>
          <w:tcPr>
            <w:tcW w:w="113" w:type="dxa"/>
            <w:tcBorders/>
            <w:shd w:fill="CCEEFF" w:val="clear"/>
            <w:vAlign w:val="bottom"/>
          </w:tcPr>
          <w:p>
            <w:pPr>
              <w:pStyle w:val="TableContents"/>
              <w:spacing w:before="0" w:after="0"/>
              <w:ind w:left="0" w:right="0" w:hanging="0"/>
              <w:rPr/>
            </w:pPr>
            <w:r>
              <w:rPr/>
              <w:t> </w:t>
            </w:r>
          </w:p>
        </w:tc>
      </w:tr>
      <w:tr>
        <w:trPr/>
        <w:tc>
          <w:tcPr>
            <w:tcW w:w="4439"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5"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6" w:type="dxa"/>
            <w:tcBorders/>
            <w:shd w:fill="auto" w:val="clear"/>
            <w:vAlign w:val="bottom"/>
          </w:tcPr>
          <w:p>
            <w:pPr>
              <w:pStyle w:val="TableContents"/>
              <w:spacing w:before="0" w:after="0"/>
              <w:ind w:left="0" w:right="0" w:hanging="0"/>
              <w:rPr/>
            </w:pPr>
            <w:r>
              <w:rPr/>
              <w:t> </w:t>
            </w:r>
          </w:p>
        </w:tc>
        <w:tc>
          <w:tcPr>
            <w:tcW w:w="119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u w:val="single"/>
        </w:rPr>
        <w:t xml:space="preserve"> </w:t>
      </w:r>
      <w:r>
        <w:rPr>
          <w:rFonts w:ascii="Times New Roman" w:hAnsi="Times New Roman"/>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70"/>
        <w:gridCol w:w="208"/>
        <w:gridCol w:w="1250"/>
        <w:gridCol w:w="208"/>
        <w:gridCol w:w="1249"/>
        <w:gridCol w:w="208"/>
        <w:gridCol w:w="1250"/>
        <w:gridCol w:w="208"/>
        <w:gridCol w:w="1250"/>
        <w:gridCol w:w="104"/>
      </w:tblGrid>
      <w:tr>
        <w:trPr/>
        <w:tc>
          <w:tcPr>
            <w:tcW w:w="42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07"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8" w:type="dxa"/>
            <w:tcBorders/>
            <w:shd w:fill="auto" w:val="clear"/>
            <w:vAlign w:val="bottom"/>
          </w:tcPr>
          <w:p>
            <w:pPr>
              <w:pStyle w:val="TableContents"/>
              <w:spacing w:before="0" w:after="0"/>
              <w:ind w:left="0" w:right="0" w:hanging="0"/>
              <w:jc w:val="center"/>
              <w:rPr/>
            </w:pPr>
            <w:r>
              <w:rPr/>
              <w:t> </w:t>
            </w:r>
          </w:p>
        </w:tc>
        <w:tc>
          <w:tcPr>
            <w:tcW w:w="2708"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04" w:type="dxa"/>
            <w:tcBorders/>
            <w:shd w:fill="auto" w:val="clear"/>
            <w:vAlign w:val="bottom"/>
          </w:tcPr>
          <w:p>
            <w:pPr>
              <w:pStyle w:val="TableContents"/>
              <w:spacing w:before="0" w:after="0"/>
              <w:ind w:left="0" w:right="0" w:hanging="0"/>
              <w:jc w:val="center"/>
              <w:rPr/>
            </w:pPr>
            <w:r>
              <w:rPr/>
              <w:t> </w:t>
            </w:r>
          </w:p>
        </w:tc>
      </w:tr>
      <w:tr>
        <w:trPr/>
        <w:tc>
          <w:tcPr>
            <w:tcW w:w="42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0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08" w:type="dxa"/>
            <w:tcBorders/>
            <w:shd w:fill="auto" w:val="clear"/>
            <w:vAlign w:val="bottom"/>
          </w:tcPr>
          <w:p>
            <w:pPr>
              <w:pStyle w:val="TableContents"/>
              <w:spacing w:before="0" w:after="0"/>
              <w:ind w:left="0" w:right="0" w:hanging="0"/>
              <w:jc w:val="center"/>
              <w:rPr/>
            </w:pPr>
            <w:r>
              <w:rPr/>
              <w:t> </w:t>
            </w:r>
          </w:p>
        </w:tc>
        <w:tc>
          <w:tcPr>
            <w:tcW w:w="270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04" w:type="dxa"/>
            <w:tcBorders/>
            <w:shd w:fill="auto" w:val="clear"/>
            <w:vAlign w:val="bottom"/>
          </w:tcPr>
          <w:p>
            <w:pPr>
              <w:pStyle w:val="TableContents"/>
              <w:spacing w:before="0" w:after="0"/>
              <w:ind w:left="0" w:right="0" w:hanging="0"/>
              <w:jc w:val="center"/>
              <w:rPr/>
            </w:pPr>
            <w:r>
              <w:rPr/>
              <w:t> </w:t>
            </w:r>
          </w:p>
        </w:tc>
      </w:tr>
      <w:tr>
        <w:trPr/>
        <w:tc>
          <w:tcPr>
            <w:tcW w:w="42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8" w:type="dxa"/>
            <w:tcBorders/>
            <w:shd w:fill="auto" w:val="clear"/>
            <w:vAlign w:val="bottom"/>
          </w:tcPr>
          <w:p>
            <w:pPr>
              <w:pStyle w:val="TableContents"/>
              <w:spacing w:before="0" w:after="0"/>
              <w:ind w:left="0" w:right="0" w:hanging="0"/>
              <w:jc w:val="center"/>
              <w:rPr/>
            </w:pPr>
            <w:r>
              <w:rPr/>
              <w:t> </w:t>
            </w:r>
          </w:p>
        </w:tc>
        <w:tc>
          <w:tcPr>
            <w:tcW w:w="124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08" w:type="dxa"/>
            <w:tcBorders/>
            <w:shd w:fill="auto" w:val="clear"/>
            <w:vAlign w:val="bottom"/>
          </w:tcPr>
          <w:p>
            <w:pPr>
              <w:pStyle w:val="TableContents"/>
              <w:spacing w:before="0" w:after="0"/>
              <w:ind w:left="0" w:right="0" w:hanging="0"/>
              <w:jc w:val="center"/>
              <w:rPr/>
            </w:pPr>
            <w:r>
              <w:rPr/>
              <w:t> </w:t>
            </w:r>
          </w:p>
        </w:tc>
        <w:tc>
          <w:tcPr>
            <w:tcW w:w="125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04" w:type="dxa"/>
            <w:tcBorders/>
            <w:shd w:fill="auto" w:val="clear"/>
            <w:vAlign w:val="bottom"/>
          </w:tcPr>
          <w:p>
            <w:pPr>
              <w:pStyle w:val="TableContents"/>
              <w:spacing w:before="0" w:after="0"/>
              <w:ind w:left="0" w:right="0" w:hanging="0"/>
              <w:jc w:val="center"/>
              <w:rPr/>
            </w:pPr>
            <w:r>
              <w:rPr/>
              <w:t> </w:t>
            </w:r>
          </w:p>
        </w:tc>
      </w:tr>
      <w:tr>
        <w:trPr/>
        <w:tc>
          <w:tcPr>
            <w:tcW w:w="4270"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thousands of barrels):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407</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394</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193</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63/Line 2000</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135</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pPr>
            <w:r>
              <w:rPr>
                <w:rFonts w:ascii="Times New Roman" w:hAnsi="Times New Roman"/>
                <w:sz w:val="17"/>
              </w:rPr>
              <w:t xml:space="preserve">Salt Lake City Area Systems </w:t>
            </w:r>
            <w:r>
              <w:rPr>
                <w:sz w:val="11"/>
              </w:rPr>
              <w:t>(2)</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pPr>
            <w:r>
              <w:rPr>
                <w:rFonts w:ascii="Times New Roman" w:hAnsi="Times New Roman"/>
                <w:sz w:val="17"/>
              </w:rPr>
              <w:t xml:space="preserve">West Texas/New Mexico Area Systems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349</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368</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372</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1,101</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1,233</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1,180</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1,232</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2,707</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2,929</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2,836</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2,851</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2,794</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3,030</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2,921</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2,948</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LPG storage (average monthly capacity in millions of barrels)</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pPr>
            <w:r>
              <w:rPr>
                <w:rFonts w:ascii="Times New Roman" w:hAnsi="Times New Roman"/>
                <w:sz w:val="17"/>
              </w:rPr>
              <w:t>Natural gas storage (average monthly capacity in billions of cubic feet)</w:t>
            </w:r>
            <w:r>
              <w:rPr/>
              <w:t xml:space="preserve"> </w:t>
            </w:r>
            <w:r>
              <w:rPr>
                <w:sz w:val="11"/>
              </w:rPr>
              <w:t>(3)</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processing (average throughput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pPr>
            <w:r>
              <w:rPr>
                <w:rFonts w:ascii="Times New Roman" w:hAnsi="Times New Roman"/>
                <w:sz w:val="17"/>
              </w:rPr>
              <w:t xml:space="preserve">Facilities activities total (average monthly capacity in millions of barrels) </w:t>
            </w:r>
            <w:r>
              <w:rPr>
                <w:sz w:val="11"/>
              </w:rPr>
              <w:t>(4)</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&amp; Logistics activities (Average Daily Volumes, thousands of barrels):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594</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645</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658</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c>
          <w:tcPr>
            <w:tcW w:w="208"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08" w:type="dxa"/>
            <w:tcBorders/>
            <w:shd w:fill="auto" w:val="clear"/>
            <w:vAlign w:val="bottom"/>
          </w:tcPr>
          <w:p>
            <w:pPr>
              <w:pStyle w:val="TableContents"/>
              <w:spacing w:before="0" w:after="0"/>
              <w:ind w:left="0" w:right="0" w:hanging="0"/>
              <w:rPr/>
            </w:pPr>
            <w:r>
              <w:rPr/>
              <w:t> </w:t>
            </w:r>
          </w:p>
        </w:tc>
        <w:tc>
          <w:tcPr>
            <w:tcW w:w="125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LPG sales</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08"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08" w:type="dxa"/>
            <w:tcBorders/>
            <w:shd w:fill="CCEEFF" w:val="clear"/>
            <w:vAlign w:val="bottom"/>
          </w:tcPr>
          <w:p>
            <w:pPr>
              <w:pStyle w:val="TableContents"/>
              <w:spacing w:before="0" w:after="0"/>
              <w:ind w:left="0" w:right="0" w:hanging="0"/>
              <w:rPr/>
            </w:pPr>
            <w:r>
              <w:rPr/>
              <w:t> </w:t>
            </w:r>
          </w:p>
        </w:tc>
        <w:tc>
          <w:tcPr>
            <w:tcW w:w="12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04" w:type="dxa"/>
            <w:tcBorders/>
            <w:shd w:fill="CCEEFF" w:val="clear"/>
            <w:vAlign w:val="bottom"/>
          </w:tcPr>
          <w:p>
            <w:pPr>
              <w:pStyle w:val="TableContents"/>
              <w:spacing w:before="0" w:after="0"/>
              <w:ind w:left="0" w:right="0" w:hanging="0"/>
              <w:rPr/>
            </w:pPr>
            <w:r>
              <w:rPr/>
              <w:t> </w:t>
            </w:r>
          </w:p>
        </w:tc>
      </w:tr>
      <w:tr>
        <w:trPr/>
        <w:tc>
          <w:tcPr>
            <w:tcW w:w="427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foreign crude oil imported</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8"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8" w:type="dxa"/>
            <w:tcBorders/>
            <w:shd w:fill="auto" w:val="clear"/>
            <w:vAlign w:val="bottom"/>
          </w:tcPr>
          <w:p>
            <w:pPr>
              <w:pStyle w:val="TableContents"/>
              <w:spacing w:before="0" w:after="0"/>
              <w:ind w:left="0" w:right="0" w:hanging="0"/>
              <w:rPr/>
            </w:pPr>
            <w:r>
              <w:rPr/>
              <w:t> </w:t>
            </w:r>
          </w:p>
        </w:tc>
        <w:tc>
          <w:tcPr>
            <w:tcW w:w="125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w:t>
            </w:r>
          </w:p>
        </w:tc>
        <w:tc>
          <w:tcPr>
            <w:tcW w:w="104" w:type="dxa"/>
            <w:tcBorders/>
            <w:shd w:fill="auto" w:val="clear"/>
            <w:vAlign w:val="bottom"/>
          </w:tcPr>
          <w:p>
            <w:pPr>
              <w:pStyle w:val="TableContents"/>
              <w:spacing w:before="0" w:after="0"/>
              <w:ind w:left="0" w:right="0" w:hanging="0"/>
              <w:rPr/>
            </w:pPr>
            <w:r>
              <w:rPr/>
              <w:t> </w:t>
            </w:r>
          </w:p>
        </w:tc>
      </w:tr>
      <w:tr>
        <w:trPr/>
        <w:tc>
          <w:tcPr>
            <w:tcW w:w="427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&amp; Logistics activities total</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w:t>
            </w:r>
          </w:p>
        </w:tc>
        <w:tc>
          <w:tcPr>
            <w:tcW w:w="208" w:type="dxa"/>
            <w:tcBorders/>
            <w:shd w:fill="CCEEFF" w:val="clear"/>
            <w:vAlign w:val="bottom"/>
          </w:tcPr>
          <w:p>
            <w:pPr>
              <w:pStyle w:val="TableContents"/>
              <w:spacing w:before="0" w:after="0"/>
              <w:ind w:left="0" w:right="0" w:hanging="0"/>
              <w:rPr/>
            </w:pPr>
            <w:r>
              <w:rPr/>
              <w:t> </w:t>
            </w:r>
          </w:p>
        </w:tc>
        <w:tc>
          <w:tcPr>
            <w:tcW w:w="12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901</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w:t>
            </w:r>
          </w:p>
        </w:tc>
        <w:tc>
          <w:tcPr>
            <w:tcW w:w="208" w:type="dxa"/>
            <w:tcBorders/>
            <w:shd w:fill="CCEEFF" w:val="clear"/>
            <w:vAlign w:val="bottom"/>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w:t>
            </w:r>
          </w:p>
        </w:tc>
        <w:tc>
          <w:tcPr>
            <w:tcW w:w="104"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Volumes associated with acquisitions represent total volumes for the number of days we actually owned the assets divided by the number of days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The aggregate of multiple systems in the respective areas.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In September 2009, we acquired the remaining 50% indirect interest in PAA Natural Gas Storage, LLC (PNGS) from Vulcan Gas Storage LLC, which resulted in our 100% ownership of the natural gas storage business and related operating entities.  Therefore, natural gas storage volumes for 2008 and January through August 2009 are netted to our 50% interest in PNGS.  September 2009 through December 2009 volumes represent our 100% interest in PNGS.</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Facilities total is calculated as the sum of: (i) crude oil, refined products and LPG storage capacity; (ii) natural gas storage capacity divided by 6 to account for the 6:1 mcf of gas to crude oil barrel ratio; and (iii) LPG processing volumes multiplied by the number of days in the period and divided by the number of months in the period.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53"/>
        <w:gridCol w:w="212"/>
        <w:gridCol w:w="138"/>
        <w:gridCol w:w="1167"/>
        <w:gridCol w:w="212"/>
        <w:gridCol w:w="138"/>
        <w:gridCol w:w="1167"/>
        <w:gridCol w:w="218"/>
      </w:tblGrid>
      <w:tr>
        <w:trPr/>
        <w:tc>
          <w:tcPr>
            <w:tcW w:w="695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2" w:type="dxa"/>
            <w:tcBorders/>
            <w:shd w:fill="auto" w:val="clear"/>
            <w:vAlign w:val="bottom"/>
          </w:tcPr>
          <w:p>
            <w:pPr>
              <w:pStyle w:val="TableContents"/>
              <w:spacing w:before="0" w:after="0"/>
              <w:ind w:left="0" w:right="0" w:hanging="0"/>
              <w:jc w:val="center"/>
              <w:rPr/>
            </w:pPr>
            <w:r>
              <w:rPr/>
              <w:t> </w:t>
            </w:r>
          </w:p>
        </w:tc>
        <w:tc>
          <w:tcPr>
            <w:tcW w:w="130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8" w:type="dxa"/>
            <w:tcBorders/>
            <w:shd w:fill="auto" w:val="clear"/>
            <w:vAlign w:val="bottom"/>
          </w:tcPr>
          <w:p>
            <w:pPr>
              <w:pStyle w:val="TableContents"/>
              <w:spacing w:before="0" w:after="0"/>
              <w:ind w:left="0" w:right="0" w:hanging="0"/>
              <w:jc w:val="center"/>
              <w:rPr/>
            </w:pPr>
            <w:r>
              <w:rPr/>
              <w:t> </w:t>
            </w:r>
          </w:p>
        </w:tc>
      </w:tr>
      <w:tr>
        <w:trPr/>
        <w:tc>
          <w:tcPr>
            <w:tcW w:w="695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8" w:type="dxa"/>
            <w:tcBorders/>
            <w:shd w:fill="auto" w:val="clear"/>
            <w:vAlign w:val="bottom"/>
          </w:tcPr>
          <w:p>
            <w:pPr>
              <w:pStyle w:val="TableContents"/>
              <w:spacing w:before="0" w:after="0"/>
              <w:ind w:left="0" w:right="0" w:hanging="0"/>
              <w:jc w:val="center"/>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3,658</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2,596</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6,340</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5,059</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425</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 in unconsolidated entities</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1,287</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1,210</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assets, net</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369</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3,782</w:t>
            </w:r>
          </w:p>
        </w:tc>
        <w:tc>
          <w:tcPr>
            <w:tcW w:w="212" w:type="dxa"/>
            <w:tcBorders/>
            <w:shd w:fill="auto" w:val="clear"/>
            <w:vAlign w:val="bottom"/>
          </w:tcPr>
          <w:p>
            <w:pPr>
              <w:pStyle w:val="TableContents"/>
              <w:spacing w:before="0" w:after="0"/>
              <w:ind w:left="0" w:right="0" w:hanging="0"/>
              <w:rPr/>
            </w:pPr>
            <w:r>
              <w:rPr/>
              <w:t> </w:t>
            </w:r>
          </w:p>
        </w:tc>
        <w:tc>
          <w:tcPr>
            <w:tcW w:w="13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2,960</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net discount</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4,136</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3,219</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net deferred credits</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8,199</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6,480</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4,096</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2" w:type="dxa"/>
            <w:tcBorders/>
            <w:shd w:fill="CCEEFF"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8" w:type="dxa"/>
            <w:tcBorders/>
            <w:shd w:fill="CCEEFF" w:val="clear"/>
            <w:vAlign w:val="bottom"/>
          </w:tcPr>
          <w:p>
            <w:pPr>
              <w:pStyle w:val="TableContents"/>
              <w:spacing w:before="0" w:after="0"/>
              <w:ind w:left="0" w:right="0" w:hanging="0"/>
              <w:rPr/>
            </w:pPr>
            <w:r>
              <w:rPr/>
              <w:t> </w:t>
            </w:r>
          </w:p>
        </w:tc>
      </w:tr>
      <w:tr>
        <w:trPr/>
        <w:tc>
          <w:tcPr>
            <w:tcW w:w="69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12" w:type="dxa"/>
            <w:tcBorders/>
            <w:shd w:fill="auto" w:val="clear"/>
            <w:vAlign w:val="bottom"/>
          </w:tcPr>
          <w:p>
            <w:pPr>
              <w:pStyle w:val="TableContents"/>
              <w:spacing w:before="0" w:after="0"/>
              <w:ind w:left="0" w:right="0" w:hanging="0"/>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3,552</w:t>
            </w:r>
          </w:p>
        </w:tc>
        <w:tc>
          <w:tcPr>
            <w:tcW w:w="218" w:type="dxa"/>
            <w:tcBorders/>
            <w:shd w:fill="auto" w:val="clear"/>
            <w:vAlign w:val="bottom"/>
          </w:tcPr>
          <w:p>
            <w:pPr>
              <w:pStyle w:val="TableContents"/>
              <w:spacing w:before="0" w:after="0"/>
              <w:ind w:left="0" w:right="0" w:hanging="0"/>
              <w:rPr/>
            </w:pPr>
            <w:r>
              <w:rPr/>
              <w:t> </w:t>
            </w:r>
          </w:p>
        </w:tc>
      </w:tr>
      <w:tr>
        <w:trPr/>
        <w:tc>
          <w:tcPr>
            <w:tcW w:w="69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12,358</w:t>
            </w:r>
          </w:p>
        </w:tc>
        <w:tc>
          <w:tcPr>
            <w:tcW w:w="212" w:type="dxa"/>
            <w:tcBorders/>
            <w:shd w:fill="CCEEFF" w:val="clear"/>
            <w:vAlign w:val="bottom"/>
          </w:tcPr>
          <w:p>
            <w:pPr>
              <w:pStyle w:val="TableContents"/>
              <w:spacing w:before="0" w:after="0"/>
              <w:ind w:left="0" w:right="0" w:hanging="0"/>
              <w:rPr/>
            </w:pPr>
            <w:r>
              <w:rPr/>
              <w:t> </w:t>
            </w:r>
          </w:p>
        </w:tc>
        <w:tc>
          <w:tcPr>
            <w:tcW w:w="138"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10,032</w:t>
            </w:r>
          </w:p>
        </w:tc>
        <w:tc>
          <w:tcPr>
            <w:tcW w:w="2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CREDIT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92"/>
        <w:gridCol w:w="206"/>
        <w:gridCol w:w="165"/>
        <w:gridCol w:w="1008"/>
        <w:gridCol w:w="252"/>
        <w:gridCol w:w="169"/>
        <w:gridCol w:w="967"/>
        <w:gridCol w:w="216"/>
        <w:gridCol w:w="165"/>
        <w:gridCol w:w="1008"/>
        <w:gridCol w:w="257"/>
      </w:tblGrid>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rPr/>
            </w:pPr>
            <w:r>
              <w:rPr/>
              <w:t> </w:t>
            </w:r>
          </w:p>
        </w:tc>
        <w:tc>
          <w:tcPr>
            <w:tcW w:w="252" w:type="dxa"/>
            <w:tcBorders/>
            <w:shd w:fill="auto" w:val="clear"/>
            <w:vAlign w:val="bottom"/>
          </w:tcPr>
          <w:p>
            <w:pPr>
              <w:pStyle w:val="TableContents"/>
              <w:spacing w:before="0" w:after="0"/>
              <w:ind w:left="0" w:right="0" w:hanging="0"/>
              <w:jc w:val="center"/>
              <w:rPr/>
            </w:pPr>
            <w:r>
              <w:rPr/>
              <w:t> </w:t>
            </w:r>
          </w:p>
        </w:tc>
        <w:tc>
          <w:tcPr>
            <w:tcW w:w="1136"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57" w:type="dxa"/>
            <w:tcBorders/>
            <w:shd w:fill="auto" w:val="clear"/>
            <w:vAlign w:val="bottom"/>
          </w:tcPr>
          <w:p>
            <w:pPr>
              <w:pStyle w:val="TableContents"/>
              <w:spacing w:before="0" w:after="0"/>
              <w:ind w:left="0" w:right="0" w:hanging="0"/>
              <w:jc w:val="center"/>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52" w:type="dxa"/>
            <w:tcBorders/>
            <w:shd w:fill="auto" w:val="clear"/>
            <w:vAlign w:val="bottom"/>
          </w:tcPr>
          <w:p>
            <w:pPr>
              <w:pStyle w:val="TableContents"/>
              <w:spacing w:before="0" w:after="0"/>
              <w:ind w:left="0" w:right="0" w:hanging="0"/>
              <w:jc w:val="center"/>
              <w:rPr/>
            </w:pPr>
            <w:r>
              <w:rPr/>
              <w:t> </w:t>
            </w:r>
          </w:p>
        </w:tc>
        <w:tc>
          <w:tcPr>
            <w:tcW w:w="1136" w:type="dxa"/>
            <w:gridSpan w:val="2"/>
            <w:tcBorders/>
            <w:shd w:fill="auto" w:val="clear"/>
            <w:vAlign w:val="bottom"/>
          </w:tcPr>
          <w:p>
            <w:pPr>
              <w:pStyle w:val="TableContents"/>
              <w:spacing w:before="0" w:after="0"/>
              <w:ind w:left="0" w:right="0" w:hanging="0"/>
              <w:jc w:val="center"/>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7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57" w:type="dxa"/>
            <w:tcBorders/>
            <w:shd w:fill="auto" w:val="clear"/>
            <w:vAlign w:val="bottom"/>
          </w:tcPr>
          <w:p>
            <w:pPr>
              <w:pStyle w:val="TableContents"/>
              <w:spacing w:before="0" w:after="0"/>
              <w:ind w:left="0" w:right="0" w:hanging="0"/>
              <w:jc w:val="center"/>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52" w:type="dxa"/>
            <w:tcBorders/>
            <w:shd w:fill="auto" w:val="clear"/>
            <w:vAlign w:val="bottom"/>
          </w:tcPr>
          <w:p>
            <w:pPr>
              <w:pStyle w:val="TableContents"/>
              <w:spacing w:before="0" w:after="0"/>
              <w:ind w:left="0" w:right="0" w:hanging="0"/>
              <w:jc w:val="center"/>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 xml:space="preserve">Adjustment </w:t>
            </w:r>
            <w:r>
              <w:rPr>
                <w:b/>
                <w:sz w:val="8"/>
              </w:rPr>
              <w:t>(1)</w:t>
            </w:r>
          </w:p>
        </w:tc>
        <w:tc>
          <w:tcPr>
            <w:tcW w:w="216" w:type="dxa"/>
            <w:tcBorders/>
            <w:shd w:fill="auto" w:val="clear"/>
            <w:vAlign w:val="bottom"/>
          </w:tcPr>
          <w:p>
            <w:pPr>
              <w:pStyle w:val="TableContents"/>
              <w:spacing w:before="0" w:after="0"/>
              <w:ind w:left="0" w:right="0" w:hanging="0"/>
              <w:jc w:val="center"/>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Adjusted</w:t>
            </w:r>
          </w:p>
        </w:tc>
        <w:tc>
          <w:tcPr>
            <w:tcW w:w="257" w:type="dxa"/>
            <w:tcBorders/>
            <w:shd w:fill="auto" w:val="clear"/>
            <w:vAlign w:val="bottom"/>
          </w:tcPr>
          <w:p>
            <w:pPr>
              <w:pStyle w:val="TableContents"/>
              <w:spacing w:before="0" w:after="0"/>
              <w:ind w:left="0" w:right="0" w:hanging="0"/>
              <w:jc w:val="center"/>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06"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52"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6"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1,296</w:t>
            </w:r>
          </w:p>
        </w:tc>
        <w:tc>
          <w:tcPr>
            <w:tcW w:w="257"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252" w:type="dxa"/>
            <w:tcBorders/>
            <w:shd w:fill="auto" w:val="clear"/>
            <w:vAlign w:val="bottom"/>
          </w:tcPr>
          <w:p>
            <w:pPr>
              <w:pStyle w:val="TableContents"/>
              <w:spacing w:before="0" w:after="0"/>
              <w:ind w:left="0" w:right="0" w:hanging="0"/>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3,920</w:t>
            </w:r>
          </w:p>
        </w:tc>
        <w:tc>
          <w:tcPr>
            <w:tcW w:w="257"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06" w:type="dxa"/>
            <w:tcBorders/>
            <w:shd w:fill="CCEEFF" w:val="clear"/>
            <w:vAlign w:val="bottom"/>
          </w:tcPr>
          <w:p>
            <w:pPr>
              <w:pStyle w:val="TableContents"/>
              <w:spacing w:before="0" w:after="0"/>
              <w:ind w:left="0" w:right="0" w:hanging="0"/>
              <w:rPr/>
            </w:pPr>
            <w:r>
              <w:rPr/>
              <w:t> </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252"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5,216</w:t>
            </w:r>
          </w:p>
        </w:tc>
        <w:tc>
          <w:tcPr>
            <w:tcW w:w="257"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06"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4,142</w:t>
            </w:r>
          </w:p>
        </w:tc>
        <w:tc>
          <w:tcPr>
            <w:tcW w:w="252"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3,920</w:t>
            </w:r>
          </w:p>
        </w:tc>
        <w:tc>
          <w:tcPr>
            <w:tcW w:w="257"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52" w:type="dxa"/>
            <w:tcBorders/>
            <w:shd w:fill="auto" w:val="clear"/>
            <w:vAlign w:val="bottom"/>
          </w:tcPr>
          <w:p>
            <w:pPr>
              <w:pStyle w:val="TableContents"/>
              <w:spacing w:before="0" w:after="0"/>
              <w:ind w:left="0" w:right="0" w:hanging="0"/>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auto" w:val="clear"/>
            <w:vAlign w:val="bottom"/>
          </w:tcPr>
          <w:p>
            <w:pPr>
              <w:pStyle w:val="TableContents"/>
              <w:spacing w:before="0" w:after="0"/>
              <w:ind w:left="0" w:right="0" w:hanging="0"/>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4,159</w:t>
            </w:r>
          </w:p>
        </w:tc>
        <w:tc>
          <w:tcPr>
            <w:tcW w:w="257"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06" w:type="dxa"/>
            <w:tcBorders/>
            <w:shd w:fill="CCEEFF" w:val="clear"/>
            <w:vAlign w:val="bottom"/>
          </w:tcPr>
          <w:p>
            <w:pPr>
              <w:pStyle w:val="TableContents"/>
              <w:spacing w:before="0" w:after="0"/>
              <w:ind w:left="0" w:right="0" w:hanging="0"/>
              <w:rPr/>
            </w:pPr>
            <w:r>
              <w:rPr/>
              <w:t> </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8,301</w:t>
            </w:r>
          </w:p>
        </w:tc>
        <w:tc>
          <w:tcPr>
            <w:tcW w:w="252"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8,079</w:t>
            </w:r>
          </w:p>
        </w:tc>
        <w:tc>
          <w:tcPr>
            <w:tcW w:w="257"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06" w:type="dxa"/>
            <w:tcBorders/>
            <w:shd w:fill="CCEEFF" w:val="clear"/>
            <w:vAlign w:val="bottom"/>
          </w:tcPr>
          <w:p>
            <w:pPr>
              <w:pStyle w:val="TableContents"/>
              <w:spacing w:before="0" w:after="0"/>
              <w:ind w:left="0" w:right="0" w:hanging="0"/>
              <w:rPr/>
            </w:pPr>
            <w:r>
              <w:rPr/>
              <w:t> </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9,375</w:t>
            </w:r>
          </w:p>
        </w:tc>
        <w:tc>
          <w:tcPr>
            <w:tcW w:w="252" w:type="dxa"/>
            <w:tcBorders/>
            <w:shd w:fill="CCEEFF" w:val="clear"/>
            <w:vAlign w:val="bottom"/>
          </w:tcPr>
          <w:p>
            <w:pPr>
              <w:pStyle w:val="TableContents"/>
              <w:spacing w:before="0" w:after="0"/>
              <w:ind w:left="0" w:right="0" w:hanging="0"/>
              <w:rPr/>
            </w:pPr>
            <w:r>
              <w:rPr/>
              <w:t> </w:t>
            </w:r>
          </w:p>
        </w:tc>
        <w:tc>
          <w:tcPr>
            <w:tcW w:w="16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6" w:type="dxa"/>
            <w:tcBorders/>
            <w:shd w:fill="CCEEFF" w:val="clear"/>
            <w:vAlign w:val="bottom"/>
          </w:tcPr>
          <w:p>
            <w:pPr>
              <w:pStyle w:val="TableContents"/>
              <w:spacing w:before="0" w:after="0"/>
              <w:ind w:left="0" w:right="0" w:hanging="0"/>
              <w:rPr/>
            </w:pPr>
            <w:r>
              <w:rPr/>
              <w:t> </w:t>
            </w:r>
          </w:p>
        </w:tc>
        <w:tc>
          <w:tcPr>
            <w:tcW w:w="16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9,375</w:t>
            </w:r>
          </w:p>
        </w:tc>
        <w:tc>
          <w:tcPr>
            <w:tcW w:w="257" w:type="dxa"/>
            <w:tcBorders/>
            <w:shd w:fill="CCEEFF" w:val="clear"/>
            <w:vAlign w:val="bottom"/>
          </w:tcPr>
          <w:p>
            <w:pPr>
              <w:pStyle w:val="TableContents"/>
              <w:spacing w:before="0" w:after="0"/>
              <w:ind w:left="0" w:right="0" w:hanging="0"/>
              <w:rPr/>
            </w:pPr>
            <w:r>
              <w:rPr/>
              <w:t> </w:t>
            </w:r>
          </w:p>
        </w:tc>
      </w:tr>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to total book capitalization</w:t>
            </w:r>
          </w:p>
        </w:tc>
        <w:tc>
          <w:tcPr>
            <w:tcW w:w="206"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9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c>
          <w:tcPr>
            <w:tcW w:w="113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73" w:type="dxa"/>
            <w:gridSpan w:val="2"/>
            <w:tcBorders/>
            <w:shd w:fill="auto" w:val="clear"/>
            <w:vAlign w:val="bottom"/>
          </w:tcPr>
          <w:p>
            <w:pPr>
              <w:pStyle w:val="TableContents"/>
              <w:spacing w:before="0" w:after="0"/>
              <w:ind w:left="0" w:right="0" w:hanging="0"/>
              <w:jc w:val="right"/>
              <w:rPr/>
            </w:pPr>
            <w:r>
              <w:rPr/>
              <w:t> </w:t>
            </w:r>
          </w:p>
        </w:tc>
        <w:tc>
          <w:tcPr>
            <w:tcW w:w="257" w:type="dxa"/>
            <w:tcBorders/>
            <w:shd w:fill="auto" w:val="clear"/>
            <w:vAlign w:val="bottom"/>
          </w:tcPr>
          <w:p>
            <w:pPr>
              <w:pStyle w:val="TableContents"/>
              <w:spacing w:before="0" w:after="0"/>
              <w:ind w:left="0" w:right="0" w:hanging="0"/>
              <w:rPr/>
            </w:pPr>
            <w:r>
              <w:rPr/>
              <w:t> </w:t>
            </w:r>
          </w:p>
        </w:tc>
      </w:tr>
      <w:tr>
        <w:trPr/>
        <w:tc>
          <w:tcPr>
            <w:tcW w:w="57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 to total book capitalization including short-term debt</w:t>
            </w:r>
          </w:p>
        </w:tc>
        <w:tc>
          <w:tcPr>
            <w:tcW w:w="206"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7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5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adjustment represents the portion of the 4.25% senior notes due September 2012 that has been used to fund hedged inventory and would be classified as short-term debt if funded on our credit facilities.  These notes were issued in July 2009 and the proceeds are being used to supplement capital available from our hedged inventory facility.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spacing w:before="0" w:after="0"/>
        <w:ind w:left="0" w:right="0" w:hanging="0"/>
        <w:rPr/>
      </w:pPr>
      <w:r>
        <w:rPr/>
        <w:t> </w:t>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single" w:sz="8" w:space="0" w:color="000000"/>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04"/>
        <w:gridCol w:w="212"/>
        <w:gridCol w:w="110"/>
        <w:gridCol w:w="749"/>
        <w:gridCol w:w="213"/>
        <w:gridCol w:w="110"/>
        <w:gridCol w:w="749"/>
        <w:gridCol w:w="213"/>
        <w:gridCol w:w="110"/>
        <w:gridCol w:w="748"/>
        <w:gridCol w:w="213"/>
        <w:gridCol w:w="110"/>
        <w:gridCol w:w="749"/>
        <w:gridCol w:w="115"/>
      </w:tblGrid>
      <w:tr>
        <w:trPr/>
        <w:tc>
          <w:tcPr>
            <w:tcW w:w="5804"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193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5804"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3" w:type="dxa"/>
            <w:tcBorders/>
            <w:shd w:fill="auto" w:val="clear"/>
            <w:vAlign w:val="bottom"/>
          </w:tcPr>
          <w:p>
            <w:pPr>
              <w:pStyle w:val="TableContents"/>
              <w:spacing w:before="0" w:after="0"/>
              <w:ind w:left="0" w:right="0" w:hanging="0"/>
              <w:jc w:val="center"/>
              <w:rPr/>
            </w:pPr>
            <w:r>
              <w:rPr/>
              <w:t> </w:t>
            </w:r>
          </w:p>
        </w:tc>
        <w:tc>
          <w:tcPr>
            <w:tcW w:w="193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5" w:type="dxa"/>
            <w:tcBorders/>
            <w:shd w:fill="auto" w:val="clear"/>
            <w:vAlign w:val="bottom"/>
          </w:tcPr>
          <w:p>
            <w:pPr>
              <w:pStyle w:val="TableContents"/>
              <w:spacing w:before="0" w:after="0"/>
              <w:ind w:left="0" w:right="0" w:hanging="0"/>
              <w:jc w:val="center"/>
              <w:rPr/>
            </w:pPr>
            <w:r>
              <w:rPr/>
              <w:t> </w:t>
            </w:r>
          </w:p>
        </w:tc>
      </w:tr>
      <w:tr>
        <w:trPr/>
        <w:tc>
          <w:tcPr>
            <w:tcW w:w="5804"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5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5" w:type="dxa"/>
            <w:tcBorders/>
            <w:shd w:fill="auto" w:val="clear"/>
            <w:vAlign w:val="bottom"/>
          </w:tcPr>
          <w:p>
            <w:pPr>
              <w:pStyle w:val="TableContents"/>
              <w:spacing w:before="0" w:after="0"/>
              <w:ind w:left="0" w:right="0" w:hanging="0"/>
              <w:jc w:val="center"/>
              <w:rPr/>
            </w:pPr>
            <w:r>
              <w:rPr/>
              <w:t> </w:t>
            </w:r>
          </w:p>
        </w:tc>
      </w:tr>
      <w:tr>
        <w:trPr/>
        <w:tc>
          <w:tcPr>
            <w:tcW w:w="5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Numerator for basic and diluted earnings per limited partner unit:</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paid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Subtotal</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443</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rFonts w:ascii="Times New Roman" w:hAnsi="Times New Roman"/>
                <w:sz w:val="17"/>
              </w:rPr>
              <w:t>Adjustment in accordance with application of the two-class method for MLPs</w:t>
            </w:r>
            <w:r>
              <w:rPr/>
              <w:t xml:space="preserve"> </w:t>
            </w:r>
            <w:r>
              <w:rPr>
                <w:sz w:val="11"/>
              </w:rPr>
              <w:t>(1)</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804" w:type="dxa"/>
            <w:tcBorders/>
            <w:shd w:fill="auto" w:val="clear"/>
            <w:vAlign w:val="bottom"/>
          </w:tcPr>
          <w:p>
            <w:pPr>
              <w:pStyle w:val="TableContents"/>
              <w:spacing w:before="0" w:after="0"/>
              <w:ind w:left="0" w:right="0" w:hanging="0"/>
              <w:rPr/>
            </w:pPr>
            <w:r>
              <w:rPr>
                <w:rFonts w:ascii="Times New Roman" w:hAnsi="Times New Roman"/>
                <w:sz w:val="17"/>
              </w:rPr>
              <w:t xml:space="preserve">Net income available to limited partners in accordance with application of the two-class method for MLPs </w:t>
            </w:r>
            <w:r>
              <w:rPr>
                <w:sz w:val="11"/>
              </w:rPr>
              <w:t>(1)</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Denominator:</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Effect of dilutive securities:</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LTIP units</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2"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3.34</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2.66</w:t>
            </w:r>
          </w:p>
        </w:tc>
        <w:tc>
          <w:tcPr>
            <w:tcW w:w="115" w:type="dxa"/>
            <w:tcBorders/>
            <w:shd w:fill="auto" w:val="clear"/>
            <w:vAlign w:val="bottom"/>
          </w:tcPr>
          <w:p>
            <w:pPr>
              <w:pStyle w:val="TableContents"/>
              <w:spacing w:before="0" w:after="0"/>
              <w:ind w:left="0" w:right="0" w:hanging="0"/>
              <w:rPr/>
            </w:pPr>
            <w:r>
              <w:rPr/>
              <w:t> </w:t>
            </w:r>
          </w:p>
        </w:tc>
      </w:tr>
      <w:tr>
        <w:trPr/>
        <w:tc>
          <w:tcPr>
            <w:tcW w:w="5804" w:type="dxa"/>
            <w:tcBorders/>
            <w:shd w:fill="CCEEFF" w:val="clear"/>
            <w:vAlign w:val="bottom"/>
          </w:tcPr>
          <w:p>
            <w:pPr>
              <w:pStyle w:val="TableContents"/>
              <w:spacing w:before="0" w:after="0"/>
              <w:ind w:left="0" w:right="0" w:hanging="0"/>
              <w:rPr/>
            </w:pPr>
            <w:r>
              <w:rPr/>
              <w:t> </w:t>
            </w:r>
          </w:p>
        </w:tc>
        <w:tc>
          <w:tcPr>
            <w:tcW w:w="212"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80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0.52</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3"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 paid during the current quarter (including the incentive distribution interest in excess of the 2% general partner interest).  However, FASB guidance requires that the distribution pertaining to the current periods net income, which is to be paid in the subsequent quarter, be utilized in the earnings per unit calculation.  After adjusting for this distribution, the remaining undistributed earnings or excess distributions over earnings, if any, are allocated to the general partner and limited partners in accordance with the contractual terms of the partnership agreement for earnings per unit calculation purposes.  We reflect the impact of the difference in (i) the distribution utilized and (ii) the calculation of the excess 2% general partner interest as the Adjustment in accordance with application of the two-class method for MLPs.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805"/>
        <w:gridCol w:w="211"/>
        <w:gridCol w:w="110"/>
        <w:gridCol w:w="747"/>
        <w:gridCol w:w="211"/>
        <w:gridCol w:w="110"/>
        <w:gridCol w:w="747"/>
        <w:gridCol w:w="211"/>
        <w:gridCol w:w="110"/>
        <w:gridCol w:w="756"/>
        <w:gridCol w:w="212"/>
        <w:gridCol w:w="110"/>
        <w:gridCol w:w="747"/>
        <w:gridCol w:w="118"/>
      </w:tblGrid>
      <w:tr>
        <w:trPr/>
        <w:tc>
          <w:tcPr>
            <w:tcW w:w="580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92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193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80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92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before="0" w:after="0"/>
              <w:ind w:left="0" w:right="0" w:hanging="0"/>
              <w:jc w:val="center"/>
              <w:rPr/>
            </w:pPr>
            <w:r>
              <w:rPr/>
              <w:t> </w:t>
            </w:r>
          </w:p>
        </w:tc>
        <w:tc>
          <w:tcPr>
            <w:tcW w:w="19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580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shd w:fill="auto" w:val="clear"/>
            <w:vAlign w:val="bottom"/>
          </w:tcPr>
          <w:p>
            <w:pPr>
              <w:pStyle w:val="TableContents"/>
              <w:spacing w:before="0" w:after="0"/>
              <w:ind w:left="0" w:right="0" w:hanging="0"/>
              <w:jc w:val="center"/>
              <w:rPr/>
            </w:pPr>
            <w:r>
              <w:rPr/>
              <w:t> </w:t>
            </w:r>
          </w:p>
        </w:tc>
        <w:tc>
          <w:tcPr>
            <w:tcW w:w="85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1" w:type="dxa"/>
            <w:tcBorders/>
            <w:shd w:fill="auto" w:val="clear"/>
            <w:vAlign w:val="bottom"/>
          </w:tcPr>
          <w:p>
            <w:pPr>
              <w:pStyle w:val="TableContents"/>
              <w:spacing w:before="0" w:after="0"/>
              <w:ind w:left="0" w:right="0" w:hanging="0"/>
              <w:jc w:val="center"/>
              <w:rPr/>
            </w:pPr>
            <w:r>
              <w:rPr/>
              <w:t> </w:t>
            </w:r>
          </w:p>
        </w:tc>
        <w:tc>
          <w:tcPr>
            <w:tcW w:w="8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2"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8" w:type="dxa"/>
            <w:tcBorders/>
            <w:shd w:fill="auto" w:val="clear"/>
            <w:vAlign w:val="bottom"/>
          </w:tcPr>
          <w:p>
            <w:pPr>
              <w:pStyle w:val="TableContents"/>
              <w:spacing w:before="0" w:after="0"/>
              <w:ind w:left="0" w:right="0" w:hanging="0"/>
              <w:jc w:val="center"/>
              <w:rPr/>
            </w:pPr>
            <w:r>
              <w:rPr/>
              <w:t> </w:t>
            </w:r>
          </w:p>
        </w:tc>
      </w:tr>
      <w:tr>
        <w:trPr/>
        <w:tc>
          <w:tcPr>
            <w:tcW w:w="580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66" w:type="dxa"/>
            <w:gridSpan w:val="2"/>
            <w:tcBorders/>
            <w:shd w:fill="CCEEFF" w:val="clear"/>
            <w:vAlign w:val="bottom"/>
          </w:tcPr>
          <w:p>
            <w:pPr>
              <w:pStyle w:val="TableContents"/>
              <w:spacing w:before="0" w:after="0"/>
              <w:ind w:left="0" w:right="0" w:hanging="0"/>
              <w:jc w:val="right"/>
              <w:rPr/>
            </w:pPr>
            <w:r>
              <w:rPr/>
              <w:t> </w:t>
            </w:r>
          </w:p>
        </w:tc>
        <w:tc>
          <w:tcPr>
            <w:tcW w:w="212"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8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18" w:type="dxa"/>
            <w:tcBorders/>
            <w:shd w:fill="auto" w:val="clear"/>
            <w:vAlign w:val="bottom"/>
          </w:tcPr>
          <w:p>
            <w:pPr>
              <w:pStyle w:val="TableContents"/>
              <w:spacing w:before="0" w:after="0"/>
              <w:ind w:left="0" w:right="0" w:hanging="0"/>
              <w:rPr/>
            </w:pPr>
            <w:r>
              <w:rPr/>
              <w:t> </w:t>
            </w:r>
          </w:p>
        </w:tc>
      </w:tr>
      <w:tr>
        <w:trPr/>
        <w:tc>
          <w:tcPr>
            <w:tcW w:w="58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1" w:type="dxa"/>
            <w:tcBorders/>
            <w:shd w:fill="CCEEFF" w:val="clear"/>
            <w:vAlign w:val="bottom"/>
          </w:tcPr>
          <w:p>
            <w:pPr>
              <w:pStyle w:val="TableContents"/>
              <w:spacing w:before="0" w:after="0"/>
              <w:ind w:left="0" w:right="0" w:hanging="0"/>
              <w:rPr/>
            </w:pPr>
            <w:r>
              <w:rPr/>
              <w:t> </w:t>
            </w:r>
          </w:p>
        </w:tc>
        <w:tc>
          <w:tcPr>
            <w:tcW w:w="8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2"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18" w:type="dxa"/>
            <w:tcBorders/>
            <w:shd w:fill="CCEEFF" w:val="clear"/>
            <w:vAlign w:val="bottom"/>
          </w:tcPr>
          <w:p>
            <w:pPr>
              <w:pStyle w:val="TableContents"/>
              <w:spacing w:before="0" w:after="0"/>
              <w:ind w:left="0" w:right="0" w:hanging="0"/>
              <w:rPr/>
            </w:pPr>
            <w:r>
              <w:rPr/>
              <w:t> </w:t>
            </w:r>
          </w:p>
        </w:tc>
      </w:tr>
      <w:tr>
        <w:trPr/>
        <w:tc>
          <w:tcPr>
            <w:tcW w:w="58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11"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8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2"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8" w:type="dxa"/>
            <w:tcBorders/>
            <w:shd w:fill="auto" w:val="clear"/>
            <w:vAlign w:val="bottom"/>
          </w:tcPr>
          <w:p>
            <w:pPr>
              <w:pStyle w:val="TableContents"/>
              <w:spacing w:before="0" w:after="0"/>
              <w:ind w:left="0" w:right="0" w:hanging="0"/>
              <w:rPr/>
            </w:pPr>
            <w:r>
              <w:rPr/>
              <w:t> </w:t>
            </w:r>
          </w:p>
        </w:tc>
      </w:tr>
      <w:tr>
        <w:trPr/>
        <w:tc>
          <w:tcPr>
            <w:tcW w:w="58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1" w:type="dxa"/>
            <w:tcBorders/>
            <w:shd w:fill="CCEEFF" w:val="clear"/>
            <w:vAlign w:val="bottom"/>
          </w:tcPr>
          <w:p>
            <w:pPr>
              <w:pStyle w:val="TableContents"/>
              <w:spacing w:before="0" w:after="0"/>
              <w:ind w:left="0" w:right="0" w:hanging="0"/>
              <w:rPr/>
            </w:pPr>
            <w:r>
              <w:rPr/>
              <w:t> </w:t>
            </w:r>
          </w:p>
        </w:tc>
        <w:tc>
          <w:tcPr>
            <w:tcW w:w="8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2" w:type="dxa"/>
            <w:tcBorders/>
            <w:shd w:fill="CCEEFF"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18" w:type="dxa"/>
            <w:tcBorders/>
            <w:shd w:fill="CCEEFF" w:val="clear"/>
            <w:vAlign w:val="bottom"/>
          </w:tcPr>
          <w:p>
            <w:pPr>
              <w:pStyle w:val="TableContents"/>
              <w:spacing w:before="0" w:after="0"/>
              <w:ind w:left="0" w:right="0" w:hanging="0"/>
              <w:rPr/>
            </w:pPr>
            <w:r>
              <w:rPr/>
              <w:t> </w:t>
            </w:r>
          </w:p>
        </w:tc>
      </w:tr>
      <w:tr>
        <w:trPr/>
        <w:tc>
          <w:tcPr>
            <w:tcW w:w="58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74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74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1"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75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74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118" w:type="dxa"/>
            <w:tcBorders/>
            <w:shd w:fill="auto" w:val="clear"/>
            <w:vAlign w:val="bottom"/>
          </w:tcPr>
          <w:p>
            <w:pPr>
              <w:pStyle w:val="TableContents"/>
              <w:spacing w:before="0" w:after="0"/>
              <w:ind w:left="0" w:right="0" w:hanging="0"/>
              <w:rPr/>
            </w:pPr>
            <w:r>
              <w:rPr/>
              <w:t> </w:t>
            </w:r>
          </w:p>
        </w:tc>
      </w:tr>
      <w:tr>
        <w:trPr/>
        <w:tc>
          <w:tcPr>
            <w:tcW w:w="58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1" w:type="dxa"/>
            <w:tcBorders/>
            <w:shd w:fill="CCEEFF"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1" w:type="dxa"/>
            <w:tcBorders/>
            <w:shd w:fill="CCEEFF" w:val="clear"/>
            <w:vAlign w:val="bottom"/>
          </w:tcPr>
          <w:p>
            <w:pPr>
              <w:pStyle w:val="TableContents"/>
              <w:spacing w:before="0" w:after="0"/>
              <w:ind w:left="0" w:right="0" w:hanging="0"/>
              <w:rPr/>
            </w:pPr>
            <w:r>
              <w:rPr/>
              <w:t> </w:t>
            </w:r>
          </w:p>
        </w:tc>
        <w:tc>
          <w:tcPr>
            <w:tcW w:w="8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18" w:type="dxa"/>
            <w:tcBorders/>
            <w:shd w:fill="CCEEFF" w:val="clear"/>
            <w:vAlign w:val="bottom"/>
          </w:tcPr>
          <w:p>
            <w:pPr>
              <w:pStyle w:val="TableContents"/>
              <w:spacing w:before="0" w:after="0"/>
              <w:ind w:left="0" w:right="0" w:hanging="0"/>
              <w:rPr/>
            </w:pPr>
            <w:r>
              <w:rPr/>
              <w:t> </w:t>
            </w:r>
          </w:p>
        </w:tc>
      </w:tr>
      <w:tr>
        <w:trPr/>
        <w:tc>
          <w:tcPr>
            <w:tcW w:w="58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1"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1,022</w:t>
            </w:r>
          </w:p>
        </w:tc>
        <w:tc>
          <w:tcPr>
            <w:tcW w:w="212"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887</w:t>
            </w:r>
          </w:p>
        </w:tc>
        <w:tc>
          <w:tcPr>
            <w:tcW w:w="118"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96"/>
        <w:gridCol w:w="212"/>
        <w:gridCol w:w="110"/>
        <w:gridCol w:w="748"/>
        <w:gridCol w:w="213"/>
        <w:gridCol w:w="110"/>
        <w:gridCol w:w="748"/>
        <w:gridCol w:w="213"/>
        <w:gridCol w:w="110"/>
        <w:gridCol w:w="757"/>
        <w:gridCol w:w="213"/>
        <w:gridCol w:w="109"/>
        <w:gridCol w:w="748"/>
        <w:gridCol w:w="118"/>
      </w:tblGrid>
      <w:tr>
        <w:trPr/>
        <w:tc>
          <w:tcPr>
            <w:tcW w:w="579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29" w:type="dxa"/>
            <w:gridSpan w:val="5"/>
            <w:tcBorders/>
            <w:shd w:fill="auto" w:val="clear"/>
            <w:vAlign w:val="bottom"/>
          </w:tcPr>
          <w:p>
            <w:pPr>
              <w:pStyle w:val="TableContents"/>
              <w:spacing w:before="0" w:after="0"/>
              <w:ind w:left="0" w:right="0" w:hanging="0"/>
              <w:jc w:val="center"/>
              <w:rPr/>
            </w:pPr>
            <w:r>
              <w:rPr/>
              <w:t> </w:t>
            </w:r>
          </w:p>
        </w:tc>
        <w:tc>
          <w:tcPr>
            <w:tcW w:w="213" w:type="dxa"/>
            <w:tcBorders/>
            <w:shd w:fill="auto" w:val="clear"/>
            <w:vAlign w:val="bottom"/>
          </w:tcPr>
          <w:p>
            <w:pPr>
              <w:pStyle w:val="TableContents"/>
              <w:spacing w:before="0" w:after="0"/>
              <w:ind w:left="0" w:right="0" w:hanging="0"/>
              <w:jc w:val="center"/>
              <w:rPr/>
            </w:pPr>
            <w:r>
              <w:rPr/>
              <w:t> </w:t>
            </w:r>
          </w:p>
        </w:tc>
        <w:tc>
          <w:tcPr>
            <w:tcW w:w="1937" w:type="dxa"/>
            <w:gridSpan w:val="5"/>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jc w:val="center"/>
              <w:rPr/>
            </w:pPr>
            <w:r>
              <w:rPr/>
              <w:t> </w:t>
            </w:r>
          </w:p>
        </w:tc>
      </w:tr>
      <w:tr>
        <w:trPr/>
        <w:tc>
          <w:tcPr>
            <w:tcW w:w="579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2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1937"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18" w:type="dxa"/>
            <w:tcBorders/>
            <w:shd w:fill="auto" w:val="clear"/>
            <w:vAlign w:val="bottom"/>
          </w:tcPr>
          <w:p>
            <w:pPr>
              <w:pStyle w:val="TableContents"/>
              <w:spacing w:before="0" w:after="0"/>
              <w:ind w:left="0" w:right="0" w:hanging="0"/>
              <w:jc w:val="center"/>
              <w:rPr/>
            </w:pPr>
            <w:r>
              <w:rPr/>
              <w:t> </w:t>
            </w:r>
          </w:p>
        </w:tc>
      </w:tr>
      <w:tr>
        <w:trPr/>
        <w:tc>
          <w:tcPr>
            <w:tcW w:w="579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192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3" w:type="dxa"/>
            <w:tcBorders/>
            <w:shd w:fill="auto" w:val="clear"/>
            <w:vAlign w:val="bottom"/>
          </w:tcPr>
          <w:p>
            <w:pPr>
              <w:pStyle w:val="TableContents"/>
              <w:spacing w:before="0" w:after="0"/>
              <w:ind w:left="0" w:right="0" w:hanging="0"/>
              <w:jc w:val="center"/>
              <w:rPr/>
            </w:pPr>
            <w:r>
              <w:rPr/>
              <w:t> </w:t>
            </w:r>
          </w:p>
        </w:tc>
        <w:tc>
          <w:tcPr>
            <w:tcW w:w="1937"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18" w:type="dxa"/>
            <w:tcBorders/>
            <w:shd w:fill="auto" w:val="clear"/>
            <w:vAlign w:val="bottom"/>
          </w:tcPr>
          <w:p>
            <w:pPr>
              <w:pStyle w:val="TableContents"/>
              <w:spacing w:before="0" w:after="0"/>
              <w:ind w:left="0" w:right="0" w:hanging="0"/>
              <w:jc w:val="center"/>
              <w:rPr/>
            </w:pPr>
            <w:r>
              <w:rPr/>
              <w:t> </w:t>
            </w:r>
          </w:p>
        </w:tc>
      </w:tr>
      <w:tr>
        <w:trPr/>
        <w:tc>
          <w:tcPr>
            <w:tcW w:w="579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5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3" w:type="dxa"/>
            <w:tcBorders/>
            <w:shd w:fill="auto" w:val="clear"/>
            <w:vAlign w:val="bottom"/>
          </w:tcPr>
          <w:p>
            <w:pPr>
              <w:pStyle w:val="TableContents"/>
              <w:spacing w:before="0" w:after="0"/>
              <w:ind w:left="0" w:right="0" w:hanging="0"/>
              <w:jc w:val="center"/>
              <w:rPr/>
            </w:pPr>
            <w:r>
              <w:rPr/>
              <w:t> </w:t>
            </w:r>
          </w:p>
        </w:tc>
        <w:tc>
          <w:tcPr>
            <w:tcW w:w="86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18" w:type="dxa"/>
            <w:tcBorders/>
            <w:shd w:fill="auto" w:val="clear"/>
            <w:vAlign w:val="bottom"/>
          </w:tcPr>
          <w:p>
            <w:pPr>
              <w:pStyle w:val="TableContents"/>
              <w:spacing w:before="0" w:after="0"/>
              <w:ind w:left="0" w:right="0" w:hanging="0"/>
              <w:jc w:val="center"/>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12"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67"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7" w:type="dxa"/>
            <w:gridSpan w:val="2"/>
            <w:tcBorders/>
            <w:shd w:fill="CCEEFF" w:val="clear"/>
            <w:vAlign w:val="bottom"/>
          </w:tcPr>
          <w:p>
            <w:pPr>
              <w:pStyle w:val="TableContents"/>
              <w:spacing w:before="0" w:after="0"/>
              <w:ind w:left="0" w:right="0" w:hanging="0"/>
              <w:jc w:val="right"/>
              <w:rPr/>
            </w:pPr>
            <w:r>
              <w:rPr/>
              <w:t> </w:t>
            </w:r>
          </w:p>
        </w:tc>
        <w:tc>
          <w:tcPr>
            <w:tcW w:w="118" w:type="dxa"/>
            <w:tcBorders/>
            <w:shd w:fill="CCEEFF" w:val="clear"/>
            <w:vAlign w:val="bottom"/>
          </w:tcPr>
          <w:p>
            <w:pPr>
              <w:pStyle w:val="TableContents"/>
              <w:spacing w:before="0" w:after="0"/>
              <w:ind w:left="0" w:right="0" w:hanging="0"/>
              <w:rPr/>
            </w:pPr>
            <w:r>
              <w:rPr/>
              <w:t> </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12"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w:t>
            </w:r>
          </w:p>
        </w:tc>
        <w:tc>
          <w:tcPr>
            <w:tcW w:w="213" w:type="dxa"/>
            <w:tcBorders/>
            <w:shd w:fill="auto" w:val="clear"/>
            <w:vAlign w:val="bottom"/>
          </w:tcPr>
          <w:p>
            <w:pPr>
              <w:pStyle w:val="TableContents"/>
              <w:spacing w:before="0" w:after="0"/>
              <w:ind w:left="0" w:right="0" w:hanging="0"/>
              <w:rPr/>
            </w:pPr>
            <w:r>
              <w:rPr/>
              <w:t> </w:t>
            </w:r>
          </w:p>
        </w:tc>
        <w:tc>
          <w:tcPr>
            <w:tcW w:w="1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w:t>
            </w:r>
          </w:p>
        </w:tc>
        <w:tc>
          <w:tcPr>
            <w:tcW w:w="118"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2"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CCEEFF" w:val="clear"/>
            <w:vAlign w:val="bottom"/>
          </w:tcPr>
          <w:p>
            <w:pPr>
              <w:pStyle w:val="TableContents"/>
              <w:spacing w:before="0" w:after="0"/>
              <w:ind w:left="0" w:right="0" w:hanging="0"/>
              <w:rPr/>
            </w:pPr>
            <w:r>
              <w:rPr/>
              <w:t> </w:t>
            </w:r>
          </w:p>
        </w:tc>
        <w:tc>
          <w:tcPr>
            <w:tcW w:w="8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12"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12" w:type="dxa"/>
            <w:tcBorders/>
            <w:shd w:fill="CCEEFF" w:val="clear"/>
            <w:vAlign w:val="bottom"/>
          </w:tcPr>
          <w:p>
            <w:pPr>
              <w:pStyle w:val="TableContents"/>
              <w:spacing w:before="0" w:after="0"/>
              <w:ind w:left="0" w:right="0" w:hanging="0"/>
              <w:rPr/>
            </w:pPr>
            <w:r>
              <w:rPr/>
              <w:t> </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458</w:t>
            </w:r>
          </w:p>
        </w:tc>
        <w:tc>
          <w:tcPr>
            <w:tcW w:w="213" w:type="dxa"/>
            <w:tcBorders/>
            <w:shd w:fill="CCEEFF" w:val="clear"/>
            <w:vAlign w:val="bottom"/>
          </w:tcPr>
          <w:p>
            <w:pPr>
              <w:pStyle w:val="TableContents"/>
              <w:spacing w:before="0" w:after="0"/>
              <w:ind w:left="0" w:right="0" w:hanging="0"/>
              <w:rPr/>
            </w:pPr>
            <w:r>
              <w:rPr/>
              <w:t> </w:t>
            </w:r>
          </w:p>
        </w:tc>
        <w:tc>
          <w:tcPr>
            <w:tcW w:w="8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(510</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118" w:type="dxa"/>
            <w:tcBorders/>
            <w:shd w:fill="CCEEFF" w:val="clear"/>
            <w:vAlign w:val="bottom"/>
          </w:tcPr>
          <w:p>
            <w:pPr>
              <w:pStyle w:val="TableContents"/>
              <w:spacing w:before="0" w:after="0"/>
              <w:ind w:left="0" w:right="0" w:hanging="0"/>
              <w:rPr/>
            </w:pPr>
            <w:r>
              <w:rPr/>
              <w:t> </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12"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67"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compensation (benefit)/charge</w:t>
            </w:r>
          </w:p>
        </w:tc>
        <w:tc>
          <w:tcPr>
            <w:tcW w:w="212"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13" w:type="dxa"/>
            <w:tcBorders/>
            <w:shd w:fill="CCEEFF" w:val="clear"/>
            <w:vAlign w:val="bottom"/>
          </w:tcPr>
          <w:p>
            <w:pPr>
              <w:pStyle w:val="TableContents"/>
              <w:spacing w:before="0" w:after="0"/>
              <w:ind w:left="0" w:right="0" w:hanging="0"/>
              <w:rPr/>
            </w:pPr>
            <w:r>
              <w:rPr/>
              <w:t> </w:t>
            </w:r>
          </w:p>
        </w:tc>
        <w:tc>
          <w:tcPr>
            <w:tcW w:w="8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13" w:type="dxa"/>
            <w:tcBorders/>
            <w:shd w:fill="CCEEFF" w:val="clear"/>
            <w:vAlign w:val="bottom"/>
          </w:tcPr>
          <w:p>
            <w:pPr>
              <w:pStyle w:val="TableContents"/>
              <w:spacing w:before="0" w:after="0"/>
              <w:ind w:left="0" w:right="0" w:hanging="0"/>
              <w:rPr/>
            </w:pPr>
            <w:r>
              <w:rPr/>
              <w:t> </w:t>
            </w:r>
          </w:p>
        </w:tc>
        <w:tc>
          <w:tcPr>
            <w:tcW w:w="8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18" w:type="dxa"/>
            <w:tcBorders/>
            <w:shd w:fill="CCEEFF" w:val="clear"/>
            <w:vAlign w:val="bottom"/>
          </w:tcPr>
          <w:p>
            <w:pPr>
              <w:pStyle w:val="TableContents"/>
              <w:spacing w:before="0" w:after="0"/>
              <w:ind w:left="0" w:right="0" w:hanging="0"/>
              <w:rPr/>
            </w:pPr>
            <w:r>
              <w:rPr/>
              <w:t> </w:t>
            </w:r>
          </w:p>
        </w:tc>
      </w:tr>
      <w:tr>
        <w:trPr/>
        <w:tc>
          <w:tcPr>
            <w:tcW w:w="5796" w:type="dxa"/>
            <w:tcBorders/>
            <w:shd w:fill="auto" w:val="clear"/>
            <w:vAlign w:val="bottom"/>
          </w:tcPr>
          <w:p>
            <w:pPr>
              <w:pStyle w:val="TableContents"/>
              <w:spacing w:before="0" w:after="0"/>
              <w:ind w:left="0" w:right="0" w:hanging="0"/>
              <w:rPr/>
            </w:pPr>
            <w:r>
              <w:rPr/>
              <w:t> </w:t>
            </w:r>
          </w:p>
        </w:tc>
        <w:tc>
          <w:tcPr>
            <w:tcW w:w="212"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8"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67"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857" w:type="dxa"/>
            <w:gridSpan w:val="2"/>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12"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616</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365</w:t>
            </w:r>
          </w:p>
        </w:tc>
        <w:tc>
          <w:tcPr>
            <w:tcW w:w="213" w:type="dxa"/>
            <w:tcBorders/>
            <w:shd w:fill="CCEEFF" w:val="clear"/>
            <w:vAlign w:val="bottom"/>
          </w:tcPr>
          <w:p>
            <w:pPr>
              <w:pStyle w:val="TableContents"/>
              <w:spacing w:before="0" w:after="0"/>
              <w:ind w:left="0" w:right="0" w:hanging="0"/>
              <w:rPr/>
            </w:pPr>
            <w:r>
              <w:rPr/>
              <w:t> </w:t>
            </w:r>
          </w:p>
        </w:tc>
        <w:tc>
          <w:tcPr>
            <w:tcW w:w="10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857</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-MORE-</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 (continued)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796"/>
        <w:gridCol w:w="211"/>
        <w:gridCol w:w="111"/>
        <w:gridCol w:w="749"/>
        <w:gridCol w:w="213"/>
        <w:gridCol w:w="111"/>
        <w:gridCol w:w="749"/>
        <w:gridCol w:w="213"/>
        <w:gridCol w:w="110"/>
        <w:gridCol w:w="749"/>
        <w:gridCol w:w="213"/>
        <w:gridCol w:w="111"/>
        <w:gridCol w:w="749"/>
        <w:gridCol w:w="120"/>
      </w:tblGrid>
      <w:tr>
        <w:trPr/>
        <w:tc>
          <w:tcPr>
            <w:tcW w:w="5796"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93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3" w:type="dxa"/>
            <w:tcBorders/>
            <w:shd w:fill="auto" w:val="clear"/>
            <w:vAlign w:val="bottom"/>
          </w:tcPr>
          <w:p>
            <w:pPr>
              <w:pStyle w:val="TableContents"/>
              <w:spacing w:before="0" w:after="0"/>
              <w:ind w:left="0" w:right="0" w:hanging="0"/>
              <w:jc w:val="center"/>
              <w:rPr/>
            </w:pPr>
            <w:r>
              <w:rPr/>
              <w:t> </w:t>
            </w:r>
          </w:p>
        </w:tc>
        <w:tc>
          <w:tcPr>
            <w:tcW w:w="193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0" w:type="dxa"/>
            <w:tcBorders/>
            <w:shd w:fill="auto" w:val="clear"/>
            <w:vAlign w:val="bottom"/>
          </w:tcPr>
          <w:p>
            <w:pPr>
              <w:pStyle w:val="TableContents"/>
              <w:spacing w:before="0" w:after="0"/>
              <w:ind w:left="0" w:right="0" w:hanging="0"/>
              <w:jc w:val="center"/>
              <w:rPr/>
            </w:pPr>
            <w:r>
              <w:rPr/>
              <w:t> </w:t>
            </w:r>
          </w:p>
        </w:tc>
      </w:tr>
      <w:tr>
        <w:trPr/>
        <w:tc>
          <w:tcPr>
            <w:tcW w:w="5796"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93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3" w:type="dxa"/>
            <w:tcBorders/>
            <w:shd w:fill="auto" w:val="clear"/>
            <w:vAlign w:val="bottom"/>
          </w:tcPr>
          <w:p>
            <w:pPr>
              <w:pStyle w:val="TableContents"/>
              <w:spacing w:before="0" w:after="0"/>
              <w:ind w:left="0" w:right="0" w:hanging="0"/>
              <w:jc w:val="center"/>
              <w:rPr/>
            </w:pPr>
            <w:r>
              <w:rPr/>
              <w:t> </w:t>
            </w:r>
          </w:p>
        </w:tc>
        <w:tc>
          <w:tcPr>
            <w:tcW w:w="19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5796"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3" w:type="dxa"/>
            <w:tcBorders/>
            <w:shd w:fill="auto" w:val="clear"/>
            <w:vAlign w:val="bottom"/>
          </w:tcPr>
          <w:p>
            <w:pPr>
              <w:pStyle w:val="TableContents"/>
              <w:spacing w:before="0" w:after="0"/>
              <w:ind w:left="0" w:right="0" w:hanging="0"/>
              <w:jc w:val="center"/>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shd w:fill="auto" w:val="clear"/>
            <w:vAlign w:val="bottom"/>
          </w:tcPr>
          <w:p>
            <w:pPr>
              <w:pStyle w:val="TableContents"/>
              <w:spacing w:before="0" w:after="0"/>
              <w:ind w:left="0" w:right="0" w:hanging="0"/>
              <w:jc w:val="center"/>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0" w:type="dxa"/>
            <w:tcBorders/>
            <w:shd w:fill="auto" w:val="clear"/>
            <w:vAlign w:val="bottom"/>
          </w:tcPr>
          <w:p>
            <w:pPr>
              <w:pStyle w:val="TableContents"/>
              <w:spacing w:before="0" w:after="0"/>
              <w:ind w:left="0" w:right="0" w:hanging="0"/>
              <w:jc w:val="center"/>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Funds flow from operations (FFO)/Distributable cash flow (DCF)</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11"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3"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580</w:t>
            </w:r>
          </w:p>
        </w:tc>
        <w:tc>
          <w:tcPr>
            <w:tcW w:w="21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20"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w:t>
            </w:r>
          </w:p>
        </w:tc>
        <w:tc>
          <w:tcPr>
            <w:tcW w:w="213"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3" w:type="dxa"/>
            <w:tcBorders/>
            <w:shd w:fill="auto" w:val="clear"/>
            <w:vAlign w:val="bottom"/>
          </w:tcPr>
          <w:p>
            <w:pPr>
              <w:pStyle w:val="TableContents"/>
              <w:spacing w:before="0" w:after="0"/>
              <w:ind w:left="0" w:right="0" w:hanging="0"/>
              <w:rPr/>
            </w:pPr>
            <w:r>
              <w:rPr/>
              <w:t> </w:t>
            </w:r>
          </w:p>
        </w:tc>
        <w:tc>
          <w:tcPr>
            <w:tcW w:w="8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20"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Distribution to noncontrolling interest</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0"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FFO</w:t>
            </w:r>
          </w:p>
        </w:tc>
        <w:tc>
          <w:tcPr>
            <w:tcW w:w="211"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w:t>
            </w:r>
          </w:p>
        </w:tc>
        <w:tc>
          <w:tcPr>
            <w:tcW w:w="213"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13" w:type="dxa"/>
            <w:tcBorders/>
            <w:shd w:fill="CCEEFF" w:val="clear"/>
            <w:vAlign w:val="bottom"/>
          </w:tcPr>
          <w:p>
            <w:pPr>
              <w:pStyle w:val="TableContents"/>
              <w:spacing w:before="0" w:after="0"/>
              <w:ind w:left="0" w:right="0" w:hanging="0"/>
              <w:rPr/>
            </w:pPr>
            <w:r>
              <w:rPr/>
              <w:t> </w:t>
            </w:r>
          </w:p>
        </w:tc>
        <w:tc>
          <w:tcPr>
            <w:tcW w:w="8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213" w:type="dxa"/>
            <w:tcBorders/>
            <w:shd w:fill="CCEEFF" w:val="clear"/>
            <w:vAlign w:val="bottom"/>
          </w:tcPr>
          <w:p>
            <w:pPr>
              <w:pStyle w:val="TableContents"/>
              <w:spacing w:before="0" w:after="0"/>
              <w:ind w:left="0" w:right="0" w:hanging="0"/>
              <w:rPr/>
            </w:pPr>
            <w:r>
              <w:rPr/>
              <w:t> </w:t>
            </w:r>
          </w:p>
        </w:tc>
        <w:tc>
          <w:tcPr>
            <w:tcW w:w="8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643</w:t>
            </w:r>
          </w:p>
        </w:tc>
        <w:tc>
          <w:tcPr>
            <w:tcW w:w="120" w:type="dxa"/>
            <w:tcBorders/>
            <w:shd w:fill="CCEEFF" w:val="clear"/>
            <w:vAlign w:val="bottom"/>
          </w:tcPr>
          <w:p>
            <w:pPr>
              <w:pStyle w:val="TableContents"/>
              <w:spacing w:before="0" w:after="0"/>
              <w:ind w:left="0" w:right="0" w:hanging="0"/>
              <w:rPr/>
            </w:pPr>
            <w:r>
              <w:rPr/>
              <w:t> </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FFO after maintenance capital</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7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7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pPr>
            <w:r>
              <w:rPr/>
              <w:t> </w:t>
            </w:r>
          </w:p>
        </w:tc>
        <w:tc>
          <w:tcPr>
            <w:tcW w:w="7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716</w:t>
            </w:r>
          </w:p>
        </w:tc>
        <w:tc>
          <w:tcPr>
            <w:tcW w:w="21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pPr>
            <w:r>
              <w:rPr/>
              <w:t> </w:t>
            </w:r>
          </w:p>
        </w:tc>
        <w:tc>
          <w:tcPr>
            <w:tcW w:w="74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562</w:t>
            </w:r>
          </w:p>
        </w:tc>
        <w:tc>
          <w:tcPr>
            <w:tcW w:w="120" w:type="dxa"/>
            <w:tcBorders/>
            <w:shd w:fill="CCEEFF" w:val="clear"/>
            <w:vAlign w:val="bottom"/>
          </w:tcPr>
          <w:p>
            <w:pPr>
              <w:pStyle w:val="TableContents"/>
              <w:spacing w:before="0" w:after="0"/>
              <w:ind w:left="0" w:right="0" w:hanging="0"/>
              <w:rPr/>
            </w:pPr>
            <w:r>
              <w:rPr/>
              <w:t> </w:t>
            </w:r>
          </w:p>
        </w:tc>
      </w:tr>
      <w:tr>
        <w:trPr/>
        <w:tc>
          <w:tcPr>
            <w:tcW w:w="57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3" w:type="dxa"/>
            <w:tcBorders/>
            <w:shd w:fill="auto" w:val="clear"/>
            <w:vAlign w:val="bottom"/>
          </w:tcPr>
          <w:p>
            <w:pPr>
              <w:pStyle w:val="TableContents"/>
              <w:spacing w:before="0" w:after="0"/>
              <w:ind w:left="0" w:right="0" w:hanging="0"/>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3" w:type="dxa"/>
            <w:tcBorders/>
            <w:shd w:fill="auto" w:val="clear"/>
            <w:vAlign w:val="bottom"/>
          </w:tcPr>
          <w:p>
            <w:pPr>
              <w:pStyle w:val="TableContents"/>
              <w:spacing w:before="0" w:after="0"/>
              <w:ind w:left="0" w:right="0" w:hanging="0"/>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20" w:type="dxa"/>
            <w:tcBorders/>
            <w:shd w:fill="auto" w:val="clear"/>
            <w:vAlign w:val="bottom"/>
          </w:tcPr>
          <w:p>
            <w:pPr>
              <w:pStyle w:val="TableContents"/>
              <w:spacing w:before="0" w:after="0"/>
              <w:ind w:left="0" w:right="0" w:hanging="0"/>
              <w:rPr/>
            </w:pPr>
            <w:r>
              <w:rPr/>
              <w:t> </w:t>
            </w:r>
          </w:p>
        </w:tc>
      </w:tr>
      <w:tr>
        <w:trPr/>
        <w:tc>
          <w:tcPr>
            <w:tcW w:w="57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w:t>
            </w:r>
          </w:p>
        </w:tc>
        <w:tc>
          <w:tcPr>
            <w:tcW w:w="21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692</w:t>
            </w:r>
          </w:p>
        </w:tc>
        <w:tc>
          <w:tcPr>
            <w:tcW w:w="213"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597</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75"/>
        <w:gridCol w:w="211"/>
        <w:gridCol w:w="111"/>
        <w:gridCol w:w="855"/>
        <w:gridCol w:w="211"/>
        <w:gridCol w:w="111"/>
        <w:gridCol w:w="855"/>
        <w:gridCol w:w="211"/>
        <w:gridCol w:w="111"/>
        <w:gridCol w:w="855"/>
        <w:gridCol w:w="213"/>
        <w:gridCol w:w="110"/>
        <w:gridCol w:w="855"/>
        <w:gridCol w:w="121"/>
      </w:tblGrid>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1" w:type="dxa"/>
            <w:tcBorders/>
            <w:shd w:fill="auto" w:val="clear"/>
            <w:vAlign w:val="bottom"/>
          </w:tcPr>
          <w:p>
            <w:pPr>
              <w:pStyle w:val="TableContents"/>
              <w:spacing w:before="0" w:after="0"/>
              <w:ind w:left="0" w:right="0" w:hanging="0"/>
              <w:jc w:val="center"/>
              <w:rPr/>
            </w:pPr>
            <w:r>
              <w:rPr/>
              <w:t> </w:t>
            </w:r>
          </w:p>
        </w:tc>
        <w:tc>
          <w:tcPr>
            <w:tcW w:w="2144"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 Ended</w:t>
            </w:r>
          </w:p>
        </w:tc>
        <w:tc>
          <w:tcPr>
            <w:tcW w:w="121" w:type="dxa"/>
            <w:tcBorders/>
            <w:shd w:fill="auto" w:val="clear"/>
            <w:vAlign w:val="bottom"/>
          </w:tcPr>
          <w:p>
            <w:pPr>
              <w:pStyle w:val="TableContents"/>
              <w:spacing w:before="0" w:after="0"/>
              <w:ind w:left="0" w:right="0" w:hanging="0"/>
              <w:jc w:val="center"/>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1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211" w:type="dxa"/>
            <w:tcBorders/>
            <w:shd w:fill="auto" w:val="clear"/>
            <w:vAlign w:val="bottom"/>
          </w:tcPr>
          <w:p>
            <w:pPr>
              <w:pStyle w:val="TableContents"/>
              <w:spacing w:before="0" w:after="0"/>
              <w:ind w:left="0" w:right="0" w:hanging="0"/>
              <w:jc w:val="center"/>
              <w:rPr/>
            </w:pPr>
            <w:r>
              <w:rPr/>
              <w:t> </w:t>
            </w:r>
          </w:p>
        </w:tc>
        <w:tc>
          <w:tcPr>
            <w:tcW w:w="214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1" w:type="dxa"/>
            <w:tcBorders/>
            <w:shd w:fill="auto" w:val="clear"/>
            <w:vAlign w:val="bottom"/>
          </w:tcPr>
          <w:p>
            <w:pPr>
              <w:pStyle w:val="TableContents"/>
              <w:spacing w:before="0" w:after="0"/>
              <w:ind w:left="0" w:right="0" w:hanging="0"/>
              <w:jc w:val="center"/>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1" w:type="dxa"/>
            <w:tcBorders/>
            <w:shd w:fill="auto" w:val="clear"/>
            <w:vAlign w:val="bottom"/>
          </w:tcPr>
          <w:p>
            <w:pPr>
              <w:pStyle w:val="TableContents"/>
              <w:spacing w:before="0" w:after="0"/>
              <w:ind w:left="0" w:right="0" w:hanging="0"/>
              <w:jc w:val="center"/>
              <w:rPr/>
            </w:pPr>
            <w:r>
              <w:rPr/>
              <w:t> </w:t>
            </w:r>
          </w:p>
        </w:tc>
        <w:tc>
          <w:tcPr>
            <w:tcW w:w="96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211" w:type="dxa"/>
            <w:tcBorders/>
            <w:shd w:fill="auto" w:val="clear"/>
            <w:vAlign w:val="bottom"/>
          </w:tcPr>
          <w:p>
            <w:pPr>
              <w:pStyle w:val="TableContents"/>
              <w:spacing w:before="0" w:after="0"/>
              <w:ind w:left="0" w:right="0" w:hanging="0"/>
              <w:jc w:val="center"/>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2009</w:t>
            </w:r>
          </w:p>
        </w:tc>
        <w:tc>
          <w:tcPr>
            <w:tcW w:w="21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6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2008</w:t>
            </w:r>
          </w:p>
        </w:tc>
        <w:tc>
          <w:tcPr>
            <w:tcW w:w="121" w:type="dxa"/>
            <w:tcBorders/>
            <w:shd w:fill="auto" w:val="clear"/>
            <w:vAlign w:val="bottom"/>
          </w:tcPr>
          <w:p>
            <w:pPr>
              <w:pStyle w:val="TableContents"/>
              <w:spacing w:before="0" w:after="0"/>
              <w:ind w:left="0" w:right="0" w:hanging="0"/>
              <w:jc w:val="center"/>
              <w:rPr/>
            </w:pPr>
            <w:r>
              <w:rPr/>
              <w:t> </w:t>
            </w:r>
          </w:p>
        </w:tc>
      </w:tr>
      <w:tr>
        <w:trPr/>
        <w:tc>
          <w:tcPr>
            <w:tcW w:w="5375" w:type="dxa"/>
            <w:tcBorders/>
            <w:shd w:fill="CCEEFF" w:val="clear"/>
            <w:vAlign w:val="bottom"/>
          </w:tcPr>
          <w:p>
            <w:pPr>
              <w:pStyle w:val="TableContents"/>
              <w:spacing w:before="0" w:after="0"/>
              <w:ind w:left="0" w:right="0" w:hanging="0"/>
              <w:rPr/>
            </w:pPr>
            <w:r>
              <w:rPr>
                <w:rFonts w:ascii="Times New Roman" w:hAnsi="Times New Roman"/>
                <w:b/>
                <w:sz w:val="17"/>
              </w:rPr>
              <w:t>Net income Attributable to Plains and earnings per limited partner unit excluding</w:t>
            </w:r>
            <w:r>
              <w:rPr/>
              <w:t xml:space="preserve"> </w:t>
            </w:r>
            <w:r>
              <w:rPr>
                <w:b/>
                <w:sz w:val="17"/>
              </w:rPr>
              <w:t>selected items impacting comparability</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shd w:fill="CCEEFF" w:val="clear"/>
            <w:vAlign w:val="bottom"/>
          </w:tcPr>
          <w:p>
            <w:pPr>
              <w:pStyle w:val="TableContents"/>
              <w:spacing w:before="0" w:after="0"/>
              <w:ind w:left="0" w:right="0" w:hanging="0"/>
              <w:jc w:val="right"/>
              <w:rPr/>
            </w:pPr>
            <w:r>
              <w:rPr/>
              <w:t> </w:t>
            </w:r>
          </w:p>
        </w:tc>
        <w:tc>
          <w:tcPr>
            <w:tcW w:w="213" w:type="dxa"/>
            <w:tcBorders/>
            <w:shd w:fill="CCEEFF" w:val="clear"/>
            <w:vAlign w:val="bottom"/>
          </w:tcPr>
          <w:p>
            <w:pPr>
              <w:pStyle w:val="TableContents"/>
              <w:spacing w:before="0" w:after="0"/>
              <w:ind w:left="0" w:right="0" w:hanging="0"/>
              <w:rPr/>
            </w:pPr>
            <w:r>
              <w:rPr/>
              <w:t> </w:t>
            </w:r>
          </w:p>
        </w:tc>
        <w:tc>
          <w:tcPr>
            <w:tcW w:w="965"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437</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1"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434</w:t>
            </w:r>
          </w:p>
        </w:tc>
        <w:tc>
          <w:tcPr>
            <w:tcW w:w="213"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 98% of selected items impacting comparability</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6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0.81</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0.80</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0.74</w:t>
            </w:r>
          </w:p>
        </w:tc>
        <w:tc>
          <w:tcPr>
            <w:tcW w:w="211"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3.14</w:t>
            </w:r>
          </w:p>
        </w:tc>
        <w:tc>
          <w:tcPr>
            <w:tcW w:w="213"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5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13" w:type="dxa"/>
            <w:tcBorders/>
            <w:shd w:fill="CCEEFF" w:val="clear"/>
            <w:vAlign w:val="bottom"/>
          </w:tcPr>
          <w:p>
            <w:pPr>
              <w:pStyle w:val="TableContents"/>
              <w:spacing w:before="0" w:after="0"/>
              <w:ind w:left="0" w:right="0" w:hanging="0"/>
              <w:rPr/>
            </w:pPr>
            <w:r>
              <w:rPr/>
              <w:t> </w:t>
            </w:r>
          </w:p>
        </w:tc>
        <w:tc>
          <w:tcPr>
            <w:tcW w:w="96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121" w:type="dxa"/>
            <w:tcBorders/>
            <w:shd w:fill="CCEEFF" w:val="clear"/>
            <w:vAlign w:val="bottom"/>
          </w:tcPr>
          <w:p>
            <w:pPr>
              <w:pStyle w:val="TableContents"/>
              <w:spacing w:before="0" w:after="0"/>
              <w:ind w:left="0" w:right="0" w:hanging="0"/>
              <w:rPr/>
            </w:pPr>
            <w:r>
              <w:rPr/>
              <w:t> </w:t>
            </w:r>
          </w:p>
        </w:tc>
      </w:tr>
      <w:tr>
        <w:trPr/>
        <w:tc>
          <w:tcPr>
            <w:tcW w:w="5375"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66" w:type="dxa"/>
            <w:gridSpan w:val="2"/>
            <w:tcBorders/>
            <w:shd w:fill="auto" w:val="clear"/>
            <w:vAlign w:val="bottom"/>
          </w:tcPr>
          <w:p>
            <w:pPr>
              <w:pStyle w:val="TableContents"/>
              <w:spacing w:before="0" w:after="0"/>
              <w:ind w:left="0" w:right="0" w:hanging="0"/>
              <w:jc w:val="right"/>
              <w:rPr/>
            </w:pPr>
            <w:r>
              <w:rPr/>
              <w:t> </w:t>
            </w:r>
          </w:p>
        </w:tc>
        <w:tc>
          <w:tcPr>
            <w:tcW w:w="213" w:type="dxa"/>
            <w:tcBorders/>
            <w:shd w:fill="auto" w:val="clear"/>
            <w:vAlign w:val="bottom"/>
          </w:tcPr>
          <w:p>
            <w:pPr>
              <w:pStyle w:val="TableContents"/>
              <w:spacing w:before="0" w:after="0"/>
              <w:ind w:left="0" w:right="0" w:hanging="0"/>
              <w:rPr/>
            </w:pPr>
            <w:r>
              <w:rPr/>
              <w:t> </w:t>
            </w:r>
          </w:p>
        </w:tc>
        <w:tc>
          <w:tcPr>
            <w:tcW w:w="965"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53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1" w:type="dxa"/>
            <w:tcBorders/>
            <w:shd w:fill="CCEEFF" w:val="clear"/>
            <w:vAlign w:val="bottom"/>
          </w:tcPr>
          <w:p>
            <w:pPr>
              <w:pStyle w:val="TableContents"/>
              <w:spacing w:before="0" w:after="0"/>
              <w:ind w:left="0" w:right="0" w:hanging="0"/>
              <w:rPr/>
            </w:pPr>
            <w:r>
              <w:rPr/>
              <w:t> </w:t>
            </w:r>
          </w:p>
        </w:tc>
        <w:tc>
          <w:tcPr>
            <w:tcW w:w="96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13" w:type="dxa"/>
            <w:tcBorders/>
            <w:shd w:fill="CCEEFF" w:val="clear"/>
            <w:vAlign w:val="bottom"/>
          </w:tcPr>
          <w:p>
            <w:pPr>
              <w:pStyle w:val="TableContents"/>
              <w:spacing w:before="0" w:after="0"/>
              <w:ind w:left="0" w:right="0" w:hanging="0"/>
              <w:rPr/>
            </w:pPr>
            <w:r>
              <w:rPr/>
              <w:t> </w:t>
            </w:r>
          </w:p>
        </w:tc>
        <w:tc>
          <w:tcPr>
            <w:tcW w:w="96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2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t>
      </w:r>
    </w:p>
    <w:p>
      <w:pPr>
        <w:pStyle w:val="TextBody"/>
        <w:pBdr/>
        <w:spacing w:before="0" w:after="0"/>
        <w:ind w:left="0" w:right="0" w:hanging="0"/>
        <w:jc w:val="center"/>
        <w:rPr>
          <w:bdr w:val="single" w:sz="8" w:space="1" w:color="000000"/>
        </w:rPr>
      </w:pPr>
      <w:r>
        <w:rPr>
          <w:bdr w:val="single" w:sz="8"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Pages>
  <Words>9905</Words>
  <CharactersWithSpaces>63466</CharactersWithSpaces>
  <Paragraphs>4241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