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2"/>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160" w:type="dxa"/>
            <w:vAlign w:val="bottom"/>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McCarthy Kevin S</w:t>
              </w:r>
            </w:hyperlink>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0000FF"/>
              </w:rPr>
              <w:t>10/01/2020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PLAINS ALL AMERICAN PIPELINE LP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PAA</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10"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920" w:type="dxa"/>
            <w:vAlign w:val="bottom"/>
          </w:tcPr>
          <w:p>
            <w:pPr>
              <w:ind w:left="220"/>
              <w:spacing w:after="0"/>
              <w:rPr>
                <w:sz w:val="20"/>
                <w:szCs w:val="20"/>
                <w:color w:val="auto"/>
              </w:rPr>
            </w:pPr>
            <w:r>
              <w:rPr>
                <w:rFonts w:ascii="Arial" w:cs="Arial" w:eastAsia="Arial" w:hAnsi="Arial"/>
                <w:sz w:val="10"/>
                <w:szCs w:val="10"/>
                <w:color w:val="auto"/>
              </w:rPr>
              <w:t>(First)</w:t>
            </w:r>
          </w:p>
        </w:tc>
        <w:tc>
          <w:tcPr>
            <w:tcW w:w="1400" w:type="dxa"/>
            <w:vAlign w:val="bottom"/>
          </w:tcPr>
          <w:p>
            <w:pPr>
              <w:ind w:left="36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0000FF"/>
              </w:rPr>
              <w:t>811 MAIN, 14TH FLOOR</w:t>
            </w:r>
          </w:p>
        </w:tc>
        <w:tc>
          <w:tcPr>
            <w:tcW w:w="140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HOUSTON</w:t>
            </w:r>
          </w:p>
        </w:tc>
        <w:tc>
          <w:tcPr>
            <w:tcW w:w="920" w:type="dxa"/>
            <w:vAlign w:val="bottom"/>
          </w:tcPr>
          <w:p>
            <w:pPr>
              <w:ind w:left="220"/>
              <w:spacing w:after="0"/>
              <w:rPr>
                <w:sz w:val="20"/>
                <w:szCs w:val="20"/>
                <w:color w:val="auto"/>
              </w:rPr>
            </w:pPr>
            <w:r>
              <w:rPr>
                <w:rFonts w:ascii="Arial" w:cs="Arial" w:eastAsia="Arial" w:hAnsi="Arial"/>
                <w:sz w:val="13"/>
                <w:szCs w:val="13"/>
                <w:color w:val="0000FF"/>
              </w:rPr>
              <w:t>TX</w:t>
            </w:r>
          </w:p>
        </w:tc>
        <w:tc>
          <w:tcPr>
            <w:tcW w:w="1400" w:type="dxa"/>
            <w:vAlign w:val="bottom"/>
          </w:tcPr>
          <w:p>
            <w:pPr>
              <w:ind w:left="360"/>
              <w:spacing w:after="0"/>
              <w:rPr>
                <w:sz w:val="20"/>
                <w:szCs w:val="20"/>
                <w:color w:val="auto"/>
              </w:rPr>
            </w:pPr>
            <w:r>
              <w:rPr>
                <w:rFonts w:ascii="Arial" w:cs="Arial" w:eastAsia="Arial" w:hAnsi="Arial"/>
                <w:sz w:val="13"/>
                <w:szCs w:val="13"/>
                <w:color w:val="0000FF"/>
              </w:rPr>
              <w:t>77002</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30" w:lineRule="exact"/>
        <w:rPr>
          <w:sz w:val="24"/>
          <w:szCs w:val="24"/>
          <w:color w:val="auto"/>
        </w:rPr>
      </w:pPr>
    </w:p>
    <w:p>
      <w:pPr>
        <w:ind w:left="1385"/>
        <w:spacing w:after="0"/>
        <w:rPr>
          <w:sz w:val="20"/>
          <w:szCs w:val="20"/>
          <w:color w:val="auto"/>
        </w:rPr>
      </w:pPr>
      <w:r>
        <w:rPr>
          <w:rFonts w:ascii="Arial" w:cs="Arial" w:eastAsia="Arial" w:hAnsi="Arial"/>
          <w:sz w:val="13"/>
          <w:szCs w:val="13"/>
          <w:color w:val="0000FF"/>
        </w:rPr>
        <w:t>Director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Common Units representing limited partner interests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ind w:left="900"/>
              <w:spacing w:after="0"/>
              <w:rPr>
                <w:sz w:val="20"/>
                <w:szCs w:val="20"/>
                <w:color w:val="auto"/>
              </w:rPr>
            </w:pPr>
            <w:r>
              <w:rPr>
                <w:rFonts w:ascii="Arial" w:cs="Arial" w:eastAsia="Arial" w:hAnsi="Arial"/>
                <w:sz w:val="13"/>
                <w:szCs w:val="13"/>
                <w:color w:val="0000FF"/>
              </w:rPr>
              <w:t>0</w:t>
            </w:r>
          </w:p>
        </w:tc>
        <w:tc>
          <w:tcPr>
            <w:tcW w:w="700" w:type="dxa"/>
            <w:vAlign w:val="bottom"/>
          </w:tcPr>
          <w:p>
            <w:pPr>
              <w:ind w:left="4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70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0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16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60" w:type="dxa"/>
            <w:vAlign w:val="bottom"/>
            <w:gridSpan w:val="4"/>
          </w:tcPr>
          <w:p>
            <w:pP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70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Form: Direct</w:t>
            </w:r>
          </w:p>
        </w:tc>
        <w:tc>
          <w:tcPr>
            <w:tcW w:w="16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(D) or Indirect</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 (Instr.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7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tcPr>
          <w:p>
            <w:pPr>
              <w:ind w:left="40"/>
              <w:spacing w:after="0" w:line="103"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7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37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A Units/Class B Shares/GP Units</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8"/>
                <w:szCs w:val="8"/>
                <w:color w:val="008000"/>
              </w:rPr>
              <w:t>(2)</w:t>
            </w:r>
          </w:p>
        </w:tc>
        <w:tc>
          <w:tcPr>
            <w:tcW w:w="580" w:type="dxa"/>
            <w:vAlign w:val="bottom"/>
            <w:tcBorders>
              <w:bottom w:val="single" w:sz="8" w:color="2C2C2C"/>
            </w:tcBorders>
          </w:tcPr>
          <w:p>
            <w:pPr>
              <w:jc w:val="right"/>
              <w:ind w:right="193"/>
              <w:spacing w:after="0"/>
              <w:rPr>
                <w:sz w:val="20"/>
                <w:szCs w:val="20"/>
                <w:color w:val="auto"/>
              </w:rPr>
            </w:pPr>
            <w:r>
              <w:rPr>
                <w:rFonts w:ascii="Arial" w:cs="Arial" w:eastAsia="Arial" w:hAnsi="Arial"/>
                <w:sz w:val="8"/>
                <w:szCs w:val="8"/>
                <w:color w:val="008000"/>
              </w:rPr>
              <w:t>(2)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Units</w:t>
            </w: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w w:val="95"/>
              </w:rPr>
              <w:t>15,861,958</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3"/>
                <w:szCs w:val="13"/>
                <w:color w:val="0000FF"/>
              </w:rPr>
              <w:t>0</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8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(1)(2)(3)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-1073150</wp:posOffset>
            </wp:positionV>
            <wp:extent cx="6997700" cy="978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978535"/>
                    </a:xfrm>
                    <a:prstGeom prst="rect">
                      <a:avLst/>
                    </a:prstGeom>
                    <a:noFill/>
                  </pic:spPr>
                </pic:pic>
              </a:graphicData>
            </a:graphic>
          </wp:anchor>
        </w:drawing>
      </w:r>
    </w:p>
    <w:p>
      <w:pPr>
        <w:spacing w:after="0" w:line="3" w:lineRule="exact"/>
        <w:rPr>
          <w:sz w:val="24"/>
          <w:szCs w:val="24"/>
          <w:color w:val="auto"/>
        </w:rPr>
      </w:pPr>
    </w:p>
    <w:p>
      <w:pPr>
        <w:ind w:left="40" w:right="200" w:hanging="10"/>
        <w:spacing w:after="0" w:line="255"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Reporting Person is the Vice Chairman of Kayne Anderson Capital Advisors, L.P. ("KACALP"), the managing member of the manager of KAFU Holdings (QP), L.P. ("KAFU"), and therefore he may be deemed to be the beneficial owner of all of the interests held by KAFU.</w:t>
      </w:r>
    </w:p>
    <w:p>
      <w:pPr>
        <w:spacing w:after="0" w:line="15" w:lineRule="exact"/>
        <w:rPr>
          <w:rFonts w:ascii="Arial" w:cs="Arial" w:eastAsia="Arial" w:hAnsi="Arial"/>
          <w:sz w:val="10"/>
          <w:szCs w:val="10"/>
          <w:color w:val="008000"/>
        </w:rPr>
      </w:pPr>
    </w:p>
    <w:p>
      <w:pPr>
        <w:ind w:left="40" w:right="200" w:hanging="10"/>
        <w:spacing w:after="0" w:line="242"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limited partnership agreement of Plains AAP, L.P. ("AAP") provides that each limited partner of AAP, including KAFU, has the right at any time (without expiration) and from time to time, to redeem (the "Redemption Right") its Class A Units in AAP (the "AAP Units"), along with the associated Class B shares in Plains GP Holdings, L.P. (the "Class B Shares") and GP Units in PAA GP Holdings LLC (the "GP Units") for Common Units of the Issuer held by AAP on a one-for-one basis. The number of securities reported as indirectly owned represents the number of AAP Units, Class B Shares and GP Units owned by KAFU that are potentially redeemable for an equivalent number of Common Units.</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Reporting Person disclaims beneficial ownership of the securities held by KAFU, except to the extent of his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Kevin S. McCarthy</w:t>
            </w:r>
          </w:p>
        </w:tc>
        <w:tc>
          <w:tcPr>
            <w:tcW w:w="600" w:type="dxa"/>
            <w:vAlign w:val="bottom"/>
          </w:tcPr>
          <w:p>
            <w:pPr>
              <w:spacing w:after="0"/>
              <w:rPr>
                <w:sz w:val="20"/>
                <w:szCs w:val="20"/>
                <w:color w:val="auto"/>
              </w:rPr>
            </w:pPr>
            <w:r>
              <w:rPr>
                <w:rFonts w:ascii="Arial" w:cs="Arial" w:eastAsia="Arial" w:hAnsi="Arial"/>
                <w:sz w:val="13"/>
                <w:szCs w:val="13"/>
                <w:color w:val="0000FF"/>
                <w:w w:val="89"/>
              </w:rPr>
              <w:t>10/01/2020</w:t>
            </w:r>
          </w:p>
        </w:tc>
      </w:tr>
      <w:tr>
        <w:trPr>
          <w:trHeight w:val="20"/>
        </w:trPr>
        <w:tc>
          <w:tcPr>
            <w:tcW w:w="6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Richard McGee, Ann F. Gullion and Chris Griffith, or e</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Plains All American Pipeline,</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left="80" w:hanging="80"/>
        <w:spacing w:after="0" w:line="488" w:lineRule="auto"/>
        <w:tabs>
          <w:tab w:leader="none" w:pos="31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1st day of October, 2020.</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Kevin S. McCarthy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0418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2020-10-01T16:37:15Z</dcterms:created>
  <dcterms:modified xsi:type="dcterms:W3CDTF">2020-10-01T16:37:15Z</dcterms:modified>
</cp:coreProperties>
</file>