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195580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120" w:space="720"/>
            <w:col w:w="3360" w:space="720"/>
            <w:col w:w="2500"/>
          </w:cols>
          <w:pgMar w:left="240" w:top="760" w:right="239" w:bottom="1440" w:gutter="0" w:footer="0" w:header="0"/>
          <w:type w:val="continuous"/>
        </w:sectPr>
      </w:pPr>
    </w:p>
    <w:p>
      <w:pPr>
        <w:spacing w:after="0" w:line="7"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201295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1" w:name="page2"/>
    <w:bookmarkEnd w:id="1"/>
    <w:p>
      <w:pPr>
        <w:ind w:left="160"/>
        <w:spacing w:after="0"/>
        <w:tabs>
          <w:tab w:leader="none" w:pos="14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On September 16, 2019, Plains All American Pipeline, L.P. (the “Partnership”) and PAA Finance Corp. (together with the Partnership, the “Issuers”) completed the public offering of $1.0 billion aggregate principal amount of the Issuers’ 3.550% Senior Notes due 2029 (the “Notes”).</w:t>
      </w:r>
    </w:p>
    <w:p>
      <w:pPr>
        <w:spacing w:after="0" w:line="14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terms of the Notes are governed by the indenture (the “Base Indenture,” and as amended and supplemented by the Supplemental Indenture (defined below), the “Indenture”) dated as of September 25, 2002 by and among the Issuers and U.S. Bank National Association, as trustee (the “Trustee”), as supplemented by the Thirty-First Supplemental Indenture dated as of September 16, 2019 by and among the Issuers and the Trustee (the “Supplemental Indenture”).</w:t>
      </w:r>
    </w:p>
    <w:p>
      <w:pPr>
        <w:spacing w:after="0" w:line="187"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Notes will mature on December 15, 2029. Interest is payable on the Notes on each June 15 and December 15, commencing on June 15, 2020. The Issuers may redeem some or all of the Notes at any time and from time to time prior to maturity at the redemption prices specified in the Indenture.</w:t>
      </w:r>
    </w:p>
    <w:p>
      <w:pPr>
        <w:spacing w:after="0" w:line="12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Notes are the Partnership’s senior unsecured obligations, will rank equally in right of payment with all of the Partnership’s existing and future senior debt, and will rank senior in right of payment to all of the Partnership’s future subordinated debt. The Notes will be effectively subordinated to all of the Partnership’s existing and future secured debt to the extent of the value of the collateral securing such indebtedness.</w:t>
      </w:r>
    </w:p>
    <w:p>
      <w:pPr>
        <w:spacing w:after="0" w:line="181"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In certain circumstances, the Indenture restricts the Partnership’s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Indenture contains customary events of default with respect to the Notes, including:</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any payment of interest on any Note of that series when due, continued for 60 days;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if any, on any Note of that series when due;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by the Partnership to comply with its obligations under the Indenture, in certain cases subject to notice and grace periods;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defaults and accelerations with respect to other indebtedness of the Partnership and its Subsidiaries (as defined in the Indenture) in the aggregate principal amount of $25.0 million or more;</w:t>
      </w:r>
    </w:p>
    <w:p>
      <w:pPr>
        <w:spacing w:after="0" w:line="170"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the Partnership or, if and so long as the Notes of that series are guaranteed by a subsidiary guarantor, by such subsidiary guarantor;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and so long as the Notes of that series are guaranteed by a subsidiary guarantor: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guarantee by such subsidiary guarantor ceases to be in full force and effect, except as otherwise provided in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Other material terms of the Notes, the Base Indenture and the Supplemental Indenture are described in the prospectus supplement, dated September 9, 2019, as filed by the Partnership with the Commission on September 10, 2019. The foregoing descriptions of the Indenture and the Notes are qualified in their entirety by reference to such Indenture (including the form of Notes attached thereto). A copy of the Supplemental Indenture is filed herewith as Exhibit 4.1 and is incorporated herein by reference.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 w:name="page3"/>
    <w:bookmarkEnd w:id="2"/>
    <w:p>
      <w:pPr>
        <w:ind w:left="200"/>
        <w:spacing w:after="0"/>
        <w:tabs>
          <w:tab w:leader="none" w:pos="14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60" w:hanging="528"/>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Number</w:t>
        <w:tab/>
        <w:t>Description</w:t>
      </w:r>
    </w:p>
    <w:p>
      <w:pPr>
        <w:spacing w:after="0" w:line="9" w:lineRule="exact"/>
        <w:rPr>
          <w:sz w:val="20"/>
          <w:szCs w:val="20"/>
          <w:color w:val="auto"/>
        </w:rPr>
      </w:pPr>
    </w:p>
    <w:p>
      <w:pPr>
        <w:ind w:left="300"/>
        <w:spacing w:after="0"/>
        <w:tabs>
          <w:tab w:leader="none" w:pos="90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Thirty-First Supplemental Indenture, dated September 16, 2019, by and among Plains All American Pipeline, L.P., PAA Finance Corp., and U.S.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9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Bank National Association, as trustee.</w:t>
        </w:r>
      </w:hyperlink>
    </w:p>
    <w:p>
      <w:pPr>
        <w:spacing w:after="0" w:line="9" w:lineRule="exact"/>
        <w:rPr>
          <w:sz w:val="20"/>
          <w:szCs w:val="20"/>
          <w:color w:val="auto"/>
        </w:rPr>
      </w:pPr>
    </w:p>
    <w:p>
      <w:pPr>
        <w:ind w:left="300"/>
        <w:spacing w:after="0"/>
        <w:tabs>
          <w:tab w:leader="none" w:pos="90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Form of 3.550% Senior Notes due 2029 (included in Exhibit 4.1).</w:t>
        </w:r>
      </w:hyperlink>
    </w:p>
    <w:p>
      <w:pPr>
        <w:spacing w:after="0" w:line="9" w:lineRule="exact"/>
        <w:rPr>
          <w:sz w:val="20"/>
          <w:szCs w:val="20"/>
          <w:color w:val="auto"/>
        </w:rPr>
      </w:pPr>
    </w:p>
    <w:p>
      <w:pPr>
        <w:ind w:left="5660" w:right="4600" w:hanging="5382"/>
        <w:spacing w:after="0" w:line="793" w:lineRule="auto"/>
        <w:tabs>
          <w:tab w:leader="none" w:pos="917"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September 17, 2019</w:t>
      </w:r>
    </w:p>
    <w:p>
      <w:pPr>
        <w:spacing w:after="0" w:line="2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PLAINS ALL AMERICAN PIPELINE, L.P.</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ind w:left="550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59"/>
        </w:trPr>
        <w:tc>
          <w:tcPr>
            <w:tcW w:w="6180" w:type="dxa"/>
            <w:vAlign w:val="bottom"/>
          </w:tcPr>
          <w:p>
            <w:pPr>
              <w:ind w:left="550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59"/>
        </w:trPr>
        <w:tc>
          <w:tcPr>
            <w:tcW w:w="6180" w:type="dxa"/>
            <w:vAlign w:val="bottom"/>
          </w:tcPr>
          <w:p>
            <w:pPr>
              <w:ind w:left="550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66"/>
        </w:trPr>
        <w:tc>
          <w:tcPr>
            <w:tcW w:w="6180" w:type="dxa"/>
            <w:vAlign w:val="bottom"/>
          </w:tcPr>
          <w:p>
            <w:pPr>
              <w:ind w:left="55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215"/>
        </w:trPr>
        <w:tc>
          <w:tcPr>
            <w:tcW w:w="6180" w:type="dxa"/>
            <w:vAlign w:val="bottom"/>
          </w:tcPr>
          <w:p>
            <w:pPr>
              <w:ind w:left="5500"/>
              <w:spacing w:after="0"/>
              <w:rPr>
                <w:sz w:val="20"/>
                <w:szCs w:val="20"/>
                <w:color w:val="auto"/>
              </w:rPr>
            </w:pPr>
            <w:r>
              <w:rPr>
                <w:rFonts w:ascii="Arial" w:cs="Arial" w:eastAsia="Arial" w:hAnsi="Arial"/>
                <w:sz w:val="18"/>
                <w:szCs w:val="18"/>
                <w:color w:val="auto"/>
              </w:rPr>
              <w:t>Name:</w:t>
            </w:r>
          </w:p>
        </w:tc>
        <w:tc>
          <w:tcPr>
            <w:tcW w:w="5240" w:type="dxa"/>
            <w:vAlign w:val="bottom"/>
          </w:tcPr>
          <w:p>
            <w:pPr>
              <w:spacing w:after="0"/>
              <w:rPr>
                <w:sz w:val="20"/>
                <w:szCs w:val="20"/>
                <w:color w:val="auto"/>
              </w:rPr>
            </w:pPr>
            <w:r>
              <w:rPr>
                <w:rFonts w:ascii="Arial" w:cs="Arial" w:eastAsia="Arial" w:hAnsi="Arial"/>
                <w:sz w:val="18"/>
                <w:szCs w:val="18"/>
                <w:color w:val="auto"/>
              </w:rPr>
              <w:t>Richard McGee</w:t>
            </w:r>
          </w:p>
        </w:tc>
      </w:tr>
      <w:tr>
        <w:trPr>
          <w:trHeight w:val="230"/>
        </w:trPr>
        <w:tc>
          <w:tcPr>
            <w:tcW w:w="6180" w:type="dxa"/>
            <w:vAlign w:val="bottom"/>
          </w:tcPr>
          <w:p>
            <w:pPr>
              <w:ind w:left="5500"/>
              <w:spacing w:after="0"/>
              <w:rPr>
                <w:sz w:val="20"/>
                <w:szCs w:val="20"/>
                <w:color w:val="auto"/>
              </w:rPr>
            </w:pPr>
            <w:r>
              <w:rPr>
                <w:rFonts w:ascii="Arial" w:cs="Arial" w:eastAsia="Arial" w:hAnsi="Arial"/>
                <w:sz w:val="18"/>
                <w:szCs w:val="18"/>
                <w:color w:val="auto"/>
              </w:rPr>
              <w:t>Title:</w:t>
            </w: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689"/>
        </w:trPr>
        <w:tc>
          <w:tcPr>
            <w:tcW w:w="618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4</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PLAINS ALL AMERICAN PIPELINE, L.P.</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PAA FINANCE CORP.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Issuers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$1,000,000,000</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3.550% SENIOR NOTES DUE 2029</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THIRTY-FIRST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SUPPLEMENTAL</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September 16, 2019</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134620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597535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8860" w:type="dxa"/>
            <w:vAlign w:val="bottom"/>
            <w:gridSpan w:val="3"/>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1380" w:type="dxa"/>
            <w:vAlign w:val="bottom"/>
          </w:tcPr>
          <w:p>
            <w:pPr>
              <w:spacing w:after="0"/>
              <w:rPr>
                <w:sz w:val="17"/>
                <w:szCs w:val="17"/>
                <w:color w:val="auto"/>
              </w:rPr>
            </w:pPr>
          </w:p>
        </w:tc>
      </w:tr>
      <w:tr>
        <w:trPr>
          <w:trHeight w:val="438"/>
        </w:trPr>
        <w:tc>
          <w:tcPr>
            <w:tcW w:w="1180" w:type="dxa"/>
            <w:vAlign w:val="bottom"/>
          </w:tcPr>
          <w:p>
            <w:pPr>
              <w:spacing w:after="0"/>
              <w:rPr>
                <w:sz w:val="20"/>
                <w:szCs w:val="20"/>
                <w:color w:val="auto"/>
              </w:rPr>
            </w:pPr>
            <w:r>
              <w:rPr>
                <w:rFonts w:ascii="Arial" w:cs="Arial" w:eastAsia="Arial" w:hAnsi="Arial"/>
                <w:sz w:val="18"/>
                <w:szCs w:val="18"/>
                <w:color w:val="auto"/>
              </w:rPr>
              <w:t>ARTICLE I</w:t>
            </w:r>
          </w:p>
        </w:tc>
        <w:tc>
          <w:tcPr>
            <w:tcW w:w="35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180" w:type="dxa"/>
            <w:vAlign w:val="bottom"/>
          </w:tcPr>
          <w:p>
            <w:pPr>
              <w:ind w:left="180"/>
              <w:spacing w:after="0"/>
              <w:rPr>
                <w:sz w:val="20"/>
                <w:szCs w:val="20"/>
                <w:color w:val="auto"/>
              </w:rPr>
            </w:pPr>
            <w:r>
              <w:rPr>
                <w:rFonts w:ascii="Arial" w:cs="Arial" w:eastAsia="Arial" w:hAnsi="Arial"/>
                <w:sz w:val="18"/>
                <w:szCs w:val="18"/>
                <w:color w:val="auto"/>
                <w:w w:val="93"/>
              </w:rPr>
              <w:t>Section 1.01.</w:t>
            </w: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Establishment</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0040" w:type="dxa"/>
            <w:vAlign w:val="bottom"/>
            <w:gridSpan w:val="4"/>
          </w:tcPr>
          <w:p>
            <w:pPr>
              <w:spacing w:after="0"/>
              <w:rPr>
                <w:sz w:val="20"/>
                <w:szCs w:val="20"/>
                <w:color w:val="auto"/>
              </w:rPr>
            </w:pPr>
            <w:r>
              <w:rPr>
                <w:rFonts w:ascii="Arial" w:cs="Arial" w:eastAsia="Arial" w:hAnsi="Arial"/>
                <w:sz w:val="18"/>
                <w:szCs w:val="18"/>
                <w:color w:val="auto"/>
              </w:rPr>
              <w:t>ARTICLE II DEFINITIONS AND INCORPORATION BY REFERENCE</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80" w:type="dxa"/>
            <w:vAlign w:val="bottom"/>
          </w:tcPr>
          <w:p>
            <w:pPr>
              <w:ind w:left="180"/>
              <w:spacing w:after="0"/>
              <w:rPr>
                <w:sz w:val="20"/>
                <w:szCs w:val="20"/>
                <w:color w:val="auto"/>
              </w:rPr>
            </w:pPr>
            <w:r>
              <w:rPr>
                <w:rFonts w:ascii="Arial" w:cs="Arial" w:eastAsia="Arial" w:hAnsi="Arial"/>
                <w:sz w:val="18"/>
                <w:szCs w:val="18"/>
                <w:color w:val="auto"/>
                <w:w w:val="93"/>
              </w:rPr>
              <w:t>Section 2.01.</w:t>
            </w: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Definitions</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180" w:type="dxa"/>
            <w:vAlign w:val="bottom"/>
          </w:tcPr>
          <w:p>
            <w:pPr>
              <w:ind w:left="180"/>
              <w:spacing w:after="0"/>
              <w:rPr>
                <w:sz w:val="20"/>
                <w:szCs w:val="20"/>
                <w:color w:val="auto"/>
              </w:rPr>
            </w:pPr>
            <w:r>
              <w:rPr>
                <w:rFonts w:ascii="Arial" w:cs="Arial" w:eastAsia="Arial" w:hAnsi="Arial"/>
                <w:sz w:val="18"/>
                <w:szCs w:val="18"/>
                <w:color w:val="auto"/>
                <w:w w:val="93"/>
              </w:rPr>
              <w:t>Section 2.02.</w:t>
            </w: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Other Definitions</w:t>
            </w: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10040" w:type="dxa"/>
            <w:vAlign w:val="bottom"/>
            <w:gridSpan w:val="4"/>
          </w:tcPr>
          <w:p>
            <w:pPr>
              <w:spacing w:after="0"/>
              <w:rPr>
                <w:sz w:val="20"/>
                <w:szCs w:val="20"/>
                <w:color w:val="auto"/>
              </w:rPr>
            </w:pPr>
            <w:r>
              <w:rPr>
                <w:rFonts w:ascii="Arial" w:cs="Arial" w:eastAsia="Arial" w:hAnsi="Arial"/>
                <w:sz w:val="18"/>
                <w:szCs w:val="18"/>
                <w:color w:val="auto"/>
              </w:rPr>
              <w:t>ARTICLE III THE NOTES</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80" w:type="dxa"/>
            <w:vAlign w:val="bottom"/>
          </w:tcPr>
          <w:p>
            <w:pPr>
              <w:ind w:left="180"/>
              <w:spacing w:after="0"/>
              <w:rPr>
                <w:sz w:val="20"/>
                <w:szCs w:val="20"/>
                <w:color w:val="auto"/>
              </w:rPr>
            </w:pPr>
            <w:r>
              <w:rPr>
                <w:rFonts w:ascii="Arial" w:cs="Arial" w:eastAsia="Arial" w:hAnsi="Arial"/>
                <w:sz w:val="18"/>
                <w:szCs w:val="18"/>
                <w:color w:val="auto"/>
                <w:w w:val="93"/>
              </w:rPr>
              <w:t>Section 3.01.</w:t>
            </w: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Form</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040" w:type="dxa"/>
            <w:vAlign w:val="bottom"/>
            <w:gridSpan w:val="4"/>
          </w:tcPr>
          <w:p>
            <w:pPr>
              <w:ind w:left="180"/>
              <w:spacing w:after="0"/>
              <w:rPr>
                <w:sz w:val="20"/>
                <w:szCs w:val="20"/>
                <w:color w:val="auto"/>
              </w:rPr>
            </w:pPr>
            <w:r>
              <w:rPr>
                <w:rFonts w:ascii="Arial" w:cs="Arial" w:eastAsia="Arial" w:hAnsi="Arial"/>
                <w:sz w:val="18"/>
                <w:szCs w:val="18"/>
                <w:color w:val="auto"/>
              </w:rPr>
              <w:t>Section 3.02.  Issuance of Additional Notes</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0040" w:type="dxa"/>
            <w:vAlign w:val="bottom"/>
            <w:gridSpan w:val="4"/>
          </w:tcPr>
          <w:p>
            <w:pPr>
              <w:ind w:left="180"/>
              <w:spacing w:after="0"/>
              <w:rPr>
                <w:sz w:val="20"/>
                <w:szCs w:val="20"/>
                <w:color w:val="auto"/>
              </w:rPr>
            </w:pPr>
            <w:r>
              <w:rPr>
                <w:rFonts w:ascii="Arial" w:cs="Arial" w:eastAsia="Arial" w:hAnsi="Arial"/>
                <w:sz w:val="18"/>
                <w:szCs w:val="18"/>
                <w:color w:val="auto"/>
              </w:rPr>
              <w:t>Section 3.03.  Global Security Legend</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10040" w:type="dxa"/>
            <w:vAlign w:val="bottom"/>
            <w:gridSpan w:val="4"/>
          </w:tcPr>
          <w:p>
            <w:pPr>
              <w:spacing w:after="0"/>
              <w:rPr>
                <w:sz w:val="20"/>
                <w:szCs w:val="20"/>
                <w:color w:val="auto"/>
              </w:rPr>
            </w:pPr>
            <w:r>
              <w:rPr>
                <w:rFonts w:ascii="Arial" w:cs="Arial" w:eastAsia="Arial" w:hAnsi="Arial"/>
                <w:sz w:val="18"/>
                <w:szCs w:val="18"/>
                <w:color w:val="auto"/>
              </w:rPr>
              <w:t>ARTICLE IV REDEMPTION AND PREPAYMENT</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180" w:type="dxa"/>
            <w:vAlign w:val="bottom"/>
          </w:tcPr>
          <w:p>
            <w:pPr>
              <w:ind w:left="180"/>
              <w:spacing w:after="0"/>
              <w:rPr>
                <w:sz w:val="20"/>
                <w:szCs w:val="20"/>
                <w:color w:val="auto"/>
              </w:rPr>
            </w:pPr>
            <w:r>
              <w:rPr>
                <w:rFonts w:ascii="Arial" w:cs="Arial" w:eastAsia="Arial" w:hAnsi="Arial"/>
                <w:sz w:val="18"/>
                <w:szCs w:val="18"/>
                <w:color w:val="auto"/>
                <w:w w:val="93"/>
              </w:rPr>
              <w:t>Section 4.01.</w:t>
            </w: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Optional Redemption</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10040" w:type="dxa"/>
            <w:vAlign w:val="bottom"/>
            <w:gridSpan w:val="4"/>
          </w:tcPr>
          <w:p>
            <w:pPr>
              <w:spacing w:after="0"/>
              <w:rPr>
                <w:sz w:val="20"/>
                <w:szCs w:val="20"/>
                <w:color w:val="auto"/>
              </w:rPr>
            </w:pPr>
            <w:r>
              <w:rPr>
                <w:rFonts w:ascii="Arial" w:cs="Arial" w:eastAsia="Arial" w:hAnsi="Arial"/>
                <w:sz w:val="18"/>
                <w:szCs w:val="18"/>
                <w:color w:val="auto"/>
              </w:rPr>
              <w:t>ARTICLE V COVENANTS</w:t>
            </w: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tcPr>
          <w:p>
            <w:pPr>
              <w:ind w:left="180"/>
              <w:spacing w:after="0"/>
              <w:rPr>
                <w:sz w:val="20"/>
                <w:szCs w:val="20"/>
                <w:color w:val="auto"/>
              </w:rPr>
            </w:pPr>
            <w:r>
              <w:rPr>
                <w:rFonts w:ascii="Arial" w:cs="Arial" w:eastAsia="Arial" w:hAnsi="Arial"/>
                <w:sz w:val="18"/>
                <w:szCs w:val="18"/>
                <w:color w:val="auto"/>
                <w:w w:val="93"/>
              </w:rPr>
              <w:t>Section 5.01.</w:t>
            </w: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Compliance Certificate</w:t>
            </w: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040" w:type="dxa"/>
            <w:vAlign w:val="bottom"/>
            <w:gridSpan w:val="4"/>
          </w:tcPr>
          <w:p>
            <w:pPr>
              <w:ind w:left="180"/>
              <w:spacing w:after="0"/>
              <w:rPr>
                <w:sz w:val="20"/>
                <w:szCs w:val="20"/>
                <w:color w:val="auto"/>
              </w:rPr>
            </w:pPr>
            <w:r>
              <w:rPr>
                <w:rFonts w:ascii="Arial" w:cs="Arial" w:eastAsia="Arial" w:hAnsi="Arial"/>
                <w:sz w:val="18"/>
                <w:szCs w:val="18"/>
                <w:color w:val="auto"/>
              </w:rPr>
              <w:t>Section 5.02.  Limitations on Liens</w:t>
            </w: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040" w:type="dxa"/>
            <w:vAlign w:val="bottom"/>
            <w:gridSpan w:val="4"/>
          </w:tcPr>
          <w:p>
            <w:pPr>
              <w:ind w:left="180"/>
              <w:spacing w:after="0"/>
              <w:rPr>
                <w:sz w:val="20"/>
                <w:szCs w:val="20"/>
                <w:color w:val="auto"/>
              </w:rPr>
            </w:pPr>
            <w:r>
              <w:rPr>
                <w:rFonts w:ascii="Arial" w:cs="Arial" w:eastAsia="Arial" w:hAnsi="Arial"/>
                <w:sz w:val="18"/>
                <w:szCs w:val="18"/>
                <w:color w:val="auto"/>
              </w:rPr>
              <w:t>Section 5.03.  Restriction of Sale-leaseback Transactions</w:t>
            </w: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040" w:type="dxa"/>
            <w:vAlign w:val="bottom"/>
            <w:gridSpan w:val="4"/>
          </w:tcPr>
          <w:p>
            <w:pPr>
              <w:ind w:left="180"/>
              <w:spacing w:after="0"/>
              <w:rPr>
                <w:sz w:val="20"/>
                <w:szCs w:val="20"/>
                <w:color w:val="auto"/>
              </w:rPr>
            </w:pPr>
            <w:r>
              <w:rPr>
                <w:rFonts w:ascii="Arial" w:cs="Arial" w:eastAsia="Arial" w:hAnsi="Arial"/>
                <w:sz w:val="18"/>
                <w:szCs w:val="18"/>
                <w:color w:val="auto"/>
              </w:rPr>
              <w:t>Section 5.04.  SEC Reports; Financial Statements</w:t>
            </w: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80" w:type="dxa"/>
            <w:vAlign w:val="bottom"/>
          </w:tcPr>
          <w:p>
            <w:pPr>
              <w:ind w:left="180"/>
              <w:spacing w:after="0"/>
              <w:rPr>
                <w:sz w:val="20"/>
                <w:szCs w:val="20"/>
                <w:color w:val="auto"/>
              </w:rPr>
            </w:pPr>
            <w:r>
              <w:rPr>
                <w:rFonts w:ascii="Arial" w:cs="Arial" w:eastAsia="Arial" w:hAnsi="Arial"/>
                <w:sz w:val="18"/>
                <w:szCs w:val="18"/>
                <w:color w:val="auto"/>
                <w:w w:val="93"/>
              </w:rPr>
              <w:t>Section 5.05.</w:t>
            </w: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Subsidiary Guarantees</w:t>
            </w: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10040" w:type="dxa"/>
            <w:vAlign w:val="bottom"/>
            <w:gridSpan w:val="4"/>
          </w:tcPr>
          <w:p>
            <w:pPr>
              <w:spacing w:after="0"/>
              <w:rPr>
                <w:sz w:val="20"/>
                <w:szCs w:val="20"/>
                <w:color w:val="auto"/>
              </w:rPr>
            </w:pPr>
            <w:r>
              <w:rPr>
                <w:rFonts w:ascii="Arial" w:cs="Arial" w:eastAsia="Arial" w:hAnsi="Arial"/>
                <w:sz w:val="18"/>
                <w:szCs w:val="18"/>
                <w:color w:val="auto"/>
              </w:rPr>
              <w:t>ARTICLE VI SUCCESSORS</w:t>
            </w: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040" w:type="dxa"/>
            <w:vAlign w:val="bottom"/>
            <w:gridSpan w:val="4"/>
          </w:tcPr>
          <w:p>
            <w:pPr>
              <w:ind w:left="180"/>
              <w:spacing w:after="0"/>
              <w:rPr>
                <w:sz w:val="20"/>
                <w:szCs w:val="20"/>
                <w:color w:val="auto"/>
              </w:rPr>
            </w:pPr>
            <w:r>
              <w:rPr>
                <w:rFonts w:ascii="Arial" w:cs="Arial" w:eastAsia="Arial" w:hAnsi="Arial"/>
                <w:sz w:val="18"/>
                <w:szCs w:val="18"/>
                <w:color w:val="auto"/>
              </w:rPr>
              <w:t>Section 6.01.  Consolidation and Mergers of the Issuers</w:t>
            </w: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040" w:type="dxa"/>
            <w:vAlign w:val="bottom"/>
            <w:gridSpan w:val="4"/>
          </w:tcPr>
          <w:p>
            <w:pPr>
              <w:ind w:left="180"/>
              <w:spacing w:after="0"/>
              <w:rPr>
                <w:sz w:val="20"/>
                <w:szCs w:val="20"/>
                <w:color w:val="auto"/>
              </w:rPr>
            </w:pPr>
            <w:r>
              <w:rPr>
                <w:rFonts w:ascii="Arial" w:cs="Arial" w:eastAsia="Arial" w:hAnsi="Arial"/>
                <w:sz w:val="18"/>
                <w:szCs w:val="18"/>
                <w:color w:val="auto"/>
              </w:rPr>
              <w:t>Section 6.02.  Rights and Duties of Successor</w:t>
            </w: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0040" w:type="dxa"/>
            <w:vAlign w:val="bottom"/>
            <w:gridSpan w:val="4"/>
          </w:tcPr>
          <w:p>
            <w:pPr>
              <w:spacing w:after="0"/>
              <w:rPr>
                <w:sz w:val="20"/>
                <w:szCs w:val="20"/>
                <w:color w:val="auto"/>
              </w:rPr>
            </w:pPr>
            <w:r>
              <w:rPr>
                <w:rFonts w:ascii="Arial" w:cs="Arial" w:eastAsia="Arial" w:hAnsi="Arial"/>
                <w:sz w:val="18"/>
                <w:szCs w:val="18"/>
                <w:color w:val="auto"/>
              </w:rPr>
              <w:t>ARTICLE VII DEFAULTS AND REMEDIES</w:t>
            </w: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040" w:type="dxa"/>
            <w:vAlign w:val="bottom"/>
            <w:gridSpan w:val="4"/>
          </w:tcPr>
          <w:p>
            <w:pPr>
              <w:ind w:left="180"/>
              <w:spacing w:after="0"/>
              <w:rPr>
                <w:sz w:val="20"/>
                <w:szCs w:val="20"/>
                <w:color w:val="auto"/>
              </w:rPr>
            </w:pPr>
            <w:r>
              <w:rPr>
                <w:rFonts w:ascii="Arial" w:cs="Arial" w:eastAsia="Arial" w:hAnsi="Arial"/>
                <w:sz w:val="18"/>
                <w:szCs w:val="18"/>
                <w:color w:val="auto"/>
              </w:rPr>
              <w:t>Section 7.01.  Events of Default</w:t>
            </w: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0040" w:type="dxa"/>
            <w:vAlign w:val="bottom"/>
            <w:gridSpan w:val="4"/>
          </w:tcPr>
          <w:p>
            <w:pPr>
              <w:spacing w:after="0"/>
              <w:rPr>
                <w:sz w:val="20"/>
                <w:szCs w:val="20"/>
                <w:color w:val="auto"/>
              </w:rPr>
            </w:pPr>
            <w:r>
              <w:rPr>
                <w:rFonts w:ascii="Arial" w:cs="Arial" w:eastAsia="Arial" w:hAnsi="Arial"/>
                <w:sz w:val="18"/>
                <w:szCs w:val="18"/>
                <w:color w:val="auto"/>
              </w:rPr>
              <w:t>ARTICLE VIII LEGAL DEFEASANCE AND COVENANT DEFEASANCE</w:t>
            </w: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40" w:type="dxa"/>
            <w:vAlign w:val="bottom"/>
            <w:gridSpan w:val="4"/>
          </w:tcPr>
          <w:p>
            <w:pPr>
              <w:ind w:left="180"/>
              <w:spacing w:after="0"/>
              <w:rPr>
                <w:sz w:val="20"/>
                <w:szCs w:val="20"/>
                <w:color w:val="auto"/>
              </w:rPr>
            </w:pPr>
            <w:r>
              <w:rPr>
                <w:rFonts w:ascii="Arial" w:cs="Arial" w:eastAsia="Arial" w:hAnsi="Arial"/>
                <w:sz w:val="18"/>
                <w:szCs w:val="18"/>
                <w:color w:val="auto"/>
              </w:rPr>
              <w:t>Section 8.01.  Option to Effect Legal Defeasance or Covenant Defeasance</w:t>
            </w: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40" w:type="dxa"/>
            <w:vAlign w:val="bottom"/>
            <w:gridSpan w:val="4"/>
          </w:tcPr>
          <w:p>
            <w:pPr>
              <w:ind w:left="180"/>
              <w:spacing w:after="0"/>
              <w:rPr>
                <w:sz w:val="20"/>
                <w:szCs w:val="20"/>
                <w:color w:val="auto"/>
              </w:rPr>
            </w:pPr>
            <w:r>
              <w:rPr>
                <w:rFonts w:ascii="Arial" w:cs="Arial" w:eastAsia="Arial" w:hAnsi="Arial"/>
                <w:sz w:val="18"/>
                <w:szCs w:val="18"/>
                <w:color w:val="auto"/>
              </w:rPr>
              <w:t>Section 8.02.  Legal Defeasance and Discharge</w:t>
            </w: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ind w:left="180"/>
              <w:spacing w:after="0"/>
              <w:rPr>
                <w:sz w:val="20"/>
                <w:szCs w:val="20"/>
                <w:color w:val="auto"/>
              </w:rPr>
            </w:pPr>
            <w:r>
              <w:rPr>
                <w:rFonts w:ascii="Arial" w:cs="Arial" w:eastAsia="Arial" w:hAnsi="Arial"/>
                <w:sz w:val="18"/>
                <w:szCs w:val="18"/>
                <w:color w:val="auto"/>
                <w:w w:val="93"/>
              </w:rPr>
              <w:t>Section 8.03.</w:t>
            </w: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Covenant Defeasance</w:t>
            </w: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40" w:type="dxa"/>
            <w:vAlign w:val="bottom"/>
            <w:gridSpan w:val="4"/>
          </w:tcPr>
          <w:p>
            <w:pPr>
              <w:ind w:left="180"/>
              <w:spacing w:after="0"/>
              <w:rPr>
                <w:sz w:val="20"/>
                <w:szCs w:val="20"/>
                <w:color w:val="auto"/>
              </w:rPr>
            </w:pPr>
            <w:r>
              <w:rPr>
                <w:rFonts w:ascii="Arial" w:cs="Arial" w:eastAsia="Arial" w:hAnsi="Arial"/>
                <w:sz w:val="18"/>
                <w:szCs w:val="18"/>
                <w:color w:val="auto"/>
              </w:rPr>
              <w:t>Section 8.04.  Conditions to Legal or Covenant Defeasance</w:t>
            </w: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40" w:type="dxa"/>
            <w:vAlign w:val="bottom"/>
            <w:gridSpan w:val="4"/>
          </w:tcPr>
          <w:p>
            <w:pPr>
              <w:ind w:left="180"/>
              <w:spacing w:after="0"/>
              <w:rPr>
                <w:sz w:val="20"/>
                <w:szCs w:val="20"/>
                <w:color w:val="auto"/>
              </w:rPr>
            </w:pPr>
            <w:r>
              <w:rPr>
                <w:rFonts w:ascii="Arial" w:cs="Arial" w:eastAsia="Arial" w:hAnsi="Arial"/>
                <w:sz w:val="18"/>
                <w:szCs w:val="18"/>
                <w:color w:val="auto"/>
              </w:rPr>
              <w:t>Section 8.05.  Deposited Money and U.S. Government Obligations to be Held in Trust; Other Miscellaneous Provisions</w:t>
            </w: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040" w:type="dxa"/>
            <w:vAlign w:val="bottom"/>
            <w:gridSpan w:val="4"/>
          </w:tcPr>
          <w:p>
            <w:pPr>
              <w:ind w:left="180"/>
              <w:spacing w:after="0"/>
              <w:rPr>
                <w:sz w:val="20"/>
                <w:szCs w:val="20"/>
                <w:color w:val="auto"/>
              </w:rPr>
            </w:pPr>
            <w:r>
              <w:rPr>
                <w:rFonts w:ascii="Arial" w:cs="Arial" w:eastAsia="Arial" w:hAnsi="Arial"/>
                <w:sz w:val="18"/>
                <w:szCs w:val="18"/>
                <w:color w:val="auto"/>
              </w:rPr>
              <w:t>Section 8.06.  Repayment to Issuers</w:t>
            </w: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180" w:type="dxa"/>
            <w:vAlign w:val="bottom"/>
          </w:tcPr>
          <w:p>
            <w:pPr>
              <w:ind w:left="180"/>
              <w:spacing w:after="0"/>
              <w:rPr>
                <w:sz w:val="20"/>
                <w:szCs w:val="20"/>
                <w:color w:val="auto"/>
              </w:rPr>
            </w:pPr>
            <w:r>
              <w:rPr>
                <w:rFonts w:ascii="Arial" w:cs="Arial" w:eastAsia="Arial" w:hAnsi="Arial"/>
                <w:sz w:val="18"/>
                <w:szCs w:val="18"/>
                <w:color w:val="auto"/>
                <w:w w:val="93"/>
              </w:rPr>
              <w:t>Section 8.07.</w:t>
            </w: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Reinstatement</w:t>
            </w: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10040" w:type="dxa"/>
            <w:vAlign w:val="bottom"/>
            <w:gridSpan w:val="4"/>
          </w:tcPr>
          <w:p>
            <w:pPr>
              <w:spacing w:after="0"/>
              <w:rPr>
                <w:sz w:val="20"/>
                <w:szCs w:val="20"/>
                <w:color w:val="auto"/>
              </w:rPr>
            </w:pPr>
            <w:r>
              <w:rPr>
                <w:rFonts w:ascii="Arial" w:cs="Arial" w:eastAsia="Arial" w:hAnsi="Arial"/>
                <w:sz w:val="18"/>
                <w:szCs w:val="18"/>
                <w:color w:val="auto"/>
              </w:rPr>
              <w:t>ARTICLE IX SUBSIDIARY GUARANTEES</w:t>
            </w: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80" w:type="dxa"/>
            <w:vAlign w:val="bottom"/>
          </w:tcPr>
          <w:p>
            <w:pPr>
              <w:ind w:left="180"/>
              <w:spacing w:after="0"/>
              <w:rPr>
                <w:sz w:val="20"/>
                <w:szCs w:val="20"/>
                <w:color w:val="auto"/>
              </w:rPr>
            </w:pPr>
            <w:r>
              <w:rPr>
                <w:rFonts w:ascii="Arial" w:cs="Arial" w:eastAsia="Arial" w:hAnsi="Arial"/>
                <w:sz w:val="18"/>
                <w:szCs w:val="18"/>
                <w:color w:val="auto"/>
                <w:w w:val="93"/>
              </w:rPr>
              <w:t>Section 9.01.</w:t>
            </w: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Subsidiary Guarantees</w:t>
            </w: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040" w:type="dxa"/>
            <w:vAlign w:val="bottom"/>
            <w:gridSpan w:val="4"/>
          </w:tcPr>
          <w:p>
            <w:pPr>
              <w:ind w:left="180"/>
              <w:spacing w:after="0"/>
              <w:rPr>
                <w:sz w:val="20"/>
                <w:szCs w:val="20"/>
                <w:color w:val="auto"/>
              </w:rPr>
            </w:pPr>
            <w:r>
              <w:rPr>
                <w:rFonts w:ascii="Arial" w:cs="Arial" w:eastAsia="Arial" w:hAnsi="Arial"/>
                <w:sz w:val="18"/>
                <w:szCs w:val="18"/>
                <w:color w:val="auto"/>
              </w:rPr>
              <w:t>Section 9.02.  Limitation on Liability</w:t>
            </w: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040" w:type="dxa"/>
            <w:vAlign w:val="bottom"/>
            <w:gridSpan w:val="4"/>
          </w:tcPr>
          <w:p>
            <w:pPr>
              <w:ind w:left="180"/>
              <w:spacing w:after="0"/>
              <w:rPr>
                <w:sz w:val="20"/>
                <w:szCs w:val="20"/>
                <w:color w:val="auto"/>
              </w:rPr>
            </w:pPr>
            <w:r>
              <w:rPr>
                <w:rFonts w:ascii="Arial" w:cs="Arial" w:eastAsia="Arial" w:hAnsi="Arial"/>
                <w:sz w:val="18"/>
                <w:szCs w:val="18"/>
                <w:color w:val="auto"/>
              </w:rPr>
              <w:t>Section 9.03.  Successors and Assigns</w:t>
            </w: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ind w:left="180"/>
              <w:spacing w:after="0"/>
              <w:rPr>
                <w:sz w:val="20"/>
                <w:szCs w:val="20"/>
                <w:color w:val="auto"/>
              </w:rPr>
            </w:pPr>
            <w:r>
              <w:rPr>
                <w:rFonts w:ascii="Arial" w:cs="Arial" w:eastAsia="Arial" w:hAnsi="Arial"/>
                <w:sz w:val="18"/>
                <w:szCs w:val="18"/>
                <w:color w:val="auto"/>
                <w:w w:val="93"/>
              </w:rPr>
              <w:t>Section 9.04.</w:t>
            </w: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No Waiver</w:t>
            </w: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180" w:type="dxa"/>
            <w:vAlign w:val="bottom"/>
          </w:tcPr>
          <w:p>
            <w:pPr>
              <w:ind w:left="180"/>
              <w:spacing w:after="0"/>
              <w:rPr>
                <w:sz w:val="20"/>
                <w:szCs w:val="20"/>
                <w:color w:val="auto"/>
              </w:rPr>
            </w:pPr>
            <w:r>
              <w:rPr>
                <w:rFonts w:ascii="Arial" w:cs="Arial" w:eastAsia="Arial" w:hAnsi="Arial"/>
                <w:sz w:val="18"/>
                <w:szCs w:val="18"/>
                <w:color w:val="auto"/>
                <w:w w:val="93"/>
              </w:rPr>
              <w:t>Section 9.05.</w:t>
            </w: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Modification</w:t>
            </w: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220" w:type="dxa"/>
            <w:vAlign w:val="bottom"/>
          </w:tcPr>
          <w:p>
            <w:pPr>
              <w:ind w:left="180"/>
              <w:spacing w:after="0"/>
              <w:rPr>
                <w:sz w:val="20"/>
                <w:szCs w:val="20"/>
                <w:color w:val="auto"/>
              </w:rPr>
            </w:pPr>
            <w:r>
              <w:rPr>
                <w:rFonts w:ascii="Arial" w:cs="Arial" w:eastAsia="Arial" w:hAnsi="Arial"/>
                <w:sz w:val="18"/>
                <w:szCs w:val="18"/>
                <w:color w:val="auto"/>
                <w:w w:val="97"/>
              </w:rPr>
              <w:t>Section 9.06.</w:t>
            </w:r>
          </w:p>
        </w:tc>
        <w:tc>
          <w:tcPr>
            <w:tcW w:w="7680" w:type="dxa"/>
            <w:vAlign w:val="bottom"/>
          </w:tcPr>
          <w:p>
            <w:pPr>
              <w:ind w:left="40"/>
              <w:spacing w:after="0"/>
              <w:rPr>
                <w:sz w:val="20"/>
                <w:szCs w:val="20"/>
                <w:color w:val="auto"/>
              </w:rPr>
            </w:pPr>
            <w:r>
              <w:rPr>
                <w:rFonts w:ascii="Arial" w:cs="Arial" w:eastAsia="Arial" w:hAnsi="Arial"/>
                <w:sz w:val="18"/>
                <w:szCs w:val="18"/>
                <w:color w:val="auto"/>
              </w:rPr>
              <w:t>Execution of Supplemental Indenture for Future Subsidiary Guarantors</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220" w:type="dxa"/>
            <w:vAlign w:val="bottom"/>
          </w:tcPr>
          <w:p>
            <w:pPr>
              <w:ind w:left="180"/>
              <w:spacing w:after="0"/>
              <w:rPr>
                <w:sz w:val="20"/>
                <w:szCs w:val="20"/>
                <w:color w:val="auto"/>
              </w:rPr>
            </w:pPr>
            <w:r>
              <w:rPr>
                <w:rFonts w:ascii="Arial" w:cs="Arial" w:eastAsia="Arial" w:hAnsi="Arial"/>
                <w:sz w:val="18"/>
                <w:szCs w:val="18"/>
                <w:color w:val="auto"/>
                <w:w w:val="97"/>
              </w:rPr>
              <w:t>Section 9.07.</w:t>
            </w:r>
          </w:p>
        </w:tc>
        <w:tc>
          <w:tcPr>
            <w:tcW w:w="7680" w:type="dxa"/>
            <w:vAlign w:val="bottom"/>
          </w:tcPr>
          <w:p>
            <w:pPr>
              <w:ind w:left="40"/>
              <w:spacing w:after="0"/>
              <w:rPr>
                <w:sz w:val="20"/>
                <w:szCs w:val="20"/>
                <w:color w:val="auto"/>
              </w:rPr>
            </w:pPr>
            <w:r>
              <w:rPr>
                <w:rFonts w:ascii="Arial" w:cs="Arial" w:eastAsia="Arial" w:hAnsi="Arial"/>
                <w:sz w:val="18"/>
                <w:szCs w:val="18"/>
                <w:color w:val="auto"/>
              </w:rPr>
              <w:t>Release of Guarantee</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890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ind w:left="180"/>
              <w:spacing w:after="0"/>
              <w:rPr>
                <w:sz w:val="20"/>
                <w:szCs w:val="20"/>
                <w:color w:val="auto"/>
              </w:rPr>
            </w:pPr>
            <w:r>
              <w:rPr>
                <w:rFonts w:ascii="Arial" w:cs="Arial" w:eastAsia="Arial" w:hAnsi="Arial"/>
                <w:sz w:val="18"/>
                <w:szCs w:val="18"/>
                <w:color w:val="auto"/>
                <w:w w:val="88"/>
              </w:rPr>
              <w:t>Section 10.01.</w:t>
            </w:r>
          </w:p>
        </w:tc>
        <w:tc>
          <w:tcPr>
            <w:tcW w:w="7680" w:type="dxa"/>
            <w:vAlign w:val="bottom"/>
          </w:tcPr>
          <w:p>
            <w:pPr>
              <w:ind w:left="120"/>
              <w:spacing w:after="0"/>
              <w:rPr>
                <w:sz w:val="20"/>
                <w:szCs w:val="20"/>
                <w:color w:val="auto"/>
              </w:rPr>
            </w:pPr>
            <w:r>
              <w:rPr>
                <w:rFonts w:ascii="Arial" w:cs="Arial" w:eastAsia="Arial" w:hAnsi="Arial"/>
                <w:sz w:val="18"/>
                <w:szCs w:val="18"/>
                <w:color w:val="auto"/>
              </w:rPr>
              <w:t>Additional Amendments</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ind w:left="180"/>
              <w:spacing w:after="0"/>
              <w:rPr>
                <w:sz w:val="20"/>
                <w:szCs w:val="20"/>
                <w:color w:val="auto"/>
              </w:rPr>
            </w:pPr>
            <w:r>
              <w:rPr>
                <w:rFonts w:ascii="Arial" w:cs="Arial" w:eastAsia="Arial" w:hAnsi="Arial"/>
                <w:sz w:val="18"/>
                <w:szCs w:val="18"/>
                <w:color w:val="auto"/>
                <w:w w:val="88"/>
              </w:rPr>
              <w:t>Section 10.02.</w:t>
            </w:r>
          </w:p>
        </w:tc>
        <w:tc>
          <w:tcPr>
            <w:tcW w:w="7680" w:type="dxa"/>
            <w:vAlign w:val="bottom"/>
          </w:tcPr>
          <w:p>
            <w:pPr>
              <w:ind w:left="120"/>
              <w:spacing w:after="0"/>
              <w:rPr>
                <w:sz w:val="20"/>
                <w:szCs w:val="20"/>
                <w:color w:val="auto"/>
              </w:rPr>
            </w:pPr>
            <w:r>
              <w:rPr>
                <w:rFonts w:ascii="Arial" w:cs="Arial" w:eastAsia="Arial" w:hAnsi="Arial"/>
                <w:sz w:val="18"/>
                <w:szCs w:val="18"/>
                <w:color w:val="auto"/>
              </w:rPr>
              <w:t>Integral Part</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ind w:left="180"/>
              <w:spacing w:after="0"/>
              <w:rPr>
                <w:sz w:val="20"/>
                <w:szCs w:val="20"/>
                <w:color w:val="auto"/>
              </w:rPr>
            </w:pPr>
            <w:r>
              <w:rPr>
                <w:rFonts w:ascii="Arial" w:cs="Arial" w:eastAsia="Arial" w:hAnsi="Arial"/>
                <w:sz w:val="18"/>
                <w:szCs w:val="18"/>
                <w:color w:val="auto"/>
                <w:w w:val="88"/>
              </w:rPr>
              <w:t>Section 10.03.</w:t>
            </w:r>
          </w:p>
        </w:tc>
        <w:tc>
          <w:tcPr>
            <w:tcW w:w="7680" w:type="dxa"/>
            <w:vAlign w:val="bottom"/>
          </w:tcPr>
          <w:p>
            <w:pPr>
              <w:ind w:left="120"/>
              <w:spacing w:after="0"/>
              <w:rPr>
                <w:sz w:val="20"/>
                <w:szCs w:val="20"/>
                <w:color w:val="auto"/>
              </w:rPr>
            </w:pPr>
            <w:r>
              <w:rPr>
                <w:rFonts w:ascii="Arial" w:cs="Arial" w:eastAsia="Arial" w:hAnsi="Arial"/>
                <w:sz w:val="18"/>
                <w:szCs w:val="18"/>
                <w:color w:val="auto"/>
              </w:rPr>
              <w:t>Adoption, Ratification and Confirmation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20" w:type="dxa"/>
            <w:vAlign w:val="bottom"/>
          </w:tcPr>
          <w:p>
            <w:pPr>
              <w:ind w:left="180"/>
              <w:spacing w:after="0"/>
              <w:rPr>
                <w:sz w:val="20"/>
                <w:szCs w:val="20"/>
                <w:color w:val="auto"/>
              </w:rPr>
            </w:pPr>
            <w:r>
              <w:rPr>
                <w:rFonts w:ascii="Arial" w:cs="Arial" w:eastAsia="Arial" w:hAnsi="Arial"/>
                <w:sz w:val="18"/>
                <w:szCs w:val="18"/>
                <w:color w:val="auto"/>
                <w:w w:val="88"/>
              </w:rPr>
              <w:t>Section 10.04.</w:t>
            </w:r>
          </w:p>
        </w:tc>
        <w:tc>
          <w:tcPr>
            <w:tcW w:w="768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20" w:type="dxa"/>
            <w:vAlign w:val="bottom"/>
          </w:tcPr>
          <w:p>
            <w:pPr>
              <w:ind w:left="180"/>
              <w:spacing w:after="0"/>
              <w:rPr>
                <w:sz w:val="20"/>
                <w:szCs w:val="20"/>
                <w:color w:val="auto"/>
              </w:rPr>
            </w:pPr>
            <w:r>
              <w:rPr>
                <w:rFonts w:ascii="Arial" w:cs="Arial" w:eastAsia="Arial" w:hAnsi="Arial"/>
                <w:sz w:val="18"/>
                <w:szCs w:val="18"/>
                <w:color w:val="auto"/>
                <w:w w:val="88"/>
              </w:rPr>
              <w:t>Section 10.05.</w:t>
            </w:r>
          </w:p>
        </w:tc>
        <w:tc>
          <w:tcPr>
            <w:tcW w:w="768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220" w:type="dxa"/>
            <w:vAlign w:val="bottom"/>
          </w:tcPr>
          <w:p>
            <w:pPr>
              <w:ind w:left="180"/>
              <w:spacing w:after="0"/>
              <w:rPr>
                <w:sz w:val="20"/>
                <w:szCs w:val="20"/>
                <w:color w:val="auto"/>
              </w:rPr>
            </w:pPr>
            <w:r>
              <w:rPr>
                <w:rFonts w:ascii="Arial" w:cs="Arial" w:eastAsia="Arial" w:hAnsi="Arial"/>
                <w:sz w:val="18"/>
                <w:szCs w:val="18"/>
                <w:color w:val="auto"/>
                <w:w w:val="88"/>
              </w:rPr>
              <w:t>Section 10.06.</w:t>
            </w:r>
          </w:p>
        </w:tc>
        <w:tc>
          <w:tcPr>
            <w:tcW w:w="7680" w:type="dxa"/>
            <w:vAlign w:val="bottom"/>
          </w:tcPr>
          <w:p>
            <w:pPr>
              <w:ind w:left="120"/>
              <w:spacing w:after="0"/>
              <w:rPr>
                <w:sz w:val="20"/>
                <w:szCs w:val="20"/>
                <w:color w:val="auto"/>
              </w:rPr>
            </w:pPr>
            <w:r>
              <w:rPr>
                <w:rFonts w:ascii="Arial" w:cs="Arial" w:eastAsia="Arial" w:hAnsi="Arial"/>
                <w:sz w:val="18"/>
                <w:szCs w:val="18"/>
                <w:color w:val="auto"/>
              </w:rPr>
              <w:t>Recitals; Trustee Makes No Representation; Trustee’s Rights and Duties</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EXHIBIT A:</w:t>
            </w:r>
          </w:p>
        </w:tc>
        <w:tc>
          <w:tcPr>
            <w:tcW w:w="7680" w:type="dxa"/>
            <w:vAlign w:val="bottom"/>
          </w:tcPr>
          <w:p>
            <w:pPr>
              <w:ind w:left="260"/>
              <w:spacing w:after="0"/>
              <w:rPr>
                <w:sz w:val="20"/>
                <w:szCs w:val="20"/>
                <w:color w:val="auto"/>
              </w:rPr>
            </w:pPr>
            <w:r>
              <w:rPr>
                <w:rFonts w:ascii="Arial" w:cs="Arial" w:eastAsia="Arial" w:hAnsi="Arial"/>
                <w:sz w:val="18"/>
                <w:szCs w:val="18"/>
                <w:color w:val="auto"/>
              </w:rPr>
              <w:t>Form of Note</w:t>
            </w:r>
          </w:p>
        </w:tc>
        <w:tc>
          <w:tcPr>
            <w:tcW w:w="252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EXHIBIT B:</w:t>
            </w:r>
          </w:p>
        </w:tc>
        <w:tc>
          <w:tcPr>
            <w:tcW w:w="7680" w:type="dxa"/>
            <w:vAlign w:val="bottom"/>
          </w:tcPr>
          <w:p>
            <w:pPr>
              <w:ind w:left="260"/>
              <w:spacing w:after="0"/>
              <w:rPr>
                <w:sz w:val="20"/>
                <w:szCs w:val="20"/>
                <w:color w:val="auto"/>
              </w:rPr>
            </w:pPr>
            <w:r>
              <w:rPr>
                <w:rFonts w:ascii="Arial" w:cs="Arial" w:eastAsia="Arial" w:hAnsi="Arial"/>
                <w:sz w:val="18"/>
                <w:szCs w:val="18"/>
                <w:color w:val="auto"/>
              </w:rPr>
              <w:t>Form of Supplemental Indenture</w:t>
            </w:r>
          </w:p>
        </w:tc>
        <w:tc>
          <w:tcPr>
            <w:tcW w:w="252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jc w:val="both"/>
        <w:ind w:firstLine="1297"/>
        <w:spacing w:after="0" w:line="259" w:lineRule="auto"/>
        <w:rPr>
          <w:sz w:val="20"/>
          <w:szCs w:val="20"/>
          <w:color w:val="auto"/>
        </w:rPr>
      </w:pPr>
      <w:r>
        <w:rPr>
          <w:rFonts w:ascii="Arial" w:cs="Arial" w:eastAsia="Arial" w:hAnsi="Arial"/>
          <w:sz w:val="18"/>
          <w:szCs w:val="18"/>
          <w:color w:val="auto"/>
        </w:rPr>
        <w:t>THIRTY-FIRST SUPPLEMENTAL INDENTURE dated as of September 16, 2019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Issuers have heretofore entered into an Indenture, dated as of September 25, 2002 (the “Original Indenture”), with U.S. Bank National Association (successor to Wachovia Bank, National Association), as trustee;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Original Indenture, as supplemented by this Supplemental Indenture, is herein called the “Indenture”;</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Issuers propose to create under the Indenture a new series of Debt Securities;</w:t>
      </w:r>
    </w:p>
    <w:p>
      <w:pPr>
        <w:spacing w:after="0" w:line="225"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WHEREAS, additional Debt Securities of other series hereafter established, except as may be limited in the Original Indenture as at the time supplemented and modified, may be issued from time to time pursuant to the Original Indenture as at the time supplemented and modified; and</w:t>
      </w:r>
    </w:p>
    <w:p>
      <w:pPr>
        <w:spacing w:after="0" w:line="12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all conditions necessary to authorize the execution and delivery of this Supplemental Indenture and to make it a valid and binding obligation of the Issuers have been done or performed.</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agreements and obligations set forth herein and for other good and valuable consideration, the sufficiency of which is hereby acknowledged, the parties hereto hereby agree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10000"/>
        </w:rPr>
        <w:t>ARTICLE I</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Section 1.01. </w:t>
      </w:r>
      <w:r>
        <w:rPr>
          <w:rFonts w:ascii="Arial" w:cs="Arial" w:eastAsia="Arial" w:hAnsi="Arial"/>
          <w:sz w:val="18"/>
          <w:szCs w:val="18"/>
          <w:u w:val="single" w:color="auto"/>
          <w:color w:val="000000"/>
        </w:rPr>
        <w:t>Establishment.</w:t>
      </w:r>
      <w:r>
        <w:rPr>
          <w:rFonts w:ascii="Arial" w:cs="Arial" w:eastAsia="Arial" w:hAnsi="Arial"/>
          <w:sz w:val="18"/>
          <w:szCs w:val="18"/>
          <w:color w:val="010000"/>
        </w:rPr>
        <w:t xml:space="preserve"> </w:t>
      </w:r>
      <w:r>
        <w:rPr>
          <w:rFonts w:ascii="Arial" w:cs="Arial" w:eastAsia="Arial" w:hAnsi="Arial"/>
          <w:sz w:val="18"/>
          <w:szCs w:val="18"/>
          <w:color w:val="000000"/>
        </w:rPr>
        <w:t>There is hereby established a new series of Debt Securities to be issued under the Indenture, to be designated as the</w:t>
      </w:r>
      <w:r>
        <w:rPr>
          <w:rFonts w:ascii="Arial" w:cs="Arial" w:eastAsia="Arial" w:hAnsi="Arial"/>
          <w:sz w:val="18"/>
          <w:szCs w:val="18"/>
          <w:color w:val="010000"/>
        </w:rPr>
        <w:t xml:space="preserve"> </w:t>
      </w:r>
      <w:r>
        <w:rPr>
          <w:rFonts w:ascii="Arial" w:cs="Arial" w:eastAsia="Arial" w:hAnsi="Arial"/>
          <w:sz w:val="18"/>
          <w:szCs w:val="18"/>
          <w:color w:val="000000"/>
        </w:rPr>
        <w:t>Issuers’ 3.550% Senior Notes due 2029 (the “Notes”). Initially, there will be no Subsidiary Guarantors for the Notes.</w:t>
      </w:r>
    </w:p>
    <w:p>
      <w:pPr>
        <w:spacing w:after="0" w:line="170" w:lineRule="exact"/>
        <w:rPr>
          <w:sz w:val="20"/>
          <w:szCs w:val="20"/>
          <w:color w:val="auto"/>
        </w:rPr>
      </w:pPr>
    </w:p>
    <w:p>
      <w:pPr>
        <w:ind w:right="20" w:firstLine="1305"/>
        <w:spacing w:after="0" w:line="277" w:lineRule="auto"/>
        <w:tabs>
          <w:tab w:leader="none" w:pos="223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There are to be authenticated and delivered $1,000,000,000 principal amount of Notes on the Issue Date, and from time to time thereafter there may be authenticated and delivered an unlimited principal amount of Additional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firstLine="1305"/>
        <w:spacing w:after="0" w:line="277" w:lineRule="auto"/>
        <w:tabs>
          <w:tab w:leader="none" w:pos="2321" w:val="left"/>
        </w:tabs>
        <w:numPr>
          <w:ilvl w:val="0"/>
          <w:numId w:val="6"/>
        </w:numPr>
        <w:rPr>
          <w:rFonts w:ascii="Arial" w:cs="Arial" w:eastAsia="Arial" w:hAnsi="Arial"/>
          <w:sz w:val="18"/>
          <w:szCs w:val="18"/>
          <w:color w:val="010000"/>
        </w:rPr>
      </w:pPr>
      <w:r>
        <w:rPr>
          <w:rFonts w:ascii="Arial" w:cs="Arial" w:eastAsia="Arial" w:hAnsi="Arial"/>
          <w:sz w:val="18"/>
          <w:szCs w:val="18"/>
          <w:color w:val="auto"/>
        </w:rPr>
        <w:t>The Notes shall be issued initially in the form of one or more Global Securities in substantially the form set out in Exhibit A hereto. The Depositary with respect to the Notes shall be The Depository Trust Company.</w:t>
      </w:r>
    </w:p>
    <w:p>
      <w:pPr>
        <w:spacing w:after="0" w:line="170" w:lineRule="exact"/>
        <w:rPr>
          <w:rFonts w:ascii="Arial" w:cs="Arial" w:eastAsia="Arial" w:hAnsi="Arial"/>
          <w:sz w:val="18"/>
          <w:szCs w:val="18"/>
          <w:color w:val="010000"/>
        </w:rPr>
      </w:pPr>
    </w:p>
    <w:p>
      <w:pPr>
        <w:ind w:firstLine="1305"/>
        <w:spacing w:after="0" w:line="277" w:lineRule="auto"/>
        <w:tabs>
          <w:tab w:leader="none" w:pos="2270" w:val="left"/>
        </w:tabs>
        <w:numPr>
          <w:ilvl w:val="0"/>
          <w:numId w:val="6"/>
        </w:numPr>
        <w:rPr>
          <w:rFonts w:ascii="Arial" w:cs="Arial" w:eastAsia="Arial" w:hAnsi="Arial"/>
          <w:sz w:val="18"/>
          <w:szCs w:val="18"/>
          <w:color w:val="010000"/>
        </w:rPr>
      </w:pPr>
      <w:r>
        <w:rPr>
          <w:rFonts w:ascii="Arial" w:cs="Arial" w:eastAsia="Arial" w:hAnsi="Arial"/>
          <w:sz w:val="18"/>
          <w:szCs w:val="18"/>
          <w:color w:val="auto"/>
        </w:rPr>
        <w:t>Each Note shall be dated the date of authentication thereof and shall bear interest from the date of original issuance thereof or from the most recent date to which interest has been paid or duly provided for.</w:t>
      </w:r>
    </w:p>
    <w:p>
      <w:pPr>
        <w:spacing w:after="0" w:line="170" w:lineRule="exact"/>
        <w:rPr>
          <w:rFonts w:ascii="Arial" w:cs="Arial" w:eastAsia="Arial" w:hAnsi="Arial"/>
          <w:sz w:val="18"/>
          <w:szCs w:val="18"/>
          <w:color w:val="010000"/>
        </w:rPr>
      </w:pPr>
    </w:p>
    <w:p>
      <w:pPr>
        <w:ind w:firstLine="1305"/>
        <w:spacing w:after="0" w:line="277" w:lineRule="auto"/>
        <w:tabs>
          <w:tab w:leader="none" w:pos="2321" w:val="left"/>
        </w:tabs>
        <w:numPr>
          <w:ilvl w:val="0"/>
          <w:numId w:val="6"/>
        </w:numPr>
        <w:rPr>
          <w:rFonts w:ascii="Arial" w:cs="Arial" w:eastAsia="Arial" w:hAnsi="Arial"/>
          <w:sz w:val="18"/>
          <w:szCs w:val="18"/>
          <w:color w:val="010000"/>
        </w:rPr>
      </w:pPr>
      <w:r>
        <w:rPr>
          <w:rFonts w:ascii="Arial" w:cs="Arial" w:eastAsia="Arial" w:hAnsi="Arial"/>
          <w:sz w:val="18"/>
          <w:szCs w:val="18"/>
          <w:color w:val="auto"/>
        </w:rPr>
        <w:t>If and to the extent that the provisions of the Original Indenture are duplicative of, or in contradiction with, the provisions of this Supplemental Indenture, the provisions of this Supplemental Indenture shall govern.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2.01.</w:t>
      </w:r>
      <w:r>
        <w:rPr>
          <w:sz w:val="20"/>
          <w:szCs w:val="20"/>
          <w:color w:val="auto"/>
        </w:rPr>
        <w:tab/>
      </w:r>
      <w:r>
        <w:rPr>
          <w:rFonts w:ascii="Arial" w:cs="Arial" w:eastAsia="Arial" w:hAnsi="Arial"/>
          <w:sz w:val="16"/>
          <w:szCs w:val="16"/>
          <w:u w:val="single" w:color="auto"/>
          <w:color w:val="auto"/>
        </w:rPr>
        <w:t xml:space="preserve">Definitions. </w:t>
      </w:r>
      <w:r>
        <w:rPr>
          <w:rFonts w:ascii="Arial" w:cs="Arial" w:eastAsia="Arial" w:hAnsi="Arial"/>
          <w:sz w:val="16"/>
          <w:szCs w:val="16"/>
          <w:color w:val="auto"/>
        </w:rPr>
        <w:t>All capitalized terms used herein and not otherwise defined below shall have the meanings ascribed thereto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Original Indenture. The following are additional definitions used in this Supplemental Indenture:</w:t>
      </w:r>
    </w:p>
    <w:p>
      <w:pPr>
        <w:spacing w:after="0" w:line="211"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w:t>
      </w:r>
    </w:p>
    <w:p>
      <w:pPr>
        <w:spacing w:after="0" w:line="171"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6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1297"/>
        <w:spacing w:after="0" w:line="257" w:lineRule="auto"/>
        <w:rPr>
          <w:sz w:val="20"/>
          <w:szCs w:val="20"/>
          <w:color w:val="auto"/>
        </w:rPr>
      </w:pPr>
      <w:r>
        <w:rPr>
          <w:rFonts w:ascii="Arial" w:cs="Arial" w:eastAsia="Arial" w:hAnsi="Arial"/>
          <w:sz w:val="18"/>
          <w:szCs w:val="18"/>
          <w:color w:val="auto"/>
        </w:rPr>
        <w:t>“Consolidated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“Debt” means any obligation created or assumed by any Person for the repayment of money borrowed, any purchase money obligation created or assumed by such Person, and any guarantee of the foregoing.</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“Guarantee” means a guarantee of the Notes given by a Subsidiary Guarantor pursuant to the Indenture, including any future obligations under Article IX 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“General Partner” means PAA GP LLC, a Delaware limited liability company, and its successors and permitted assigns as general partner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“Issue Date” means the date on which the Notes are initially issued.</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“Managing General Partner” means (i) Plains All American GP LLC, a Delaware limited liability company (and its successors and permitted assigns), as general partner of Plains AAP, L.P., a Delaware limited partnership (and its successors and permitted assigns), as sole member of the General Partner or (ii) the business entity with the ultimate authority to manage the business and operations of the Partnership.</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“Notes” has the meaning assigned to it in Section 1.01(a) hereof, and includes both the Notes issued on the Issue Date and any Additional Notes issued thereafter.</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“Obligations” means any principal, interest, liquidated damages, penalties, fees, indemnifications, reimbursement obligations, damages and other liabilities payable under the documentation governing any Debt.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firstLine="1297"/>
        <w:spacing w:after="0" w:line="277" w:lineRule="auto"/>
        <w:rPr>
          <w:sz w:val="20"/>
          <w:szCs w:val="20"/>
          <w:color w:val="auto"/>
        </w:rPr>
      </w:pPr>
      <w:r>
        <w:rPr>
          <w:rFonts w:ascii="Arial" w:cs="Arial" w:eastAsia="Arial" w:hAnsi="Arial"/>
          <w:sz w:val="18"/>
          <w:szCs w:val="18"/>
          <w:color w:val="auto"/>
        </w:rPr>
        <w:t>“Partnership Agreement” means the Seventh Amended and Restated Agreement of Limited Partnership of Plains All American Pipeline, L.P., dated as of October 10, 2017, as such may be otherwise amended, modified or supplemented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“Permitted Liens” means:</w:t>
      </w:r>
    </w:p>
    <w:p>
      <w:pPr>
        <w:spacing w:after="0" w:line="225" w:lineRule="exact"/>
        <w:rPr>
          <w:sz w:val="20"/>
          <w:szCs w:val="20"/>
          <w:color w:val="auto"/>
        </w:rPr>
      </w:pPr>
    </w:p>
    <w:p>
      <w:pPr>
        <w:ind w:left="2240" w:hanging="935"/>
        <w:spacing w:after="0"/>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2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86" w:lineRule="exact"/>
        <w:rPr>
          <w:rFonts w:ascii="Arial" w:cs="Arial" w:eastAsia="Arial" w:hAnsi="Arial"/>
          <w:sz w:val="18"/>
          <w:szCs w:val="18"/>
          <w:color w:val="auto"/>
        </w:rPr>
      </w:pPr>
    </w:p>
    <w:p>
      <w:pPr>
        <w:ind w:left="660" w:firstLine="645"/>
        <w:spacing w:after="0" w:line="277" w:lineRule="auto"/>
        <w:tabs>
          <w:tab w:leader="none" w:pos="243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70" w:lineRule="exact"/>
        <w:rPr>
          <w:rFonts w:ascii="Arial" w:cs="Arial" w:eastAsia="Arial" w:hAnsi="Arial"/>
          <w:sz w:val="18"/>
          <w:szCs w:val="18"/>
          <w:color w:val="auto"/>
        </w:rPr>
      </w:pPr>
    </w:p>
    <w:p>
      <w:pPr>
        <w:ind w:left="660" w:firstLine="645"/>
        <w:spacing w:after="0" w:line="277" w:lineRule="auto"/>
        <w:tabs>
          <w:tab w:leader="none" w:pos="2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an Issuer or any Restricted Subsidiary in good faith;</w:t>
      </w:r>
    </w:p>
    <w:p>
      <w:pPr>
        <w:spacing w:after="0" w:line="170" w:lineRule="exact"/>
        <w:rPr>
          <w:rFonts w:ascii="Arial" w:cs="Arial" w:eastAsia="Arial" w:hAnsi="Arial"/>
          <w:sz w:val="18"/>
          <w:szCs w:val="18"/>
          <w:color w:val="auto"/>
        </w:rPr>
      </w:pPr>
    </w:p>
    <w:p>
      <w:pPr>
        <w:ind w:left="2240" w:hanging="935"/>
        <w:spacing w:after="0"/>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225" w:lineRule="exact"/>
        <w:rPr>
          <w:rFonts w:ascii="Arial" w:cs="Arial" w:eastAsia="Arial" w:hAnsi="Arial"/>
          <w:sz w:val="18"/>
          <w:szCs w:val="18"/>
          <w:color w:val="auto"/>
        </w:rPr>
      </w:pPr>
    </w:p>
    <w:p>
      <w:pPr>
        <w:ind w:left="660" w:firstLine="645"/>
        <w:spacing w:after="0" w:line="277" w:lineRule="auto"/>
        <w:tabs>
          <w:tab w:leader="none" w:pos="2528"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170" w:lineRule="exact"/>
        <w:rPr>
          <w:rFonts w:ascii="Arial" w:cs="Arial" w:eastAsia="Arial" w:hAnsi="Arial"/>
          <w:sz w:val="18"/>
          <w:szCs w:val="18"/>
          <w:color w:val="auto"/>
        </w:rPr>
      </w:pPr>
    </w:p>
    <w:p>
      <w:pPr>
        <w:ind w:left="660" w:firstLine="645"/>
        <w:spacing w:after="0" w:line="277" w:lineRule="auto"/>
        <w:tabs>
          <w:tab w:leader="none" w:pos="2272"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an Issuer or any Restricted Subsidiary resulting from the exercise of any rights arising out of defaults on receivables;</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2403"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81" w:lineRule="exact"/>
        <w:rPr>
          <w:rFonts w:ascii="Arial" w:cs="Arial" w:eastAsia="Arial" w:hAnsi="Arial"/>
          <w:sz w:val="18"/>
          <w:szCs w:val="18"/>
          <w:color w:val="auto"/>
        </w:rPr>
      </w:pPr>
    </w:p>
    <w:p>
      <w:pPr>
        <w:ind w:left="2180" w:hanging="875"/>
        <w:spacing w:after="0"/>
        <w:tabs>
          <w:tab w:leader="none" w:pos="2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Lien in favor of an Issuer or any Restricted Subsidiary;</w:t>
      </w:r>
    </w:p>
    <w:p>
      <w:pPr>
        <w:spacing w:after="0" w:line="225" w:lineRule="exact"/>
        <w:rPr>
          <w:rFonts w:ascii="Arial" w:cs="Arial" w:eastAsia="Arial" w:hAnsi="Arial"/>
          <w:sz w:val="18"/>
          <w:szCs w:val="18"/>
          <w:color w:val="auto"/>
        </w:rPr>
      </w:pPr>
    </w:p>
    <w:p>
      <w:pPr>
        <w:jc w:val="both"/>
        <w:ind w:left="660" w:firstLine="645"/>
        <w:spacing w:after="0" w:line="279" w:lineRule="auto"/>
        <w:tabs>
          <w:tab w:leader="none" w:pos="2244"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2180" w:hanging="875"/>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225" w:lineRule="exact"/>
        <w:rPr>
          <w:rFonts w:ascii="Arial" w:cs="Arial" w:eastAsia="Arial" w:hAnsi="Arial"/>
          <w:sz w:val="18"/>
          <w:szCs w:val="18"/>
          <w:color w:val="auto"/>
        </w:rPr>
      </w:pPr>
    </w:p>
    <w:p>
      <w:pPr>
        <w:jc w:val="both"/>
        <w:ind w:left="660" w:firstLine="645"/>
        <w:spacing w:after="0" w:line="255" w:lineRule="auto"/>
        <w:tabs>
          <w:tab w:leader="none" w:pos="24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w:t>
      </w:r>
    </w:p>
    <w:p>
      <w:pPr>
        <w:spacing w:after="0" w:line="193" w:lineRule="exact"/>
        <w:rPr>
          <w:rFonts w:ascii="Arial" w:cs="Arial" w:eastAsia="Arial" w:hAnsi="Arial"/>
          <w:sz w:val="18"/>
          <w:szCs w:val="18"/>
          <w:color w:val="auto"/>
        </w:rPr>
      </w:pPr>
    </w:p>
    <w:p>
      <w:pPr>
        <w:ind w:left="660" w:firstLine="645"/>
        <w:spacing w:after="0" w:line="277" w:lineRule="auto"/>
        <w:tabs>
          <w:tab w:leader="none" w:pos="2209" w:val="left"/>
        </w:tabs>
        <w:numPr>
          <w:ilvl w:val="0"/>
          <w:numId w:val="8"/>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170" w:lineRule="exact"/>
        <w:rPr>
          <w:rFonts w:ascii="Arial" w:cs="Arial" w:eastAsia="Arial" w:hAnsi="Arial"/>
          <w:sz w:val="18"/>
          <w:szCs w:val="18"/>
          <w:color w:val="auto"/>
        </w:rPr>
      </w:pPr>
    </w:p>
    <w:p>
      <w:pPr>
        <w:ind w:left="2180" w:hanging="875"/>
        <w:spacing w:after="0"/>
        <w:tabs>
          <w:tab w:leader="none" w:pos="2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Lien upon or deposits of any assets to secure performance of bids, trade contracts, leases or statutory obligations;</w:t>
      </w:r>
    </w:p>
    <w:p>
      <w:pPr>
        <w:spacing w:after="0" w:line="236" w:lineRule="exact"/>
        <w:rPr>
          <w:rFonts w:ascii="Arial" w:cs="Arial" w:eastAsia="Arial" w:hAnsi="Arial"/>
          <w:sz w:val="17"/>
          <w:szCs w:val="17"/>
          <w:color w:val="auto"/>
        </w:rPr>
      </w:pPr>
    </w:p>
    <w:p>
      <w:pPr>
        <w:jc w:val="both"/>
        <w:ind w:left="660" w:firstLine="645"/>
        <w:spacing w:after="0" w:line="302" w:lineRule="auto"/>
        <w:tabs>
          <w:tab w:leader="none" w:pos="2444"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54" w:lineRule="exact"/>
        <w:rPr>
          <w:rFonts w:ascii="Arial" w:cs="Arial" w:eastAsia="Arial" w:hAnsi="Arial"/>
          <w:sz w:val="16"/>
          <w:szCs w:val="16"/>
          <w:color w:val="auto"/>
        </w:rPr>
      </w:pPr>
    </w:p>
    <w:p>
      <w:pPr>
        <w:jc w:val="both"/>
        <w:ind w:left="660" w:firstLine="645"/>
        <w:spacing w:after="0" w:line="259" w:lineRule="auto"/>
        <w:tabs>
          <w:tab w:leader="none" w:pos="2457" w:val="left"/>
        </w:tabs>
        <w:numPr>
          <w:ilvl w:val="0"/>
          <w:numId w:val="8"/>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w:t>
      </w:r>
    </w:p>
    <w:p>
      <w:pPr>
        <w:spacing w:after="0" w:line="186" w:lineRule="exact"/>
        <w:rPr>
          <w:rFonts w:ascii="Arial" w:cs="Arial" w:eastAsia="Arial" w:hAnsi="Arial"/>
          <w:sz w:val="18"/>
          <w:szCs w:val="18"/>
          <w:color w:val="auto"/>
        </w:rPr>
      </w:pPr>
    </w:p>
    <w:p>
      <w:pPr>
        <w:jc w:val="both"/>
        <w:ind w:left="660" w:firstLine="645"/>
        <w:spacing w:after="0" w:line="257" w:lineRule="auto"/>
        <w:tabs>
          <w:tab w:leader="none" w:pos="2522" w:val="left"/>
        </w:tabs>
        <w:numPr>
          <w:ilvl w:val="0"/>
          <w:numId w:val="8"/>
        </w:numPr>
        <w:rPr>
          <w:rFonts w:ascii="Arial" w:cs="Arial" w:eastAsia="Arial" w:hAnsi="Arial"/>
          <w:sz w:val="18"/>
          <w:szCs w:val="18"/>
          <w:color w:val="auto"/>
        </w:rPr>
      </w:pPr>
      <w:r>
        <w:rPr>
          <w:rFonts w:ascii="Arial" w:cs="Arial" w:eastAsia="Arial" w:hAnsi="Arial"/>
          <w:sz w:val="18"/>
          <w:szCs w:val="18"/>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w:t>
      </w:r>
    </w:p>
    <w:p>
      <w:pPr>
        <w:spacing w:after="0" w:line="188" w:lineRule="exact"/>
        <w:rPr>
          <w:rFonts w:ascii="Arial" w:cs="Arial" w:eastAsia="Arial" w:hAnsi="Arial"/>
          <w:sz w:val="18"/>
          <w:szCs w:val="18"/>
          <w:color w:val="auto"/>
        </w:rPr>
      </w:pPr>
    </w:p>
    <w:p>
      <w:pPr>
        <w:ind w:left="660" w:right="20" w:firstLine="645"/>
        <w:spacing w:after="0" w:line="277" w:lineRule="auto"/>
        <w:tabs>
          <w:tab w:leader="none" w:pos="23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17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ind w:firstLine="1297"/>
        <w:spacing w:after="0" w:line="277" w:lineRule="auto"/>
        <w:rPr>
          <w:sz w:val="20"/>
          <w:szCs w:val="20"/>
          <w:color w:val="auto"/>
        </w:rPr>
      </w:pPr>
      <w:r>
        <w:rPr>
          <w:rFonts w:ascii="Arial" w:cs="Arial" w:eastAsia="Arial" w:hAnsi="Arial"/>
          <w:sz w:val="18"/>
          <w:szCs w:val="18"/>
          <w:color w:val="auto"/>
        </w:rPr>
        <w:t>“Restricted Subsidiary” means any Subsidiary of the Partnership owning or leasing, directly or indirectly through ownership in another Subsidiary, any Principal Property.</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w:t>
      </w:r>
    </w:p>
    <w:p>
      <w:pPr>
        <w:spacing w:after="0" w:line="181"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“Subsidiary Guarantors” means:</w:t>
      </w:r>
    </w:p>
    <w:p>
      <w:pPr>
        <w:spacing w:after="0" w:line="225" w:lineRule="exact"/>
        <w:rPr>
          <w:sz w:val="20"/>
          <w:szCs w:val="20"/>
          <w:color w:val="auto"/>
        </w:rPr>
      </w:pPr>
    </w:p>
    <w:p>
      <w:pPr>
        <w:ind w:left="660" w:firstLine="645"/>
        <w:spacing w:after="0" w:line="277" w:lineRule="auto"/>
        <w:tabs>
          <w:tab w:leader="none" w:pos="248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Subsidiary of the Partnership that executes a supplemental Indenture to provide a Guarantee in accordance with the provisions of the Indenture; and</w:t>
      </w:r>
    </w:p>
    <w:p>
      <w:pPr>
        <w:spacing w:after="0" w:line="170" w:lineRule="exact"/>
        <w:rPr>
          <w:rFonts w:ascii="Arial" w:cs="Arial" w:eastAsia="Arial" w:hAnsi="Arial"/>
          <w:sz w:val="18"/>
          <w:szCs w:val="18"/>
          <w:color w:val="auto"/>
        </w:rPr>
      </w:pPr>
    </w:p>
    <w:p>
      <w:pPr>
        <w:ind w:left="2240" w:hanging="935"/>
        <w:spacing w:after="0"/>
        <w:tabs>
          <w:tab w:leader="none" w:pos="2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its successors and assigns.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ind w:left="660"/>
              <w:spacing w:after="0"/>
              <w:rPr>
                <w:sz w:val="20"/>
                <w:szCs w:val="20"/>
                <w:color w:val="auto"/>
              </w:rPr>
            </w:pPr>
            <w:r>
              <w:rPr>
                <w:rFonts w:ascii="Arial" w:cs="Arial" w:eastAsia="Arial" w:hAnsi="Arial"/>
                <w:sz w:val="18"/>
                <w:szCs w:val="18"/>
                <w:color w:val="010000"/>
              </w:rPr>
              <w:t>Section 2.02.</w:t>
            </w:r>
          </w:p>
        </w:tc>
        <w:tc>
          <w:tcPr>
            <w:tcW w:w="9540" w:type="dxa"/>
            <w:vAlign w:val="bottom"/>
            <w:gridSpan w:val="5"/>
          </w:tcPr>
          <w:p>
            <w:pPr>
              <w:spacing w:after="0"/>
              <w:rPr>
                <w:sz w:val="20"/>
                <w:szCs w:val="20"/>
                <w:color w:val="auto"/>
              </w:rPr>
            </w:pPr>
            <w:r>
              <w:rPr>
                <w:rFonts w:ascii="Arial" w:cs="Arial" w:eastAsia="Arial" w:hAnsi="Arial"/>
                <w:sz w:val="18"/>
                <w:szCs w:val="18"/>
                <w:color w:val="auto"/>
              </w:rPr>
              <w:t>Other Definitions.</w:t>
            </w:r>
          </w:p>
        </w:tc>
      </w:tr>
      <w:tr>
        <w:trPr>
          <w:trHeight w:val="448"/>
        </w:trPr>
        <w:tc>
          <w:tcPr>
            <w:tcW w:w="188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Defined in</w:t>
            </w:r>
          </w:p>
        </w:tc>
      </w:tr>
      <w:tr>
        <w:trPr>
          <w:trHeight w:val="234"/>
        </w:trPr>
        <w:tc>
          <w:tcPr>
            <w:tcW w:w="188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126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Section</w:t>
            </w:r>
          </w:p>
        </w:tc>
      </w:tr>
      <w:tr>
        <w:trPr>
          <w:trHeight w:val="210"/>
        </w:trPr>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“Additional Notes”</w:t>
            </w:r>
          </w:p>
        </w:tc>
        <w:tc>
          <w:tcPr>
            <w:tcW w:w="1260" w:type="dxa"/>
            <w:vAlign w:val="bottom"/>
            <w:tcBorders>
              <w:top w:val="single" w:sz="8" w:color="auto"/>
            </w:tcBorders>
            <w:shd w:val="clear" w:color="auto" w:fill="CCEEFF"/>
          </w:tcPr>
          <w:p>
            <w:pPr>
              <w:spacing w:after="0"/>
              <w:rPr>
                <w:sz w:val="18"/>
                <w:szCs w:val="18"/>
                <w:color w:val="auto"/>
              </w:rPr>
            </w:pPr>
          </w:p>
        </w:tc>
        <w:tc>
          <w:tcPr>
            <w:tcW w:w="6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w w:val="97"/>
              </w:rPr>
              <w:t>“Covenant Defeasance”</w:t>
            </w:r>
          </w:p>
        </w:tc>
        <w:tc>
          <w:tcPr>
            <w:tcW w:w="9540" w:type="dxa"/>
            <w:vAlign w:val="bottom"/>
            <w:gridSpan w:val="5"/>
          </w:tcPr>
          <w:p>
            <w:pPr>
              <w:jc w:val="right"/>
              <w:ind w:right="100"/>
              <w:spacing w:after="0"/>
              <w:rPr>
                <w:sz w:val="20"/>
                <w:szCs w:val="20"/>
                <w:color w:val="auto"/>
              </w:rPr>
            </w:pPr>
            <w:r>
              <w:rPr>
                <w:rFonts w:ascii="Arial" w:cs="Arial" w:eastAsia="Arial" w:hAnsi="Arial"/>
                <w:sz w:val="18"/>
                <w:szCs w:val="18"/>
                <w:color w:val="auto"/>
              </w:rPr>
              <w:t>8.03</w:t>
            </w: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95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“Legal Defeasance”</w:t>
            </w:r>
          </w:p>
        </w:tc>
        <w:tc>
          <w:tcPr>
            <w:tcW w:w="9540" w:type="dxa"/>
            <w:vAlign w:val="bottom"/>
            <w:gridSpan w:val="5"/>
          </w:tcPr>
          <w:p>
            <w:pPr>
              <w:jc w:val="right"/>
              <w:ind w:right="100"/>
              <w:spacing w:after="0"/>
              <w:rPr>
                <w:sz w:val="20"/>
                <w:szCs w:val="20"/>
                <w:color w:val="auto"/>
              </w:rPr>
            </w:pPr>
            <w:r>
              <w:rPr>
                <w:rFonts w:ascii="Arial" w:cs="Arial" w:eastAsia="Arial" w:hAnsi="Arial"/>
                <w:sz w:val="18"/>
                <w:szCs w:val="18"/>
                <w:color w:val="auto"/>
              </w:rPr>
              <w:t>8.02</w:t>
            </w: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“Note Obligations”</w:t>
            </w:r>
          </w:p>
        </w:tc>
        <w:tc>
          <w:tcPr>
            <w:tcW w:w="95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“Payment Default”</w:t>
            </w:r>
          </w:p>
        </w:tc>
        <w:tc>
          <w:tcPr>
            <w:tcW w:w="9540" w:type="dxa"/>
            <w:vAlign w:val="bottom"/>
            <w:gridSpan w:val="5"/>
          </w:tcPr>
          <w:p>
            <w:pPr>
              <w:jc w:val="right"/>
              <w:ind w:right="100"/>
              <w:spacing w:after="0"/>
              <w:rPr>
                <w:sz w:val="20"/>
                <w:szCs w:val="20"/>
                <w:color w:val="auto"/>
              </w:rPr>
            </w:pPr>
            <w:r>
              <w:rPr>
                <w:rFonts w:ascii="Arial" w:cs="Arial" w:eastAsia="Arial" w:hAnsi="Arial"/>
                <w:sz w:val="18"/>
                <w:szCs w:val="18"/>
                <w:color w:val="auto"/>
              </w:rPr>
              <w:t>7.01</w:t>
            </w: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“Required Filing Dates”</w:t>
            </w:r>
          </w:p>
        </w:tc>
        <w:tc>
          <w:tcPr>
            <w:tcW w:w="95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“Successor Company”</w:t>
            </w:r>
          </w:p>
        </w:tc>
        <w:tc>
          <w:tcPr>
            <w:tcW w:w="9540" w:type="dxa"/>
            <w:vAlign w:val="bottom"/>
            <w:gridSpan w:val="5"/>
          </w:tcPr>
          <w:p>
            <w:pPr>
              <w:jc w:val="right"/>
              <w:ind w:right="100"/>
              <w:spacing w:after="0"/>
              <w:rPr>
                <w:sz w:val="20"/>
                <w:szCs w:val="20"/>
                <w:color w:val="auto"/>
              </w:rPr>
            </w:pPr>
            <w:r>
              <w:rPr>
                <w:rFonts w:ascii="Arial" w:cs="Arial" w:eastAsia="Arial" w:hAnsi="Arial"/>
                <w:sz w:val="18"/>
                <w:szCs w:val="18"/>
                <w:color w:val="auto"/>
              </w:rPr>
              <w:t>6.01</w:t>
            </w:r>
          </w:p>
        </w:tc>
      </w:tr>
      <w:tr>
        <w:trPr>
          <w:trHeight w:val="634"/>
        </w:trPr>
        <w:tc>
          <w:tcPr>
            <w:tcW w:w="18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2"/>
          </w:tcPr>
          <w:p>
            <w:pPr>
              <w:jc w:val="right"/>
              <w:ind w:right="418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010000"/>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Section 3.01. </w:t>
      </w:r>
      <w:r>
        <w:rPr>
          <w:rFonts w:ascii="Arial" w:cs="Arial" w:eastAsia="Arial" w:hAnsi="Arial"/>
          <w:sz w:val="18"/>
          <w:szCs w:val="18"/>
          <w:u w:val="single" w:color="auto"/>
          <w:color w:val="000000"/>
        </w:rPr>
        <w:t>Form</w:t>
      </w:r>
      <w:r>
        <w:rPr>
          <w:rFonts w:ascii="Arial" w:cs="Arial" w:eastAsia="Arial" w:hAnsi="Arial"/>
          <w:sz w:val="18"/>
          <w:szCs w:val="18"/>
          <w:color w:val="000000"/>
        </w:rPr>
        <w:t>. The Notes shall be issued initially in the form of one or more Global Securities. The Notes and Trustee’s certificate of</w:t>
      </w:r>
      <w:r>
        <w:rPr>
          <w:rFonts w:ascii="Arial" w:cs="Arial" w:eastAsia="Arial" w:hAnsi="Arial"/>
          <w:sz w:val="18"/>
          <w:szCs w:val="18"/>
          <w:color w:val="010000"/>
        </w:rPr>
        <w:t xml:space="preserve"> </w:t>
      </w:r>
      <w:r>
        <w:rPr>
          <w:rFonts w:ascii="Arial" w:cs="Arial" w:eastAsia="Arial" w:hAnsi="Arial"/>
          <w:sz w:val="18"/>
          <w:szCs w:val="18"/>
          <w:color w:val="000000"/>
        </w:rPr>
        <w:t>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Section 3.02. </w:t>
      </w:r>
      <w:r>
        <w:rPr>
          <w:rFonts w:ascii="Arial" w:cs="Arial" w:eastAsia="Arial" w:hAnsi="Arial"/>
          <w:sz w:val="18"/>
          <w:szCs w:val="18"/>
          <w:u w:val="single" w:color="auto"/>
          <w:color w:val="000000"/>
        </w:rPr>
        <w:t>Issuance of Additional Notes</w:t>
      </w:r>
      <w:r>
        <w:rPr>
          <w:rFonts w:ascii="Arial" w:cs="Arial" w:eastAsia="Arial" w:hAnsi="Arial"/>
          <w:sz w:val="18"/>
          <w:szCs w:val="18"/>
          <w:color w:val="000000"/>
        </w:rPr>
        <w:t>. The Issuers may, from time to time, issue an unlimited amount of additional Notes (“Additional</w:t>
      </w:r>
      <w:r>
        <w:rPr>
          <w:rFonts w:ascii="Arial" w:cs="Arial" w:eastAsia="Arial" w:hAnsi="Arial"/>
          <w:sz w:val="18"/>
          <w:szCs w:val="18"/>
          <w:color w:val="010000"/>
        </w:rPr>
        <w:t xml:space="preserve"> </w:t>
      </w:r>
      <w:r>
        <w:rPr>
          <w:rFonts w:ascii="Arial" w:cs="Arial" w:eastAsia="Arial" w:hAnsi="Arial"/>
          <w:sz w:val="18"/>
          <w:szCs w:val="18"/>
          <w:color w:val="000000"/>
        </w:rPr>
        <w:t>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$1,000,000,000. The Notes issued on the Issue Date and any Additional Notes subsequently issued shall be treated as a single series for all purposes under the Indenture, including waivers, amendments, redemptions and offers to purchase.</w:t>
      </w:r>
    </w:p>
    <w:p>
      <w:pPr>
        <w:spacing w:after="0" w:line="193"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3.03.</w:t>
      </w:r>
      <w:r>
        <w:rPr>
          <w:sz w:val="20"/>
          <w:szCs w:val="20"/>
          <w:color w:val="auto"/>
        </w:rPr>
        <w:tab/>
      </w:r>
      <w:r>
        <w:rPr>
          <w:rFonts w:ascii="Arial" w:cs="Arial" w:eastAsia="Arial" w:hAnsi="Arial"/>
          <w:sz w:val="16"/>
          <w:szCs w:val="16"/>
          <w:u w:val="single" w:color="auto"/>
          <w:color w:val="auto"/>
        </w:rPr>
        <w:t>Global Security Legend</w:t>
      </w:r>
      <w:r>
        <w:rPr>
          <w:rFonts w:ascii="Arial" w:cs="Arial" w:eastAsia="Arial" w:hAnsi="Arial"/>
          <w:sz w:val="16"/>
          <w:szCs w:val="16"/>
          <w:color w:val="auto"/>
        </w:rPr>
        <w:t>. Each of the Global Securities shall bear a legend in substantially the following form:</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AND PREPAYMENT</w:t>
      </w:r>
    </w:p>
    <w:p>
      <w:pPr>
        <w:spacing w:after="0" w:line="21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4.01.</w:t>
      </w:r>
      <w:r>
        <w:rPr>
          <w:sz w:val="20"/>
          <w:szCs w:val="20"/>
          <w:color w:val="auto"/>
        </w:rPr>
        <w:tab/>
      </w:r>
      <w:r>
        <w:rPr>
          <w:rFonts w:ascii="Arial" w:cs="Arial" w:eastAsia="Arial" w:hAnsi="Arial"/>
          <w:sz w:val="16"/>
          <w:szCs w:val="16"/>
          <w:u w:val="single" w:color="auto"/>
          <w:color w:val="auto"/>
        </w:rPr>
        <w:t>Optional Redemption</w:t>
      </w:r>
      <w:r>
        <w:rPr>
          <w:rFonts w:ascii="Arial" w:cs="Arial" w:eastAsia="Arial" w:hAnsi="Arial"/>
          <w:sz w:val="16"/>
          <w:szCs w:val="16"/>
          <w:color w:val="auto"/>
        </w:rPr>
        <w:t>.</w:t>
      </w:r>
    </w:p>
    <w:p>
      <w:pPr>
        <w:spacing w:after="0" w:line="225" w:lineRule="exact"/>
        <w:rPr>
          <w:sz w:val="20"/>
          <w:szCs w:val="20"/>
          <w:color w:val="auto"/>
        </w:rPr>
      </w:pPr>
    </w:p>
    <w:p>
      <w:pPr>
        <w:ind w:left="2280" w:hanging="975"/>
        <w:spacing w:after="0"/>
        <w:tabs>
          <w:tab w:leader="none" w:pos="2280" w:val="left"/>
        </w:tabs>
        <w:numPr>
          <w:ilvl w:val="0"/>
          <w:numId w:val="10"/>
        </w:numPr>
        <w:rPr>
          <w:rFonts w:ascii="Arial" w:cs="Arial" w:eastAsia="Arial" w:hAnsi="Arial"/>
          <w:sz w:val="16"/>
          <w:szCs w:val="16"/>
          <w:color w:val="010000"/>
        </w:rPr>
      </w:pPr>
      <w:r>
        <w:rPr>
          <w:rFonts w:ascii="Arial" w:cs="Arial" w:eastAsia="Arial" w:hAnsi="Arial"/>
          <w:sz w:val="16"/>
          <w:szCs w:val="16"/>
          <w:color w:val="auto"/>
        </w:rPr>
        <w:t>At their option at any time prior to maturity, the Issuers may choose to redeem all or any portion of the Notes, at once or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211" w:lineRule="exact"/>
        <w:rPr>
          <w:sz w:val="20"/>
          <w:szCs w:val="20"/>
          <w:color w:val="auto"/>
        </w:rPr>
      </w:pPr>
    </w:p>
    <w:p>
      <w:pPr>
        <w:jc w:val="both"/>
        <w:ind w:firstLine="1305"/>
        <w:spacing w:after="0" w:line="264" w:lineRule="auto"/>
        <w:tabs>
          <w:tab w:leader="none" w:pos="2303"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ind w:firstLine="1305"/>
        <w:spacing w:after="0" w:line="264" w:lineRule="auto"/>
        <w:tabs>
          <w:tab w:leader="none" w:pos="2230"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Any redemption pursuant to this Section 4.01 shall otherwise be made pursuant to the provisions of Sections 3.01 through 3.03 of the Original Indenture and paragraph number 6 of the form of Note in Exhibit A hereto. The actual redemption price shall be set forth in an Officers’ Certificate delivered to the Trustee no later than two Business Days prior to each redemption date.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0" w:lineRule="auto"/>
        <w:tabs>
          <w:tab w:leader="none" w:pos="2351"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w:t>
      </w:r>
    </w:p>
    <w:p>
      <w:pPr>
        <w:spacing w:after="0" w:line="166" w:lineRule="exact"/>
        <w:rPr>
          <w:rFonts w:ascii="Arial" w:cs="Arial" w:eastAsia="Arial" w:hAnsi="Arial"/>
          <w:sz w:val="16"/>
          <w:szCs w:val="16"/>
          <w:color w:val="auto"/>
        </w:rPr>
      </w:pPr>
    </w:p>
    <w:p>
      <w:pPr>
        <w:jc w:val="both"/>
        <w:ind w:firstLine="1305"/>
        <w:spacing w:after="0" w:line="259" w:lineRule="auto"/>
        <w:tabs>
          <w:tab w:leader="none" w:pos="23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Limitations on Liens</w:t>
      </w:r>
      <w:r>
        <w:rPr>
          <w:rFonts w:ascii="Arial" w:cs="Arial" w:eastAsia="Arial" w:hAnsi="Arial"/>
          <w:sz w:val="18"/>
          <w:szCs w:val="18"/>
          <w:color w:val="auto"/>
        </w:rPr>
        <w:t>.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w:t>
      </w:r>
    </w:p>
    <w:p>
      <w:pPr>
        <w:spacing w:after="0" w:line="188" w:lineRule="exact"/>
        <w:rPr>
          <w:sz w:val="20"/>
          <w:szCs w:val="20"/>
          <w:color w:val="auto"/>
        </w:rPr>
      </w:pPr>
    </w:p>
    <w:p>
      <w:pPr>
        <w:ind w:left="2220" w:hanging="915"/>
        <w:spacing w:after="0"/>
        <w:tabs>
          <w:tab w:leader="none" w:pos="2220" w:val="left"/>
        </w:tabs>
        <w:numPr>
          <w:ilvl w:val="0"/>
          <w:numId w:val="14"/>
        </w:numPr>
        <w:rPr>
          <w:rFonts w:ascii="Arial" w:cs="Arial" w:eastAsia="Arial" w:hAnsi="Arial"/>
          <w:sz w:val="18"/>
          <w:szCs w:val="18"/>
          <w:color w:val="010000"/>
        </w:rPr>
      </w:pPr>
      <w:r>
        <w:rPr>
          <w:rFonts w:ascii="Arial" w:cs="Arial" w:eastAsia="Arial" w:hAnsi="Arial"/>
          <w:sz w:val="18"/>
          <w:szCs w:val="18"/>
          <w:color w:val="auto"/>
        </w:rPr>
        <w:t>Permitted Liens;</w:t>
      </w:r>
    </w:p>
    <w:p>
      <w:pPr>
        <w:spacing w:after="0" w:line="225" w:lineRule="exact"/>
        <w:rPr>
          <w:rFonts w:ascii="Arial" w:cs="Arial" w:eastAsia="Arial" w:hAnsi="Arial"/>
          <w:sz w:val="18"/>
          <w:szCs w:val="18"/>
          <w:color w:val="010000"/>
        </w:rPr>
      </w:pPr>
    </w:p>
    <w:p>
      <w:pPr>
        <w:jc w:val="both"/>
        <w:ind w:firstLine="1305"/>
        <w:spacing w:after="0" w:line="286" w:lineRule="auto"/>
        <w:tabs>
          <w:tab w:leader="none" w:pos="2208" w:val="left"/>
        </w:tabs>
        <w:numPr>
          <w:ilvl w:val="0"/>
          <w:numId w:val="14"/>
        </w:numPr>
        <w:rPr>
          <w:rFonts w:ascii="Arial" w:cs="Arial" w:eastAsia="Arial" w:hAnsi="Arial"/>
          <w:sz w:val="17"/>
          <w:szCs w:val="17"/>
          <w:color w:val="010000"/>
        </w:rPr>
      </w:pPr>
      <w:r>
        <w:rPr>
          <w:rFonts w:ascii="Arial" w:cs="Arial" w:eastAsia="Arial" w:hAnsi="Arial"/>
          <w:sz w:val="17"/>
          <w:szCs w:val="17"/>
          <w:color w:val="auto"/>
        </w:rPr>
        <w:t>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1305"/>
        <w:spacing w:after="0" w:line="264" w:lineRule="auto"/>
        <w:tabs>
          <w:tab w:leader="none" w:pos="2347"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81" w:lineRule="exact"/>
        <w:rPr>
          <w:rFonts w:ascii="Arial" w:cs="Arial" w:eastAsia="Arial" w:hAnsi="Arial"/>
          <w:sz w:val="18"/>
          <w:szCs w:val="18"/>
          <w:color w:val="010000"/>
        </w:rPr>
      </w:pPr>
    </w:p>
    <w:p>
      <w:pPr>
        <w:jc w:val="both"/>
        <w:ind w:firstLine="1305"/>
        <w:spacing w:after="0" w:line="264" w:lineRule="auto"/>
        <w:tabs>
          <w:tab w:leader="none" w:pos="2397"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w:t>
      </w:r>
    </w:p>
    <w:p>
      <w:pPr>
        <w:spacing w:after="0" w:line="181" w:lineRule="exact"/>
        <w:rPr>
          <w:rFonts w:ascii="Arial" w:cs="Arial" w:eastAsia="Arial" w:hAnsi="Arial"/>
          <w:sz w:val="18"/>
          <w:szCs w:val="18"/>
          <w:color w:val="010000"/>
        </w:rPr>
      </w:pPr>
    </w:p>
    <w:p>
      <w:pPr>
        <w:jc w:val="both"/>
        <w:ind w:firstLine="1305"/>
        <w:spacing w:after="0" w:line="264" w:lineRule="auto"/>
        <w:tabs>
          <w:tab w:leader="none" w:pos="2252"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181" w:lineRule="exact"/>
        <w:rPr>
          <w:rFonts w:ascii="Arial" w:cs="Arial" w:eastAsia="Arial" w:hAnsi="Arial"/>
          <w:sz w:val="18"/>
          <w:szCs w:val="18"/>
          <w:color w:val="010000"/>
        </w:rPr>
      </w:pPr>
    </w:p>
    <w:p>
      <w:pPr>
        <w:ind w:firstLine="1305"/>
        <w:spacing w:after="0" w:line="277" w:lineRule="auto"/>
        <w:tabs>
          <w:tab w:leader="none" w:pos="2237"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any Lien upon any property or assets of an Issuer or any Restricted Subsidiary in existence on December 10, 2003 or provided for pursuant to agreements existing on December 10, 2003;</w:t>
      </w:r>
    </w:p>
    <w:p>
      <w:pPr>
        <w:spacing w:after="0" w:line="170" w:lineRule="exact"/>
        <w:rPr>
          <w:rFonts w:ascii="Arial" w:cs="Arial" w:eastAsia="Arial" w:hAnsi="Arial"/>
          <w:sz w:val="18"/>
          <w:szCs w:val="18"/>
          <w:color w:val="010000"/>
        </w:rPr>
      </w:pPr>
    </w:p>
    <w:p>
      <w:pPr>
        <w:jc w:val="both"/>
        <w:ind w:firstLine="1305"/>
        <w:spacing w:after="0" w:line="264" w:lineRule="auto"/>
        <w:tabs>
          <w:tab w:leader="none" w:pos="2208"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w:t>
      </w:r>
    </w:p>
    <w:p>
      <w:pPr>
        <w:spacing w:after="0" w:line="181" w:lineRule="exact"/>
        <w:rPr>
          <w:rFonts w:ascii="Arial" w:cs="Arial" w:eastAsia="Arial" w:hAnsi="Arial"/>
          <w:sz w:val="18"/>
          <w:szCs w:val="18"/>
          <w:color w:val="010000"/>
        </w:rPr>
      </w:pPr>
    </w:p>
    <w:p>
      <w:pPr>
        <w:jc w:val="both"/>
        <w:ind w:firstLine="1305"/>
        <w:spacing w:after="0" w:line="293" w:lineRule="auto"/>
        <w:tabs>
          <w:tab w:leader="none" w:pos="2249" w:val="left"/>
        </w:tabs>
        <w:numPr>
          <w:ilvl w:val="0"/>
          <w:numId w:val="15"/>
        </w:numPr>
        <w:rPr>
          <w:rFonts w:ascii="Arial" w:cs="Arial" w:eastAsia="Arial" w:hAnsi="Arial"/>
          <w:sz w:val="16"/>
          <w:szCs w:val="16"/>
          <w:color w:val="010000"/>
        </w:rPr>
      </w:pPr>
      <w:r>
        <w:rPr>
          <w:rFonts w:ascii="Arial" w:cs="Arial" w:eastAsia="Arial" w:hAnsi="Arial"/>
          <w:sz w:val="16"/>
          <w:szCs w:val="16"/>
          <w:color w:val="auto"/>
        </w:rPr>
        <w:t>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w:t>
      </w:r>
    </w:p>
    <w:p>
      <w:pPr>
        <w:spacing w:after="0" w:line="164" w:lineRule="exact"/>
        <w:rPr>
          <w:rFonts w:ascii="Arial" w:cs="Arial" w:eastAsia="Arial" w:hAnsi="Arial"/>
          <w:sz w:val="16"/>
          <w:szCs w:val="16"/>
          <w:color w:val="010000"/>
        </w:rPr>
      </w:pPr>
    </w:p>
    <w:p>
      <w:pPr>
        <w:ind w:firstLine="1305"/>
        <w:spacing w:after="0" w:line="277" w:lineRule="auto"/>
        <w:tabs>
          <w:tab w:leader="none" w:pos="2393"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any Lien resulting from the deposit of moneys or evidence of indebtedness in trust for the purpose of defeasing Debt of an Issuer or any Restricted Subsidiary.</w:t>
      </w:r>
    </w:p>
    <w:p>
      <w:pPr>
        <w:spacing w:after="0" w:line="17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firstLine="1297"/>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Restriction of Sale-leaseback Transactions</w:t>
      </w:r>
      <w:r>
        <w:rPr>
          <w:rFonts w:ascii="Arial" w:cs="Arial" w:eastAsia="Arial" w:hAnsi="Arial"/>
          <w:sz w:val="18"/>
          <w:szCs w:val="18"/>
          <w:color w:val="auto"/>
        </w:rPr>
        <w:t>. The Issuers will not, and will not permit any Subsidiary of the Partnership to, engage in a Sale-leaseback Transaction, unless:</w:t>
      </w:r>
    </w:p>
    <w:p>
      <w:pPr>
        <w:spacing w:after="0" w:line="170" w:lineRule="exact"/>
        <w:rPr>
          <w:sz w:val="20"/>
          <w:szCs w:val="20"/>
          <w:color w:val="auto"/>
        </w:rPr>
      </w:pPr>
    </w:p>
    <w:p>
      <w:pPr>
        <w:jc w:val="both"/>
        <w:ind w:firstLine="1305"/>
        <w:spacing w:after="0" w:line="264" w:lineRule="auto"/>
        <w:tabs>
          <w:tab w:leader="none" w:pos="2198"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181" w:lineRule="exact"/>
        <w:rPr>
          <w:rFonts w:ascii="Arial" w:cs="Arial" w:eastAsia="Arial" w:hAnsi="Arial"/>
          <w:sz w:val="18"/>
          <w:szCs w:val="18"/>
          <w:color w:val="010000"/>
        </w:rPr>
      </w:pPr>
    </w:p>
    <w:p>
      <w:pPr>
        <w:ind w:left="2180" w:hanging="875"/>
        <w:spacing w:after="0"/>
        <w:tabs>
          <w:tab w:leader="none" w:pos="2180"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the Sale-leaseback Transaction involves a lease for a period, including renewals, of not more than three years;</w:t>
      </w:r>
    </w:p>
    <w:p>
      <w:pPr>
        <w:spacing w:after="0" w:line="225" w:lineRule="exact"/>
        <w:rPr>
          <w:rFonts w:ascii="Arial" w:cs="Arial" w:eastAsia="Arial" w:hAnsi="Arial"/>
          <w:sz w:val="18"/>
          <w:szCs w:val="18"/>
          <w:color w:val="010000"/>
        </w:rPr>
      </w:pPr>
    </w:p>
    <w:p>
      <w:pPr>
        <w:jc w:val="both"/>
        <w:ind w:right="20" w:firstLine="1305"/>
        <w:spacing w:after="0" w:line="264" w:lineRule="auto"/>
        <w:tabs>
          <w:tab w:leader="none" w:pos="2212"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w:t>
      </w:r>
    </w:p>
    <w:p>
      <w:pPr>
        <w:spacing w:after="0" w:line="181" w:lineRule="exact"/>
        <w:rPr>
          <w:rFonts w:ascii="Arial" w:cs="Arial" w:eastAsia="Arial" w:hAnsi="Arial"/>
          <w:sz w:val="18"/>
          <w:szCs w:val="18"/>
          <w:color w:val="010000"/>
        </w:rPr>
      </w:pPr>
    </w:p>
    <w:p>
      <w:pPr>
        <w:jc w:val="both"/>
        <w:ind w:firstLine="1305"/>
        <w:spacing w:after="0" w:line="259" w:lineRule="auto"/>
        <w:tabs>
          <w:tab w:leader="none" w:pos="2262"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w:t>
      </w:r>
    </w:p>
    <w:p>
      <w:pPr>
        <w:spacing w:after="0" w:line="18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10% of Consolidated Net Tangible Assets.</w:t>
      </w:r>
    </w:p>
    <w:p>
      <w:pPr>
        <w:spacing w:after="0" w:line="154"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6" w:lineRule="auto"/>
        <w:tabs>
          <w:tab w:leader="none" w:pos="2306" w:val="left"/>
        </w:tabs>
        <w:numPr>
          <w:ilvl w:val="0"/>
          <w:numId w:val="17"/>
        </w:numPr>
        <w:rPr>
          <w:rFonts w:ascii="Arial" w:cs="Arial" w:eastAsia="Arial" w:hAnsi="Arial"/>
          <w:sz w:val="17"/>
          <w:szCs w:val="17"/>
          <w:color w:val="010000"/>
        </w:rPr>
      </w:pPr>
      <w:r>
        <w:rPr>
          <w:rFonts w:ascii="Arial" w:cs="Arial" w:eastAsia="Arial" w:hAnsi="Arial"/>
          <w:sz w:val="17"/>
          <w:szCs w:val="17"/>
          <w:color w:val="auto"/>
        </w:rPr>
        <w:t>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w:t>
      </w:r>
    </w:p>
    <w:p>
      <w:pPr>
        <w:spacing w:after="0" w:line="172" w:lineRule="exact"/>
        <w:rPr>
          <w:rFonts w:ascii="Arial" w:cs="Arial" w:eastAsia="Arial" w:hAnsi="Arial"/>
          <w:sz w:val="17"/>
          <w:szCs w:val="17"/>
          <w:color w:val="010000"/>
        </w:rPr>
      </w:pPr>
    </w:p>
    <w:p>
      <w:pPr>
        <w:jc w:val="both"/>
        <w:ind w:firstLine="1305"/>
        <w:spacing w:after="0" w:line="312" w:lineRule="auto"/>
        <w:tabs>
          <w:tab w:leader="none" w:pos="2370" w:val="left"/>
        </w:tabs>
        <w:numPr>
          <w:ilvl w:val="0"/>
          <w:numId w:val="17"/>
        </w:numPr>
        <w:rPr>
          <w:rFonts w:ascii="Arial" w:cs="Arial" w:eastAsia="Arial" w:hAnsi="Arial"/>
          <w:sz w:val="16"/>
          <w:szCs w:val="16"/>
          <w:color w:val="010000"/>
        </w:rPr>
      </w:pPr>
      <w:r>
        <w:rPr>
          <w:rFonts w:ascii="Arial" w:cs="Arial" w:eastAsia="Arial" w:hAnsi="Arial"/>
          <w:sz w:val="16"/>
          <w:szCs w:val="16"/>
          <w:color w:val="auto"/>
        </w:rPr>
        <w:t>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left="2180" w:hanging="875"/>
        <w:spacing w:after="0"/>
        <w:tabs>
          <w:tab w:leader="none" w:pos="2180"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010000"/>
        </w:rPr>
      </w:pPr>
    </w:p>
    <w:p>
      <w:pPr>
        <w:ind w:firstLine="1305"/>
        <w:spacing w:after="0" w:line="277" w:lineRule="auto"/>
        <w:tabs>
          <w:tab w:leader="none" w:pos="2195"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The Partnership shall provide the Trustee with a sufficient number of copies of all reports and other documents and information that the Trustee may be required to deliver to Holders of Notes under clause (b) of this Section 5.04.</w:t>
      </w:r>
    </w:p>
    <w:p>
      <w:pPr>
        <w:spacing w:after="0" w:line="170" w:lineRule="exact"/>
        <w:rPr>
          <w:rFonts w:ascii="Arial" w:cs="Arial" w:eastAsia="Arial" w:hAnsi="Arial"/>
          <w:sz w:val="18"/>
          <w:szCs w:val="18"/>
          <w:color w:val="010000"/>
        </w:rPr>
      </w:pPr>
    </w:p>
    <w:p>
      <w:pPr>
        <w:jc w:val="both"/>
        <w:ind w:firstLine="1305"/>
        <w:spacing w:after="0" w:line="286" w:lineRule="auto"/>
        <w:tabs>
          <w:tab w:leader="none" w:pos="2212" w:val="left"/>
        </w:tabs>
        <w:numPr>
          <w:ilvl w:val="0"/>
          <w:numId w:val="18"/>
        </w:numPr>
        <w:rPr>
          <w:rFonts w:ascii="Arial" w:cs="Arial" w:eastAsia="Arial" w:hAnsi="Arial"/>
          <w:sz w:val="17"/>
          <w:szCs w:val="17"/>
          <w:color w:val="010000"/>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w:t>
      </w:r>
    </w:p>
    <w:p>
      <w:pPr>
        <w:spacing w:after="0" w:line="16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Subsidiary Guarantees</w:t>
      </w:r>
      <w:r>
        <w:rPr>
          <w:rFonts w:ascii="Arial" w:cs="Arial" w:eastAsia="Arial" w:hAnsi="Arial"/>
          <w:sz w:val="17"/>
          <w:szCs w:val="17"/>
          <w:color w:val="auto"/>
        </w:rPr>
        <w:t>.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w:t>
      </w:r>
    </w:p>
    <w:p>
      <w:pPr>
        <w:spacing w:after="0" w:line="162"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With respect to the Notes, the provisions of this Article VI shall preempt the provisions of Article X of the Original Indenture in their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entirety.</w:t>
      </w:r>
    </w:p>
    <w:p>
      <w:pPr>
        <w:spacing w:after="0" w:line="211"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Consolidation and Mergers of the Issuers</w:t>
      </w:r>
      <w:r>
        <w:rPr>
          <w:rFonts w:ascii="Arial" w:cs="Arial" w:eastAsia="Arial" w:hAnsi="Arial"/>
          <w:sz w:val="16"/>
          <w:szCs w:val="16"/>
          <w:color w:val="auto"/>
        </w:rPr>
        <w:t>. Neither Issuer shall consolidate or amalgamate with or merge with or into any Person, or sell, convey, transfer, lease or otherwise dispose of all or substantially all its assets to any Person, whether in a single transaction or a series of related transactions, except (1) with respect to the Partnership,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w:t>
      </w:r>
    </w:p>
    <w:p>
      <w:pPr>
        <w:spacing w:after="0" w:line="6" w:lineRule="exact"/>
        <w:rPr>
          <w:sz w:val="20"/>
          <w:szCs w:val="20"/>
          <w:color w:val="auto"/>
        </w:rPr>
      </w:pPr>
    </w:p>
    <w:p>
      <w:pPr>
        <w:jc w:val="both"/>
        <w:ind w:firstLine="8"/>
        <w:spacing w:after="0" w:line="273" w:lineRule="auto"/>
        <w:tabs>
          <w:tab w:leader="none" w:pos="249"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ind w:firstLine="1297"/>
        <w:spacing w:after="0" w:line="293"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Rights and Duties of Successor</w:t>
      </w:r>
      <w:r>
        <w:rPr>
          <w:rFonts w:ascii="Arial" w:cs="Arial" w:eastAsia="Arial" w:hAnsi="Arial"/>
          <w:sz w:val="16"/>
          <w:szCs w:val="16"/>
          <w:color w:val="auto"/>
        </w:rPr>
        <w:t>.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With respect to the Notes, the provisions of this Section 7.01 shall preempt the provisions of the first and final paragraphs of Section 6.01 of the Original Indenture in their entirety.</w:t>
      </w:r>
    </w:p>
    <w:p>
      <w:pPr>
        <w:spacing w:after="0" w:line="170" w:lineRule="exact"/>
        <w:rPr>
          <w:sz w:val="20"/>
          <w:szCs w:val="20"/>
          <w:color w:val="auto"/>
        </w:rPr>
      </w:pPr>
    </w:p>
    <w:p>
      <w:pPr>
        <w:ind w:left="2180" w:hanging="875"/>
        <w:spacing w:after="0"/>
        <w:tabs>
          <w:tab w:leader="none" w:pos="2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“Event of Default” occurs if:</w:t>
      </w:r>
    </w:p>
    <w:p>
      <w:pPr>
        <w:spacing w:after="0" w:line="225" w:lineRule="exact"/>
        <w:rPr>
          <w:rFonts w:ascii="Arial" w:cs="Arial" w:eastAsia="Arial" w:hAnsi="Arial"/>
          <w:sz w:val="18"/>
          <w:szCs w:val="18"/>
          <w:color w:val="auto"/>
        </w:rPr>
      </w:pPr>
    </w:p>
    <w:p>
      <w:pPr>
        <w:ind w:left="2880" w:hanging="927"/>
        <w:spacing w:after="0"/>
        <w:tabs>
          <w:tab w:leader="none" w:pos="2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Issuers default for 60 days in the payment when due of interest on the Notes;</w:t>
      </w:r>
    </w:p>
    <w:p>
      <w:pPr>
        <w:spacing w:after="0" w:line="225" w:lineRule="exact"/>
        <w:rPr>
          <w:rFonts w:ascii="Arial" w:cs="Arial" w:eastAsia="Arial" w:hAnsi="Arial"/>
          <w:sz w:val="18"/>
          <w:szCs w:val="18"/>
          <w:color w:val="auto"/>
        </w:rPr>
      </w:pPr>
    </w:p>
    <w:p>
      <w:pPr>
        <w:ind w:left="1300" w:right="20" w:firstLine="653"/>
        <w:spacing w:after="0" w:line="277" w:lineRule="auto"/>
        <w:tabs>
          <w:tab w:leader="none" w:pos="30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Issuers default in the payment when due of principal of or premium, if any, on the Notes at maturity, upon redemption or otherwise;</w:t>
      </w:r>
    </w:p>
    <w:p>
      <w:pPr>
        <w:spacing w:after="0" w:line="170" w:lineRule="exact"/>
        <w:rPr>
          <w:rFonts w:ascii="Arial" w:cs="Arial" w:eastAsia="Arial" w:hAnsi="Arial"/>
          <w:sz w:val="18"/>
          <w:szCs w:val="18"/>
          <w:color w:val="auto"/>
        </w:rPr>
      </w:pPr>
    </w:p>
    <w:p>
      <w:pPr>
        <w:jc w:val="both"/>
        <w:ind w:left="1300" w:firstLine="653"/>
        <w:spacing w:after="0" w:line="259" w:lineRule="auto"/>
        <w:tabs>
          <w:tab w:leader="none" w:pos="27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need not be given, and an Event of Default shall occur, 90 days after any breach of the provisions of Section 6.01 hereof);</w:t>
      </w:r>
    </w:p>
    <w:p>
      <w:pPr>
        <w:spacing w:after="0" w:line="186" w:lineRule="exact"/>
        <w:rPr>
          <w:rFonts w:ascii="Arial" w:cs="Arial" w:eastAsia="Arial" w:hAnsi="Arial"/>
          <w:sz w:val="18"/>
          <w:szCs w:val="18"/>
          <w:color w:val="auto"/>
        </w:rPr>
      </w:pPr>
    </w:p>
    <w:p>
      <w:pPr>
        <w:jc w:val="both"/>
        <w:ind w:left="1300" w:firstLine="653"/>
        <w:spacing w:after="0" w:line="269" w:lineRule="auto"/>
        <w:tabs>
          <w:tab w:leader="none" w:pos="3022" w:val="left"/>
        </w:tabs>
        <w:numPr>
          <w:ilvl w:val="1"/>
          <w:numId w:val="20"/>
        </w:numPr>
        <w:rPr>
          <w:rFonts w:ascii="Arial" w:cs="Arial" w:eastAsia="Arial" w:hAnsi="Arial"/>
          <w:sz w:val="17"/>
          <w:szCs w:val="17"/>
          <w:color w:val="auto"/>
        </w:rPr>
      </w:pPr>
      <w:r>
        <w:rPr>
          <w:rFonts w:ascii="Arial" w:cs="Arial" w:eastAsia="Arial" w:hAnsi="Arial"/>
          <w:sz w:val="17"/>
          <w:szCs w:val="17"/>
          <w:color w:val="auto"/>
        </w:rPr>
        <w:t xml:space="preserve">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left="1300" w:firstLine="653"/>
        <w:spacing w:after="0" w:line="286" w:lineRule="auto"/>
        <w:tabs>
          <w:tab w:leader="none" w:pos="2873"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w:t>
      </w:r>
    </w:p>
    <w:p>
      <w:pPr>
        <w:spacing w:after="0" w:line="165" w:lineRule="exact"/>
        <w:rPr>
          <w:rFonts w:ascii="Arial" w:cs="Arial" w:eastAsia="Arial" w:hAnsi="Arial"/>
          <w:sz w:val="17"/>
          <w:szCs w:val="17"/>
          <w:color w:val="auto"/>
        </w:rPr>
      </w:pPr>
    </w:p>
    <w:p>
      <w:pPr>
        <w:ind w:left="2800" w:hanging="847"/>
        <w:spacing w:after="0"/>
        <w:tabs>
          <w:tab w:leader="none" w:pos="2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Issuer or any Subsidiary Guarantor pursuant to or within the meaning of any Bankruptcy Law:</w:t>
      </w:r>
    </w:p>
    <w:p>
      <w:pPr>
        <w:spacing w:after="0" w:line="225" w:lineRule="exact"/>
        <w:rPr>
          <w:rFonts w:ascii="Arial" w:cs="Arial" w:eastAsia="Arial" w:hAnsi="Arial"/>
          <w:sz w:val="18"/>
          <w:szCs w:val="18"/>
          <w:color w:val="auto"/>
        </w:rPr>
      </w:pPr>
    </w:p>
    <w:p>
      <w:pPr>
        <w:ind w:left="3160" w:hanging="559"/>
        <w:spacing w:after="0"/>
        <w:tabs>
          <w:tab w:leader="none" w:pos="3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3160" w:hanging="559"/>
        <w:spacing w:after="0"/>
        <w:tabs>
          <w:tab w:leader="none" w:pos="3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3160" w:hanging="559"/>
        <w:spacing w:after="0"/>
        <w:tabs>
          <w:tab w:leader="none" w:pos="3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3160" w:hanging="559"/>
        <w:spacing w:after="0"/>
        <w:tabs>
          <w:tab w:leader="none" w:pos="3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3140" w:hanging="539"/>
        <w:spacing w:after="0"/>
        <w:tabs>
          <w:tab w:leader="none" w:pos="3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2720" w:hanging="767"/>
        <w:spacing w:after="0"/>
        <w:tabs>
          <w:tab w:leader="none" w:pos="2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3160" w:hanging="559"/>
        <w:spacing w:after="0"/>
        <w:tabs>
          <w:tab w:leader="none" w:pos="3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is for relief against an Issuer or any Subsidiary Guarantor in an involuntary case;</w:t>
      </w:r>
    </w:p>
    <w:p>
      <w:pPr>
        <w:spacing w:after="0" w:line="225" w:lineRule="exact"/>
        <w:rPr>
          <w:rFonts w:ascii="Arial" w:cs="Arial" w:eastAsia="Arial" w:hAnsi="Arial"/>
          <w:sz w:val="18"/>
          <w:szCs w:val="18"/>
          <w:color w:val="auto"/>
        </w:rPr>
      </w:pPr>
    </w:p>
    <w:p>
      <w:pPr>
        <w:ind w:left="1960" w:firstLine="641"/>
        <w:spacing w:after="0" w:line="277" w:lineRule="auto"/>
        <w:tabs>
          <w:tab w:leader="none" w:pos="322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appoints a custodian of an Issuer or any Subsidiary Guarantor or for all or substantially all of the property of an Issuer or any Subsidiary Guarantor; or</w:t>
      </w:r>
    </w:p>
    <w:p>
      <w:pPr>
        <w:spacing w:after="0" w:line="170" w:lineRule="exact"/>
        <w:rPr>
          <w:rFonts w:ascii="Arial" w:cs="Arial" w:eastAsia="Arial" w:hAnsi="Arial"/>
          <w:sz w:val="18"/>
          <w:szCs w:val="18"/>
          <w:color w:val="auto"/>
        </w:rPr>
      </w:pPr>
    </w:p>
    <w:p>
      <w:pPr>
        <w:ind w:left="3160" w:hanging="559"/>
        <w:spacing w:after="0"/>
        <w:tabs>
          <w:tab w:leader="none" w:pos="3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orders the liquidation of an Issuer or any Subsidiary Guarantor;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jc w:val="both"/>
        <w:ind w:firstLine="1305"/>
        <w:spacing w:after="0" w:line="273" w:lineRule="auto"/>
        <w:tabs>
          <w:tab w:leader="none" w:pos="24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Option to Effect Legal Defeasance or Covenant Defeasance</w:t>
      </w:r>
      <w:r>
        <w:rPr>
          <w:rFonts w:ascii="Arial" w:cs="Arial" w:eastAsia="Arial" w:hAnsi="Arial"/>
          <w:sz w:val="18"/>
          <w:szCs w:val="18"/>
          <w:color w:val="auto"/>
        </w:rPr>
        <w:t>.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w:t>
      </w:r>
    </w:p>
    <w:p>
      <w:pPr>
        <w:spacing w:after="0" w:line="18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Legal Defeasance and Discharge</w:t>
      </w:r>
      <w:r>
        <w:rPr>
          <w:rFonts w:ascii="Arial" w:cs="Arial" w:eastAsia="Arial" w:hAnsi="Arial"/>
          <w:sz w:val="17"/>
          <w:szCs w:val="17"/>
          <w:color w:val="auto"/>
        </w:rPr>
        <w:t>.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w:t>
      </w:r>
    </w:p>
    <w:p>
      <w:pPr>
        <w:spacing w:after="0" w:line="182" w:lineRule="exact"/>
        <w:rPr>
          <w:sz w:val="20"/>
          <w:szCs w:val="20"/>
          <w:color w:val="auto"/>
        </w:rPr>
      </w:pPr>
    </w:p>
    <w:p>
      <w:pPr>
        <w:ind w:firstLine="1305"/>
        <w:spacing w:after="0" w:line="342" w:lineRule="auto"/>
        <w:tabs>
          <w:tab w:leader="none" w:pos="22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rights of Holders of Outstanding Notes to receive solely from the trust fund described in Section 8.04 hereof, and as more fully set forth in such Section, payments in respect of the principal of, premium on, if any, and interest on such Notes when such payments are due,</w:t>
      </w:r>
    </w:p>
    <w:p>
      <w:pPr>
        <w:spacing w:after="0" w:line="123" w:lineRule="exact"/>
        <w:rPr>
          <w:rFonts w:ascii="Arial" w:cs="Arial" w:eastAsia="Arial" w:hAnsi="Arial"/>
          <w:sz w:val="16"/>
          <w:szCs w:val="16"/>
          <w:color w:val="auto"/>
        </w:rPr>
      </w:pPr>
    </w:p>
    <w:p>
      <w:pPr>
        <w:ind w:left="2180" w:hanging="875"/>
        <w:spacing w:after="0"/>
        <w:tabs>
          <w:tab w:leader="none" w:pos="2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Issuers’ obligations with respect to such Notes under Sections 2.07, 2.08, 2.09 and 4.02 of the Original Indenture,</w:t>
      </w:r>
    </w:p>
    <w:p>
      <w:pPr>
        <w:spacing w:after="0" w:line="236" w:lineRule="exact"/>
        <w:rPr>
          <w:rFonts w:ascii="Arial" w:cs="Arial" w:eastAsia="Arial" w:hAnsi="Arial"/>
          <w:sz w:val="17"/>
          <w:szCs w:val="17"/>
          <w:color w:val="auto"/>
        </w:rPr>
      </w:pPr>
    </w:p>
    <w:p>
      <w:pPr>
        <w:ind w:left="2180" w:hanging="875"/>
        <w:spacing w:after="0"/>
        <w:tabs>
          <w:tab w:leader="none" w:pos="2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hereunder and the Issuers’ obligations in connection therewith,</w:t>
      </w:r>
    </w:p>
    <w:p>
      <w:pPr>
        <w:spacing w:after="0" w:line="248" w:lineRule="exact"/>
        <w:rPr>
          <w:rFonts w:ascii="Arial" w:cs="Arial" w:eastAsia="Arial" w:hAnsi="Arial"/>
          <w:sz w:val="16"/>
          <w:szCs w:val="16"/>
          <w:color w:val="auto"/>
        </w:rPr>
      </w:pPr>
    </w:p>
    <w:p>
      <w:pPr>
        <w:ind w:left="2180" w:hanging="875"/>
        <w:spacing w:after="0"/>
        <w:tabs>
          <w:tab w:leader="none" w:pos="2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Article VIII, and</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Issuers’ rights of optional redemption under Section 4.01 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Subject to compliance with this Article VIII, the Issuers may exercise their option under this Section 8.02 notwithstanding the prior exercise of their option under Section 8.03 hereof.</w:t>
      </w:r>
    </w:p>
    <w:p>
      <w:pPr>
        <w:spacing w:after="0" w:line="17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w:t>
      </w:r>
    </w:p>
    <w:p>
      <w:pPr>
        <w:spacing w:after="0" w:line="18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Conditions to Legal or Covenant Defeasance</w:t>
      </w:r>
      <w:r>
        <w:rPr>
          <w:rFonts w:ascii="Arial" w:cs="Arial" w:eastAsia="Arial" w:hAnsi="Arial"/>
          <w:sz w:val="18"/>
          <w:szCs w:val="18"/>
          <w:color w:val="auto"/>
        </w:rPr>
        <w:t>. The following shall be the conditions to the application of either Section 8.02 or 8.03 hereof to the Outstanding Notes: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jc w:val="both"/>
        <w:ind w:firstLine="1305"/>
        <w:spacing w:after="0" w:line="257" w:lineRule="auto"/>
        <w:tabs>
          <w:tab w:leader="none" w:pos="22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w:t>
      </w:r>
    </w:p>
    <w:p>
      <w:pPr>
        <w:spacing w:after="0" w:line="188" w:lineRule="exact"/>
        <w:rPr>
          <w:rFonts w:ascii="Arial" w:cs="Arial" w:eastAsia="Arial" w:hAnsi="Arial"/>
          <w:sz w:val="18"/>
          <w:szCs w:val="18"/>
          <w:color w:val="auto"/>
        </w:rPr>
      </w:pPr>
    </w:p>
    <w:p>
      <w:pPr>
        <w:jc w:val="both"/>
        <w:ind w:firstLine="1305"/>
        <w:spacing w:after="0" w:line="255" w:lineRule="auto"/>
        <w:tabs>
          <w:tab w:leader="none" w:pos="23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193" w:lineRule="exact"/>
        <w:rPr>
          <w:rFonts w:ascii="Arial" w:cs="Arial" w:eastAsia="Arial" w:hAnsi="Arial"/>
          <w:sz w:val="18"/>
          <w:szCs w:val="18"/>
          <w:color w:val="auto"/>
        </w:rPr>
      </w:pPr>
    </w:p>
    <w:p>
      <w:pPr>
        <w:jc w:val="both"/>
        <w:ind w:firstLine="1305"/>
        <w:spacing w:after="0" w:line="259" w:lineRule="auto"/>
        <w:tabs>
          <w:tab w:leader="none" w:pos="23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firstLine="1305"/>
        <w:spacing w:after="0" w:line="286" w:lineRule="auto"/>
        <w:tabs>
          <w:tab w:leader="none" w:pos="2208"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22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w:t>
      </w:r>
    </w:p>
    <w:p>
      <w:pPr>
        <w:spacing w:after="0" w:line="181" w:lineRule="exact"/>
        <w:rPr>
          <w:rFonts w:ascii="Arial" w:cs="Arial" w:eastAsia="Arial" w:hAnsi="Arial"/>
          <w:sz w:val="18"/>
          <w:szCs w:val="18"/>
          <w:color w:val="auto"/>
        </w:rPr>
      </w:pPr>
    </w:p>
    <w:p>
      <w:pPr>
        <w:ind w:right="20" w:firstLine="1305"/>
        <w:spacing w:after="0" w:line="342" w:lineRule="auto"/>
        <w:tabs>
          <w:tab w:leader="none" w:pos="225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w:t>
      </w:r>
    </w:p>
    <w:p>
      <w:pPr>
        <w:spacing w:after="0" w:line="123" w:lineRule="exact"/>
        <w:rPr>
          <w:rFonts w:ascii="Arial" w:cs="Arial" w:eastAsia="Arial" w:hAnsi="Arial"/>
          <w:sz w:val="16"/>
          <w:szCs w:val="16"/>
          <w:color w:val="auto"/>
        </w:rPr>
      </w:pPr>
    </w:p>
    <w:p>
      <w:pPr>
        <w:jc w:val="both"/>
        <w:ind w:firstLine="1305"/>
        <w:spacing w:after="0" w:line="264" w:lineRule="auto"/>
        <w:tabs>
          <w:tab w:leader="none" w:pos="22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w:t>
      </w:r>
    </w:p>
    <w:p>
      <w:pPr>
        <w:spacing w:after="0" w:line="181" w:lineRule="exact"/>
        <w:rPr>
          <w:rFonts w:ascii="Arial" w:cs="Arial" w:eastAsia="Arial" w:hAnsi="Arial"/>
          <w:sz w:val="18"/>
          <w:szCs w:val="18"/>
          <w:color w:val="auto"/>
        </w:rPr>
      </w:pPr>
    </w:p>
    <w:p>
      <w:pPr>
        <w:ind w:firstLine="1305"/>
        <w:spacing w:after="0" w:line="277" w:lineRule="auto"/>
        <w:tabs>
          <w:tab w:leader="none" w:pos="25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Issuers shall have delivered to the Trustee an Officers’ Certificate and an Opinion of Counsel, each stating that all conditions precedent provided for or relating to the Legal Defeasance or the Covenant Defeasance have been complied with.</w:t>
      </w:r>
    </w:p>
    <w:p>
      <w:pPr>
        <w:spacing w:after="0" w:line="17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Deposited Money and U.S. Government Obligations to be Held in Trust; Other Miscellaneous Provisions</w:t>
      </w:r>
      <w:r>
        <w:rPr>
          <w:rFonts w:ascii="Arial" w:cs="Arial" w:eastAsia="Arial" w:hAnsi="Arial"/>
          <w:sz w:val="16"/>
          <w:szCs w:val="16"/>
          <w:color w:val="auto"/>
        </w:rPr>
        <w:t>.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6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1297"/>
        <w:spacing w:after="0" w:line="290"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Repayment to Issuers</w:t>
      </w:r>
      <w:r>
        <w:rPr>
          <w:rFonts w:ascii="Arial" w:cs="Arial" w:eastAsia="Arial" w:hAnsi="Arial"/>
          <w:sz w:val="16"/>
          <w:szCs w:val="16"/>
          <w:color w:val="auto"/>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Trustee or such paying agent, before being required to make any such repayment, may at the expense of the Issuers cause to be published once, in </w:t>
      </w:r>
      <w:r>
        <w:rPr>
          <w:rFonts w:ascii="Arial" w:cs="Arial" w:eastAsia="Arial" w:hAnsi="Arial"/>
          <w:sz w:val="16"/>
          <w:szCs w:val="16"/>
          <w:i w:val="1"/>
          <w:iCs w:val="1"/>
          <w:color w:val="auto"/>
        </w:rPr>
        <w:t>The New York Times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(U.S.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66"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Reinstatement</w:t>
      </w:r>
      <w:r>
        <w:rPr>
          <w:rFonts w:ascii="Arial" w:cs="Arial" w:eastAsia="Arial" w:hAnsi="Arial"/>
          <w:sz w:val="16"/>
          <w:szCs w:val="16"/>
          <w:color w:val="auto"/>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SUBSIDIARY GUARANTEES</w:t>
      </w:r>
    </w:p>
    <w:p>
      <w:pPr>
        <w:spacing w:after="0" w:line="21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Subsidiary Guarantees</w:t>
      </w:r>
      <w:r>
        <w:rPr>
          <w:rFonts w:ascii="Arial" w:cs="Arial" w:eastAsia="Arial" w:hAnsi="Arial"/>
          <w:sz w:val="18"/>
          <w:szCs w:val="18"/>
          <w:color w:val="auto"/>
        </w:rPr>
        <w:t>.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firstLine="1305"/>
        <w:spacing w:after="0" w:line="286" w:lineRule="auto"/>
        <w:tabs>
          <w:tab w:leader="none" w:pos="2384" w:val="left"/>
        </w:tabs>
        <w:numPr>
          <w:ilvl w:val="1"/>
          <w:numId w:val="26"/>
        </w:numPr>
        <w:rPr>
          <w:rFonts w:ascii="Arial" w:cs="Arial" w:eastAsia="Arial" w:hAnsi="Arial"/>
          <w:sz w:val="16"/>
          <w:szCs w:val="16"/>
          <w:color w:val="auto"/>
        </w:rPr>
      </w:pPr>
      <w:r>
        <w:rPr>
          <w:rFonts w:ascii="Arial" w:cs="Arial" w:eastAsia="Arial" w:hAnsi="Arial"/>
          <w:sz w:val="16"/>
          <w:szCs w:val="16"/>
          <w:color w:val="auto"/>
        </w:rPr>
        <w:t>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w:t>
      </w:r>
    </w:p>
    <w:p>
      <w:pPr>
        <w:spacing w:after="0" w:line="1" w:lineRule="exact"/>
        <w:rPr>
          <w:rFonts w:ascii="Arial" w:cs="Arial" w:eastAsia="Arial" w:hAnsi="Arial"/>
          <w:sz w:val="16"/>
          <w:szCs w:val="16"/>
          <w:color w:val="auto"/>
        </w:rPr>
      </w:pPr>
    </w:p>
    <w:p>
      <w:pPr>
        <w:jc w:val="both"/>
        <w:ind w:firstLine="8"/>
        <w:spacing w:after="0" w:line="254" w:lineRule="auto"/>
        <w:tabs>
          <w:tab w:leader="none" w:pos="2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w:t>
      </w:r>
    </w:p>
    <w:p>
      <w:pPr>
        <w:spacing w:after="0" w:line="189" w:lineRule="exact"/>
        <w:rPr>
          <w:rFonts w:ascii="Arial" w:cs="Arial" w:eastAsia="Arial" w:hAnsi="Arial"/>
          <w:sz w:val="18"/>
          <w:szCs w:val="18"/>
          <w:color w:val="auto"/>
        </w:rPr>
      </w:pPr>
    </w:p>
    <w:p>
      <w:pPr>
        <w:jc w:val="both"/>
        <w:ind w:firstLine="1305"/>
        <w:spacing w:after="0" w:line="264" w:lineRule="auto"/>
        <w:tabs>
          <w:tab w:leader="none" w:pos="24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w:t>
      </w:r>
    </w:p>
    <w:p>
      <w:pPr>
        <w:spacing w:after="0" w:line="181" w:lineRule="exact"/>
        <w:rPr>
          <w:rFonts w:ascii="Arial" w:cs="Arial" w:eastAsia="Arial" w:hAnsi="Arial"/>
          <w:sz w:val="18"/>
          <w:szCs w:val="18"/>
          <w:color w:val="auto"/>
        </w:rPr>
      </w:pPr>
    </w:p>
    <w:p>
      <w:pPr>
        <w:jc w:val="both"/>
        <w:ind w:firstLine="1305"/>
        <w:spacing w:after="0" w:line="290" w:lineRule="auto"/>
        <w:tabs>
          <w:tab w:leader="none" w:pos="2478"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166" w:lineRule="exact"/>
        <w:rPr>
          <w:rFonts w:ascii="Arial" w:cs="Arial" w:eastAsia="Arial" w:hAnsi="Arial"/>
          <w:sz w:val="16"/>
          <w:szCs w:val="16"/>
          <w:color w:val="auto"/>
        </w:rPr>
      </w:pPr>
    </w:p>
    <w:p>
      <w:pPr>
        <w:jc w:val="both"/>
        <w:ind w:firstLine="1305"/>
        <w:spacing w:after="0" w:line="286" w:lineRule="auto"/>
        <w:tabs>
          <w:tab w:leader="none" w:pos="2306" w:val="left"/>
        </w:tabs>
        <w:numPr>
          <w:ilvl w:val="1"/>
          <w:numId w:val="27"/>
        </w:numPr>
        <w:rPr>
          <w:rFonts w:ascii="Arial" w:cs="Arial" w:eastAsia="Arial" w:hAnsi="Arial"/>
          <w:sz w:val="17"/>
          <w:szCs w:val="17"/>
          <w:color w:val="auto"/>
        </w:rPr>
      </w:pPr>
      <w:r>
        <w:rPr>
          <w:rFonts w:ascii="Arial" w:cs="Arial" w:eastAsia="Arial" w:hAnsi="Arial"/>
          <w:sz w:val="17"/>
          <w:szCs w:val="17"/>
          <w:color w:val="auto"/>
        </w:rPr>
        <w:t>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w:t>
      </w:r>
    </w:p>
    <w:p>
      <w:pPr>
        <w:spacing w:after="0" w:line="165" w:lineRule="exact"/>
        <w:rPr>
          <w:rFonts w:ascii="Arial" w:cs="Arial" w:eastAsia="Arial" w:hAnsi="Arial"/>
          <w:sz w:val="17"/>
          <w:szCs w:val="17"/>
          <w:color w:val="auto"/>
        </w:rPr>
      </w:pPr>
    </w:p>
    <w:p>
      <w:pPr>
        <w:jc w:val="both"/>
        <w:ind w:firstLine="1305"/>
        <w:spacing w:after="0" w:line="273" w:lineRule="auto"/>
        <w:tabs>
          <w:tab w:leader="none" w:pos="2264" w:val="left"/>
        </w:tabs>
        <w:numPr>
          <w:ilvl w:val="1"/>
          <w:numId w:val="27"/>
        </w:numPr>
        <w:rPr>
          <w:rFonts w:ascii="Arial" w:cs="Arial" w:eastAsia="Arial" w:hAnsi="Arial"/>
          <w:sz w:val="17"/>
          <w:szCs w:val="17"/>
          <w:color w:val="auto"/>
        </w:rPr>
      </w:pPr>
      <w:r>
        <w:rPr>
          <w:rFonts w:ascii="Arial" w:cs="Arial" w:eastAsia="Arial" w:hAnsi="Arial"/>
          <w:sz w:val="17"/>
          <w:szCs w:val="17"/>
          <w:color w:val="auto"/>
        </w:rPr>
        <w:t>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firstLine="1305"/>
        <w:spacing w:after="0" w:line="255" w:lineRule="auto"/>
        <w:tabs>
          <w:tab w:leader="none" w:pos="2222"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w:t>
      </w:r>
    </w:p>
    <w:p>
      <w:pPr>
        <w:spacing w:after="0" w:line="189" w:lineRule="exact"/>
        <w:rPr>
          <w:rFonts w:ascii="Arial" w:cs="Arial" w:eastAsia="Arial" w:hAnsi="Arial"/>
          <w:sz w:val="18"/>
          <w:szCs w:val="18"/>
          <w:color w:val="auto"/>
        </w:rPr>
      </w:pPr>
    </w:p>
    <w:p>
      <w:pPr>
        <w:ind w:firstLine="1305"/>
        <w:spacing w:after="0" w:line="277" w:lineRule="auto"/>
        <w:tabs>
          <w:tab w:leader="none" w:pos="22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Subsidiary Guarantor also agrees to pay any and all costs and expenses (including reasonable attorneys’ fees) incurred by the Trustee or any Holder in enforcing any rights under this Section 9.01.</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Limitation on Liability</w:t>
      </w:r>
      <w:r>
        <w:rPr>
          <w:rFonts w:ascii="Arial" w:cs="Arial" w:eastAsia="Arial" w:hAnsi="Arial"/>
          <w:sz w:val="18"/>
          <w:szCs w:val="18"/>
          <w:color w:val="auto"/>
        </w:rPr>
        <w:t>.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w:t>
      </w:r>
    </w:p>
    <w:p>
      <w:pPr>
        <w:spacing w:after="0" w:line="18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w:t>
      </w:r>
    </w:p>
    <w:p>
      <w:pPr>
        <w:spacing w:after="0" w:line="171"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No Waiver</w:t>
      </w:r>
      <w:r>
        <w:rPr>
          <w:rFonts w:ascii="Arial" w:cs="Arial" w:eastAsia="Arial" w:hAnsi="Arial"/>
          <w:sz w:val="17"/>
          <w:szCs w:val="17"/>
          <w:color w:val="auto"/>
        </w:rPr>
        <w:t>.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w:t>
      </w:r>
    </w:p>
    <w:p>
      <w:pPr>
        <w:spacing w:after="0" w:line="171" w:lineRule="exact"/>
        <w:rPr>
          <w:sz w:val="20"/>
          <w:szCs w:val="20"/>
          <w:color w:val="auto"/>
        </w:rPr>
      </w:pPr>
    </w:p>
    <w:p>
      <w:pPr>
        <w:jc w:val="both"/>
        <w:ind w:right="20" w:firstLine="1297"/>
        <w:spacing w:after="0" w:line="279"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Modification</w:t>
      </w:r>
      <w:r>
        <w:rPr>
          <w:rFonts w:ascii="Arial" w:cs="Arial" w:eastAsia="Arial" w:hAnsi="Arial"/>
          <w:sz w:val="17"/>
          <w:szCs w:val="17"/>
          <w:color w:val="auto"/>
        </w:rPr>
        <w:t>.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firstLine="1297"/>
        <w:spacing w:after="0" w:line="271"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Execution of Supplemental Indenture for Future Subsidiary Guarantors</w:t>
      </w:r>
      <w:r>
        <w:rPr>
          <w:rFonts w:ascii="Arial" w:cs="Arial" w:eastAsia="Arial" w:hAnsi="Arial"/>
          <w:sz w:val="17"/>
          <w:szCs w:val="17"/>
          <w:color w:val="auto"/>
        </w:rPr>
        <w:t>.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w:t>
      </w:r>
    </w:p>
    <w:p>
      <w:pPr>
        <w:spacing w:after="0" w:line="17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Release of Guarantee</w:t>
      </w:r>
      <w:r>
        <w:rPr>
          <w:rFonts w:ascii="Arial" w:cs="Arial" w:eastAsia="Arial" w:hAnsi="Arial"/>
          <w:sz w:val="18"/>
          <w:szCs w:val="18"/>
          <w:color w:val="auto"/>
        </w:rPr>
        <w:t>.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w:t>
      </w:r>
    </w:p>
    <w:p>
      <w:pPr>
        <w:spacing w:after="0" w:line="181" w:lineRule="exact"/>
        <w:rPr>
          <w:sz w:val="20"/>
          <w:szCs w:val="20"/>
          <w:color w:val="auto"/>
        </w:rPr>
      </w:pPr>
    </w:p>
    <w:p>
      <w:pPr>
        <w:jc w:val="both"/>
        <w:ind w:right="20" w:firstLine="1305"/>
        <w:spacing w:after="0" w:line="264" w:lineRule="auto"/>
        <w:tabs>
          <w:tab w:leader="none" w:pos="2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w:t>
      </w:r>
    </w:p>
    <w:p>
      <w:pPr>
        <w:spacing w:after="0" w:line="181" w:lineRule="exact"/>
        <w:rPr>
          <w:rFonts w:ascii="Arial" w:cs="Arial" w:eastAsia="Arial" w:hAnsi="Arial"/>
          <w:sz w:val="18"/>
          <w:szCs w:val="18"/>
          <w:color w:val="auto"/>
        </w:rPr>
      </w:pPr>
    </w:p>
    <w:p>
      <w:pPr>
        <w:ind w:left="2240" w:hanging="935"/>
        <w:spacing w:after="0"/>
        <w:tabs>
          <w:tab w:leader="none" w:pos="2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upon any sale or other disposition of all of the Equity Interests of a Subsidiary Guarantor, to any Person that is not an Affiliate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either of the Issuers; or</w:t>
      </w:r>
    </w:p>
    <w:p>
      <w:pPr>
        <w:spacing w:after="0" w:line="210" w:lineRule="exact"/>
        <w:rPr>
          <w:rFonts w:ascii="Arial" w:cs="Arial" w:eastAsia="Arial" w:hAnsi="Arial"/>
          <w:sz w:val="16"/>
          <w:szCs w:val="16"/>
          <w:color w:val="auto"/>
        </w:rPr>
      </w:pPr>
    </w:p>
    <w:p>
      <w:pPr>
        <w:ind w:firstLine="1305"/>
        <w:spacing w:after="0" w:line="308" w:lineRule="auto"/>
        <w:tabs>
          <w:tab w:leader="none" w:pos="2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following the release or discharge of all guarantees by such Subsidiary Guarantor of any Debt of the Issuers (other than any Debt Securities), upon delivery by the Issuers to the Trustee of a written notice of such release or discharge from the guarantees.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Additional Amendments</w:t>
      </w:r>
      <w:r>
        <w:rPr>
          <w:rFonts w:ascii="Arial" w:cs="Arial" w:eastAsia="Arial" w:hAnsi="Arial"/>
          <w:sz w:val="18"/>
          <w:szCs w:val="18"/>
          <w:color w:val="auto"/>
        </w:rPr>
        <w:t>.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7.01(a)(vi) or (a)(vii)” of this Supplemental Indenture; and (D) “Article X” in the Original Indenture shall be deemed to be references to “Article VI” of this Supplemental Indenture.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Integral Part</w:t>
      </w:r>
      <w:r>
        <w:rPr>
          <w:rFonts w:ascii="Arial" w:cs="Arial" w:eastAsia="Arial" w:hAnsi="Arial"/>
          <w:sz w:val="18"/>
          <w:szCs w:val="18"/>
          <w:color w:val="auto"/>
        </w:rPr>
        <w:t>. This Supplemental Indenture constitutes an integral part of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firstLine="1297"/>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Adoption, Ratification and Confirmation</w:t>
      </w:r>
      <w:r>
        <w:rPr>
          <w:rFonts w:ascii="Arial" w:cs="Arial" w:eastAsia="Arial" w:hAnsi="Arial"/>
          <w:sz w:val="18"/>
          <w:szCs w:val="18"/>
          <w:color w:val="auto"/>
        </w:rPr>
        <w:t>. The Original Indenture, as supplemented and amended by this Supplemental Indenture, is in all respects hereby adopted, ratified and confirmed.</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Counterparts</w:t>
      </w:r>
      <w:r>
        <w:rPr>
          <w:rFonts w:ascii="Arial" w:cs="Arial" w:eastAsia="Arial" w:hAnsi="Arial"/>
          <w:sz w:val="18"/>
          <w:szCs w:val="18"/>
          <w:color w:val="auto"/>
        </w:rPr>
        <w:t>. This Supplemental Indenture may be executed in any number of counterparts, each of which when so executed shall be deemed an original; and all such counterparts shall together constitute but one and the same instrument.</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AND THE NOTES SHALL BE GOVERNED BY AND CONSTRUED IN ACCORDANCE WITH THE LAWS OF THE STATE OF NEW YORK.</w:t>
      </w:r>
    </w:p>
    <w:p>
      <w:pPr>
        <w:spacing w:after="0" w:line="170" w:lineRule="exact"/>
        <w:rPr>
          <w:sz w:val="20"/>
          <w:szCs w:val="20"/>
          <w:color w:val="auto"/>
        </w:rPr>
      </w:pPr>
    </w:p>
    <w:p>
      <w:pPr>
        <w:jc w:val="both"/>
        <w:ind w:right="20" w:firstLine="1297"/>
        <w:spacing w:after="0" w:line="25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Recitals; Trustee Makes No Representation; Trustee’s Rights and Duties</w:t>
      </w:r>
      <w:r>
        <w:rPr>
          <w:rFonts w:ascii="Arial" w:cs="Arial" w:eastAsia="Arial" w:hAnsi="Arial"/>
          <w:sz w:val="18"/>
          <w:szCs w:val="18"/>
          <w:color w:val="auto"/>
        </w:rPr>
        <w:t>. The recitals contained herein shall be taken as the statements of the Issuers,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SIGNATURES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u w:val="single" w:color="auto"/>
          <w:color w:val="auto"/>
        </w:rPr>
        <w:t>ISSUERS</w:t>
      </w:r>
      <w:r>
        <w:rPr>
          <w:rFonts w:ascii="Arial" w:cs="Arial" w:eastAsia="Arial" w:hAnsi="Arial"/>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PAA GP LLC</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AAP, L.P.</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ALL AMERICAN GP LLC</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Sharon Spurlin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7"/>
          <w:szCs w:val="17"/>
          <w:color w:val="auto"/>
        </w:rPr>
        <w:t>Title:</w:t>
        <w:tab/>
        <w:t>Vice President and Treasurer</w:t>
      </w: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PAA FINANCE CORP.</w:t>
      </w:r>
    </w:p>
    <w:p>
      <w:pPr>
        <w:spacing w:after="0" w:line="229"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Sharon Spurlin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7"/>
          <w:szCs w:val="17"/>
          <w:color w:val="auto"/>
        </w:rPr>
        <w:t>Title:</w:t>
        <w:tab/>
        <w:t>Vice President and Treasurer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Thirty-First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9" w:name="page30"/>
    <w:bookmarkEnd w:id="29"/>
    <w:p>
      <w:pPr>
        <w:ind w:left="4520"/>
        <w:spacing w:after="0"/>
        <w:rPr>
          <w:sz w:val="20"/>
          <w:szCs w:val="20"/>
          <w:color w:val="auto"/>
        </w:rPr>
      </w:pPr>
      <w:r>
        <w:rPr>
          <w:rFonts w:ascii="Arial" w:cs="Arial" w:eastAsia="Arial" w:hAnsi="Arial"/>
          <w:sz w:val="18"/>
          <w:szCs w:val="18"/>
          <w:b w:val="1"/>
          <w:bCs w:val="1"/>
          <w:u w:val="single" w:color="auto"/>
          <w:color w:val="auto"/>
        </w:rPr>
        <w:t>TRUSTEE</w:t>
      </w:r>
      <w:r>
        <w:rPr>
          <w:rFonts w:ascii="Arial" w:cs="Arial" w:eastAsia="Arial" w:hAnsi="Arial"/>
          <w:sz w:val="18"/>
          <w:szCs w:val="18"/>
          <w:b w:val="1"/>
          <w:bCs w:val="1"/>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Alejandro Hoyos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Thirty-First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EXHIBIT A</w:t>
            </w:r>
          </w:p>
        </w:tc>
      </w:tr>
      <w:tr>
        <w:trPr>
          <w:trHeight w:val="453"/>
        </w:trPr>
        <w:tc>
          <w:tcPr>
            <w:tcW w:w="2880" w:type="dxa"/>
            <w:vAlign w:val="bottom"/>
          </w:tcPr>
          <w:p>
            <w:pPr>
              <w:spacing w:after="0"/>
              <w:rPr>
                <w:sz w:val="24"/>
                <w:szCs w:val="24"/>
                <w:color w:val="auto"/>
              </w:rPr>
            </w:pPr>
          </w:p>
        </w:tc>
        <w:tc>
          <w:tcPr>
            <w:tcW w:w="8540" w:type="dxa"/>
            <w:vAlign w:val="bottom"/>
            <w:gridSpan w:val="4"/>
          </w:tcPr>
          <w:p>
            <w:pPr>
              <w:jc w:val="center"/>
              <w:ind w:right="2860"/>
              <w:spacing w:after="0"/>
              <w:rPr>
                <w:sz w:val="20"/>
                <w:szCs w:val="20"/>
                <w:color w:val="auto"/>
              </w:rPr>
            </w:pPr>
            <w:r>
              <w:rPr>
                <w:rFonts w:ascii="Arial" w:cs="Arial" w:eastAsia="Arial" w:hAnsi="Arial"/>
                <w:sz w:val="18"/>
                <w:szCs w:val="18"/>
                <w:color w:val="auto"/>
                <w:w w:val="92"/>
              </w:rPr>
              <w:t>(Form of Face of Note)</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CUSIP 72650R BM3</w:t>
            </w:r>
          </w:p>
        </w:tc>
        <w:tc>
          <w:tcPr>
            <w:tcW w:w="7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No.</w:t>
            </w:r>
          </w:p>
        </w:tc>
      </w:tr>
      <w:tr>
        <w:trPr>
          <w:trHeight w:val="196"/>
        </w:trPr>
        <w:tc>
          <w:tcPr>
            <w:tcW w:w="2880" w:type="dxa"/>
            <w:vAlign w:val="bottom"/>
          </w:tcPr>
          <w:p>
            <w:pPr>
              <w:spacing w:after="0" w:line="196" w:lineRule="exact"/>
              <w:rPr>
                <w:sz w:val="20"/>
                <w:szCs w:val="20"/>
                <w:color w:val="auto"/>
              </w:rPr>
            </w:pPr>
            <w:r>
              <w:rPr>
                <w:rFonts w:ascii="Arial" w:cs="Arial" w:eastAsia="Arial" w:hAnsi="Arial"/>
                <w:sz w:val="18"/>
                <w:szCs w:val="18"/>
                <w:color w:val="auto"/>
              </w:rPr>
              <w:t>ISIN US72650RBM34</w:t>
            </w:r>
          </w:p>
        </w:tc>
        <w:tc>
          <w:tcPr>
            <w:tcW w:w="7640" w:type="dxa"/>
            <w:vAlign w:val="bottom"/>
            <w:gridSpan w:val="2"/>
          </w:tcPr>
          <w:p>
            <w:pPr>
              <w:jc w:val="right"/>
              <w:ind w:right="58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r>
      <w:tr>
        <w:trPr>
          <w:trHeight w:val="411"/>
        </w:trPr>
        <w:tc>
          <w:tcPr>
            <w:tcW w:w="2880" w:type="dxa"/>
            <w:vAlign w:val="bottom"/>
          </w:tcPr>
          <w:p>
            <w:pPr>
              <w:spacing w:after="0"/>
              <w:rPr>
                <w:sz w:val="24"/>
                <w:szCs w:val="24"/>
                <w:color w:val="auto"/>
              </w:rPr>
            </w:pPr>
          </w:p>
        </w:tc>
        <w:tc>
          <w:tcPr>
            <w:tcW w:w="7060" w:type="dxa"/>
            <w:vAlign w:val="bottom"/>
          </w:tcPr>
          <w:p>
            <w:pPr>
              <w:jc w:val="center"/>
              <w:ind w:right="1310"/>
              <w:spacing w:after="0"/>
              <w:rPr>
                <w:sz w:val="20"/>
                <w:szCs w:val="20"/>
                <w:color w:val="auto"/>
              </w:rPr>
            </w:pPr>
            <w:r>
              <w:rPr>
                <w:rFonts w:ascii="Arial" w:cs="Arial" w:eastAsia="Arial" w:hAnsi="Arial"/>
                <w:sz w:val="18"/>
                <w:szCs w:val="18"/>
                <w:color w:val="auto"/>
                <w:w w:val="97"/>
              </w:rPr>
              <w:t>PLAINS ALL AMERICAN PIPELINE, L.P.</w:t>
            </w:r>
          </w:p>
        </w:tc>
        <w:tc>
          <w:tcPr>
            <w:tcW w:w="1480" w:type="dxa"/>
            <w:vAlign w:val="bottom"/>
            <w:tcBorders>
              <w:top w:val="single" w:sz="8" w:color="auto"/>
            </w:tcBorders>
            <w:gridSpan w:val="3"/>
          </w:tcPr>
          <w:p>
            <w:pPr>
              <w:spacing w:after="0"/>
              <w:rPr>
                <w:sz w:val="24"/>
                <w:szCs w:val="24"/>
                <w:color w:val="auto"/>
              </w:rPr>
            </w:pPr>
          </w:p>
        </w:tc>
      </w:tr>
      <w:tr>
        <w:trPr>
          <w:trHeight w:val="230"/>
        </w:trPr>
        <w:tc>
          <w:tcPr>
            <w:tcW w:w="2880" w:type="dxa"/>
            <w:vAlign w:val="bottom"/>
          </w:tcPr>
          <w:p>
            <w:pPr>
              <w:spacing w:after="0"/>
              <w:rPr>
                <w:sz w:val="20"/>
                <w:szCs w:val="20"/>
                <w:color w:val="auto"/>
              </w:rPr>
            </w:pPr>
          </w:p>
        </w:tc>
        <w:tc>
          <w:tcPr>
            <w:tcW w:w="8540" w:type="dxa"/>
            <w:vAlign w:val="bottom"/>
            <w:gridSpan w:val="4"/>
          </w:tcPr>
          <w:p>
            <w:pPr>
              <w:jc w:val="center"/>
              <w:ind w:right="2880"/>
              <w:spacing w:after="0"/>
              <w:rPr>
                <w:sz w:val="20"/>
                <w:szCs w:val="20"/>
                <w:color w:val="auto"/>
              </w:rPr>
            </w:pPr>
            <w:r>
              <w:rPr>
                <w:rFonts w:ascii="Arial" w:cs="Arial" w:eastAsia="Arial" w:hAnsi="Arial"/>
                <w:sz w:val="18"/>
                <w:szCs w:val="18"/>
                <w:color w:val="auto"/>
                <w:w w:val="93"/>
              </w:rPr>
              <w:t>PAA FINANCE CORP.</w:t>
            </w:r>
          </w:p>
        </w:tc>
      </w:tr>
      <w:tr>
        <w:trPr>
          <w:trHeight w:val="432"/>
        </w:trPr>
        <w:tc>
          <w:tcPr>
            <w:tcW w:w="2880" w:type="dxa"/>
            <w:vAlign w:val="bottom"/>
          </w:tcPr>
          <w:p>
            <w:pPr>
              <w:spacing w:after="0"/>
              <w:rPr>
                <w:sz w:val="24"/>
                <w:szCs w:val="24"/>
                <w:color w:val="auto"/>
              </w:rPr>
            </w:pPr>
          </w:p>
        </w:tc>
        <w:tc>
          <w:tcPr>
            <w:tcW w:w="8540" w:type="dxa"/>
            <w:vAlign w:val="bottom"/>
            <w:gridSpan w:val="4"/>
          </w:tcPr>
          <w:p>
            <w:pPr>
              <w:jc w:val="center"/>
              <w:ind w:right="2860"/>
              <w:spacing w:after="0"/>
              <w:rPr>
                <w:sz w:val="20"/>
                <w:szCs w:val="20"/>
                <w:color w:val="auto"/>
              </w:rPr>
            </w:pPr>
            <w:r>
              <w:rPr>
                <w:rFonts w:ascii="Arial" w:cs="Arial" w:eastAsia="Arial" w:hAnsi="Arial"/>
                <w:sz w:val="18"/>
                <w:szCs w:val="18"/>
                <w:color w:val="auto"/>
                <w:w w:val="89"/>
              </w:rPr>
              <w:t>3.550% Senior Notes due 2029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Plains All American Pipeline, L.P., a Delaware limited partnership, and PAA Finance Corp., a Delaware corporation, jointly and severally promise to pay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 or registered assigns, the principal sum of _______________ Dollars [or such greater or lesser amount as may be endorsed on the Schedule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attached hereto]</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on December 15, 2029.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June 15 and December 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 Dates: June 1 and December 1</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18" w:lineRule="exact"/>
        <w:rPr>
          <w:sz w:val="20"/>
          <w:szCs w:val="20"/>
          <w:color w:val="auto"/>
        </w:rPr>
      </w:pPr>
    </w:p>
    <w:tbl>
      <w:tblPr>
        <w:tblLayout w:type="fixed"/>
        <w:tblInd w:w="572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gridSpan w:val="2"/>
          </w:tcPr>
          <w:p>
            <w:pPr>
              <w:ind w:left="140"/>
              <w:spacing w:after="0"/>
              <w:rPr>
                <w:sz w:val="20"/>
                <w:szCs w:val="20"/>
                <w:color w:val="auto"/>
              </w:rPr>
            </w:pPr>
            <w:r>
              <w:rPr>
                <w:rFonts w:ascii="Arial" w:cs="Arial" w:eastAsia="Arial" w:hAnsi="Arial"/>
                <w:sz w:val="18"/>
                <w:szCs w:val="18"/>
                <w:color w:val="auto"/>
              </w:rPr>
              <w:t>PAA GP LLC, its General Partner</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gridSpan w:val="2"/>
          </w:tcPr>
          <w:p>
            <w:pPr>
              <w:ind w:left="140"/>
              <w:spacing w:after="0"/>
              <w:rPr>
                <w:sz w:val="20"/>
                <w:szCs w:val="20"/>
                <w:color w:val="auto"/>
              </w:rPr>
            </w:pPr>
            <w:r>
              <w:rPr>
                <w:rFonts w:ascii="Arial" w:cs="Arial" w:eastAsia="Arial" w:hAnsi="Arial"/>
                <w:sz w:val="18"/>
                <w:szCs w:val="18"/>
                <w:color w:val="auto"/>
              </w:rPr>
              <w:t>Plains AAP, L.P., its Sole Member</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gridSpan w:val="2"/>
          </w:tcPr>
          <w:p>
            <w:pPr>
              <w:ind w:left="140"/>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420" w:type="dxa"/>
            <w:vAlign w:val="bottom"/>
          </w:tcPr>
          <w:p>
            <w:pPr>
              <w:spacing w:after="0"/>
              <w:rPr>
                <w:sz w:val="24"/>
                <w:szCs w:val="24"/>
                <w:color w:val="auto"/>
              </w:rPr>
            </w:pPr>
          </w:p>
        </w:tc>
        <w:tc>
          <w:tcPr>
            <w:tcW w:w="5280" w:type="dxa"/>
            <w:vAlign w:val="bottom"/>
            <w:gridSpan w:val="2"/>
          </w:tcPr>
          <w:p>
            <w:pPr>
              <w:ind w:left="140"/>
              <w:spacing w:after="0"/>
              <w:rPr>
                <w:sz w:val="20"/>
                <w:szCs w:val="20"/>
                <w:color w:val="auto"/>
              </w:rPr>
            </w:pPr>
            <w:r>
              <w:rPr>
                <w:rFonts w:ascii="Arial" w:cs="Arial" w:eastAsia="Arial" w:hAnsi="Arial"/>
                <w:sz w:val="18"/>
                <w:szCs w:val="18"/>
                <w:color w:val="auto"/>
              </w:rPr>
              <w:t>By:</w:t>
            </w:r>
          </w:p>
        </w:tc>
      </w:tr>
      <w:tr>
        <w:trPr>
          <w:trHeight w:val="195"/>
        </w:trPr>
        <w:tc>
          <w:tcPr>
            <w:tcW w:w="420" w:type="dxa"/>
            <w:vAlign w:val="bottom"/>
          </w:tcPr>
          <w:p>
            <w:pPr>
              <w:spacing w:after="0"/>
              <w:rPr>
                <w:sz w:val="16"/>
                <w:szCs w:val="16"/>
                <w:color w:val="auto"/>
              </w:rPr>
            </w:pPr>
          </w:p>
        </w:tc>
        <w:tc>
          <w:tcPr>
            <w:tcW w:w="72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spacing w:after="0"/>
              <w:rPr>
                <w:sz w:val="16"/>
                <w:szCs w:val="16"/>
                <w:color w:val="auto"/>
              </w:rPr>
            </w:pPr>
          </w:p>
        </w:tc>
      </w:tr>
      <w:tr>
        <w:trPr>
          <w:trHeight w:val="230"/>
        </w:trPr>
        <w:tc>
          <w:tcPr>
            <w:tcW w:w="420" w:type="dxa"/>
            <w:vAlign w:val="bottom"/>
          </w:tcPr>
          <w:p>
            <w:pPr>
              <w:spacing w:after="0"/>
              <w:rPr>
                <w:sz w:val="20"/>
                <w:szCs w:val="20"/>
                <w:color w:val="auto"/>
              </w:rPr>
            </w:pPr>
          </w:p>
        </w:tc>
        <w:tc>
          <w:tcPr>
            <w:tcW w:w="5280" w:type="dxa"/>
            <w:vAlign w:val="bottom"/>
            <w:gridSpan w:val="2"/>
          </w:tcPr>
          <w:p>
            <w:pPr>
              <w:ind w:left="140"/>
              <w:spacing w:after="0"/>
              <w:rPr>
                <w:sz w:val="20"/>
                <w:szCs w:val="20"/>
                <w:color w:val="auto"/>
              </w:rPr>
            </w:pPr>
            <w:r>
              <w:rPr>
                <w:rFonts w:ascii="Arial" w:cs="Arial" w:eastAsia="Arial" w:hAnsi="Arial"/>
                <w:sz w:val="18"/>
                <w:szCs w:val="18"/>
                <w:color w:val="auto"/>
              </w:rPr>
              <w:t>Title:</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FINANCE CORP.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AUTHENTICATION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Debt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18097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0" w:lineRule="exact"/>
        <w:rPr>
          <w:sz w:val="20"/>
          <w:szCs w:val="20"/>
          <w:color w:val="auto"/>
        </w:rPr>
      </w:pPr>
    </w:p>
    <w:p>
      <w:pPr>
        <w:ind w:left="120" w:hanging="112"/>
        <w:spacing w:after="0"/>
        <w:tabs>
          <w:tab w:leader="none" w:pos="120"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To be included only if the Note is issued in global form.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(Form of Back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3.550% Senior Notes due 2029</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Arial" w:cs="Arial" w:eastAsia="Arial" w:hAnsi="Arial"/>
          <w:sz w:val="30"/>
          <w:szCs w:val="30"/>
          <w:color w:val="auto"/>
          <w:vertAlign w:val="superscript"/>
        </w:rPr>
        <w:t>2</w:t>
      </w:r>
    </w:p>
    <w:p>
      <w:pPr>
        <w:spacing w:after="0" w:line="6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Capitalized terms used herein shall have the meanings assigned to them in the Indenture referred to below unless otherwise indicated.</w:t>
      </w:r>
    </w:p>
    <w:p>
      <w:pPr>
        <w:spacing w:after="0" w:line="237" w:lineRule="exact"/>
        <w:rPr>
          <w:sz w:val="20"/>
          <w:szCs w:val="20"/>
          <w:color w:val="auto"/>
        </w:rPr>
      </w:pPr>
    </w:p>
    <w:p>
      <w:pPr>
        <w:jc w:val="both"/>
        <w:ind w:firstLine="1305"/>
        <w:spacing w:after="0" w:line="289" w:lineRule="auto"/>
        <w:tabs>
          <w:tab w:leader="none" w:pos="1742"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Plains All American Pipeline, L.P., a Delaware limited partnership (the “Partnership”), and PAA Finance Corp., a Delaware corporation (“PAA Finance” and, together with the Partnership, the “Issuers”), jointly and severally promise to pay interest on the principal amount of this Note at 3.550% per annum from September 16, 2019 until maturity. The Issuers shall pay interest semi-annually on June 15 and December 15 of each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June 15, 2020.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66" w:lineRule="exact"/>
        <w:rPr>
          <w:rFonts w:ascii="Arial" w:cs="Arial" w:eastAsia="Arial" w:hAnsi="Arial"/>
          <w:sz w:val="16"/>
          <w:szCs w:val="16"/>
          <w:color w:val="auto"/>
        </w:rPr>
      </w:pPr>
    </w:p>
    <w:p>
      <w:pPr>
        <w:jc w:val="both"/>
        <w:ind w:firstLine="1305"/>
        <w:spacing w:after="0" w:line="270" w:lineRule="auto"/>
        <w:tabs>
          <w:tab w:leader="none" w:pos="1742"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xml:space="preserve">. The Issuers shall pay interest on the Notes (except defaulted interest) to the Persons who are registered Holders of Notes at the close of business on the June 1 or December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8097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9" w:lineRule="exact"/>
        <w:rPr>
          <w:sz w:val="20"/>
          <w:szCs w:val="20"/>
          <w:color w:val="auto"/>
        </w:rPr>
      </w:pPr>
    </w:p>
    <w:p>
      <w:pPr>
        <w:ind w:left="120" w:hanging="112"/>
        <w:spacing w:after="0"/>
        <w:tabs>
          <w:tab w:leader="none" w:pos="12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To be included only if the Note is issued in global form.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2" w:name="page33"/>
    <w:bookmarkEnd w:id="32"/>
    <w:p>
      <w:pPr>
        <w:jc w:val="both"/>
        <w:ind w:firstLine="1305"/>
        <w:spacing w:after="0" w:line="264" w:lineRule="auto"/>
        <w:tabs>
          <w:tab w:leader="none" w:pos="174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Paying Agent and Registrar</w:t>
      </w:r>
      <w:r>
        <w:rPr>
          <w:rFonts w:ascii="Arial" w:cs="Arial" w:eastAsia="Arial" w:hAnsi="Arial"/>
          <w:sz w:val="18"/>
          <w:szCs w:val="18"/>
          <w:color w:val="auto"/>
        </w:rPr>
        <w:t>. Initially, U.S. Bank National Association, the Trustee under the Indenture, shall act as paying agent and Registrar. The Issuers may change any paying agent or Registrar without notice to any Holder. The Issuers or any of their Subsidiaries may act in any such capacity.</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1944"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Indenture</w:t>
      </w:r>
      <w:r>
        <w:rPr>
          <w:rFonts w:ascii="Arial" w:cs="Arial" w:eastAsia="Arial" w:hAnsi="Arial"/>
          <w:sz w:val="16"/>
          <w:szCs w:val="16"/>
          <w:color w:val="auto"/>
        </w:rPr>
        <w:t>. The Issuers issued the Notes under an Indenture dated as of September 25, 2002 (the “Original Indenture”), as supplemented by the Thirty-First Supplemental Indenture dated as of September 16, 2019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$1.0 billion.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w:t>
      </w:r>
    </w:p>
    <w:p>
      <w:pPr>
        <w:spacing w:after="0" w:line="174" w:lineRule="exact"/>
        <w:rPr>
          <w:rFonts w:ascii="Arial" w:cs="Arial" w:eastAsia="Arial" w:hAnsi="Arial"/>
          <w:sz w:val="16"/>
          <w:szCs w:val="16"/>
          <w:color w:val="auto"/>
        </w:rPr>
      </w:pPr>
    </w:p>
    <w:p>
      <w:pPr>
        <w:ind w:left="1700" w:hanging="395"/>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ind w:left="1820" w:hanging="515"/>
        <w:spacing w:after="0"/>
        <w:tabs>
          <w:tab w:leader="none" w:pos="1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At their option at any time prior to maturity, the Issuers may choose to redeem all or any portion of the Notes at once or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both"/>
        <w:ind w:firstLine="1305"/>
        <w:spacing w:after="0" w:line="255" w:lineRule="auto"/>
        <w:tabs>
          <w:tab w:leader="none" w:pos="19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redeem the Notes before the Par Call Date,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 redeemed that would have been due if the Notes matured on the Par Call Date (not including any portion of those payments of interest accrued as of the date of redemption) discounted to the date of redemption on a semi-annual basis (assuming a 360-day year consisting of twelve 30-day months) at the Adjusted Treasury Rate (as defined below) plus 30 basis points, plus, in either case, accrued and unpaid interest to the date of redemption (subject to the right of Holders on the relevant record date to receive interest due on the relevant interest payment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right="20" w:firstLine="1305"/>
        <w:spacing w:after="0" w:line="264" w:lineRule="auto"/>
        <w:tabs>
          <w:tab w:leader="none" w:pos="182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redeem the Notes on or after the Par Call Date,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determining any redemption price, the following definitions shall apply:</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calculated as if the maturity date of the Notes were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“Comparable Treasury Price”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 Call Date” means September 15, 2029 (three months prior to the maturity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“Quotation Agent” means a Primary Treasury Dealer (as defined below) appointed by the Issuers.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Treasury Dealer” means Citigroup Global Markets Inc., Mizuho Securities USA LLC, a primary U.S. Government securities dealer in the United States (a “Primary Treasury Dealer”) selected by MUFG Securities Americas Inc. and a Primary Treasury Dealer selected by Scotia Capital (USA) Inc., or their respective successors; provided, however, that if any of the foregoing shall cease to be a Primary Treasury Dealer, the Issuers shall substitute therefor another Primary Treasury Dealer.</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firstLine="1305"/>
        <w:spacing w:after="0" w:line="290" w:lineRule="auto"/>
        <w:tabs>
          <w:tab w:leader="none" w:pos="171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Notice of Redemption; Selection of Notes</w:t>
      </w:r>
      <w:r>
        <w:rPr>
          <w:rFonts w:ascii="Arial" w:cs="Arial" w:eastAsia="Arial" w:hAnsi="Arial"/>
          <w:sz w:val="16"/>
          <w:szCs w:val="16"/>
          <w:color w:val="auto"/>
        </w:rPr>
        <w:t>. Notice of redemption shall be mailed at least 10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Notwithstanding anything to the contrary in the Original Indenture, if less than all the Notes are to be redeemed, the Trustee shall select the Notes or portions thereof (in multiples of $1,000) to be redeemed (i) if the Notes are listed on an exchange, in compliance with the requirements of the principal national securities exchange on which the Notes are listed, or (ii) if the Notes are not listed on an exchange or such exchange has no selection requirements, on a pro rata basis, by lot or, if the Notes are in the form of one or more Global Securities, by such method as the Depositary shall require.</w:t>
      </w:r>
    </w:p>
    <w:p>
      <w:pPr>
        <w:spacing w:after="0" w:line="166" w:lineRule="exact"/>
        <w:rPr>
          <w:rFonts w:ascii="Arial" w:cs="Arial" w:eastAsia="Arial" w:hAnsi="Arial"/>
          <w:sz w:val="16"/>
          <w:szCs w:val="16"/>
          <w:color w:val="auto"/>
        </w:rPr>
      </w:pPr>
    </w:p>
    <w:p>
      <w:pPr>
        <w:jc w:val="both"/>
        <w:ind w:firstLine="1305"/>
        <w:spacing w:after="0" w:line="272" w:lineRule="auto"/>
        <w:tabs>
          <w:tab w:leader="none" w:pos="1796"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w:t>
      </w:r>
    </w:p>
    <w:p>
      <w:pPr>
        <w:spacing w:after="0" w:line="177" w:lineRule="exact"/>
        <w:rPr>
          <w:rFonts w:ascii="Arial" w:cs="Arial" w:eastAsia="Arial" w:hAnsi="Arial"/>
          <w:sz w:val="17"/>
          <w:szCs w:val="17"/>
          <w:color w:val="auto"/>
        </w:rPr>
      </w:pPr>
    </w:p>
    <w:p>
      <w:pPr>
        <w:ind w:left="1700" w:hanging="395"/>
        <w:spacing w:after="0"/>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a Note shall be treated as its owner for all purposes.</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70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Amendment, Supplement and Waiver</w:t>
      </w:r>
      <w:r>
        <w:rPr>
          <w:rFonts w:ascii="Arial" w:cs="Arial" w:eastAsia="Arial" w:hAnsi="Arial"/>
          <w:sz w:val="18"/>
          <w:szCs w:val="18"/>
          <w:color w:val="auto"/>
        </w:rPr>
        <w:t>.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1305"/>
        <w:spacing w:after="0" w:line="284" w:lineRule="auto"/>
        <w:tabs>
          <w:tab w:leader="none" w:pos="1656"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Defaults and Remedies</w:t>
      </w:r>
      <w:r>
        <w:rPr>
          <w:rFonts w:ascii="Arial" w:cs="Arial" w:eastAsia="Arial" w:hAnsi="Arial"/>
          <w:sz w:val="16"/>
          <w:szCs w:val="16"/>
          <w:color w:val="auto"/>
        </w:rPr>
        <w:t>. Events of Default with respect to the Notes include: (i) default for 60 days in the payment when due of interest on the Notes; (ii) default in payment when due of principal of or premium, if any, on the Notes at maturity, upon redemption or otherwise, (iii) failure by an Issuer or any Subsidiary Guarantor for 90 days after notice to comply with any of the other agreements in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notice need not be given, and an Event of Default shall occur, 90 days after any breach of the provisions of Section 6.01 of the 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w:t>
      </w:r>
    </w:p>
    <w:p>
      <w:pPr>
        <w:spacing w:after="0" w:line="173" w:lineRule="exact"/>
        <w:rPr>
          <w:rFonts w:ascii="Arial" w:cs="Arial" w:eastAsia="Arial" w:hAnsi="Arial"/>
          <w:sz w:val="16"/>
          <w:szCs w:val="16"/>
          <w:color w:val="auto"/>
        </w:rPr>
      </w:pPr>
    </w:p>
    <w:p>
      <w:pPr>
        <w:ind w:firstLine="1305"/>
        <w:spacing w:after="0" w:line="308" w:lineRule="auto"/>
        <w:tabs>
          <w:tab w:leader="none" w:pos="1704"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Trustee Dealings with Issuers</w:t>
      </w:r>
      <w:r>
        <w:rPr>
          <w:rFonts w:ascii="Arial" w:cs="Arial" w:eastAsia="Arial" w:hAnsi="Arial"/>
          <w:sz w:val="17"/>
          <w:szCs w:val="17"/>
          <w:color w:val="auto"/>
        </w:rPr>
        <w:t>. The Trustee, in its individual or any other capacity, may make loans to, accept deposits from, and perform services for the Issuers or their Affiliates, and may otherwise deal with the Issuers or their Affiliates, as if it were not the Trustee.</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65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w:t>
      </w:r>
    </w:p>
    <w:p>
      <w:pPr>
        <w:spacing w:after="0" w:line="186" w:lineRule="exact"/>
        <w:rPr>
          <w:rFonts w:ascii="Arial" w:cs="Arial" w:eastAsia="Arial" w:hAnsi="Arial"/>
          <w:sz w:val="18"/>
          <w:szCs w:val="18"/>
          <w:color w:val="auto"/>
        </w:rPr>
      </w:pPr>
    </w:p>
    <w:p>
      <w:pPr>
        <w:ind w:left="1660" w:hanging="355"/>
        <w:spacing w:after="0"/>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This Note shall not be valid until authenticated by the manual signature of the Trustee or an authenticating agent.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firstLine="1305"/>
        <w:spacing w:after="0" w:line="264" w:lineRule="auto"/>
        <w:tabs>
          <w:tab w:leader="none" w:pos="172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rFonts w:ascii="Arial" w:cs="Arial" w:eastAsia="Arial" w:hAnsi="Arial"/>
          <w:sz w:val="18"/>
          <w:szCs w:val="18"/>
          <w:color w:val="auto"/>
        </w:rPr>
      </w:pPr>
    </w:p>
    <w:p>
      <w:pPr>
        <w:jc w:val="both"/>
        <w:ind w:firstLine="1305"/>
        <w:spacing w:after="0" w:line="302" w:lineRule="auto"/>
        <w:tabs>
          <w:tab w:leader="none" w:pos="176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CUSIP and ISIN Numbers</w:t>
      </w:r>
      <w:r>
        <w:rPr>
          <w:rFonts w:ascii="Arial" w:cs="Arial" w:eastAsia="Arial" w:hAnsi="Arial"/>
          <w:sz w:val="16"/>
          <w:szCs w:val="16"/>
          <w:color w:val="auto"/>
        </w:rPr>
        <w:t>.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Issuers shall furnish to any Holder upon written request and without charge a copy of the Indenture. Requests may be made to:</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Investor Relations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5020"/>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 (I) or (we) assign and transfer this Note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Issuers.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-130810</wp:posOffset>
            </wp:positionV>
            <wp:extent cx="60801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-116205</wp:posOffset>
            </wp:positionV>
            <wp:extent cx="28213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3" w:lineRule="exact"/>
        <w:rPr>
          <w:sz w:val="20"/>
          <w:szCs w:val="20"/>
          <w:color w:val="auto"/>
        </w:rPr>
      </w:pPr>
    </w:p>
    <w:p>
      <w:pPr>
        <w:jc w:val="both"/>
        <w:ind w:left="1700"/>
        <w:spacing w:after="0" w:line="279" w:lineRule="auto"/>
        <w:rPr>
          <w:sz w:val="20"/>
          <w:szCs w:val="20"/>
          <w:color w:val="auto"/>
        </w:rPr>
      </w:pPr>
      <w:r>
        <w:rPr>
          <w:rFonts w:ascii="Arial" w:cs="Arial" w:eastAsia="Arial" w:hAnsi="Arial"/>
          <w:sz w:val="17"/>
          <w:szCs w:val="17"/>
          <w:color w:val="auto"/>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-576580</wp:posOffset>
            </wp:positionV>
            <wp:extent cx="61658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394"/>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gridSpan w:val="9"/>
          </w:tcPr>
          <w:p>
            <w:pPr>
              <w:ind w:left="340"/>
              <w:spacing w:after="0"/>
              <w:rPr>
                <w:sz w:val="20"/>
                <w:szCs w:val="20"/>
                <w:color w:val="auto"/>
              </w:rPr>
            </w:pPr>
            <w:r>
              <w:rPr>
                <w:rFonts w:ascii="Arial" w:cs="Arial" w:eastAsia="Arial" w:hAnsi="Arial"/>
                <w:sz w:val="18"/>
                <w:szCs w:val="18"/>
                <w:b w:val="1"/>
                <w:bCs w:val="1"/>
                <w:color w:val="auto"/>
              </w:rPr>
              <w:t>SCHEDULE OF INCREASES OR DECREASES IN THE GLOBAL NOTE</w:t>
            </w:r>
            <w:r>
              <w:rPr>
                <w:rFonts w:ascii="Arial" w:cs="Arial" w:eastAsia="Arial" w:hAnsi="Arial"/>
                <w:sz w:val="30"/>
                <w:szCs w:val="30"/>
                <w:b w:val="1"/>
                <w:bCs w:val="1"/>
                <w:color w:val="auto"/>
                <w:vertAlign w:val="superscript"/>
              </w:rPr>
              <w:t>3</w:t>
            </w:r>
          </w:p>
        </w:tc>
        <w:tc>
          <w:tcPr>
            <w:tcW w:w="2060" w:type="dxa"/>
            <w:vAlign w:val="bottom"/>
          </w:tcPr>
          <w:p>
            <w:pPr>
              <w:spacing w:after="0"/>
              <w:rPr>
                <w:sz w:val="24"/>
                <w:szCs w:val="24"/>
                <w:color w:val="auto"/>
              </w:rPr>
            </w:pPr>
          </w:p>
        </w:tc>
      </w:tr>
      <w:tr>
        <w:trPr>
          <w:trHeight w:val="269"/>
        </w:trPr>
        <w:tc>
          <w:tcPr>
            <w:tcW w:w="5360" w:type="dxa"/>
            <w:vAlign w:val="bottom"/>
            <w:gridSpan w:val="6"/>
          </w:tcPr>
          <w:p>
            <w:pPr>
              <w:ind w:left="1300"/>
              <w:spacing w:after="0"/>
              <w:rPr>
                <w:sz w:val="20"/>
                <w:szCs w:val="20"/>
                <w:color w:val="auto"/>
              </w:rPr>
            </w:pPr>
            <w:r>
              <w:rPr>
                <w:rFonts w:ascii="Arial" w:cs="Arial" w:eastAsia="Arial" w:hAnsi="Arial"/>
                <w:sz w:val="18"/>
                <w:szCs w:val="18"/>
                <w:color w:val="auto"/>
                <w:w w:val="96"/>
              </w:rPr>
              <w:t>The original principal amount of this Global Note is $</w:t>
            </w:r>
          </w:p>
        </w:tc>
        <w:tc>
          <w:tcPr>
            <w:tcW w:w="6060" w:type="dxa"/>
            <w:vAlign w:val="bottom"/>
            <w:gridSpan w:val="6"/>
          </w:tcPr>
          <w:p>
            <w:pPr>
              <w:ind w:left="1000"/>
              <w:spacing w:after="0"/>
              <w:rPr>
                <w:sz w:val="20"/>
                <w:szCs w:val="20"/>
                <w:color w:val="auto"/>
              </w:rPr>
            </w:pPr>
            <w:r>
              <w:rPr>
                <w:rFonts w:ascii="Arial" w:cs="Arial" w:eastAsia="Arial" w:hAnsi="Arial"/>
                <w:sz w:val="18"/>
                <w:szCs w:val="18"/>
                <w:color w:val="auto"/>
                <w:w w:val="91"/>
              </w:rPr>
              <w:t>. The following increases or decreases in this Global Note have been</w:t>
            </w:r>
          </w:p>
        </w:tc>
      </w:tr>
      <w:tr>
        <w:trPr>
          <w:trHeight w:val="237"/>
        </w:trPr>
        <w:tc>
          <w:tcPr>
            <w:tcW w:w="2420" w:type="dxa"/>
            <w:vAlign w:val="bottom"/>
            <w:gridSpan w:val="2"/>
          </w:tcPr>
          <w:p>
            <w:pPr>
              <w:spacing w:after="0"/>
              <w:rPr>
                <w:sz w:val="20"/>
                <w:szCs w:val="20"/>
                <w:color w:val="auto"/>
              </w:rPr>
            </w:pPr>
            <w:r>
              <w:rPr>
                <w:rFonts w:ascii="Arial" w:cs="Arial" w:eastAsia="Arial" w:hAnsi="Arial"/>
                <w:sz w:val="18"/>
                <w:szCs w:val="18"/>
                <w:color w:val="auto"/>
              </w:rPr>
              <w:t>made:</w:t>
            </w: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14"/>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Principal</w:t>
            </w:r>
          </w:p>
        </w:tc>
        <w:tc>
          <w:tcPr>
            <w:tcW w:w="206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Amount of</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1"/>
              </w:rPr>
              <w:t>Amount of</w:t>
            </w:r>
          </w:p>
        </w:tc>
        <w:tc>
          <w:tcPr>
            <w:tcW w:w="2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 of</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 of</w:t>
            </w:r>
          </w:p>
        </w:tc>
      </w:tr>
      <w:tr>
        <w:trPr>
          <w:trHeight w:val="216"/>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decrease in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87"/>
              </w:rPr>
              <w:t>increase in</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this Global Note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authorized</w:t>
            </w:r>
          </w:p>
        </w:tc>
      </w:tr>
      <w:tr>
        <w:trPr>
          <w:trHeight w:val="216"/>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Principal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2"/>
              </w:rPr>
              <w:t>Principal</w:t>
            </w:r>
          </w:p>
        </w:tc>
        <w:tc>
          <w:tcPr>
            <w:tcW w:w="2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following such</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signatory of</w:t>
            </w:r>
          </w:p>
        </w:tc>
      </w:tr>
      <w:tr>
        <w:trPr>
          <w:trHeight w:val="216"/>
        </w:trPr>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Date of</w:t>
            </w: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Amount of</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1"/>
              </w:rPr>
              <w:t>Amount of</w:t>
            </w:r>
          </w:p>
        </w:tc>
        <w:tc>
          <w:tcPr>
            <w:tcW w:w="2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decrease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Trustee or Note</w:t>
            </w:r>
          </w:p>
        </w:tc>
      </w:tr>
      <w:tr>
        <w:trPr>
          <w:trHeight w:val="234"/>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Exchange</w:t>
            </w:r>
          </w:p>
        </w:tc>
        <w:tc>
          <w:tcPr>
            <w:tcW w:w="24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this Global Note</w:t>
            </w:r>
          </w:p>
        </w:tc>
        <w:tc>
          <w:tcPr>
            <w:tcW w:w="240" w:type="dxa"/>
            <w:vAlign w:val="bottom"/>
          </w:tcPr>
          <w:p>
            <w:pPr>
              <w:spacing w:after="0"/>
              <w:rPr>
                <w:sz w:val="20"/>
                <w:szCs w:val="20"/>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this Global Note</w:t>
            </w:r>
          </w:p>
        </w:tc>
        <w:tc>
          <w:tcPr>
            <w:tcW w:w="22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(or increase)</w:t>
            </w:r>
          </w:p>
        </w:tc>
        <w:tc>
          <w:tcPr>
            <w:tcW w:w="2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18097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hanging="112"/>
        <w:spacing w:after="0"/>
        <w:tabs>
          <w:tab w:leader="none" w:pos="12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To be included only if the Note is issued in global form.</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SUPPLEMENTAL INDENTURE (this “Supplemental Indenture”), dated as of ___________________, among Plains All American</w:t>
      </w: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Pipeline, L.P., a Delaware limited partnership (the “Partnership”), PAA Finance Corp., a Delaware corporation (“PAA Finance” and, together with the Partnership, the “Issuers”), ________________________ (the “Subsidiary Guarantor”), a direct or indirect subsidiary of Plains All American Pipeline, L.P.</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(or its successor), a Delaware limited partnership (the “Partnership”), and U.S. Bank National Association, as trustee under the indenture referred to below (the “Trustee”).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WHEREAS, the Issuers have heretofore executed and delivered to the Trustee an indenture (the “Original Indenture”), dated as of September 25, 2002, as supplemented by the Thirty-First Supplemental Indenture (the “Thirty-First Supplemental Indenture” and, together with the Original Indenture, the “Indenture”) dated as of September 16, 2019, among the Issuers and the Trustee, providing for the issuance of the Issuers’ 3.550% Senior Notes due 2029 (the “Notes”);</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WHEREAS, Section 5.05 of the Thirty-First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pursuant to Section 9.01 of the Original Indenture, the Issuers and the Trustee are authorized to execute and deliver this Supplemental Indenture;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w:t>
      </w:r>
    </w:p>
    <w:p>
      <w:pPr>
        <w:spacing w:after="0" w:line="181" w:lineRule="exact"/>
        <w:rPr>
          <w:sz w:val="20"/>
          <w:szCs w:val="20"/>
          <w:color w:val="auto"/>
        </w:rPr>
      </w:pPr>
    </w:p>
    <w:p>
      <w:pPr>
        <w:ind w:left="1700" w:hanging="395"/>
        <w:spacing w:after="0"/>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720" w:hanging="415"/>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8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w:t>
      </w:r>
    </w:p>
    <w:p>
      <w:pPr>
        <w:spacing w:after="0" w:line="187" w:lineRule="exact"/>
        <w:rPr>
          <w:sz w:val="20"/>
          <w:szCs w:val="20"/>
          <w:color w:val="auto"/>
        </w:rPr>
      </w:pPr>
    </w:p>
    <w:p>
      <w:pPr>
        <w:jc w:val="both"/>
        <w:ind w:firstLine="1305"/>
        <w:spacing w:after="0" w:line="297" w:lineRule="auto"/>
        <w:tabs>
          <w:tab w:leader="none" w:pos="1769"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Agreement to Guarantee.</w:t>
      </w:r>
      <w:r>
        <w:rPr>
          <w:rFonts w:ascii="Arial" w:cs="Arial" w:eastAsia="Arial" w:hAnsi="Arial"/>
          <w:sz w:val="16"/>
          <w:szCs w:val="16"/>
          <w:color w:val="auto"/>
        </w:rPr>
        <w:t xml:space="preserve"> The Subsidiary Guarantor hereby agrees, jointly and severally with all other Subsidiary Guarantors under the Indenture, if any, to guarantee the Issuers’ obligations under the Notes on the terms and subject to the conditions set forth in Article IX of the Thirty-First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ind w:right="20" w:firstLine="1305"/>
        <w:spacing w:after="0" w:line="282" w:lineRule="auto"/>
        <w:tabs>
          <w:tab w:leader="none" w:pos="1782"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THIS SUPPLEMENTAL INDENTURE SHALL BE DEEMED TO BE A NEW YORK CONTRACT, AND FOR ALL PURPOSES SHALL BE CONSTRUED IN ACCORDANCE WITH, THE LAWS OF THE STATE OF NEW YORK.</w:t>
      </w:r>
    </w:p>
    <w:p>
      <w:pPr>
        <w:spacing w:after="0" w:line="165" w:lineRule="exact"/>
        <w:rPr>
          <w:rFonts w:ascii="Arial" w:cs="Arial" w:eastAsia="Arial" w:hAnsi="Arial"/>
          <w:sz w:val="18"/>
          <w:szCs w:val="18"/>
          <w:color w:val="auto"/>
        </w:rPr>
      </w:pPr>
    </w:p>
    <w:p>
      <w:pPr>
        <w:jc w:val="both"/>
        <w:ind w:firstLine="1305"/>
        <w:spacing w:after="0" w:line="257" w:lineRule="auto"/>
        <w:tabs>
          <w:tab w:leader="none" w:pos="170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Recitals; Trustee Makes No Representation; Trustee’s Rights and Duties.</w:t>
      </w:r>
      <w:r>
        <w:rPr>
          <w:rFonts w:ascii="Arial" w:cs="Arial" w:eastAsia="Arial" w:hAnsi="Arial"/>
          <w:sz w:val="18"/>
          <w:szCs w:val="18"/>
          <w:color w:val="auto"/>
        </w:rPr>
        <w:t xml:space="preserve"> The recitals contained herein shall be taken as the statements of the Issuers,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spacing w:after="0" w:line="188" w:lineRule="exact"/>
        <w:rPr>
          <w:rFonts w:ascii="Arial" w:cs="Arial" w:eastAsia="Arial" w:hAnsi="Arial"/>
          <w:sz w:val="18"/>
          <w:szCs w:val="18"/>
          <w:color w:val="auto"/>
        </w:rPr>
      </w:pPr>
    </w:p>
    <w:p>
      <w:pPr>
        <w:ind w:firstLine="1305"/>
        <w:spacing w:after="0" w:line="277" w:lineRule="auto"/>
        <w:tabs>
          <w:tab w:leader="none" w:pos="174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xml:space="preserve"> The Section headings herein are for convenience only and shall not affect the construction thereof.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ind w:left="10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as of the date first above written.</w:t>
      </w:r>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3325495</wp:posOffset>
            </wp:positionH>
            <wp:positionV relativeFrom="paragraph">
              <wp:posOffset>-130810</wp:posOffset>
            </wp:positionV>
            <wp:extent cx="31642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PAA FINANCE CORP.</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[SUBSIDIARY GUARANTOR],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00"/>
      </w:cols>
      <w:pgMar w:left="1440" w:top="9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lvl w:ilvl="1">
      <w:lvlJc w:val="left"/>
      <w:lvlText w:val="·"/>
      <w:numFmt w:val="bullet"/>
      <w:start w:val="1"/>
    </w:lvl>
  </w:abstractNum>
  <w:abstractNum w:abstractNumId="2">
    <w:nsid w:val="6763845E"/>
    <w:multiLevelType w:val="hybridMultilevel"/>
    <w:lvl w:ilvl="0">
      <w:lvlJc w:val="left"/>
      <w:lvlText w:val="(%1)"/>
      <w:numFmt w:val="lowerLetter"/>
      <w:start w:val="4"/>
    </w:lvl>
  </w:abstractNum>
  <w:abstractNum w:abstractNumId="3">
    <w:nsid w:val="75A2A8D4"/>
    <w:multiLevelType w:val="hybridMultilevel"/>
    <w:lvl w:ilvl="0">
      <w:lvlJc w:val="left"/>
      <w:lvlText w:val="%1"/>
      <w:numFmt w:val="decimal"/>
      <w:start w:val="104"/>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2"/>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Letter"/>
      <w:start w:val="2"/>
    </w:lvl>
  </w:abstractNum>
  <w:abstractNum w:abstractNumId="11">
    <w:nsid w:val="2CA88611"/>
    <w:multiLevelType w:val="hybridMultilevel"/>
    <w:lvl w:ilvl="0">
      <w:lvlJc w:val="left"/>
      <w:lvlText w:val="(%1)"/>
      <w:numFmt w:val="lowerLetter"/>
      <w:start w:val="3"/>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Letter"/>
      <w:start w:val="3"/>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lowerLetter"/>
      <w:start w:val="3"/>
    </w:lvl>
  </w:abstractNum>
  <w:abstractNum w:abstractNumId="18">
    <w:nsid w:val="737B8DDC"/>
    <w:multiLevelType w:val="hybridMultilevel"/>
    <w:lvl w:ilvl="0">
      <w:lvlJc w:val="left"/>
      <w:lvlText w:val="(%1)"/>
      <w:numFmt w:val="lowerLetter"/>
      <w:start w:val="3"/>
    </w:lvl>
  </w:abstractNum>
  <w:abstractNum w:abstractNumId="19">
    <w:nsid w:val="6CEAF087"/>
    <w:multiLevelType w:val="hybridMultilevel"/>
    <w:lvl w:ilvl="0">
      <w:lvlJc w:val="left"/>
      <w:lvlText w:val="(%1)"/>
      <w:numFmt w:val="lowerLetter"/>
      <w:start w:val="1"/>
    </w:lvl>
    <w:lvl w:ilvl="1">
      <w:lvlJc w:val="left"/>
      <w:lvlText w:val="(%2)"/>
      <w:numFmt w:val="lowerRoman"/>
      <w:start w:val="1"/>
    </w:lvl>
  </w:abstractNum>
  <w:abstractNum w:abstractNumId="20">
    <w:nsid w:val="22221A70"/>
    <w:multiLevelType w:val="hybridMultilevel"/>
    <w:lvl w:ilvl="0">
      <w:lvlJc w:val="left"/>
      <w:lvlText w:val="(%1)"/>
      <w:numFmt w:val="lowerRoman"/>
      <w:start w:val="5"/>
    </w:lvl>
    <w:lvl w:ilvl="1">
      <w:lvlJc w:val="left"/>
      <w:lvlText w:val="(%2)"/>
      <w:numFmt w:val="upperLetter"/>
      <w:start w:val="1"/>
    </w:lvl>
  </w:abstractNum>
  <w:abstractNum w:abstractNumId="21">
    <w:nsid w:val="4516DDE9"/>
    <w:multiLevelType w:val="hybridMultilevel"/>
    <w:lvl w:ilvl="0">
      <w:lvlJc w:val="left"/>
      <w:lvlText w:val="(%1)"/>
      <w:numFmt w:val="lowerLetter"/>
      <w:start w:val="2"/>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1)"/>
      <w:numFmt w:val="lowerLetter"/>
      <w:start w:val="4"/>
    </w:lvl>
  </w:abstractNum>
  <w:abstractNum w:abstractNumId="25">
    <w:nsid w:val="5577F8E1"/>
    <w:multiLevelType w:val="hybridMultilevel"/>
    <w:lvl w:ilvl="0">
      <w:lvlJc w:val="left"/>
      <w:lvlText w:val="%1"/>
      <w:numFmt w:val="lowerLetter"/>
      <w:start w:val="1"/>
    </w:lvl>
    <w:lvl w:ilvl="1">
      <w:lvlJc w:val="left"/>
      <w:lvlText w:val="(%2)"/>
      <w:numFmt w:val="lowerLetter"/>
      <w:start w:val="2"/>
    </w:lvl>
  </w:abstractNum>
  <w:abstractNum w:abstractNumId="26">
    <w:nsid w:val="440BADFC"/>
    <w:multiLevelType w:val="hybridMultilevel"/>
    <w:lvl w:ilvl="0">
      <w:lvlJc w:val="left"/>
      <w:lvlText w:val="(%1)"/>
      <w:numFmt w:val="lowerLetter"/>
      <w:start w:val="35"/>
    </w:lvl>
    <w:lvl w:ilvl="1">
      <w:lvlJc w:val="left"/>
      <w:lvlText w:val="(%2)"/>
      <w:numFmt w:val="lowerLetter"/>
      <w:start w:val="3"/>
    </w:lvl>
  </w:abstractNum>
  <w:abstractNum w:abstractNumId="27">
    <w:nsid w:val="5072367"/>
    <w:multiLevelType w:val="hybridMultilevel"/>
    <w:lvl w:ilvl="0">
      <w:lvlJc w:val="left"/>
      <w:lvlText w:val="(%1)"/>
      <w:numFmt w:val="lowerLetter"/>
      <w:start w:val="7"/>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2"/>
      <w:numFmt w:val="bullet"/>
      <w:start w:val="1"/>
    </w:lvl>
  </w:abstractNum>
  <w:abstractNum w:abstractNumId="32">
    <w:nsid w:val="2463B9EA"/>
    <w:multiLevelType w:val="hybridMultilevel"/>
    <w:lvl w:ilvl="0">
      <w:lvlJc w:val="left"/>
      <w:lvlText w:val="%1."/>
      <w:numFmt w:val="decimal"/>
      <w:start w:val="3"/>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lowerLetter"/>
      <w:start w:val="2"/>
    </w:lvl>
  </w:abstractNum>
  <w:abstractNum w:abstractNumId="35">
    <w:nsid w:val="2D517796"/>
    <w:multiLevelType w:val="hybridMultilevel"/>
    <w:lvl w:ilvl="0">
      <w:lvlJc w:val="left"/>
      <w:lvlText w:val="(%1)"/>
      <w:numFmt w:val="lowerLetter"/>
      <w:start w:val="3"/>
    </w:lvl>
  </w:abstractNum>
  <w:abstractNum w:abstractNumId="36">
    <w:nsid w:val="580BD78F"/>
    <w:multiLevelType w:val="hybridMultilevel"/>
    <w:lvl w:ilvl="0">
      <w:lvlJc w:val="left"/>
      <w:lvlText w:val="%1."/>
      <w:numFmt w:val="decimal"/>
      <w:start w:val="6"/>
    </w:lvl>
  </w:abstractNum>
  <w:abstractNum w:abstractNumId="37">
    <w:nsid w:val="153EA438"/>
    <w:multiLevelType w:val="hybridMultilevel"/>
    <w:lvl w:ilvl="0">
      <w:lvlJc w:val="left"/>
      <w:lvlText w:val="%1."/>
      <w:numFmt w:val="decimal"/>
      <w:start w:val="10"/>
    </w:lvl>
  </w:abstractNum>
  <w:abstractNum w:abstractNumId="38">
    <w:nsid w:val="3855585C"/>
    <w:multiLevelType w:val="hybridMultilevel"/>
    <w:lvl w:ilvl="0">
      <w:lvlJc w:val="left"/>
      <w:lvlText w:val="%1."/>
      <w:numFmt w:val="decimal"/>
      <w:start w:val="14"/>
    </w:lvl>
  </w:abstractNum>
  <w:abstractNum w:abstractNumId="39">
    <w:nsid w:val="70A64E2A"/>
    <w:multiLevelType w:val="hybridMultilevel"/>
    <w:lvl w:ilvl="0">
      <w:lvlJc w:val="left"/>
      <w:lvlText w:val="3"/>
      <w:numFmt w:val="bullet"/>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decimal"/>
      <w:start w:val="2"/>
    </w:lvl>
  </w:abstractNum>
  <w:abstractNum w:abstractNumId="43">
    <w:nsid w:val="725A06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2020-01-07T23:22:31Z</dcterms:created>
  <dcterms:modified xsi:type="dcterms:W3CDTF">2020-01-07T23:22:31Z</dcterms:modified>
</cp:coreProperties>
</file>