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4307e8vk.htm"/>
      <w:bookmarkStart w:id="1" w:name="ksh44307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 March 6,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w:t>
      </w:r>
      <w:r>
        <w:rPr>
          <w:rFonts w:ascii="Times New Roman;Times;serif" w:hAnsi="Times New Roman;Times;serif"/>
          <w:sz w:val="17"/>
        </w:rPr>
        <w:t>  </w:t>
      </w:r>
      <w:r>
        <w:rPr>
          <w:rFonts w:ascii="Times New Roman;Times;serif" w:hAnsi="Times New Roman;Times;serif"/>
          <w:b/>
          <w:sz w:val="17"/>
        </w:rPr>
        <w:t>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the 6th Annual Master Limited Partnership Conference in New York City on March 8, 2007. Such presentation will give an overview of PAA, including recent history, organic growth projects, acquisitions and outlook. On the morning of March 7, 2007, the prepared presentation materials will be made available for viewing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March 6, 2007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Tim moore</w:t>
            </w:r>
            <w:r>
              <w:rPr/>
              <w:t xml:space="preserv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434</Words>
  <CharactersWithSpaces>2812</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