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May 8, 2026</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212"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May 8, 2026, the Registrant issued a press release reporting its first-quarter 2026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May 8, 2026</w:t>
            </w:r>
          </w:p>
        </w:tc>
        <w:tc>
          <w:tcPr>
            <w:tcW w:w="5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320"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7800" w:type="dxa"/>
            <w:vAlign w:val="bottom"/>
            <w:gridSpan w:val="3"/>
          </w:tcPr>
          <w:p>
            <w:pPr>
              <w:ind w:left="16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Date: May 8, 2026</w:t>
            </w: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2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430530</wp:posOffset>
            </wp:positionV>
            <wp:extent cx="2362835" cy="910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2835"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Plains All American Reports First-Quarter 2026 Results &amp; Raises 2026 Guidance</w:t>
      </w:r>
    </w:p>
    <w:p>
      <w:pPr>
        <w:spacing w:after="0" w:line="242"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Houston, TX – May 8, 2026 – Plains All American Pipeline, L.P. (Nasdaq: PAA) and Plains GP Holdings (Nasdaq: PAGP) today reported first-quarter 2026 results and raised full-year 2026 Adjusted EBITDA Guidance.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First-Quarter 2026 Results</w:t>
      </w:r>
    </w:p>
    <w:p>
      <w:pPr>
        <w:spacing w:after="0" w:line="144"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First-quarter Net income attributable to PAA of $152 million and Net cash provided by operating activities of $418 million</w:t>
      </w:r>
    </w:p>
    <w:p>
      <w:pPr>
        <w:spacing w:after="0" w:line="1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first-quarter Adjusted EBITDA attributable to PAA of $730 million</w:t>
      </w:r>
    </w:p>
    <w:p>
      <w:pPr>
        <w:spacing w:after="0" w:line="127"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leverage ratio of 4.1x at quarter-end; expect to return toward the midpoint of the target range of 3.25 to 3.75x following closing of the NGL divestiture and migrating toward lower-end of the range by year-end</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a quarterly cash distribution of $0.4175 per unit ($1.67 per unit annualized), representing a current distribution yield of ~7.5%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2026 Updated Outlook</w:t>
      </w:r>
    </w:p>
    <w:p>
      <w:pPr>
        <w:spacing w:after="0" w:line="132" w:lineRule="exact"/>
        <w:rPr>
          <w:sz w:val="20"/>
          <w:szCs w:val="20"/>
          <w:color w:val="auto"/>
        </w:rPr>
      </w:pPr>
    </w:p>
    <w:p>
      <w:pPr>
        <w:ind w:left="620" w:right="3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midpoint of full-year 2026 Adjusted EBITDA guidance attributable to PAA by $130 million to $2.880 billion +/- $75 million (reflecting a strong oil macro environment and NGL contribution into May 2026)</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Growth capital remains $350 million with maintenance capital increasing to $185 million, reflecting ownership of NGL assets into May 2026</w:t>
      </w:r>
    </w:p>
    <w:p>
      <w:pPr>
        <w:spacing w:after="0" w:line="12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Full-year 2026 Adjusted Free Cash Flow guidance increased to approximately $1.850 billion (excluding changes in Assets &amp; Liabilities and anticipated cash proceeds from the NGL divestiture)</w:t>
      </w:r>
    </w:p>
    <w:p>
      <w:pPr>
        <w:spacing w:after="0" w:line="1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“Global events this year illustrate the importance of reliable, secure and responsibly produced energy and have accelerated the timing of our view for a more constructive crude oil market. Our integrated business model and asset base connecting U.S. crude production to the global markets are critical to meeting global energy demand. As a result, we are increasing the midpoint of our 2026 Adjusted EBITDA guidance by $130 million to reflect a constructive oil macro environment and extended ownership of our Canadian NGL business into May. The closing of the NGL divestiture will mark a transition to a premier pure play crude oil midstream provider. We remain focused on executing key initiatives in 2026, including closing the pending NGL sale and realizing $100 million of contribution between Cactus III synergies and capturing efficiencies across our system. The combination of these internal initiatives coupled with a healthy oil macro backdrop positions Plains with momentum into 2027 and beyond. Finally, we remain committed to financial discipline and maintaining a strong balance sheet, while continuing to return capital to unit holders,” said Willie Chiang, Chairman, CEO and President.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Reporting Considerations for Pending Sale of Canadian NGL Business</w:t>
      </w:r>
    </w:p>
    <w:p>
      <w:pPr>
        <w:spacing w:after="0" w:line="248"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On June 17, 2025, we entered into a definitive agreement to sell substantially all of our NGL business in Canada (the “Canadian NGL Business”) to Keyera Corp. This transaction is expected to close in May 2026. As part of the sale, we will divest the Canadian NGL Business, which includes substantially all of our NGL assets; the NGL assets that we will retain are located in the United States.</w:t>
      </w:r>
    </w:p>
    <w:p>
      <w:pPr>
        <w:spacing w:after="0" w:line="193"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have determined that the operations of the Canadian NGL Business meet the criteria for classification as held for sale and for discontinued operations reporting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GAAP Results </w:t>
            </w:r>
            <w:r>
              <w:rPr>
                <w:rFonts w:ascii="Times New Roman" w:cs="Times New Roman" w:eastAsia="Times New Roman" w:hAnsi="Times New Roman"/>
                <w:sz w:val="17"/>
                <w:szCs w:val="17"/>
                <w:b w:val="1"/>
                <w:bCs w:val="1"/>
                <w:i w:val="1"/>
                <w:iCs w:val="1"/>
                <w:color w:val="auto"/>
                <w:vertAlign w:val="superscript"/>
              </w:rPr>
              <w:t>(1)</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0"/>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478"/>
        </w:trPr>
        <w:tc>
          <w:tcPr>
            <w:tcW w:w="3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 (3)</w:t>
            </w: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net income attributable to PAA </w:t>
            </w:r>
            <w:r>
              <w:rPr>
                <w:rFonts w:ascii="Times New Roman" w:cs="Times New Roman" w:eastAsia="Times New Roman" w:hAnsi="Times New Roman"/>
                <w:sz w:val="22"/>
                <w:szCs w:val="22"/>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732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732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320" w:type="dxa"/>
            <w:vAlign w:val="bottom"/>
            <w:gridSpan w:val="3"/>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32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(4) (5)</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320" w:type="dxa"/>
            <w:vAlign w:val="bottom"/>
            <w:gridSpan w:val="3"/>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(Excluding Changes in Assets &amp; Liabilities) </w:t>
            </w:r>
            <w:r>
              <w:rPr>
                <w:rFonts w:ascii="Times New Roman" w:cs="Times New Roman" w:eastAsia="Times New Roman" w:hAnsi="Times New Roman"/>
                <w:sz w:val="22"/>
                <w:szCs w:val="22"/>
                <w:color w:val="auto"/>
                <w:vertAlign w:val="superscript"/>
              </w:rPr>
              <w:t>(4) (5)</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38"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 See the tables attached hereto for additional information.</w:t>
      </w:r>
    </w:p>
    <w:p>
      <w:pPr>
        <w:spacing w:after="0" w:line="84" w:lineRule="exact"/>
        <w:rPr>
          <w:rFonts w:ascii="Times New Roman" w:cs="Times New Roman" w:eastAsia="Times New Roman" w:hAnsi="Times New Roman"/>
          <w:sz w:val="20"/>
          <w:szCs w:val="20"/>
          <w:color w:val="auto"/>
          <w:vertAlign w:val="superscript"/>
        </w:rPr>
      </w:pPr>
    </w:p>
    <w:p>
      <w:pPr>
        <w:ind w:left="320" w:right="60" w:hanging="317"/>
        <w:spacing w:after="0" w:line="228" w:lineRule="auto"/>
        <w:tabs>
          <w:tab w:leader="none" w:pos="30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Excludes amounts attributable to noncontrolling interests in the Plains Oryx Permian Basin LLC (the “Permian JV”), Cactus II Pipeline LLC and Red River Pipeline LLC joint ventures.</w:t>
      </w:r>
    </w:p>
    <w:p>
      <w:pPr>
        <w:spacing w:after="0" w:line="84" w:lineRule="exact"/>
        <w:rPr>
          <w:rFonts w:ascii="Times New Roman" w:cs="Times New Roman" w:eastAsia="Times New Roman" w:hAnsi="Times New Roman"/>
          <w:sz w:val="20"/>
          <w:szCs w:val="20"/>
          <w:color w:val="auto"/>
          <w:vertAlign w:val="superscript"/>
        </w:rPr>
      </w:pPr>
    </w:p>
    <w:p>
      <w:pPr>
        <w:ind w:left="320" w:right="120" w:hanging="317"/>
        <w:spacing w:after="0" w:line="230" w:lineRule="auto"/>
        <w:tabs>
          <w:tab w:leader="none" w:pos="30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56"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three months ended March 31, 2025, includes the impact of a net cash outflow of $624 million for bolt-on acquisitions.</w:t>
      </w:r>
    </w:p>
    <w:p>
      <w:pPr>
        <w:spacing w:after="0" w:line="97" w:lineRule="exact"/>
        <w:rPr>
          <w:rFonts w:ascii="Times New Roman" w:cs="Times New Roman" w:eastAsia="Times New Roman" w:hAnsi="Times New Roman"/>
          <w:sz w:val="20"/>
          <w:szCs w:val="20"/>
          <w:color w:val="auto"/>
          <w:vertAlign w:val="superscript"/>
        </w:rPr>
      </w:pPr>
    </w:p>
    <w:p>
      <w:pPr>
        <w:jc w:val="both"/>
        <w:ind w:left="320" w:right="240" w:hanging="317"/>
        <w:spacing w:after="0" w:line="225" w:lineRule="auto"/>
        <w:tabs>
          <w:tab w:leader="none" w:pos="308"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three months ended March 31, 2026, amount excludes approximately $216 million of current income tax expense associated with certain planning and restructuring activities within our organizational structure in connection with the pending Canadian NGL Business divestiture that had income tax consequences that required recognition during the first quarter of 2026.</w:t>
      </w:r>
    </w:p>
    <w:p>
      <w:pPr>
        <w:spacing w:after="0" w:line="55"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Disaggregation of Adjusted EBITDA by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color w:val="auto"/>
          <w:vertAlign w:val="superscript"/>
        </w:rPr>
        <w:t>(1)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Adjusted EBITDA from</w:t>
            </w:r>
          </w:p>
        </w:tc>
        <w:tc>
          <w:tcPr>
            <w:tcW w:w="2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March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March 31, 2025</w:t>
            </w:r>
          </w:p>
        </w:tc>
        <w:tc>
          <w:tcPr>
            <w:tcW w:w="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ind w:left="760"/>
              <w:spacing w:after="0" w:line="191" w:lineRule="exact"/>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versus 2025 period</w:t>
            </w:r>
          </w:p>
        </w:tc>
        <w:tc>
          <w:tcPr>
            <w:tcW w:w="18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(23)%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2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86" w:lineRule="exact"/>
        <w:rPr>
          <w:rFonts w:ascii="Times New Roman" w:cs="Times New Roman" w:eastAsia="Times New Roman" w:hAnsi="Times New Roman"/>
          <w:sz w:val="22"/>
          <w:szCs w:val="22"/>
          <w:color w:val="auto"/>
          <w:vertAlign w:val="superscript"/>
        </w:rPr>
      </w:pPr>
    </w:p>
    <w:p>
      <w:pPr>
        <w:ind w:left="320" w:right="160" w:hanging="317"/>
        <w:spacing w:after="0" w:line="237" w:lineRule="auto"/>
        <w:tabs>
          <w:tab w:leader="none" w:pos="252"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17" w:lineRule="exact"/>
        <w:rPr>
          <w:sz w:val="20"/>
          <w:szCs w:val="20"/>
          <w:color w:val="auto"/>
        </w:rPr>
      </w:pPr>
    </w:p>
    <w:p>
      <w:pPr>
        <w:ind w:right="200" w:firstLine="620"/>
        <w:spacing w:after="0" w:line="270" w:lineRule="auto"/>
        <w:rPr>
          <w:sz w:val="20"/>
          <w:szCs w:val="20"/>
          <w:color w:val="auto"/>
        </w:rPr>
      </w:pPr>
      <w:r>
        <w:rPr>
          <w:rFonts w:ascii="Times New Roman" w:cs="Times New Roman" w:eastAsia="Times New Roman" w:hAnsi="Times New Roman"/>
          <w:sz w:val="17"/>
          <w:szCs w:val="17"/>
          <w:color w:val="auto"/>
        </w:rPr>
        <w:t>First-quarter 2026 Adjusted EBITDA from Crude Oil increased 4% versus comparable 2025 results. Favorable results in the 2026 period from (i) contributions from recently completed bolt-on acquisitions, including our Cactus III pipeline acquisition, and (ii) higher volumes on our pipelines were partially offset by the impact of (iii) certain Permian long-haul pipeline contract rate resets.</w:t>
      </w:r>
    </w:p>
    <w:p>
      <w:pPr>
        <w:spacing w:after="0" w:line="193"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First-quarter 2026 Adjusted EBITDA from NGL decreased 23% versus comparable 2025 results primarily due to lower weighted average frac spreads and reduced sales volumes from warmer weather.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May 8, 2026 to discuss first-quarter performance and related items.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https://edge.media-server.com/mmc/p/3u4m5omt/lan/en/.</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248"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excludes amounts related to Other income/(expense).</w:t>
      </w:r>
    </w:p>
    <w:p>
      <w:pPr>
        <w:spacing w:after="0" w:line="205"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248"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03"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In addition, we exclude impacts related to the pending Canadian NGL Business divestiture.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Measures and Discontinued Operations</w:t>
      </w:r>
    </w:p>
    <w:p>
      <w:pPr>
        <w:spacing w:after="0" w:line="248" w:lineRule="exact"/>
        <w:rPr>
          <w:sz w:val="20"/>
          <w:szCs w:val="20"/>
          <w:color w:val="auto"/>
        </w:rPr>
      </w:pPr>
    </w:p>
    <w:p>
      <w:pPr>
        <w:ind w:right="200" w:firstLine="620"/>
        <w:spacing w:after="0" w:line="259" w:lineRule="auto"/>
        <w:rPr>
          <w:sz w:val="20"/>
          <w:szCs w:val="20"/>
          <w:color w:val="auto"/>
        </w:rPr>
      </w:pPr>
      <w:r>
        <w:rPr>
          <w:rFonts w:ascii="Times New Roman" w:cs="Times New Roman" w:eastAsia="Times New Roman" w:hAnsi="Times New Roman"/>
          <w:sz w:val="17"/>
          <w:szCs w:val="17"/>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May 2026, management continues to view the Canadian NGL Business as a component of our overall company performance and ability to fund distributions to our unitholders in the near term.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1"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142"/>
        </w:trPr>
        <w:tc>
          <w:tcPr>
            <w:tcW w:w="3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04"/>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Gains on asset sales and other,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2"/>
        </w:trPr>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11,121</w:t>
            </w:r>
          </w:p>
        </w:tc>
      </w:tr>
      <w:tr>
        <w:trPr>
          <w:trHeight w:val="142"/>
        </w:trPr>
        <w:tc>
          <w:tcPr>
            <w:tcW w:w="3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142"/>
        </w:trPr>
        <w:tc>
          <w:tcPr>
            <w:tcW w:w="38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7"/>
        </w:trPr>
        <w:tc>
          <w:tcPr>
            <w:tcW w:w="87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22"/>
        </w:trPr>
        <w:tc>
          <w:tcPr>
            <w:tcW w:w="38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benefit/(expense)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145"/>
        </w:trPr>
        <w:tc>
          <w:tcPr>
            <w:tcW w:w="388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5"/>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FROM DISCONTINUED OPERATIONS, NET OF TAX</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43"/>
        </w:trPr>
        <w:tc>
          <w:tcPr>
            <w:tcW w:w="388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5"/>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08"/>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197"/>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48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05"/>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4"/>
        </w:trPr>
        <w:tc>
          <w:tcPr>
            <w:tcW w:w="87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0"/>
        </w:trPr>
        <w:tc>
          <w:tcPr>
            <w:tcW w:w="8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97"/>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48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04"/>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45"/>
        </w:trPr>
        <w:tc>
          <w:tcPr>
            <w:tcW w:w="388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04"/>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8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04"/>
        </w:trPr>
        <w:tc>
          <w:tcPr>
            <w:tcW w:w="8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25"/>
        </w:trPr>
        <w:tc>
          <w:tcPr>
            <w:tcW w:w="8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388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130" w:lineRule="exact"/>
        <w:rPr>
          <w:sz w:val="20"/>
          <w:szCs w:val="20"/>
          <w:color w:val="auto"/>
        </w:rPr>
      </w:pPr>
    </w:p>
    <w:p>
      <w:pPr>
        <w:jc w:val="both"/>
        <w:ind w:left="320" w:right="20" w:hanging="317"/>
        <w:spacing w:after="0" w:line="212" w:lineRule="auto"/>
        <w:tabs>
          <w:tab w:leader="none" w:pos="30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For the three months ended March 31, 2026 and 2025, “Interest expense, net” and “Other income, net” each include $23 million and $20 million, respectively, related to interest on such related party promissory notes. These amounts offset and do not impact Net Income or Non-GAAP metrics such as Adjusted EBITDA, Implied DCF and Adjusted Free Cash Flow.</w:t>
      </w:r>
    </w:p>
    <w:p>
      <w:pPr>
        <w:spacing w:after="0" w:line="2"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56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$171 and $328, respectively) </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16,860</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r>
      <w:tr>
        <w:trPr>
          <w:trHeight w:val="204"/>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25"/>
        </w:trPr>
        <w:tc>
          <w:tcPr>
            <w:tcW w:w="8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65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0"/>
                <w:szCs w:val="20"/>
                <w:color w:val="auto"/>
                <w:vertAlign w:val="superscript"/>
              </w:rPr>
              <w:t>(2)</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197"/>
        </w:trPr>
        <w:tc>
          <w:tcPr>
            <w:tcW w:w="87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17,089</w:t>
            </w:r>
          </w:p>
        </w:tc>
      </w:tr>
      <w:tr>
        <w:trPr>
          <w:trHeight w:val="158"/>
        </w:trPr>
        <w:tc>
          <w:tcPr>
            <w:tcW w:w="65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r>
      <w:tr>
        <w:trPr>
          <w:trHeight w:val="197"/>
        </w:trPr>
        <w:tc>
          <w:tcPr>
            <w:tcW w:w="8740" w:type="dxa"/>
            <w:vAlign w:val="bottom"/>
            <w:tcBorders>
              <w:bottom w:val="single" w:sz="8" w:color="CCEEFF"/>
            </w:tcBorders>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partners’ capital</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13,080</w:t>
            </w:r>
          </w:p>
        </w:tc>
      </w:tr>
      <w:tr>
        <w:trPr>
          <w:trHeight w:val="225"/>
        </w:trPr>
        <w:tc>
          <w:tcPr>
            <w:tcW w:w="8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8"/>
        </w:trPr>
        <w:tc>
          <w:tcPr>
            <w:tcW w:w="6560" w:type="dxa"/>
            <w:vAlign w:val="bottom"/>
            <w:tcBorders>
              <w:bottom w:val="single" w:sz="8" w:color="auto"/>
            </w:tcBorders>
          </w:tcPr>
          <w:p>
            <w:pPr>
              <w:spacing w:after="0"/>
              <w:rPr>
                <w:sz w:val="6"/>
                <w:szCs w:val="6"/>
                <w:color w:val="auto"/>
              </w:rPr>
            </w:pPr>
          </w:p>
        </w:tc>
        <w:tc>
          <w:tcPr>
            <w:tcW w:w="2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spacing w:after="0" w:line="139"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current assets of discontinued operations of $602 million and $479 million as of March 31, 2026 and December 31, 2025, respectively.</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current liabilities of discontinued operations of $561 million and $382 million as of March 31, 2026 and December 31, 2025,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DEBT CAPITALIZATION RATIOS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percentages)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5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564</w:t>
            </w:r>
          </w:p>
        </w:tc>
      </w:tr>
      <w:tr>
        <w:trPr>
          <w:trHeight w:val="204"/>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10,957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10,698</w:t>
            </w:r>
          </w:p>
        </w:tc>
      </w:tr>
      <w:tr>
        <w:trPr>
          <w:trHeight w:val="227"/>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11,262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7"/>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10,957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10,698</w:t>
            </w:r>
          </w:p>
        </w:tc>
      </w:tr>
      <w:tr>
        <w:trPr>
          <w:trHeight w:val="204"/>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9,601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9,836</w:t>
            </w:r>
          </w:p>
        </w:tc>
      </w:tr>
      <w:tr>
        <w:trPr>
          <w:trHeight w:val="227"/>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book capitalization excluding noncontrolling interests (“Total book capitalization”)</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20,558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20,534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500" w:type="dxa"/>
            <w:vAlign w:val="bottom"/>
            <w:gridSpan w:val="2"/>
          </w:tcPr>
          <w:p>
            <w:pPr>
              <w:ind w:left="340"/>
              <w:spacing w:after="0" w:line="178" w:lineRule="exact"/>
              <w:rPr>
                <w:sz w:val="20"/>
                <w:szCs w:val="20"/>
                <w:color w:val="auto"/>
              </w:rPr>
            </w:pPr>
            <w:r>
              <w:rPr>
                <w:rFonts w:ascii="Times New Roman" w:cs="Times New Roman" w:eastAsia="Times New Roman" w:hAnsi="Times New Roman"/>
                <w:sz w:val="16"/>
                <w:szCs w:val="16"/>
                <w:color w:val="auto"/>
              </w:rPr>
              <w:t>Total book capitalization, including short-term debt</w:t>
            </w:r>
          </w:p>
        </w:tc>
        <w:tc>
          <w:tcPr>
            <w:tcW w:w="240" w:type="dxa"/>
            <w:vAlign w:val="bottom"/>
            <w:tcBorders>
              <w:bottom w:val="single" w:sz="8" w:color="auto"/>
            </w:tcBorders>
          </w:tcPr>
          <w:p>
            <w:pPr>
              <w:jc w:val="right"/>
              <w:ind w:right="6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44"/>
              <w:spacing w:after="0" w:line="178" w:lineRule="exact"/>
              <w:rPr>
                <w:sz w:val="20"/>
                <w:szCs w:val="20"/>
                <w:color w:val="auto"/>
              </w:rPr>
            </w:pPr>
            <w:r>
              <w:rPr>
                <w:rFonts w:ascii="Times New Roman" w:cs="Times New Roman" w:eastAsia="Times New Roman" w:hAnsi="Times New Roman"/>
                <w:sz w:val="16"/>
                <w:szCs w:val="16"/>
                <w:color w:val="auto"/>
              </w:rPr>
              <w:t>20,979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4"/>
              <w:spacing w:after="0" w:line="178" w:lineRule="exact"/>
              <w:rPr>
                <w:sz w:val="20"/>
                <w:szCs w:val="20"/>
                <w:color w:val="auto"/>
              </w:rPr>
            </w:pPr>
            <w:r>
              <w:rPr>
                <w:rFonts w:ascii="Times New Roman" w:cs="Times New Roman" w:eastAsia="Times New Roman" w:hAnsi="Times New Roman"/>
                <w:sz w:val="16"/>
                <w:szCs w:val="16"/>
                <w:color w:val="auto"/>
              </w:rPr>
              <w:t>21,098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1"/>
        </w:trPr>
        <w:tc>
          <w:tcPr>
            <w:tcW w:w="65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0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debt-to-total book capitalization</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1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debt-to-total book capitalization, including short-term debt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155"/>
        </w:trPr>
        <w:tc>
          <w:tcPr>
            <w:tcW w:w="65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108"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ind w:left="5440" w:hanging="93"/>
        <w:spacing w:after="0"/>
        <w:tabs>
          <w:tab w:leader="none" w:pos="54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92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COMMON UNIT </w:t>
      </w:r>
      <w:r>
        <w:rPr>
          <w:rFonts w:ascii="Times New Roman" w:cs="Times New Roman" w:eastAsia="Times New Roman" w:hAnsi="Times New Roman"/>
          <w:sz w:val="17"/>
          <w:szCs w:val="17"/>
          <w:color w:val="auto"/>
        </w:rPr>
        <w:t>(in millions, except per unit data)</w:t>
      </w:r>
    </w:p>
    <w:p>
      <w:pPr>
        <w:spacing w:after="0" w:line="19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Income/(Loss) per Common Unit</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5"/>
        </w:trPr>
        <w:tc>
          <w:tcPr>
            <w:tcW w:w="38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continuing operations, net of tax</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20"/>
        </w:trPr>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3"/>
        </w:trPr>
        <w:tc>
          <w:tcPr>
            <w:tcW w:w="87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from continuing operations attributable to PAA</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20"/>
        </w:trPr>
        <w:tc>
          <w:tcPr>
            <w:tcW w:w="8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8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Impact from repurchase of Series A preferred units</w:t>
            </w:r>
          </w:p>
        </w:tc>
        <w:tc>
          <w:tcPr>
            <w:tcW w:w="7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0"/>
        </w:trPr>
        <w:tc>
          <w:tcPr>
            <w:tcW w:w="8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874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Net income from continuing operations allocated to common unitholders - Basic and Diluted </w:t>
            </w:r>
            <w:r>
              <w:rPr>
                <w:rFonts w:ascii="Times New Roman" w:cs="Times New Roman" w:eastAsia="Times New Roman" w:hAnsi="Times New Roman"/>
                <w:sz w:val="22"/>
                <w:szCs w:val="22"/>
                <w:color w:val="auto"/>
                <w:vertAlign w:val="superscript"/>
              </w:rPr>
              <w:t>(1)</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45"/>
        </w:trPr>
        <w:tc>
          <w:tcPr>
            <w:tcW w:w="3880" w:type="dxa"/>
            <w:vAlign w:val="bottom"/>
            <w:shd w:val="clear" w:color="auto" w:fill="CCEEFF"/>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4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Net income/(loss) from discontinued operations allocated to common unitholders - Basic and Diluted </w:t>
            </w:r>
            <w:r>
              <w:rPr>
                <w:rFonts w:ascii="Times New Roman" w:cs="Times New Roman" w:eastAsia="Times New Roman" w:hAnsi="Times New Roman"/>
                <w:sz w:val="22"/>
                <w:szCs w:val="22"/>
                <w:color w:val="auto"/>
                <w:vertAlign w:val="superscript"/>
              </w:rPr>
              <w:t>(2)</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45"/>
        </w:trPr>
        <w:tc>
          <w:tcPr>
            <w:tcW w:w="3880" w:type="dxa"/>
            <w:vAlign w:val="bottom"/>
            <w:tcBorders>
              <w:bottom w:val="single" w:sz="8" w:color="CCEEFF"/>
            </w:tcBorders>
          </w:tcPr>
          <w:p>
            <w:pPr>
              <w:spacing w:after="0"/>
              <w:rPr>
                <w:sz w:val="21"/>
                <w:szCs w:val="21"/>
                <w:color w:val="auto"/>
              </w:rPr>
            </w:pPr>
          </w:p>
        </w:tc>
        <w:tc>
          <w:tcPr>
            <w:tcW w:w="48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3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874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45"/>
        </w:trPr>
        <w:tc>
          <w:tcPr>
            <w:tcW w:w="38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r>
      <w:tr>
        <w:trPr>
          <w:trHeight w:val="220"/>
        </w:trPr>
        <w:tc>
          <w:tcPr>
            <w:tcW w:w="8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13"/>
        </w:trPr>
        <w:tc>
          <w:tcPr>
            <w:tcW w:w="8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0"/>
        </w:trPr>
        <w:tc>
          <w:tcPr>
            <w:tcW w:w="3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4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130" w:lineRule="exact"/>
        <w:rPr>
          <w:sz w:val="20"/>
          <w:szCs w:val="20"/>
          <w:color w:val="auto"/>
        </w:rPr>
      </w:pPr>
    </w:p>
    <w:p>
      <w:pPr>
        <w:ind w:left="320" w:right="180" w:hanging="317"/>
        <w:spacing w:after="0" w:line="246" w:lineRule="auto"/>
        <w:tabs>
          <w:tab w:leader="none" w:pos="30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9" w:lineRule="exact"/>
        <w:rPr>
          <w:rFonts w:ascii="Times New Roman" w:cs="Times New Roman" w:eastAsia="Times New Roman" w:hAnsi="Times New Roman"/>
          <w:sz w:val="19"/>
          <w:szCs w:val="19"/>
          <w:color w:val="auto"/>
          <w:vertAlign w:val="superscript"/>
        </w:rPr>
      </w:pPr>
    </w:p>
    <w:p>
      <w:pPr>
        <w:ind w:left="320" w:right="240" w:hanging="317"/>
        <w:spacing w:after="0" w:line="228"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income/(loss) from discontinued operations allocated to common unitholders is “Income/(loss) from discontinued operations, net of tax” as presented on our Condensed Consolidated Statements of Operations.</w:t>
      </w:r>
    </w:p>
    <w:p>
      <w:pPr>
        <w:spacing w:after="0" w:line="33" w:lineRule="exact"/>
        <w:rPr>
          <w:rFonts w:ascii="Times New Roman" w:cs="Times New Roman" w:eastAsia="Times New Roman" w:hAnsi="Times New Roman"/>
          <w:sz w:val="20"/>
          <w:szCs w:val="20"/>
          <w:color w:val="auto"/>
          <w:vertAlign w:val="superscript"/>
        </w:rPr>
      </w:pPr>
    </w:p>
    <w:p>
      <w:pPr>
        <w:ind w:left="320" w:right="220" w:hanging="317"/>
        <w:spacing w:after="0" w:line="220"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 per common unit from continuing operations for each of the three months ended March 31, 2026 and 2025 as the effect was antidilutive.</w:t>
      </w:r>
    </w:p>
    <w:p>
      <w:pPr>
        <w:spacing w:after="0" w:line="46" w:lineRule="exact"/>
        <w:rPr>
          <w:rFonts w:ascii="Times New Roman" w:cs="Times New Roman" w:eastAsia="Times New Roman" w:hAnsi="Times New Roman"/>
          <w:sz w:val="20"/>
          <w:szCs w:val="20"/>
          <w:color w:val="auto"/>
          <w:vertAlign w:val="superscript"/>
        </w:rPr>
      </w:pPr>
    </w:p>
    <w:p>
      <w:pPr>
        <w:ind w:left="320" w:right="60" w:hanging="317"/>
        <w:spacing w:after="0" w:line="225" w:lineRule="auto"/>
        <w:tabs>
          <w:tab w:leader="none" w:pos="30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 w:lineRule="exact"/>
        <w:rPr>
          <w:rFonts w:ascii="Times New Roman" w:cs="Times New Roman" w:eastAsia="Times New Roman" w:hAnsi="Times New Roman"/>
          <w:sz w:val="19"/>
          <w:szCs w:val="19"/>
          <w:color w:val="auto"/>
          <w:vertAlign w:val="superscript"/>
        </w:rPr>
      </w:pPr>
    </w:p>
    <w:p>
      <w:pPr>
        <w:ind w:left="5440" w:hanging="93"/>
        <w:spacing w:after="0"/>
        <w:tabs>
          <w:tab w:leader="none" w:pos="54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(Income)/loss from discontinued operations, net of tax</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Gains on asset sales and other, net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income tax (benefit)/expense</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continuing operations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0"/>
        </w:trPr>
        <w:tc>
          <w:tcPr>
            <w:tcW w:w="8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discontinued operations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continuing operations</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discontinued operations</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3"/>
        </w:trPr>
        <w:tc>
          <w:tcPr>
            <w:tcW w:w="872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w:t>
            </w:r>
          </w:p>
        </w:tc>
      </w:tr>
      <w:tr>
        <w:trPr>
          <w:trHeight w:val="207"/>
        </w:trPr>
        <w:tc>
          <w:tcPr>
            <w:tcW w:w="3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Net cash provided by/(used in) financing activities </w:t>
            </w:r>
            <w:r>
              <w:rPr>
                <w:rFonts w:ascii="Times New Roman" w:cs="Times New Roman" w:eastAsia="Times New Roman" w:hAnsi="Times New Roman"/>
                <w:sz w:val="22"/>
                <w:szCs w:val="22"/>
                <w:color w:val="auto"/>
                <w:vertAlign w:val="superscript"/>
              </w:rPr>
              <w:t>(1)</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 - continuing operations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6" w:lineRule="exact"/>
        <w:rPr>
          <w:sz w:val="20"/>
          <w:szCs w:val="20"/>
          <w:color w:val="auto"/>
        </w:rPr>
      </w:pPr>
    </w:p>
    <w:p>
      <w:pPr>
        <w:ind w:left="320" w:right="40" w:hanging="317"/>
        <w:spacing w:after="0" w:line="237"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Plains entities have issued promissory notes by and among such entities to facilitate financing. For the three months ended March 31, 2025, “Net cash used in investing activities” includes a cash outflow of approximately $330 million associated with our investment in related party notes. An equal and offsetting cash inflow associated with our issuance of related party notes is included in “Net cash used in financing activities.”</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March 31, 2025, includes a net cash outflow of $624 million for bolt-on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 xml:space="preserve">Net to PAA </w:t>
            </w:r>
            <w:r>
              <w:rPr>
                <w:rFonts w:ascii="Times New Roman" w:cs="Times New Roman" w:eastAsia="Times New Roman" w:hAnsi="Times New Roman"/>
                <w:sz w:val="17"/>
                <w:szCs w:val="17"/>
                <w:b w:val="1"/>
                <w:bCs w:val="1"/>
                <w:color w:val="auto"/>
                <w:w w:val="93"/>
                <w:vertAlign w:val="superscript"/>
              </w:rPr>
              <w:t>(2)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760" w:type="dxa"/>
            <w:vAlign w:val="bottom"/>
          </w:tcPr>
          <w:p>
            <w:pPr>
              <w:spacing w:after="0"/>
              <w:rPr>
                <w:sz w:val="17"/>
                <w:szCs w:val="17"/>
                <w:color w:val="auto"/>
              </w:rPr>
            </w:pPr>
          </w:p>
        </w:tc>
      </w:tr>
      <w:tr>
        <w:trPr>
          <w:trHeight w:val="141"/>
        </w:trPr>
        <w:tc>
          <w:tcPr>
            <w:tcW w:w="38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20" w:type="dxa"/>
            <w:vAlign w:val="bottom"/>
            <w:gridSpan w:val="4"/>
          </w:tcPr>
          <w:p>
            <w:pPr>
              <w:jc w:val="center"/>
              <w:ind w:left="303"/>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tcPr>
          <w:p>
            <w:pPr>
              <w:jc w:val="center"/>
              <w:ind w:right="177"/>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760" w:type="dxa"/>
            <w:vAlign w:val="bottom"/>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780" w:type="dxa"/>
            <w:vAlign w:val="bottom"/>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4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0"/>
        </w:trPr>
        <w:tc>
          <w:tcPr>
            <w:tcW w:w="624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25"/>
                <w:szCs w:val="25"/>
                <w:color w:val="auto"/>
                <w:vertAlign w:val="subscript"/>
              </w:rPr>
              <w:t>NGL</w:t>
            </w:r>
            <w:r>
              <w:rPr>
                <w:rFonts w:ascii="Times New Roman" w:cs="Times New Roman" w:eastAsia="Times New Roman" w:hAnsi="Times New Roman"/>
                <w:sz w:val="10"/>
                <w:szCs w:val="10"/>
                <w:color w:val="auto"/>
              </w:rPr>
              <w:t xml:space="preserve"> (3)</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20"/>
        </w:trPr>
        <w:tc>
          <w:tcPr>
            <w:tcW w:w="624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Total Maintenance capital expenditures </w:t>
            </w:r>
            <w:r>
              <w:rPr>
                <w:rFonts w:ascii="Times New Roman" w:cs="Times New Roman" w:eastAsia="Times New Roman" w:hAnsi="Times New Roman"/>
                <w:sz w:val="22"/>
                <w:szCs w:val="22"/>
                <w:color w:val="auto"/>
                <w:vertAlign w:val="superscript"/>
              </w:rPr>
              <w:t>(4)</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 and Maintenance capital expenditures</w:t>
            </w: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“Discontinued Operations Detail” section for amounts attributable to discontinued operations.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84" w:lineRule="auto"/>
        <w:tabs>
          <w:tab w:leader="none" w:pos="3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the “Selected Financial Data by NGL” section for amounts attributable to discontinued operations.</w:t>
      </w: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Adjusted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 (2)</w:t>
      </w:r>
      <w:r>
        <w:rPr>
          <w:rFonts w:ascii="Times New Roman" w:cs="Times New Roman" w:eastAsia="Times New Roman" w:hAnsi="Times New Roman"/>
          <w:sz w:val="17"/>
          <w:szCs w:val="17"/>
          <w:b w:val="1"/>
          <w:bCs w:val="1"/>
          <w:color w:val="auto"/>
        </w:rPr>
        <w:t>:</w:t>
      </w:r>
    </w:p>
    <w:p>
      <w:pPr>
        <w:spacing w:after="0" w:line="272"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Impact from repurchase of Series A preferred units</w:t>
            </w:r>
          </w:p>
        </w:tc>
        <w:tc>
          <w:tcPr>
            <w:tcW w:w="7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0"/>
        </w:trPr>
        <w:tc>
          <w:tcPr>
            <w:tcW w:w="88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(4) (5)</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45"/>
        </w:trPr>
        <w:tc>
          <w:tcPr>
            <w:tcW w:w="388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4"/>
        </w:trPr>
        <w:tc>
          <w:tcPr>
            <w:tcW w:w="388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122" w:lineRule="exact"/>
        <w:rPr>
          <w:sz w:val="20"/>
          <w:szCs w:val="20"/>
          <w:color w:val="auto"/>
        </w:rPr>
      </w:pPr>
    </w:p>
    <w:p>
      <w:pPr>
        <w:ind w:left="320" w:right="40" w:hanging="317"/>
        <w:spacing w:after="0" w:line="227"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4"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94" w:lineRule="auto"/>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2" w:lineRule="exact"/>
        <w:rPr>
          <w:rFonts w:ascii="Times New Roman" w:cs="Times New Roman" w:eastAsia="Times New Roman" w:hAnsi="Times New Roman"/>
          <w:sz w:val="18"/>
          <w:szCs w:val="18"/>
          <w:color w:val="auto"/>
          <w:vertAlign w:val="superscript"/>
        </w:rPr>
      </w:pPr>
    </w:p>
    <w:p>
      <w:pPr>
        <w:ind w:left="320" w:right="200" w:hanging="317"/>
        <w:spacing w:after="0" w:line="210"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months ended March 31, 2026 and 2025 as the effect was antidilutive.</w:t>
      </w:r>
    </w:p>
    <w:p>
      <w:pPr>
        <w:spacing w:after="0" w:line="41" w:lineRule="exact"/>
        <w:rPr>
          <w:rFonts w:ascii="Times New Roman" w:cs="Times New Roman" w:eastAsia="Times New Roman" w:hAnsi="Times New Roman"/>
          <w:sz w:val="18"/>
          <w:szCs w:val="18"/>
          <w:color w:val="auto"/>
          <w:vertAlign w:val="superscript"/>
        </w:rPr>
      </w:pPr>
    </w:p>
    <w:p>
      <w:pPr>
        <w:ind w:left="320" w:hanging="317"/>
        <w:spacing w:after="0" w:line="233"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Income Per Common Unit to Adjusted Net Income Per Common Unit Reconciliation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p>
      <w:pPr>
        <w:spacing w:after="0" w:line="217"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378"/>
              <w:spacing w:after="0"/>
              <w:rPr>
                <w:sz w:val="20"/>
                <w:szCs w:val="20"/>
                <w:color w:val="auto"/>
              </w:rPr>
            </w:pPr>
            <w:r>
              <w:rPr>
                <w:rFonts w:ascii="Times New Roman" w:cs="Times New Roman" w:eastAsia="Times New Roman" w:hAnsi="Times New Roman"/>
                <w:sz w:val="17"/>
                <w:szCs w:val="17"/>
                <w:color w:val="auto"/>
              </w:rPr>
              <w:t>0.49</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38"/>
              <w:spacing w:after="0"/>
              <w:rPr>
                <w:sz w:val="20"/>
                <w:szCs w:val="20"/>
                <w:color w:val="auto"/>
              </w:rPr>
            </w:pPr>
            <w:r>
              <w:rPr>
                <w:rFonts w:ascii="Times New Roman" w:cs="Times New Roman" w:eastAsia="Times New Roman" w:hAnsi="Times New Roman"/>
                <w:sz w:val="17"/>
                <w:szCs w:val="17"/>
                <w:color w:val="auto"/>
              </w:rPr>
              <w:t>(0.10)</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center"/>
              <w:ind w:left="378"/>
              <w:spacing w:after="0"/>
              <w:rPr>
                <w:sz w:val="20"/>
                <w:szCs w:val="20"/>
                <w:color w:val="auto"/>
              </w:rPr>
            </w:pPr>
            <w:r>
              <w:rPr>
                <w:rFonts w:ascii="Times New Roman" w:cs="Times New Roman" w:eastAsia="Times New Roman" w:hAnsi="Times New Roman"/>
                <w:sz w:val="17"/>
                <w:szCs w:val="17"/>
                <w:color w:val="auto"/>
              </w:rPr>
              <w:t>0.39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93"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82" w:lineRule="auto"/>
        <w:tabs>
          <w:tab w:leader="none" w:pos="30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and the “Computation of Basic and Diluted Net Income Per Common Unit” tables for additional information.</w:t>
      </w: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32"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Net Income </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0" w:type="dxa"/>
            <w:vAlign w:val="bottom"/>
          </w:tcPr>
          <w:p>
            <w:pPr>
              <w:spacing w:after="0"/>
              <w:rPr>
                <w:sz w:val="1"/>
                <w:szCs w:val="1"/>
                <w:color w:val="auto"/>
              </w:rPr>
            </w:pPr>
          </w:p>
        </w:tc>
      </w:tr>
      <w:tr>
        <w:trPr>
          <w:trHeight w:val="194"/>
        </w:trPr>
        <w:tc>
          <w:tcPr>
            <w:tcW w:w="882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Interest expense, net of certain items </w:t>
            </w:r>
            <w:r>
              <w:rPr>
                <w:rFonts w:ascii="Times New Roman" w:cs="Times New Roman" w:eastAsia="Times New Roman" w:hAnsi="Times New Roman"/>
                <w:sz w:val="19"/>
                <w:szCs w:val="19"/>
                <w:color w:val="auto"/>
                <w:vertAlign w:val="superscript"/>
              </w:rPr>
              <w:t>(2)</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Income tax expense from continuing operations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92"/>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Income tax expense from discontinued operations</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from continuing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192"/>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 from discontinued operations</w:t>
            </w:r>
          </w:p>
        </w:tc>
        <w:tc>
          <w:tcPr>
            <w:tcW w:w="2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Gains on asset sales and other, net from continuing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92"/>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Losses on asset sales and other, net from discontinued operations</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on investments in unconsolidated entities, net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94"/>
        </w:trPr>
        <w:tc>
          <w:tcPr>
            <w:tcW w:w="882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Depreciation and amortization of unconsolidated entities </w:t>
            </w:r>
            <w:r>
              <w:rPr>
                <w:rFonts w:ascii="Times New Roman" w:cs="Times New Roman" w:eastAsia="Times New Roman" w:hAnsi="Times New Roman"/>
                <w:sz w:val="19"/>
                <w:szCs w:val="19"/>
                <w:color w:val="auto"/>
                <w:vertAlign w:val="superscript"/>
              </w:rPr>
              <w:t>(3)</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Selected items impacting comparability - Adjusted EBITDA </w:t>
            </w:r>
            <w:r>
              <w:rPr>
                <w:rFonts w:ascii="Times New Roman" w:cs="Times New Roman" w:eastAsia="Times New Roman" w:hAnsi="Times New Roman"/>
                <w:sz w:val="19"/>
                <w:szCs w:val="19"/>
                <w:color w:val="auto"/>
                <w:vertAlign w:val="superscript"/>
              </w:rPr>
              <w:t>(1) (4)</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87"/>
        </w:trPr>
        <w:tc>
          <w:tcPr>
            <w:tcW w:w="882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9"/>
                <w:szCs w:val="19"/>
                <w:color w:val="auto"/>
                <w:vertAlign w:val="superscript"/>
              </w:rPr>
              <w:t>(1)</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87"/>
        </w:trPr>
        <w:tc>
          <w:tcPr>
            <w:tcW w:w="882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15"/>
                <w:szCs w:val="15"/>
                <w:color w:val="auto"/>
              </w:rPr>
              <w:t xml:space="preserve">Adjusted EBITDA attributable to PAA </w:t>
            </w:r>
            <w:r>
              <w:rPr>
                <w:rFonts w:ascii="Times New Roman" w:cs="Times New Roman" w:eastAsia="Times New Roman" w:hAnsi="Times New Roman"/>
                <w:sz w:val="19"/>
                <w:szCs w:val="19"/>
                <w:color w:val="auto"/>
                <w:vertAlign w:val="superscript"/>
              </w:rPr>
              <w:t>(1)</w:t>
            </w: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880" w:type="dxa"/>
            <w:vAlign w:val="bottom"/>
            <w:shd w:val="clear" w:color="auto" w:fill="CCEEFF"/>
          </w:tcPr>
          <w:p>
            <w:pPr>
              <w:spacing w:after="0"/>
              <w:rPr>
                <w:sz w:val="9"/>
                <w:szCs w:val="9"/>
                <w:color w:val="auto"/>
              </w:rPr>
            </w:pPr>
          </w:p>
        </w:tc>
        <w:tc>
          <w:tcPr>
            <w:tcW w:w="49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Adjusted EBITDA </w:t>
            </w:r>
            <w:r>
              <w:rPr>
                <w:rFonts w:ascii="Times New Roman" w:cs="Times New Roman" w:eastAsia="Times New Roman" w:hAnsi="Times New Roman"/>
                <w:sz w:val="19"/>
                <w:szCs w:val="19"/>
                <w:color w:val="auto"/>
                <w:vertAlign w:val="superscript"/>
              </w:rPr>
              <w:t>(1)</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881</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Interest expense, net of certain non-cash and other items </w:t>
            </w:r>
            <w:r>
              <w:rPr>
                <w:rFonts w:ascii="Times New Roman" w:cs="Times New Roman" w:eastAsia="Times New Roman" w:hAnsi="Times New Roman"/>
                <w:sz w:val="19"/>
                <w:szCs w:val="19"/>
                <w:color w:val="auto"/>
                <w:vertAlign w:val="superscript"/>
              </w:rPr>
              <w:t>(5)</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192"/>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Maintenance capital from continuing operations</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Maintenance capital from discontinued operations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94"/>
        </w:trPr>
        <w:tc>
          <w:tcPr>
            <w:tcW w:w="882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Investment capital of noncontrolling interests </w:t>
            </w:r>
            <w:r>
              <w:rPr>
                <w:rFonts w:ascii="Times New Roman" w:cs="Times New Roman" w:eastAsia="Times New Roman" w:hAnsi="Times New Roman"/>
                <w:sz w:val="19"/>
                <w:szCs w:val="19"/>
                <w:color w:val="auto"/>
                <w:vertAlign w:val="superscript"/>
              </w:rPr>
              <w:t>(6)</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Current income tax expense from continuing operations, net of certain tax effects related to the pending Canadian NGL Business divestiture </w:t>
            </w:r>
            <w:r>
              <w:rPr>
                <w:rFonts w:ascii="Times New Roman" w:cs="Times New Roman" w:eastAsia="Times New Roman" w:hAnsi="Times New Roman"/>
                <w:sz w:val="19"/>
                <w:szCs w:val="19"/>
                <w:color w:val="auto"/>
                <w:vertAlign w:val="superscript"/>
              </w:rPr>
              <w:t>(7)</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92"/>
        </w:trPr>
        <w:tc>
          <w:tcPr>
            <w:tcW w:w="882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Current income tax expense from discontinued operations</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5"/>
                <w:szCs w:val="15"/>
                <w:color w:val="auto"/>
              </w:rPr>
              <w:t xml:space="preserve">Distributions from unconsolidated entities in excess of/(less than) adjusted equity earnings </w:t>
            </w:r>
            <w:r>
              <w:rPr>
                <w:rFonts w:ascii="Times New Roman" w:cs="Times New Roman" w:eastAsia="Times New Roman" w:hAnsi="Times New Roman"/>
                <w:sz w:val="19"/>
                <w:szCs w:val="19"/>
                <w:color w:val="auto"/>
                <w:vertAlign w:val="superscript"/>
              </w:rPr>
              <w:t>(8)</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4"/>
        </w:trPr>
        <w:tc>
          <w:tcPr>
            <w:tcW w:w="8820" w:type="dxa"/>
            <w:vAlign w:val="bottom"/>
            <w:tcBorders>
              <w:bottom w:val="single" w:sz="8" w:color="CCEEFF"/>
            </w:tcBorders>
            <w:gridSpan w:val="2"/>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Distributions to noncontrolling interests </w:t>
            </w:r>
            <w:r>
              <w:rPr>
                <w:rFonts w:ascii="Times New Roman" w:cs="Times New Roman" w:eastAsia="Times New Roman" w:hAnsi="Times New Roman"/>
                <w:sz w:val="19"/>
                <w:szCs w:val="19"/>
                <w:color w:val="auto"/>
                <w:vertAlign w:val="superscript"/>
              </w:rPr>
              <w:t>(9)</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87"/>
        </w:trPr>
        <w:tc>
          <w:tcPr>
            <w:tcW w:w="882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5"/>
                <w:szCs w:val="15"/>
                <w:color w:val="auto"/>
              </w:rPr>
              <w:t xml:space="preserve">Implied DCF </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194"/>
        </w:trPr>
        <w:tc>
          <w:tcPr>
            <w:tcW w:w="8820" w:type="dxa"/>
            <w:vAlign w:val="bottom"/>
            <w:tcBorders>
              <w:bottom w:val="single" w:sz="8" w:color="CCEEFF"/>
            </w:tcBorders>
            <w:gridSpan w:val="2"/>
          </w:tcPr>
          <w:p>
            <w:pPr>
              <w:ind w:left="100"/>
              <w:spacing w:after="0" w:line="193" w:lineRule="exact"/>
              <w:rPr>
                <w:sz w:val="20"/>
                <w:szCs w:val="20"/>
                <w:color w:val="auto"/>
              </w:rPr>
            </w:pPr>
            <w:r>
              <w:rPr>
                <w:rFonts w:ascii="Times New Roman" w:cs="Times New Roman" w:eastAsia="Times New Roman" w:hAnsi="Times New Roman"/>
                <w:sz w:val="15"/>
                <w:szCs w:val="15"/>
                <w:color w:val="auto"/>
              </w:rPr>
              <w:t xml:space="preserve">Preferred unit cash distributions paid </w:t>
            </w:r>
            <w:r>
              <w:rPr>
                <w:rFonts w:ascii="Times New Roman" w:cs="Times New Roman" w:eastAsia="Times New Roman" w:hAnsi="Times New Roman"/>
                <w:sz w:val="19"/>
                <w:szCs w:val="19"/>
                <w:color w:val="auto"/>
                <w:vertAlign w:val="superscript"/>
              </w:rPr>
              <w:t>(9)</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12"/>
        </w:trPr>
        <w:tc>
          <w:tcPr>
            <w:tcW w:w="8820" w:type="dxa"/>
            <w:vAlign w:val="bottom"/>
            <w:tcBorders>
              <w:bottom w:val="single" w:sz="8" w:color="CCEEFF"/>
            </w:tcBorders>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5"/>
                <w:szCs w:val="15"/>
                <w:color w:val="auto"/>
              </w:rPr>
              <w:t xml:space="preserve">Implied DCF Available to Common Unitholders </w:t>
            </w:r>
            <w:r>
              <w:rPr>
                <w:rFonts w:ascii="Times New Roman" w:cs="Times New Roman" w:eastAsia="Times New Roman" w:hAnsi="Times New Roman"/>
                <w:sz w:val="19"/>
                <w:szCs w:val="19"/>
                <w:color w:val="auto"/>
                <w:vertAlign w:val="superscript"/>
              </w:rPr>
              <w:t>(1)</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Weighted Average Common Units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Units and Common Unit Equivalents</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0" w:type="dxa"/>
            <w:vAlign w:val="bottom"/>
          </w:tcPr>
          <w:p>
            <w:pPr>
              <w:spacing w:after="0"/>
              <w:rPr>
                <w:sz w:val="1"/>
                <w:szCs w:val="1"/>
                <w:color w:val="auto"/>
              </w:rPr>
            </w:pP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Implied DCF per Common Unit </w:t>
            </w:r>
            <w:r>
              <w:rPr>
                <w:rFonts w:ascii="Times New Roman" w:cs="Times New Roman" w:eastAsia="Times New Roman" w:hAnsi="Times New Roman"/>
                <w:sz w:val="19"/>
                <w:szCs w:val="19"/>
                <w:color w:val="auto"/>
                <w:vertAlign w:val="superscript"/>
              </w:rPr>
              <w:t>(1) (10)</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Implied DCF per Common Unit and Common Unit Equivalent </w:t>
            </w:r>
            <w:r>
              <w:rPr>
                <w:rFonts w:ascii="Times New Roman" w:cs="Times New Roman" w:eastAsia="Times New Roman" w:hAnsi="Times New Roman"/>
                <w:sz w:val="19"/>
                <w:szCs w:val="19"/>
                <w:color w:val="auto"/>
                <w:vertAlign w:val="superscript"/>
              </w:rPr>
              <w:t>(1) (11)</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0" w:type="dxa"/>
            <w:vAlign w:val="bottom"/>
          </w:tcPr>
          <w:p>
            <w:pPr>
              <w:spacing w:after="0"/>
              <w:rPr>
                <w:sz w:val="1"/>
                <w:szCs w:val="1"/>
                <w:color w:val="auto"/>
              </w:rPr>
            </w:pPr>
          </w:p>
        </w:tc>
      </w:tr>
      <w:tr>
        <w:trPr>
          <w:trHeight w:val="19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Distribution Paid per Common Unit</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0.4175</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0.3800</w:t>
            </w: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5"/>
                <w:szCs w:val="15"/>
                <w:color w:val="auto"/>
              </w:rPr>
              <w:t xml:space="preserve">Common Unit Cash Distributions </w:t>
            </w:r>
            <w:r>
              <w:rPr>
                <w:rFonts w:ascii="Times New Roman" w:cs="Times New Roman" w:eastAsia="Times New Roman" w:hAnsi="Times New Roman"/>
                <w:sz w:val="19"/>
                <w:szCs w:val="19"/>
                <w:color w:val="auto"/>
                <w:vertAlign w:val="superscript"/>
              </w:rPr>
              <w:t>(9)</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Common Unit Distribution Coverage Ratio </w:t>
            </w:r>
            <w:r>
              <w:rPr>
                <w:rFonts w:ascii="Times New Roman" w:cs="Times New Roman" w:eastAsia="Times New Roman" w:hAnsi="Times New Roman"/>
                <w:sz w:val="19"/>
                <w:szCs w:val="19"/>
                <w:color w:val="auto"/>
                <w:vertAlign w:val="superscript"/>
              </w:rPr>
              <w:t>(1)</w:t>
            </w:r>
          </w:p>
        </w:tc>
        <w:tc>
          <w:tcPr>
            <w:tcW w:w="280" w:type="dxa"/>
            <w:vAlign w:val="bottom"/>
          </w:tcPr>
          <w:p>
            <w:pPr>
              <w:spacing w:after="0"/>
              <w:rPr>
                <w:sz w:val="16"/>
                <w:szCs w:val="16"/>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1.46x</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1.73x</w:t>
            </w:r>
          </w:p>
        </w:tc>
        <w:tc>
          <w:tcPr>
            <w:tcW w:w="0" w:type="dxa"/>
            <w:vAlign w:val="bottom"/>
          </w:tcPr>
          <w:p>
            <w:pPr>
              <w:spacing w:after="0"/>
              <w:rPr>
                <w:sz w:val="1"/>
                <w:szCs w:val="1"/>
                <w:color w:val="auto"/>
              </w:rPr>
            </w:pPr>
          </w:p>
        </w:tc>
      </w:tr>
      <w:tr>
        <w:trPr>
          <w:trHeight w:val="194"/>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Implied DCF Excess </w:t>
            </w:r>
            <w:r>
              <w:rPr>
                <w:rFonts w:ascii="Times New Roman" w:cs="Times New Roman" w:eastAsia="Times New Roman" w:hAnsi="Times New Roman"/>
                <w:sz w:val="19"/>
                <w:szCs w:val="19"/>
                <w:color w:val="auto"/>
                <w:vertAlign w:val="superscript"/>
              </w:rPr>
              <w:t>(1)</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47" w:lineRule="exact"/>
        <w:rPr>
          <w:rFonts w:ascii="Times New Roman" w:cs="Times New Roman" w:eastAsia="Times New Roman" w:hAnsi="Times New Roman"/>
          <w:sz w:val="16"/>
          <w:szCs w:val="16"/>
          <w:color w:val="auto"/>
          <w:vertAlign w:val="superscript"/>
        </w:rPr>
      </w:pPr>
    </w:p>
    <w:p>
      <w:pPr>
        <w:ind w:left="300" w:hanging="297"/>
        <w:spacing w:after="0" w:line="191"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“Interest expense, net” as reported on our Condensed Consolidated Statements of Operations, net of interest income associated with promissory notes by and among certain Plains entities.</w:t>
      </w:r>
    </w:p>
    <w:p>
      <w:pPr>
        <w:spacing w:after="0" w:line="57"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to exclude our proportionate share of depreciation and amortization expense (including write-downs related to cancelled projects and impairments) of unconsolidated entities.</w:t>
      </w:r>
    </w:p>
    <w:p>
      <w:pPr>
        <w:spacing w:after="0" w:line="57"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table for additional information.</w:t>
      </w:r>
    </w:p>
    <w:p>
      <w:pPr>
        <w:spacing w:after="0" w:line="44" w:lineRule="exact"/>
        <w:rPr>
          <w:rFonts w:ascii="Times New Roman" w:cs="Times New Roman" w:eastAsia="Times New Roman" w:hAnsi="Times New Roman"/>
          <w:sz w:val="16"/>
          <w:szCs w:val="16"/>
          <w:color w:val="auto"/>
          <w:vertAlign w:val="superscript"/>
        </w:rPr>
      </w:pPr>
    </w:p>
    <w:p>
      <w:pPr>
        <w:ind w:left="320" w:right="220" w:hanging="317"/>
        <w:spacing w:after="0" w:line="227" w:lineRule="auto"/>
        <w:tabs>
          <w:tab w:leader="none" w:pos="311"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capital expenditures attributable to noncontrolling interests that reduce Implied DCF available to PAA common unitholders.</w:t>
      </w:r>
    </w:p>
    <w:p>
      <w:pPr>
        <w:spacing w:after="0" w:line="56" w:lineRule="exact"/>
        <w:rPr>
          <w:rFonts w:ascii="Times New Roman" w:cs="Times New Roman" w:eastAsia="Times New Roman" w:hAnsi="Times New Roman"/>
          <w:sz w:val="16"/>
          <w:szCs w:val="16"/>
          <w:color w:val="auto"/>
          <w:vertAlign w:val="superscript"/>
        </w:rPr>
      </w:pPr>
    </w:p>
    <w:p>
      <w:pPr>
        <w:ind w:left="320" w:right="200" w:hanging="317"/>
        <w:spacing w:after="0" w:line="217" w:lineRule="auto"/>
        <w:tabs>
          <w:tab w:leader="none" w:pos="311"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three months ended March 31, 2026, excludes approximately $216 million of current income tax expense associated with the tax impact of certain planning and restructuring activities within our organizational structure in connection with the pending Canadian NGL Business divestiture that had income tax consequences that were recorded during the first quarter of 2026.</w:t>
      </w:r>
    </w:p>
    <w:p>
      <w:pPr>
        <w:spacing w:after="0" w:line="46" w:lineRule="exact"/>
        <w:rPr>
          <w:rFonts w:ascii="Times New Roman" w:cs="Times New Roman" w:eastAsia="Times New Roman" w:hAnsi="Times New Roman"/>
          <w:sz w:val="16"/>
          <w:szCs w:val="16"/>
          <w:color w:val="auto"/>
          <w:vertAlign w:val="superscript"/>
        </w:rPr>
      </w:pPr>
    </w:p>
    <w:p>
      <w:pPr>
        <w:ind w:left="320" w:right="120" w:hanging="317"/>
        <w:spacing w:after="0" w:line="225" w:lineRule="auto"/>
        <w:tabs>
          <w:tab w:leader="none" w:pos="311"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23"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44"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divided by the weighted average common units outstanding for the period.</w:t>
      </w:r>
    </w:p>
    <w:p>
      <w:pPr>
        <w:spacing w:after="0" w:line="57" w:lineRule="exact"/>
        <w:rPr>
          <w:rFonts w:ascii="Times New Roman" w:cs="Times New Roman" w:eastAsia="Times New Roman" w:hAnsi="Times New Roman"/>
          <w:sz w:val="16"/>
          <w:szCs w:val="16"/>
          <w:color w:val="auto"/>
          <w:vertAlign w:val="superscript"/>
        </w:rPr>
      </w:pPr>
    </w:p>
    <w:p>
      <w:pPr>
        <w:ind w:left="320" w:right="60" w:hanging="317"/>
        <w:spacing w:after="0"/>
        <w:tabs>
          <w:tab w:leader="none" w:pos="309"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90"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 Per Common Unit to Implied DCF Per Common Unit and Common Unit Equivalent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09"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20"/>
        </w:trPr>
        <w:tc>
          <w:tcPr>
            <w:tcW w:w="86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(2) (3)</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r>
      <w:tr>
        <w:trPr>
          <w:trHeight w:val="238"/>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6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20"/>
        </w:trPr>
        <w:tc>
          <w:tcPr>
            <w:tcW w:w="86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(2) (4)</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r>
      <w:tr>
        <w:trPr>
          <w:trHeight w:val="238"/>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4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96"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three months ended March 31, 2026 and 2025 of 706 million and 704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380" w:hanging="317"/>
        <w:spacing w:after="0" w:line="20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as well as weighted average Series A preferred units outstanding for three months ended March 31, 2026 and 2025 of 58 million and 63 million, respectively.</w:t>
      </w:r>
    </w:p>
    <w:p>
      <w:pPr>
        <w:ind w:left="5440" w:hanging="93"/>
        <w:spacing w:after="0"/>
        <w:tabs>
          <w:tab w:leader="none" w:pos="54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Cash Provided by Operating Activities to Non-GAAP Financial Liquidity Measures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1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2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(2) (3)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0" w:type="dxa"/>
            <w:vAlign w:val="bottom"/>
          </w:tcPr>
          <w:p>
            <w:pPr>
              <w:spacing w:after="0"/>
              <w:rPr>
                <w:sz w:val="1"/>
                <w:szCs w:val="1"/>
                <w:color w:val="auto"/>
              </w:rPr>
            </w:pPr>
          </w:p>
        </w:tc>
      </w:tr>
      <w:tr>
        <w:trPr>
          <w:trHeight w:val="220"/>
        </w:trPr>
        <w:tc>
          <w:tcPr>
            <w:tcW w:w="8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882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(4)</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0"/>
        </w:trPr>
        <w:tc>
          <w:tcPr>
            <w:tcW w:w="882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(2)</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38"/>
        </w:trPr>
        <w:tc>
          <w:tcPr>
            <w:tcW w:w="882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(5)</w:t>
            </w:r>
          </w:p>
        </w:tc>
        <w:tc>
          <w:tcPr>
            <w:tcW w:w="74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(5) (7)</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20" w:type="dxa"/>
            <w:vAlign w:val="bottom"/>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882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(5)</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20"/>
        </w:trPr>
        <w:tc>
          <w:tcPr>
            <w:tcW w:w="882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(8)</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(9)</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(348)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(Excluding Changes in Assets &amp; Liabilities) </w:t>
            </w:r>
            <w:r>
              <w:rPr>
                <w:rFonts w:ascii="Times New Roman" w:cs="Times New Roman" w:eastAsia="Times New Roman" w:hAnsi="Times New Roman"/>
                <w:sz w:val="22"/>
                <w:szCs w:val="22"/>
                <w:color w:val="auto"/>
                <w:vertAlign w:val="superscript"/>
              </w:rPr>
              <w:t>(9)</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4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48" w:lineRule="exact"/>
        <w:rPr>
          <w:rFonts w:ascii="Times New Roman" w:cs="Times New Roman" w:eastAsia="Times New Roman" w:hAnsi="Times New Roman"/>
          <w:sz w:val="20"/>
          <w:szCs w:val="20"/>
          <w:color w:val="auto"/>
          <w:vertAlign w:val="superscript"/>
        </w:rPr>
      </w:pPr>
    </w:p>
    <w:p>
      <w:pPr>
        <w:ind w:left="320" w:right="300" w:hanging="317"/>
        <w:spacing w:after="0" w:line="219"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2"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three months ended March 31, 2025, includes a net cash outflow of $624 million for bolt-on acquisitions.</w:t>
      </w:r>
    </w:p>
    <w:p>
      <w:pPr>
        <w:spacing w:after="0" w:line="61"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60" w:hanging="317"/>
        <w:spacing w:after="0" w:line="224"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48" w:lineRule="exact"/>
        <w:rPr>
          <w:rFonts w:ascii="Times New Roman" w:cs="Times New Roman" w:eastAsia="Times New Roman" w:hAnsi="Times New Roman"/>
          <w:sz w:val="20"/>
          <w:szCs w:val="20"/>
          <w:color w:val="auto"/>
          <w:vertAlign w:val="superscript"/>
        </w:rPr>
      </w:pPr>
    </w:p>
    <w:p>
      <w:pPr>
        <w:ind w:left="320" w:right="40" w:hanging="317"/>
        <w:spacing w:after="0" w:line="224"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46" w:lineRule="exact"/>
        <w:rPr>
          <w:rFonts w:ascii="Times New Roman" w:cs="Times New Roman" w:eastAsia="Times New Roman" w:hAnsi="Times New Roman"/>
          <w:sz w:val="20"/>
          <w:szCs w:val="20"/>
          <w:color w:val="auto"/>
          <w:vertAlign w:val="superscript"/>
        </w:rPr>
      </w:pPr>
    </w:p>
    <w:p>
      <w:pPr>
        <w:ind w:left="320" w:right="620" w:hanging="317"/>
        <w:spacing w:after="0" w:line="220"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Excludes the income tax impacts related to the pending Canadian NGL Business divestiture. See the “Condensed Consolidated Cash Flow Data” table for information regarding changes in assets and liabilities.</w:t>
      </w:r>
    </w:p>
    <w:p>
      <w:pPr>
        <w:spacing w:after="0" w:line="34" w:lineRule="exact"/>
        <w:rPr>
          <w:rFonts w:ascii="Times New Roman" w:cs="Times New Roman" w:eastAsia="Times New Roman" w:hAnsi="Times New Roman"/>
          <w:sz w:val="20"/>
          <w:szCs w:val="20"/>
          <w:color w:val="auto"/>
          <w:vertAlign w:val="superscript"/>
        </w:rPr>
      </w:pPr>
    </w:p>
    <w:p>
      <w:pPr>
        <w:ind w:left="320" w:right="20" w:hanging="317"/>
        <w:spacing w:after="0" w:line="218"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ind w:left="5440" w:hanging="93"/>
        <w:spacing w:after="0"/>
        <w:tabs>
          <w:tab w:leader="none" w:pos="54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82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5"/>
                <w:szCs w:val="15"/>
                <w:b w:val="1"/>
                <w:bCs w:val="1"/>
                <w:color w:val="auto"/>
              </w:rPr>
              <w:t xml:space="preserve">Selected Items Impacting Comparability: </w:t>
            </w:r>
            <w:r>
              <w:rPr>
                <w:rFonts w:ascii="Times New Roman" w:cs="Times New Roman" w:eastAsia="Times New Roman" w:hAnsi="Times New Roman"/>
                <w:sz w:val="19"/>
                <w:szCs w:val="19"/>
                <w:b w:val="1"/>
                <w:bCs w:val="1"/>
                <w:color w:val="auto"/>
                <w:vertAlign w:val="superscript"/>
              </w:rPr>
              <w:t>(1) (2)</w:t>
            </w: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Derivative activities and inventory valuation adjustments </w:t>
            </w:r>
            <w:r>
              <w:rPr>
                <w:rFonts w:ascii="Times New Roman" w:cs="Times New Roman" w:eastAsia="Times New Roman" w:hAnsi="Times New Roman"/>
                <w:sz w:val="19"/>
                <w:szCs w:val="19"/>
                <w:color w:val="auto"/>
                <w:vertAlign w:val="superscript"/>
              </w:rPr>
              <w:t>(3)</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94"/>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Long-term inventory costing adjustments </w:t>
            </w:r>
            <w:r>
              <w:rPr>
                <w:rFonts w:ascii="Times New Roman" w:cs="Times New Roman" w:eastAsia="Times New Roman" w:hAnsi="Times New Roman"/>
                <w:sz w:val="19"/>
                <w:szCs w:val="19"/>
                <w:color w:val="auto"/>
                <w:vertAlign w:val="superscript"/>
              </w:rPr>
              <w:t>(4)</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Deficiencies under minimum volume commitments, net </w:t>
            </w:r>
            <w:r>
              <w:rPr>
                <w:rFonts w:ascii="Times New Roman" w:cs="Times New Roman" w:eastAsia="Times New Roman" w:hAnsi="Times New Roman"/>
                <w:sz w:val="19"/>
                <w:szCs w:val="19"/>
                <w:color w:val="auto"/>
                <w:vertAlign w:val="superscript"/>
              </w:rPr>
              <w:t>(5)</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94"/>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Rail fleet amortization expense related to discontinued operations </w:t>
            </w:r>
            <w:r>
              <w:rPr>
                <w:rFonts w:ascii="Times New Roman" w:cs="Times New Roman" w:eastAsia="Times New Roman" w:hAnsi="Times New Roman"/>
                <w:sz w:val="19"/>
                <w:szCs w:val="19"/>
                <w:color w:val="auto"/>
                <w:vertAlign w:val="superscript"/>
              </w:rPr>
              <w:t>(6)</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Equity-indexed compensation expense </w:t>
            </w:r>
            <w:r>
              <w:rPr>
                <w:rFonts w:ascii="Times New Roman" w:cs="Times New Roman" w:eastAsia="Times New Roman" w:hAnsi="Times New Roman"/>
                <w:sz w:val="19"/>
                <w:szCs w:val="19"/>
                <w:color w:val="auto"/>
                <w:vertAlign w:val="superscript"/>
              </w:rPr>
              <w:t>(7)</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94"/>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Foreign currency revaluation </w:t>
            </w:r>
            <w:r>
              <w:rPr>
                <w:rFonts w:ascii="Times New Roman" w:cs="Times New Roman" w:eastAsia="Times New Roman" w:hAnsi="Times New Roman"/>
                <w:sz w:val="19"/>
                <w:szCs w:val="19"/>
                <w:color w:val="auto"/>
                <w:vertAlign w:val="superscript"/>
              </w:rPr>
              <w:t>(8)</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Contingent consideration fair value adjustment </w:t>
            </w:r>
            <w:r>
              <w:rPr>
                <w:rFonts w:ascii="Times New Roman" w:cs="Times New Roman" w:eastAsia="Times New Roman" w:hAnsi="Times New Roman"/>
                <w:sz w:val="19"/>
                <w:szCs w:val="19"/>
                <w:color w:val="auto"/>
                <w:vertAlign w:val="superscript"/>
              </w:rPr>
              <w:t>(9)</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8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Transaction-related expenses </w:t>
            </w:r>
            <w:r>
              <w:rPr>
                <w:rFonts w:ascii="Times New Roman" w:cs="Times New Roman" w:eastAsia="Times New Roman" w:hAnsi="Times New Roman"/>
                <w:sz w:val="19"/>
                <w:szCs w:val="19"/>
                <w:color w:val="auto"/>
                <w:vertAlign w:val="superscript"/>
              </w:rPr>
              <w:t>(10)</w:t>
            </w:r>
          </w:p>
        </w:tc>
        <w:tc>
          <w:tcPr>
            <w:tcW w:w="7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5"/>
        </w:trPr>
        <w:tc>
          <w:tcPr>
            <w:tcW w:w="8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Selected items impacting comparability - Adjusted EBITDA</w:t>
            </w:r>
          </w:p>
        </w:tc>
        <w:tc>
          <w:tcPr>
            <w:tcW w:w="76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96"/>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investments in unconsolidated entities, net</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92"/>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Gains on asset sales and other, net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6"/>
        </w:trPr>
        <w:tc>
          <w:tcPr>
            <w:tcW w:w="882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5"/>
                <w:szCs w:val="15"/>
                <w:color w:val="auto"/>
              </w:rPr>
              <w:t xml:space="preserve">Current income tax expense related to pending Canadian NGL Business divestiture </w:t>
            </w:r>
            <w:r>
              <w:rPr>
                <w:rFonts w:ascii="Times New Roman" w:cs="Times New Roman" w:eastAsia="Times New Roman" w:hAnsi="Times New Roman"/>
                <w:sz w:val="19"/>
                <w:szCs w:val="19"/>
                <w:color w:val="auto"/>
                <w:vertAlign w:val="superscript"/>
              </w:rPr>
              <w:t>(11)</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82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5"/>
                <w:szCs w:val="15"/>
                <w:color w:val="auto"/>
              </w:rPr>
              <w:t xml:space="preserve">Deferred income tax benefit related to pending Canadian NGL Business divestiture </w:t>
            </w:r>
            <w:r>
              <w:rPr>
                <w:rFonts w:ascii="Times New Roman" w:cs="Times New Roman" w:eastAsia="Times New Roman" w:hAnsi="Times New Roman"/>
                <w:sz w:val="19"/>
                <w:szCs w:val="19"/>
                <w:color w:val="auto"/>
                <w:vertAlign w:val="superscript"/>
              </w:rPr>
              <w:t>(11)</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on selected items impacting comparability</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2"/>
        </w:trPr>
        <w:tc>
          <w:tcPr>
            <w:tcW w:w="8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Aggregate selected items impacting noncontrolling interests</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13"/>
        </w:trPr>
        <w:tc>
          <w:tcPr>
            <w:tcW w:w="8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Selected items impacting comparability - Adjusted net income attributable to PAA</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6" w:lineRule="exact"/>
        <w:rPr>
          <w:sz w:val="20"/>
          <w:szCs w:val="20"/>
          <w:color w:val="auto"/>
        </w:rPr>
      </w:pPr>
    </w:p>
    <w:p>
      <w:pPr>
        <w:ind w:left="320" w:right="160" w:hanging="317"/>
        <w:spacing w:after="0" w:line="221"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51" w:lineRule="exact"/>
        <w:rPr>
          <w:rFonts w:ascii="Times New Roman" w:cs="Times New Roman" w:eastAsia="Times New Roman" w:hAnsi="Times New Roman"/>
          <w:sz w:val="16"/>
          <w:szCs w:val="16"/>
          <w:color w:val="auto"/>
          <w:vertAlign w:val="superscript"/>
        </w:rPr>
      </w:pPr>
    </w:p>
    <w:p>
      <w:pPr>
        <w:ind w:left="320" w:hanging="317"/>
        <w:spacing w:after="0" w:line="235"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41" w:lineRule="exact"/>
        <w:rPr>
          <w:rFonts w:ascii="Times New Roman" w:cs="Times New Roman" w:eastAsia="Times New Roman" w:hAnsi="Times New Roman"/>
          <w:sz w:val="16"/>
          <w:szCs w:val="16"/>
          <w:color w:val="auto"/>
          <w:vertAlign w:val="superscript"/>
        </w:rPr>
      </w:pPr>
    </w:p>
    <w:p>
      <w:pPr>
        <w:ind w:left="320" w:right="60" w:hanging="317"/>
        <w:spacing w:after="0" w:line="238"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0" w:lineRule="exact"/>
        <w:rPr>
          <w:rFonts w:ascii="Times New Roman" w:cs="Times New Roman" w:eastAsia="Times New Roman" w:hAnsi="Times New Roman"/>
          <w:sz w:val="16"/>
          <w:szCs w:val="16"/>
          <w:color w:val="auto"/>
          <w:vertAlign w:val="superscript"/>
        </w:rPr>
      </w:pPr>
    </w:p>
    <w:p>
      <w:pPr>
        <w:ind w:left="320" w:right="20" w:hanging="317"/>
        <w:spacing w:after="0" w:line="242"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52" w:lineRule="exact"/>
        <w:rPr>
          <w:rFonts w:ascii="Times New Roman" w:cs="Times New Roman" w:eastAsia="Times New Roman" w:hAnsi="Times New Roman"/>
          <w:sz w:val="16"/>
          <w:szCs w:val="16"/>
          <w:color w:val="auto"/>
          <w:vertAlign w:val="superscript"/>
        </w:rPr>
      </w:pPr>
    </w:p>
    <w:p>
      <w:pPr>
        <w:ind w:left="320" w:right="140" w:hanging="317"/>
        <w:spacing w:after="0" w:line="233"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spacing w:after="0" w:line="39" w:lineRule="exact"/>
        <w:rPr>
          <w:rFonts w:ascii="Times New Roman" w:cs="Times New Roman" w:eastAsia="Times New Roman" w:hAnsi="Times New Roman"/>
          <w:sz w:val="16"/>
          <w:szCs w:val="16"/>
          <w:color w:val="auto"/>
          <w:vertAlign w:val="superscript"/>
        </w:rPr>
      </w:pPr>
    </w:p>
    <w:p>
      <w:pPr>
        <w:ind w:left="320" w:right="40" w:hanging="317"/>
        <w:spacing w:after="0" w:line="238"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0" w:lineRule="exact"/>
        <w:rPr>
          <w:rFonts w:ascii="Times New Roman" w:cs="Times New Roman" w:eastAsia="Times New Roman" w:hAnsi="Times New Roman"/>
          <w:sz w:val="16"/>
          <w:szCs w:val="16"/>
          <w:color w:val="auto"/>
          <w:vertAlign w:val="superscript"/>
        </w:rPr>
      </w:pPr>
    </w:p>
    <w:p>
      <w:pPr>
        <w:ind w:left="320" w:right="160" w:hanging="317"/>
        <w:spacing w:after="0" w:line="221"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39" w:lineRule="exact"/>
        <w:rPr>
          <w:rFonts w:ascii="Times New Roman" w:cs="Times New Roman" w:eastAsia="Times New Roman" w:hAnsi="Times New Roman"/>
          <w:sz w:val="16"/>
          <w:szCs w:val="16"/>
          <w:color w:val="auto"/>
          <w:vertAlign w:val="superscript"/>
        </w:rPr>
      </w:pPr>
    </w:p>
    <w:p>
      <w:pPr>
        <w:ind w:left="320" w:right="20" w:hanging="317"/>
        <w:spacing w:after="0" w:line="231" w:lineRule="auto"/>
        <w:tabs>
          <w:tab w:leader="none" w:pos="308"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agreed to potential earnout payments associated with recently completed acquisitions, primarily our Cactus III acquisition. We consider the non-cash change in the estimated fair value of such earnout payments as a selected item impacting comparability.</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related to deal-specific costs incurred during the period.</w:t>
      </w:r>
    </w:p>
    <w:p>
      <w:pPr>
        <w:spacing w:after="0" w:line="50" w:lineRule="exact"/>
        <w:rPr>
          <w:rFonts w:ascii="Times New Roman" w:cs="Times New Roman" w:eastAsia="Times New Roman" w:hAnsi="Times New Roman"/>
          <w:sz w:val="16"/>
          <w:szCs w:val="16"/>
          <w:color w:val="auto"/>
          <w:vertAlign w:val="superscript"/>
        </w:rPr>
      </w:pPr>
    </w:p>
    <w:p>
      <w:pPr>
        <w:ind w:left="320" w:right="280" w:hanging="317"/>
        <w:spacing w:after="0" w:line="196" w:lineRule="auto"/>
        <w:tabs>
          <w:tab w:leader="none" w:pos="305"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connection with the pending Canadian NGL Business divestiture, we have continued to progress certain planning and restructuring activities within our organizational structure. Certain of these activities had income tax consequences that required recognition during the first quarter of 2026. We consider the impacts related to the pending Canadian NGL Business divestiture as a selected item impacting comparability.</w:t>
      </w:r>
    </w:p>
    <w:p>
      <w:pPr>
        <w:spacing w:after="0" w:line="1"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CRUDE OIL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82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11,439</w:t>
            </w:r>
          </w:p>
        </w:tc>
      </w:tr>
      <w:tr>
        <w:trPr>
          <w:trHeight w:val="220"/>
        </w:trPr>
        <w:tc>
          <w:tcPr>
            <w:tcW w:w="88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(10,488)</w:t>
            </w: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20"/>
        </w:trPr>
        <w:tc>
          <w:tcPr>
            <w:tcW w:w="88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155"/>
        </w:trPr>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82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3"/>
        </w:trPr>
        <w:tc>
          <w:tcPr>
            <w:tcW w:w="8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Crude Oil Segment Adjusted EBITDA / Adjusted EBITDA from Crude Oil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Crude Oil maintenance capital expenditures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
        </w:trPr>
        <w:tc>
          <w:tcPr>
            <w:tcW w:w="3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209" w:lineRule="auto"/>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ind w:left="5440" w:hanging="93"/>
        <w:spacing w:after="0"/>
        <w:tabs>
          <w:tab w:leader="none" w:pos="54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NGL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82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88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0"/>
        </w:trPr>
        <w:tc>
          <w:tcPr>
            <w:tcW w:w="88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882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88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NGL Segment Adjusted EBITDA </w:t>
            </w:r>
            <w:r>
              <w:rPr>
                <w:rFonts w:ascii="Times New Roman" w:cs="Times New Roman" w:eastAsia="Times New Roman" w:hAnsi="Times New Roman"/>
                <w:sz w:val="22"/>
                <w:szCs w:val="22"/>
                <w:color w:val="auto"/>
                <w:vertAlign w:val="superscript"/>
              </w:rPr>
              <w:t>(4)</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82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(5)</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3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from NGL</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continuing operations</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8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discontinued operations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8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 maintenance capital expenditures</w:t>
            </w:r>
          </w:p>
        </w:tc>
        <w:tc>
          <w:tcPr>
            <w:tcW w:w="78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intersegment amounts.</w:t>
      </w:r>
    </w:p>
    <w:p>
      <w:pPr>
        <w:spacing w:after="0" w:line="52" w:lineRule="exact"/>
        <w:rPr>
          <w:rFonts w:ascii="Times New Roman" w:cs="Times New Roman" w:eastAsia="Times New Roman" w:hAnsi="Times New Roman"/>
          <w:sz w:val="22"/>
          <w:szCs w:val="22"/>
          <w:color w:val="auto"/>
          <w:vertAlign w:val="superscript"/>
        </w:rPr>
      </w:pPr>
    </w:p>
    <w:p>
      <w:pPr>
        <w:ind w:left="320" w:right="140" w:hanging="317"/>
        <w:spacing w:after="0" w:line="22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6"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excludes amounts related to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420" w:hanging="317"/>
        <w:spacing w:after="0" w:line="22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table for a reconciliation to the most directly comparable measure as reported in accordance with GAAP.</w:t>
      </w:r>
    </w:p>
    <w:p>
      <w:pPr>
        <w:spacing w:after="0" w:line="17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DISCONTINUED OPERATIONS DETAIL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Income/(Loss) from Discontinued Operations, Net of Tax:</w:t>
      </w:r>
    </w:p>
    <w:p>
      <w:pPr>
        <w:spacing w:after="0" w:line="13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Field operating costs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Losses on asset sales and other, net</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Income/(loss) from discontinued operations before tax</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Income/(loss) from discontinued operations,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EBITDA from NGL Discontinued Operations:</w:t>
            </w: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6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Income/(loss) from discontinued operations, net of tax</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2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 from discontinued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from discontinued operations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Losses on asset sales and other, net from discontinued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attributable to discontinued operations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Rail fleet amortization expense related to discontinued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Adjusted EBITDA from NGL Discontinued Operations</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table for additional information.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Capital from NGL Discontinued Operations:</w:t>
      </w:r>
    </w:p>
    <w:p>
      <w:pPr>
        <w:spacing w:after="0" w:line="136"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NGL investment capital expenditures from discontinued operations</w:t>
            </w:r>
          </w:p>
        </w:tc>
        <w:tc>
          <w:tcPr>
            <w:tcW w:w="2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59"/>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220" w:type="dxa"/>
            <w:vAlign w:val="bottom"/>
          </w:tcPr>
          <w:p>
            <w:pPr>
              <w:jc w:val="center"/>
              <w:ind w:right="374"/>
              <w:spacing w:after="0"/>
              <w:rPr>
                <w:sz w:val="20"/>
                <w:szCs w:val="20"/>
                <w:color w:val="auto"/>
              </w:rPr>
            </w:pPr>
            <w:r>
              <w:rPr>
                <w:rFonts w:ascii="Times New Roman" w:cs="Times New Roman" w:eastAsia="Times New Roman" w:hAnsi="Times New Roman"/>
                <w:sz w:val="17"/>
                <w:szCs w:val="17"/>
                <w:color w:val="auto"/>
              </w:rPr>
              <w:t>- more -</w:t>
            </w:r>
          </w:p>
        </w:tc>
        <w:tc>
          <w:tcPr>
            <w:tcW w:w="1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29"/>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220" w:type="dxa"/>
            <w:vAlign w:val="bottom"/>
          </w:tcPr>
          <w:p>
            <w:pPr>
              <w:jc w:val="center"/>
              <w:ind w:right="3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740" w:type="dxa"/>
            <w:vAlign w:val="bottom"/>
            <w:gridSpan w:val="2"/>
          </w:tcPr>
          <w:p>
            <w:pPr>
              <w:jc w:val="right"/>
              <w:ind w:right="43"/>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line="21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 pipeline tariff (by region)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882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r>
      <w:tr>
        <w:trPr>
          <w:trHeight w:val="220"/>
        </w:trPr>
        <w:tc>
          <w:tcPr>
            <w:tcW w:w="882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20"/>
        </w:trPr>
        <w:tc>
          <w:tcPr>
            <w:tcW w:w="882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0"/>
        </w:trPr>
        <w:tc>
          <w:tcPr>
            <w:tcW w:w="882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0"/>
        </w:trPr>
        <w:tc>
          <w:tcPr>
            <w:tcW w:w="882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r>
      <w:tr>
        <w:trPr>
          <w:trHeight w:val="220"/>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Western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0"/>
        </w:trPr>
        <w:tc>
          <w:tcPr>
            <w:tcW w:w="8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13"/>
        </w:trPr>
        <w:tc>
          <w:tcPr>
            <w:tcW w:w="882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9,086</w:t>
            </w:r>
          </w:p>
        </w:tc>
      </w:tr>
      <w:tr>
        <w:trPr>
          <w:trHeight w:val="207"/>
        </w:trPr>
        <w:tc>
          <w:tcPr>
            <w:tcW w:w="388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0"/>
        </w:trPr>
        <w:tc>
          <w:tcPr>
            <w:tcW w:w="882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Volumes </w:t>
            </w:r>
            <w:r>
              <w:rPr>
                <w:rFonts w:ascii="Times New Roman" w:cs="Times New Roman" w:eastAsia="Times New Roman" w:hAnsi="Times New Roman"/>
                <w:sz w:val="22"/>
                <w:szCs w:val="22"/>
                <w:b w:val="1"/>
                <w:bCs w:val="1"/>
                <w:color w:val="auto"/>
                <w:vertAlign w:val="superscript"/>
              </w:rPr>
              <w:t>(3)</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8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NGL pipeline tariff</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20"/>
        </w:trPr>
        <w:tc>
          <w:tcPr>
            <w:tcW w:w="8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155"/>
        </w:trPr>
        <w:tc>
          <w:tcPr>
            <w:tcW w:w="3880" w:type="dxa"/>
            <w:vAlign w:val="bottom"/>
            <w:tcBorders>
              <w:bottom w:val="single" w:sz="8" w:color="auto"/>
            </w:tcBorders>
          </w:tcPr>
          <w:p>
            <w:pPr>
              <w:spacing w:after="0"/>
              <w:rPr>
                <w:sz w:val="13"/>
                <w:szCs w:val="13"/>
                <w:color w:val="auto"/>
              </w:rPr>
            </w:pPr>
          </w:p>
        </w:tc>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84" w:lineRule="auto"/>
        <w:tabs>
          <w:tab w:leader="none" w:pos="3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volumes from assets associated with continuing operations and discontinued operations.</w:t>
      </w:r>
    </w:p>
    <w:p>
      <w:pPr>
        <w:ind w:left="5440" w:hanging="93"/>
        <w:spacing w:after="0"/>
        <w:tabs>
          <w:tab w:leader="none" w:pos="54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SUPPLEMENTAL 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Adjusted EBITDA attributable to PAA Reconciliation:</w:t>
      </w:r>
    </w:p>
    <w:p>
      <w:pPr>
        <w:spacing w:after="0" w:line="28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8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2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6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20"/>
        </w:trPr>
        <w:tc>
          <w:tcPr>
            <w:tcW w:w="86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(2)</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868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(3)</w:t>
            </w: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4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3" w:lineRule="exact"/>
        <w:rPr>
          <w:sz w:val="20"/>
          <w:szCs w:val="20"/>
          <w:color w:val="auto"/>
        </w:rPr>
      </w:pPr>
    </w:p>
    <w:p>
      <w:pPr>
        <w:ind w:left="320" w:right="380" w:hanging="317"/>
        <w:spacing w:after="0" w:line="230" w:lineRule="auto"/>
        <w:tabs>
          <w:tab w:leader="none" w:pos="30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table for a reconciliation to the most directly comparable measure as reported in accordance with GAAP.</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37" w:lineRule="auto"/>
        <w:tabs>
          <w:tab w:leader="none" w:pos="30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7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asset sales and other, net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7"/>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11,122</w:t>
            </w:r>
          </w:p>
        </w:tc>
        <w:tc>
          <w:tcPr>
            <w:tcW w:w="0" w:type="dxa"/>
            <w:vAlign w:val="bottom"/>
          </w:tcPr>
          <w:p>
            <w:pPr>
              <w:spacing w:after="0"/>
              <w:rPr>
                <w:sz w:val="1"/>
                <w:szCs w:val="1"/>
                <w:color w:val="auto"/>
              </w:rPr>
            </w:pPr>
          </w:p>
        </w:tc>
      </w:tr>
      <w:tr>
        <w:trPr>
          <w:trHeight w:val="106"/>
        </w:trPr>
        <w:tc>
          <w:tcPr>
            <w:tcW w:w="3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05"/>
        </w:trPr>
        <w:tc>
          <w:tcPr>
            <w:tcW w:w="3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income/(expense), net</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Deferred income tax benefit/(expense) from continuing</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NET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05"/>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INCOME/(LOSS) FROM DISCONTINUED</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OPERATIONS, NET OF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2"/>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right w:val="single" w:sz="8" w:color="auto"/>
            </w:tcBorders>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and diluted net income/(loss)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87" w:lineRule="auto"/>
        <w:tabs>
          <w:tab w:leader="none" w:pos="3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“Computation of Basic and Diluted Net Income Per Class A Share” table for additional information.</w:t>
      </w:r>
    </w:p>
    <w:p>
      <w:pPr>
        <w:ind w:left="5440" w:hanging="93"/>
        <w:spacing w:after="0"/>
        <w:tabs>
          <w:tab w:leader="none" w:pos="54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56"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assets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4,704</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1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31,636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32,760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31,276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3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liabilities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9,118</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17,060</w:t>
            </w: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12,871</w:t>
            </w:r>
          </w:p>
        </w:tc>
      </w:tr>
      <w:tr>
        <w:trPr>
          <w:trHeight w:val="21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14,216</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31,636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32,760</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31,276</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assets of discontinued operations of $602 million and $479 million as of March 31, 2026 and December 31, 2025, respectively.</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$561 million and $382 million as of March 31, 2026 and December 31, 2025, respectively.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90"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Income/(Loss) per Class A Share</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8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 attributable to PAGP from continuing operations</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45"/>
        </w:trPr>
        <w:tc>
          <w:tcPr>
            <w:tcW w:w="8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0"/>
        </w:trPr>
        <w:tc>
          <w:tcPr>
            <w:tcW w:w="8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income/(loss) attributable to PAGP from discontinued operations</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5"/>
        </w:trPr>
        <w:tc>
          <w:tcPr>
            <w:tcW w:w="8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0"/>
        </w:trPr>
        <w:tc>
          <w:tcPr>
            <w:tcW w:w="8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45"/>
        </w:trPr>
        <w:tc>
          <w:tcPr>
            <w:tcW w:w="88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0"/>
        </w:trPr>
        <w:tc>
          <w:tcPr>
            <w:tcW w:w="8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and Diluted Net Income/(Loss) per Class A Share:</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Continuing operations</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r>
      <w:tr>
        <w:trPr>
          <w:trHeight w:val="220"/>
        </w:trPr>
        <w:tc>
          <w:tcPr>
            <w:tcW w:w="8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Discontinued operations</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r>
      <w:tr>
        <w:trPr>
          <w:trHeight w:val="238"/>
        </w:trPr>
        <w:tc>
          <w:tcPr>
            <w:tcW w:w="8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50"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4" w:lineRule="exact"/>
        <w:rPr>
          <w:sz w:val="20"/>
          <w:szCs w:val="20"/>
          <w:color w:val="auto"/>
        </w:rPr>
      </w:pPr>
    </w:p>
    <w:p>
      <w:pPr>
        <w:ind w:left="620" w:right="480" w:hanging="307"/>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3"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4" w:lineRule="exact"/>
        <w:rPr>
          <w:rFonts w:ascii="Times New Roman" w:cs="Times New Roman" w:eastAsia="Times New Roman" w:hAnsi="Times New Roman"/>
          <w:sz w:val="17"/>
          <w:szCs w:val="17"/>
          <w:i w:val="1"/>
          <w:iCs w:val="1"/>
          <w:color w:val="auto"/>
        </w:rPr>
      </w:pPr>
    </w:p>
    <w:p>
      <w:pPr>
        <w:ind w:left="620" w:right="120" w:hanging="307"/>
        <w:spacing w:after="0" w:line="26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0" w:lineRule="exact"/>
        <w:rPr>
          <w:rFonts w:ascii="Times New Roman" w:cs="Times New Roman" w:eastAsia="Times New Roman" w:hAnsi="Times New Roman"/>
          <w:sz w:val="17"/>
          <w:szCs w:val="17"/>
          <w:color w:val="auto"/>
        </w:rPr>
      </w:pPr>
    </w:p>
    <w:p>
      <w:pPr>
        <w:ind w:left="620" w:right="50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global geopolitical events, including conflicts in the Middle East and elsewhere, on commodity price volatility and crude oil supply and demand, as well as broader impacts on financial markets and the global macroeconomic environment;</w:t>
      </w:r>
    </w:p>
    <w:p>
      <w:pPr>
        <w:spacing w:after="0" w:line="21"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01"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2" w:lineRule="exact"/>
        <w:rPr>
          <w:rFonts w:ascii="Times New Roman" w:cs="Times New Roman" w:eastAsia="Times New Roman" w:hAnsi="Times New Roman"/>
          <w:sz w:val="17"/>
          <w:szCs w:val="17"/>
          <w:color w:val="auto"/>
        </w:rPr>
      </w:pPr>
    </w:p>
    <w:p>
      <w:pPr>
        <w:ind w:left="5440" w:hanging="93"/>
        <w:spacing w:after="0"/>
        <w:tabs>
          <w:tab w:leader="none" w:pos="54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25" w:lineRule="exact"/>
        <w:rPr>
          <w:sz w:val="20"/>
          <w:szCs w:val="20"/>
          <w:color w:val="auto"/>
        </w:rPr>
      </w:pPr>
    </w:p>
    <w:p>
      <w:pPr>
        <w:ind w:left="620" w:right="1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 and realize benefits therefrom, including the Canadian NGL Business divestiture (as defined herein);</w:t>
      </w:r>
    </w:p>
    <w:p>
      <w:pPr>
        <w:spacing w:after="0" w:line="3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14"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4"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34"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hurricanes, floods, wildfires and drought);</w:t>
      </w:r>
    </w:p>
    <w:p>
      <w:pPr>
        <w:spacing w:after="0" w:line="21" w:lineRule="exact"/>
        <w:rPr>
          <w:rFonts w:ascii="Times New Roman" w:cs="Times New Roman" w:eastAsia="Times New Roman" w:hAnsi="Times New Roman"/>
          <w:sz w:val="17"/>
          <w:szCs w:val="17"/>
          <w:color w:val="auto"/>
        </w:rPr>
      </w:pPr>
    </w:p>
    <w:p>
      <w:pPr>
        <w:ind w:left="620" w:right="180" w:hanging="307"/>
        <w:spacing w:after="0" w:line="26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54"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14" w:lineRule="exact"/>
        <w:rPr>
          <w:rFonts w:ascii="Times New Roman" w:cs="Times New Roman" w:eastAsia="Times New Roman" w:hAnsi="Times New Roman"/>
          <w:sz w:val="17"/>
          <w:szCs w:val="17"/>
          <w:color w:val="auto"/>
        </w:rPr>
      </w:pPr>
    </w:p>
    <w:p>
      <w:pPr>
        <w:ind w:left="620" w:right="20" w:hanging="307"/>
        <w:spacing w:after="0" w:line="26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88"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101" w:lineRule="exact"/>
        <w:rPr>
          <w:rFonts w:ascii="Times New Roman" w:cs="Times New Roman" w:eastAsia="Times New Roman" w:hAnsi="Times New Roman"/>
          <w:sz w:val="17"/>
          <w:szCs w:val="17"/>
          <w:color w:val="auto"/>
        </w:rPr>
      </w:pPr>
    </w:p>
    <w:p>
      <w:pPr>
        <w:jc w:val="both"/>
        <w:ind w:left="620" w:right="1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88"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realize anticipated benefits from operational and organizational streamlining and efficiency efforts and initiatives;</w:t>
      </w:r>
    </w:p>
    <w:p>
      <w:pPr>
        <w:spacing w:after="0" w:line="10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62" w:lineRule="exact"/>
        <w:rPr>
          <w:rFonts w:ascii="Times New Roman" w:cs="Times New Roman" w:eastAsia="Times New Roman" w:hAnsi="Times New Roman"/>
          <w:sz w:val="17"/>
          <w:szCs w:val="17"/>
          <w:color w:val="auto"/>
        </w:rPr>
      </w:pPr>
    </w:p>
    <w:p>
      <w:pPr>
        <w:ind w:left="5440" w:hanging="93"/>
        <w:spacing w:after="0"/>
        <w:tabs>
          <w:tab w:leader="none" w:pos="54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auto"/>
        </w:rPr>
        <w:t>Page 25</w:t>
      </w:r>
    </w:p>
    <w:p>
      <w:pPr>
        <w:spacing w:after="0" w:line="200" w:lineRule="exact"/>
        <w:rPr>
          <w:sz w:val="20"/>
          <w:szCs w:val="20"/>
          <w:color w:val="auto"/>
        </w:rPr>
      </w:pPr>
    </w:p>
    <w:p>
      <w:pPr>
        <w:spacing w:after="0" w:line="225"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88"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deferral of current revenue recognition attributable to deficiency payments received from customers who fail to ship or move their minimum contracted volumes;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01" w:lineRule="exact"/>
        <w:rPr>
          <w:rFonts w:ascii="Times New Roman" w:cs="Times New Roman" w:eastAsia="Times New Roman" w:hAnsi="Times New Roman"/>
          <w:sz w:val="17"/>
          <w:szCs w:val="17"/>
          <w:color w:val="auto"/>
        </w:rPr>
      </w:pPr>
    </w:p>
    <w:p>
      <w:pPr>
        <w:ind w:left="620" w:hanging="307"/>
        <w:spacing w:after="0" w:line="285"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ind w:left="5440" w:hanging="93"/>
        <w:spacing w:after="0"/>
        <w:tabs>
          <w:tab w:leader="none" w:pos="54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60"/>
          </w:cols>
          <w:pgMar w:left="320" w:top="356"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auto"/>
        </w:rPr>
        <w:t>Page 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Ross Hovde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lvl w:ilvl="1">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lvl w:ilvl="1">
      <w:lvlJc w:val="left"/>
      <w:lvlText w:val="-"/>
      <w:numFmt w:val="bullet"/>
      <w:start w:val="1"/>
    </w:lvl>
  </w:abstractNum>
  <w:abstractNum w:abstractNumId="9">
    <w:nsid w:val="7C83E458"/>
    <w:multiLevelType w:val="hybridMultilevel"/>
    <w:lvl w:ilvl="0">
      <w:lvlJc w:val="left"/>
      <w:lvlText w:val="(%1)"/>
      <w:numFmt w:val="decimal"/>
      <w:start w:val="1"/>
    </w:lvl>
    <w:lvl w:ilvl="1">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lvl w:ilvl="1">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1"/>
    </w:lvl>
    <w:lvl w:ilvl="1">
      <w:lvlJc w:val="left"/>
      <w:lvlText w:val="-"/>
      <w:numFmt w:val="bullet"/>
      <w:start w:val="1"/>
    </w:lvl>
  </w:abstractNum>
  <w:abstractNum w:abstractNumId="18">
    <w:nsid w:val="6763845E"/>
    <w:multiLevelType w:val="hybridMultilevel"/>
    <w:lvl w:ilvl="0">
      <w:lvlJc w:val="left"/>
      <w:lvlText w:val="(%1)"/>
      <w:numFmt w:val="decimal"/>
      <w:start w:val="3"/>
    </w:lvl>
    <w:lvl w:ilvl="1">
      <w:lvlJc w:val="left"/>
      <w:lvlText w:val="-"/>
      <w:numFmt w:val="bullet"/>
      <w:start w:val="1"/>
    </w:lvl>
  </w:abstractNum>
  <w:abstractNum w:abstractNumId="19">
    <w:nsid w:val="75A2A8D4"/>
    <w:multiLevelType w:val="hybridMultilevel"/>
    <w:lvl w:ilvl="0">
      <w:lvlJc w:val="left"/>
      <w:lvlText w:val="(%1)"/>
      <w:numFmt w:val="decimal"/>
      <w:start w:val="1"/>
    </w:lvl>
    <w:lvl w:ilvl="1">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lvl w:ilvl="1">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lvl w:ilvl="1">
      <w:lvlJc w:val="left"/>
      <w:lvlText w:val="-"/>
      <w:numFmt w:val="bullet"/>
      <w:start w:val="1"/>
    </w:lvl>
  </w:abstractNum>
  <w:abstractNum w:abstractNumId="26">
    <w:nsid w:val="71F32454"/>
    <w:multiLevelType w:val="hybridMultilevel"/>
    <w:lvl w:ilvl="0">
      <w:lvlJc w:val="left"/>
      <w:lvlText w:val="•"/>
      <w:numFmt w:val="bullet"/>
      <w:start w:val="1"/>
    </w:lvl>
    <w:lvl w:ilvl="1">
      <w:lvlJc w:val="left"/>
      <w:lvlText w:val="-"/>
      <w:numFmt w:val="bullet"/>
      <w:start w:val="1"/>
    </w:lvl>
  </w:abstractNum>
  <w:abstractNum w:abstractNumId="27">
    <w:nsid w:val="2CA8861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2026-05-08T07:51:34Z</dcterms:created>
  <dcterms:modified xsi:type="dcterms:W3CDTF">2026-05-08T07:51:34Z</dcterms:modified>
</cp:coreProperties>
</file>