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20" w:type="dxa"/>
            <w:vAlign w:val="bottom"/>
            <w:vMerge w:val="restart"/>
          </w:tcPr>
          <w:p>
            <w:pPr>
              <w:jc w:val="center"/>
              <w:ind w:right="33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22225</wp:posOffset>
            </wp:positionV>
            <wp:extent cx="7326630" cy="6329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6329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560"/>
            <w:col w:w="8720"/>
          </w:cols>
          <w:pgMar w:left="240" w:top="217" w:right="139" w:bottom="6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vonBerg John</w:t>
        </w:r>
      </w:hyperlink>
    </w:p>
    <w:p>
      <w:pPr>
        <w:spacing w:after="0" w:line="29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3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PLAINS GP HOLDINGS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PAGP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02/09/2016</w:t>
      </w:r>
    </w:p>
    <w:p>
      <w:pPr>
        <w:spacing w:after="0" w:line="20" w:lineRule="exact"/>
        <w:rPr>
          <w:sz w:val="24"/>
          <w:szCs w:val="24"/>
          <w:color w:val="auto"/>
        </w:rPr>
      </w:pPr>
      <w:r>
        <w:rPr>
          <w:sz w:val="24"/>
          <w:szCs w:val="24"/>
          <w:color w:val="auto"/>
        </w:rPr>
        <w:br w:type="column"/>
      </w:r>
    </w:p>
    <w:p>
      <w:pPr>
        <w:ind w:left="4" w:right="780" w:hanging="4"/>
        <w:spacing w:after="0" w:line="25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4"/>
        <w:spacing w:after="0"/>
        <w:rPr>
          <w:sz w:val="20"/>
          <w:szCs w:val="20"/>
          <w:color w:val="auto"/>
        </w:rPr>
      </w:pPr>
      <w:r>
        <w:rPr>
          <w:rFonts w:ascii="Times New Roman" w:cs="Times New Roman" w:eastAsia="Times New Roman" w:hAnsi="Times New Roman"/>
          <w:sz w:val="17"/>
          <w:szCs w:val="17"/>
          <w:color w:val="0000FF"/>
        </w:rPr>
        <w:t>EVP - Commercial Activities</w:t>
      </w:r>
    </w:p>
    <w:p>
      <w:pPr>
        <w:spacing w:after="0" w:line="327" w:lineRule="exact"/>
        <w:rPr>
          <w:sz w:val="24"/>
          <w:szCs w:val="24"/>
          <w:color w:val="auto"/>
        </w:rPr>
      </w:pPr>
    </w:p>
    <w:p>
      <w:pPr>
        <w:sectPr>
          <w:pgSz w:w="11900" w:h="16838" w:orient="portrait"/>
          <w:cols w:equalWidth="0" w:num="3">
            <w:col w:w="3340" w:space="720"/>
            <w:col w:w="3256" w:space="720"/>
            <w:col w:w="3484"/>
          </w:cols>
          <w:pgMar w:left="240" w:top="217" w:right="139" w:bottom="640" w:gutter="0" w:footer="0" w:header="0"/>
          <w:type w:val="continuous"/>
        </w:sectPr>
      </w:pP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3"/>
                <w:szCs w:val="13"/>
                <w:color w:val="auto"/>
                <w:w w:val="98"/>
              </w:rPr>
              <w:t>4. If Amendment, Date of Original Filed (Month/Day/Year)</w:t>
            </w:r>
          </w:p>
        </w:tc>
        <w:tc>
          <w:tcPr>
            <w:tcW w:w="18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3420" w:type="dxa"/>
            <w:vAlign w:val="bottom"/>
            <w:tcBorders>
              <w:top w:val="single" w:sz="8" w:color="2C2C2C"/>
            </w:tcBorders>
            <w:gridSpan w:val="9"/>
            <w:vMerge w:val="restart"/>
          </w:tcPr>
          <w:p>
            <w:pPr>
              <w:jc w:val="center"/>
              <w:ind w:right="25"/>
              <w:spacing w:after="0"/>
              <w:rPr>
                <w:sz w:val="20"/>
                <w:szCs w:val="20"/>
                <w:color w:val="auto"/>
              </w:rPr>
            </w:pPr>
            <w:r>
              <w:rPr>
                <w:rFonts w:ascii="Arial" w:cs="Arial" w:eastAsia="Arial" w:hAnsi="Arial"/>
                <w:sz w:val="13"/>
                <w:szCs w:val="13"/>
                <w:color w:val="auto"/>
                <w:w w:val="98"/>
              </w:rPr>
              <w:t>6. Individual or Joint/Group Filing (Check Applicable Line)</w:t>
            </w:r>
          </w:p>
        </w:tc>
        <w:tc>
          <w:tcPr>
            <w:tcW w:w="1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8"/>
              </w:rPr>
              <w:t>TX</w:t>
            </w:r>
          </w:p>
        </w:tc>
        <w:tc>
          <w:tcPr>
            <w:tcW w:w="960" w:type="dxa"/>
            <w:vAlign w:val="bottom"/>
          </w:tcPr>
          <w:p>
            <w:pPr>
              <w:spacing w:after="0"/>
              <w:rPr>
                <w:sz w:val="3"/>
                <w:szCs w:val="3"/>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34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20" w:type="dxa"/>
            <w:vAlign w:val="bottom"/>
            <w:gridSpan w:val="9"/>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320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7"/>
                <w:szCs w:val="7"/>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2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280" w:type="dxa"/>
            <w:vAlign w:val="bottom"/>
            <w:tcBorders>
              <w:bottom w:val="single" w:sz="8" w:color="2C2C2C"/>
            </w:tcBorders>
            <w:gridSpan w:val="9"/>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65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2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00"/>
              <w:spacing w:after="0" w:line="123"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3"/>
          </w:tcPr>
          <w:p>
            <w:pPr>
              <w:ind w:left="460"/>
              <w:spacing w:after="0" w:line="12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80"/>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3"/>
          </w:tcPr>
          <w:p>
            <w:pPr>
              <w:ind w:left="460"/>
              <w:spacing w:after="0" w:line="128"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Owned Following    (I) (Instr. 4)</w:t>
            </w:r>
          </w:p>
        </w:tc>
        <w:tc>
          <w:tcPr>
            <w:tcW w:w="11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87"/>
              </w:rPr>
              <w:t>(A) or</w:t>
            </w: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1"/>
                <w:szCs w:val="11"/>
                <w:color w:val="auto"/>
              </w:rPr>
            </w:pPr>
          </w:p>
        </w:tc>
        <w:tc>
          <w:tcPr>
            <w:tcW w:w="480" w:type="dxa"/>
            <w:vAlign w:val="bottom"/>
            <w:vMerge w:val="restart"/>
          </w:tcPr>
          <w:p>
            <w:pPr>
              <w:jc w:val="center"/>
              <w:ind w:left="123"/>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360" w:type="dxa"/>
            <w:vAlign w:val="bottom"/>
            <w:tcBorders>
              <w:bottom w:val="single" w:sz="8" w:color="2C2C2C"/>
            </w:tcBorders>
            <w:gridSpan w:val="6"/>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Shares representing limited partner</w:t>
            </w:r>
          </w:p>
        </w:tc>
        <w:tc>
          <w:tcPr>
            <w:tcW w:w="1060" w:type="dxa"/>
            <w:vAlign w:val="bottom"/>
            <w:gridSpan w:val="4"/>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02/09/2016</w:t>
            </w:r>
          </w:p>
        </w:tc>
        <w:tc>
          <w:tcPr>
            <w:tcW w:w="1060" w:type="dxa"/>
            <w:vAlign w:val="bottom"/>
          </w:tcPr>
          <w:p>
            <w:pPr>
              <w:spacing w:after="0"/>
              <w:rPr>
                <w:sz w:val="21"/>
                <w:szCs w:val="21"/>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1,423,264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vMerge w:val="restart"/>
          </w:tcPr>
          <w:p>
            <w:pPr>
              <w:jc w:val="right"/>
              <w:ind w:right="10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3,423,264</w:t>
            </w:r>
          </w:p>
        </w:tc>
        <w:tc>
          <w:tcPr>
            <w:tcW w:w="30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interests</w:t>
            </w: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B Shares representing limited partner</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917,262</w:t>
            </w:r>
            <w:r>
              <w:rPr>
                <w:rFonts w:ascii="Times New Roman" w:cs="Times New Roman" w:eastAsia="Times New Roman" w:hAnsi="Times New Roman"/>
                <w:sz w:val="21"/>
                <w:szCs w:val="21"/>
                <w:color w:val="008000"/>
                <w:w w:val="88"/>
                <w:vertAlign w:val="superscript"/>
              </w:rPr>
              <w:t>(2)(3)</w:t>
            </w:r>
          </w:p>
        </w:tc>
        <w:tc>
          <w:tcPr>
            <w:tcW w:w="30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1"/>
              </w:rPr>
              <w:t>see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interests</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Units in PAA GP Holdings LLC</w:t>
            </w:r>
          </w:p>
        </w:tc>
        <w:tc>
          <w:tcPr>
            <w:tcW w:w="8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917,262</w:t>
            </w:r>
            <w:r>
              <w:rPr>
                <w:rFonts w:ascii="Times New Roman" w:cs="Times New Roman" w:eastAsia="Times New Roman" w:hAnsi="Times New Roman"/>
                <w:sz w:val="21"/>
                <w:szCs w:val="21"/>
                <w:color w:val="008000"/>
                <w:w w:val="88"/>
                <w:vertAlign w:val="superscript"/>
              </w:rPr>
              <w:t>(2)(3)</w:t>
            </w: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1"/>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00" w:type="dxa"/>
            <w:vAlign w:val="bottom"/>
            <w:gridSpan w:val="15"/>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40" w:type="dxa"/>
            <w:vAlign w:val="bottom"/>
            <w:gridSpan w:val="11"/>
          </w:tcPr>
          <w:p>
            <w:pPr>
              <w:jc w:val="right"/>
              <w:ind w:right="10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3A. Deemed</w:t>
            </w:r>
          </w:p>
        </w:tc>
        <w:tc>
          <w:tcPr>
            <w:tcW w:w="320" w:type="dxa"/>
            <w:vAlign w:val="bottom"/>
          </w:tcPr>
          <w:p>
            <w:pPr>
              <w:spacing w:after="0"/>
              <w:rPr>
                <w:sz w:val="14"/>
                <w:szCs w:val="14"/>
                <w:color w:val="auto"/>
              </w:rPr>
            </w:pP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w w:val="96"/>
              </w:rPr>
              <w:t>7. Title and Amount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Securities Underlying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8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or Disposed of</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 (Instr. 3, 4</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1"/>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 in</w:t>
            </w: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1,423,264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vMerge w:val="restart"/>
          </w:tcPr>
          <w:p>
            <w:pPr>
              <w:ind w:left="3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ind w:right="292"/>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960" w:type="dxa"/>
            <w:vAlign w:val="bottom"/>
            <w:vMerge w:val="restart"/>
          </w:tcPr>
          <w:p>
            <w:pPr>
              <w:jc w:val="right"/>
              <w:ind w:right="120"/>
              <w:spacing w:after="0" w:line="141" w:lineRule="exact"/>
              <w:rPr>
                <w:sz w:val="20"/>
                <w:szCs w:val="20"/>
                <w:color w:val="auto"/>
              </w:rPr>
            </w:pPr>
            <w:r>
              <w:rPr>
                <w:rFonts w:ascii="Times New Roman" w:cs="Times New Roman" w:eastAsia="Times New Roman" w:hAnsi="Times New Roman"/>
                <w:sz w:val="13"/>
                <w:szCs w:val="13"/>
                <w:color w:val="0000FF"/>
              </w:rPr>
              <w:t>02/09/2016</w:t>
            </w: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6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1,423,264</w:t>
            </w:r>
          </w:p>
        </w:tc>
        <w:tc>
          <w:tcPr>
            <w:tcW w:w="740" w:type="dxa"/>
            <w:vAlign w:val="bottom"/>
            <w:vMerge w:val="restart"/>
          </w:tcPr>
          <w:p>
            <w:pPr>
              <w:jc w:val="center"/>
              <w:ind w:right="22"/>
              <w:spacing w:after="0" w:line="141" w:lineRule="exact"/>
              <w:rPr>
                <w:sz w:val="20"/>
                <w:szCs w:val="20"/>
                <w:color w:val="auto"/>
              </w:rPr>
            </w:pPr>
            <w:r>
              <w:rPr>
                <w:rFonts w:ascii="Times New Roman" w:cs="Times New Roman" w:eastAsia="Times New Roman" w:hAnsi="Times New Roman"/>
                <w:sz w:val="13"/>
                <w:szCs w:val="13"/>
                <w:color w:val="0000FF"/>
                <w:w w:val="97"/>
              </w:rPr>
              <w:t>12/31/2015</w:t>
            </w:r>
          </w:p>
        </w:tc>
        <w:tc>
          <w:tcPr>
            <w:tcW w:w="680" w:type="dxa"/>
            <w:vAlign w:val="bottom"/>
            <w:vMerge w:val="continue"/>
          </w:tcPr>
          <w:p>
            <w:pPr>
              <w:spacing w:after="0"/>
              <w:rPr>
                <w:sz w:val="6"/>
                <w:szCs w:val="6"/>
                <w:color w:val="auto"/>
              </w:rPr>
            </w:pPr>
          </w:p>
        </w:tc>
        <w:tc>
          <w:tcPr>
            <w:tcW w:w="4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1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6"/>
                <w:szCs w:val="6"/>
                <w:color w:val="auto"/>
              </w:rPr>
            </w:pPr>
          </w:p>
        </w:tc>
        <w:tc>
          <w:tcPr>
            <w:tcW w:w="540" w:type="dxa"/>
            <w:vAlign w:val="bottom"/>
            <w:vMerge w:val="restart"/>
          </w:tcPr>
          <w:p>
            <w:pPr>
              <w:jc w:val="center"/>
              <w:ind w:left="254"/>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Plains AAP,</w:t>
            </w:r>
          </w:p>
        </w:tc>
        <w:tc>
          <w:tcPr>
            <w:tcW w:w="3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Shares</w:t>
            </w: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representing</w:t>
            </w: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1,423,264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vMerge w:val="restart"/>
          </w:tcPr>
          <w:p>
            <w:pPr>
              <w:ind w:left="3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ind w:right="292"/>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960" w:type="dxa"/>
            <w:vAlign w:val="bottom"/>
            <w:vMerge w:val="restart"/>
          </w:tcPr>
          <w:p>
            <w:pPr>
              <w:jc w:val="right"/>
              <w:ind w:right="120"/>
              <w:spacing w:after="0" w:line="141" w:lineRule="exact"/>
              <w:rPr>
                <w:sz w:val="20"/>
                <w:szCs w:val="20"/>
                <w:color w:val="auto"/>
              </w:rPr>
            </w:pPr>
            <w:r>
              <w:rPr>
                <w:rFonts w:ascii="Times New Roman" w:cs="Times New Roman" w:eastAsia="Times New Roman" w:hAnsi="Times New Roman"/>
                <w:sz w:val="13"/>
                <w:szCs w:val="13"/>
                <w:color w:val="0000FF"/>
              </w:rPr>
              <w:t>02/09/2016</w:t>
            </w: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6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1,423,264</w:t>
            </w:r>
          </w:p>
        </w:tc>
        <w:tc>
          <w:tcPr>
            <w:tcW w:w="740" w:type="dxa"/>
            <w:vAlign w:val="bottom"/>
            <w:vMerge w:val="restart"/>
          </w:tcPr>
          <w:p>
            <w:pPr>
              <w:jc w:val="center"/>
              <w:ind w:right="22"/>
              <w:spacing w:after="0" w:line="141" w:lineRule="exact"/>
              <w:rPr>
                <w:sz w:val="20"/>
                <w:szCs w:val="20"/>
                <w:color w:val="auto"/>
              </w:rPr>
            </w:pPr>
            <w:r>
              <w:rPr>
                <w:rFonts w:ascii="Times New Roman" w:cs="Times New Roman" w:eastAsia="Times New Roman" w:hAnsi="Times New Roman"/>
                <w:sz w:val="13"/>
                <w:szCs w:val="13"/>
                <w:color w:val="0000FF"/>
                <w:w w:val="97"/>
              </w:rPr>
              <w:t>12/31/2015</w:t>
            </w:r>
          </w:p>
        </w:tc>
        <w:tc>
          <w:tcPr>
            <w:tcW w:w="680" w:type="dxa"/>
            <w:vAlign w:val="bottom"/>
            <w:vMerge w:val="continue"/>
          </w:tcPr>
          <w:p>
            <w:pPr>
              <w:spacing w:after="0"/>
              <w:rPr>
                <w:sz w:val="6"/>
                <w:szCs w:val="6"/>
                <w:color w:val="auto"/>
              </w:rPr>
            </w:pPr>
          </w:p>
        </w:tc>
        <w:tc>
          <w:tcPr>
            <w:tcW w:w="4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1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6"/>
                <w:szCs w:val="6"/>
                <w:color w:val="auto"/>
              </w:rPr>
            </w:pPr>
          </w:p>
        </w:tc>
        <w:tc>
          <w:tcPr>
            <w:tcW w:w="540" w:type="dxa"/>
            <w:vAlign w:val="bottom"/>
            <w:vMerge w:val="restart"/>
          </w:tcPr>
          <w:p>
            <w:pPr>
              <w:jc w:val="center"/>
              <w:ind w:left="254"/>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limited</w:t>
            </w:r>
          </w:p>
        </w:tc>
        <w:tc>
          <w:tcPr>
            <w:tcW w:w="3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Shares</w:t>
            </w: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partner</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interests</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Units in</w:t>
            </w: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420" w:type="dxa"/>
            <w:vAlign w:val="bottom"/>
            <w:vMerge w:val="continue"/>
          </w:tcPr>
          <w:p>
            <w:pPr>
              <w:spacing w:after="0"/>
              <w:rPr>
                <w:sz w:val="5"/>
                <w:szCs w:val="5"/>
                <w:color w:val="auto"/>
              </w:rPr>
            </w:pPr>
          </w:p>
        </w:tc>
        <w:tc>
          <w:tcPr>
            <w:tcW w:w="660" w:type="dxa"/>
            <w:vAlign w:val="bottom"/>
            <w:gridSpan w:val="2"/>
            <w:vMerge w:val="restart"/>
          </w:tcPr>
          <w:p>
            <w:pPr>
              <w:ind w:left="120"/>
              <w:spacing w:after="0" w:line="192" w:lineRule="exact"/>
              <w:rPr>
                <w:sz w:val="20"/>
                <w:szCs w:val="20"/>
                <w:color w:val="auto"/>
              </w:rPr>
            </w:pPr>
            <w:r>
              <w:rPr>
                <w:rFonts w:ascii="Times New Roman" w:cs="Times New Roman" w:eastAsia="Times New Roman" w:hAnsi="Times New Roman"/>
                <w:sz w:val="17"/>
                <w:szCs w:val="17"/>
                <w:color w:val="0000FF"/>
                <w:w w:val="94"/>
              </w:rPr>
              <w:t>917,262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8000"/>
                <w:w w:val="93"/>
              </w:rPr>
              <w:t>(2)(3)</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008000"/>
                <w:w w:val="85"/>
              </w:rPr>
              <w:t>(2)(3)</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80" w:type="dxa"/>
            <w:vAlign w:val="bottom"/>
            <w:vMerge w:val="restart"/>
          </w:tcPr>
          <w:p>
            <w:pPr>
              <w:ind w:left="3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ind w:right="292"/>
              <w:spacing w:after="0"/>
              <w:rPr>
                <w:sz w:val="20"/>
                <w:szCs w:val="20"/>
                <w:color w:val="auto"/>
              </w:rPr>
            </w:pPr>
            <w:r>
              <w:rPr>
                <w:rFonts w:ascii="Times New Roman" w:cs="Times New Roman" w:eastAsia="Times New Roman" w:hAnsi="Times New Roman"/>
                <w:sz w:val="13"/>
                <w:szCs w:val="13"/>
                <w:color w:val="0000FF"/>
                <w:w w:val="91"/>
              </w:rPr>
              <w:t>0</w:t>
            </w: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w w:val="94"/>
              </w:rPr>
              <w:t>917,262</w:t>
            </w:r>
          </w:p>
        </w:tc>
        <w:tc>
          <w:tcPr>
            <w:tcW w:w="300" w:type="dxa"/>
            <w:vAlign w:val="bottom"/>
            <w:vMerge w:val="continue"/>
          </w:tcPr>
          <w:p>
            <w:pPr>
              <w:spacing w:after="0"/>
              <w:rPr>
                <w:sz w:val="5"/>
                <w:szCs w:val="5"/>
                <w:color w:val="auto"/>
              </w:rPr>
            </w:pPr>
          </w:p>
        </w:tc>
        <w:tc>
          <w:tcPr>
            <w:tcW w:w="540" w:type="dxa"/>
            <w:vAlign w:val="bottom"/>
            <w:vMerge w:val="restart"/>
          </w:tcPr>
          <w:p>
            <w:pPr>
              <w:jc w:val="center"/>
              <w:ind w:left="274"/>
              <w:spacing w:after="0"/>
              <w:rPr>
                <w:sz w:val="20"/>
                <w:szCs w:val="20"/>
                <w:color w:val="auto"/>
              </w:rPr>
            </w:pPr>
            <w:r>
              <w:rPr>
                <w:rFonts w:ascii="Times New Roman" w:cs="Times New Roman" w:eastAsia="Times New Roman" w:hAnsi="Times New Roman"/>
                <w:sz w:val="13"/>
                <w:szCs w:val="13"/>
                <w:color w:val="0000FF"/>
                <w:w w:val="91"/>
              </w:rPr>
              <w:t>I</w:t>
            </w:r>
          </w:p>
        </w:tc>
        <w:tc>
          <w:tcPr>
            <w:tcW w:w="3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rPr>
              <w:t>Plains AAP,</w:t>
            </w:r>
          </w:p>
        </w:tc>
        <w:tc>
          <w:tcPr>
            <w:tcW w:w="3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3"/>
          </w:tcPr>
          <w:p>
            <w:pPr>
              <w:ind w:left="20"/>
              <w:spacing w:after="0" w:line="64" w:lineRule="exact"/>
              <w:rPr>
                <w:sz w:val="20"/>
                <w:szCs w:val="20"/>
                <w:color w:val="auto"/>
              </w:rPr>
            </w:pPr>
            <w:r>
              <w:rPr>
                <w:rFonts w:ascii="Times New Roman" w:cs="Times New Roman" w:eastAsia="Times New Roman" w:hAnsi="Times New Roman"/>
                <w:sz w:val="6"/>
                <w:szCs w:val="6"/>
                <w:color w:val="0000FF"/>
              </w:rPr>
              <w:t>footnotes</w:t>
            </w:r>
            <w:r>
              <w:rPr>
                <w:rFonts w:ascii="Times New Roman" w:cs="Times New Roman" w:eastAsia="Times New Roman" w:hAnsi="Times New Roman"/>
                <w:sz w:val="7"/>
                <w:szCs w:val="7"/>
                <w:color w:val="008000"/>
                <w:vertAlign w:val="superscript"/>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L.P.</w:t>
            </w:r>
          </w:p>
        </w:tc>
        <w:tc>
          <w:tcPr>
            <w:tcW w:w="3700" w:type="dxa"/>
            <w:vAlign w:val="bottom"/>
          </w:tcPr>
          <w:p>
            <w:pPr>
              <w:ind w:left="3340"/>
              <w:spacing w:after="0"/>
              <w:rPr>
                <w:sz w:val="20"/>
                <w:szCs w:val="20"/>
                <w:color w:val="auto"/>
              </w:rPr>
            </w:pPr>
            <w:r>
              <w:rPr>
                <w:rFonts w:ascii="Times New Roman" w:cs="Times New Roman" w:eastAsia="Times New Roman" w:hAnsi="Times New Roman"/>
                <w:sz w:val="13"/>
                <w:szCs w:val="13"/>
                <w:color w:val="0000FF"/>
                <w:w w:val="97"/>
              </w:rPr>
              <w:t>Shares</w:t>
            </w:r>
          </w:p>
        </w:tc>
        <w:tc>
          <w:tcPr>
            <w:tcW w:w="0" w:type="dxa"/>
            <w:vAlign w:val="bottom"/>
          </w:tcPr>
          <w:p>
            <w:pPr>
              <w:spacing w:after="0"/>
              <w:rPr>
                <w:sz w:val="1"/>
                <w:szCs w:val="1"/>
                <w:color w:val="auto"/>
              </w:rPr>
            </w:pPr>
          </w:p>
        </w:tc>
      </w:tr>
      <w:tr>
        <w:trPr>
          <w:trHeight w:val="63"/>
        </w:trPr>
        <w:tc>
          <w:tcPr>
            <w:tcW w:w="3560" w:type="dxa"/>
            <w:vAlign w:val="bottom"/>
            <w:vMerge w:val="continue"/>
          </w:tcPr>
          <w:p>
            <w:pPr>
              <w:spacing w:after="0"/>
              <w:rPr>
                <w:sz w:val="5"/>
                <w:szCs w:val="5"/>
                <w:color w:val="auto"/>
              </w:rPr>
            </w:pPr>
          </w:p>
        </w:tc>
        <w:tc>
          <w:tcPr>
            <w:tcW w:w="3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Following such conversion, the Class A Units and Class B shares are then together exchangeable for an equal number of Class A shares of the Issuer (the "Class A shares"). On 2/9/2016, the Reporting Person elected to exchange 1,423,264 Class A Units and 1,423,264 Class B shares for 1,423,264 Class A shares.</w:t>
      </w:r>
    </w:p>
    <w:p>
      <w:pPr>
        <w:spacing w:after="0" w:line="26"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26"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AAP, the right to exchange Class A Units and Class B shares (acquired in a conversion from Class B Units) for Class A shares does not expire.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vonBerg</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5"/>
              </w:rPr>
              <w:t>02/11/2013</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410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6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39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2020-01-19T05:52:06Z</dcterms:created>
  <dcterms:modified xsi:type="dcterms:W3CDTF">2020-01-19T05:52:06Z</dcterms:modified>
</cp:coreProperties>
</file>