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5290185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-1609090</wp:posOffset>
            </wp:positionH>
            <wp:positionV relativeFrom="paragraph">
              <wp:posOffset>17145</wp:posOffset>
            </wp:positionV>
            <wp:extent cx="6991985" cy="4733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473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20"/>
            <w:col w:w="8560"/>
          </w:cols>
          <w:pgMar w:left="460" w:top="223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Temple Chris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 w:line="105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08/19/2021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 CLAY ST.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TX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22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11,900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08/19/2021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11,900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-2054860</wp:posOffset>
            </wp:positionV>
            <wp:extent cx="29210" cy="20599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59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Grant of Phantom Class A shares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Upon termination of service as director, other than because of death, disability or retirement.</w:t>
      </w:r>
    </w:p>
    <w:p>
      <w:pPr>
        <w:ind w:left="660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Ann F. Gullion,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08/23/2021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373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Chris Temple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-19050</wp:posOffset>
            </wp:positionV>
            <wp:extent cx="10445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45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91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480" w:firstLine="4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64683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2021-08-23T16:40:31Z</dcterms:created>
  <dcterms:modified xsi:type="dcterms:W3CDTF">2021-08-23T16:40:31Z</dcterms:modified>
</cp:coreProperties>
</file>