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00"/>
        <w:gridCol w:w="917"/>
        <w:gridCol w:w="786"/>
        <w:gridCol w:w="662"/>
        <w:gridCol w:w="294"/>
        <w:gridCol w:w="926"/>
        <w:gridCol w:w="441"/>
        <w:gridCol w:w="606"/>
        <w:gridCol w:w="1458"/>
        <w:gridCol w:w="98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5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9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5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03/31/2022</w:t>
            </w:r>
          </w:p>
        </w:tc>
        <w:tc>
          <w:tcPr>
            <w:tcW w:w="78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9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11,957</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5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241,473,220</w:t>
            </w:r>
          </w:p>
        </w:tc>
        <w:tc>
          <w:tcPr>
            <w:tcW w:w="98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March 31, 2022, KAFU Holdings (QP), L.P. exercised the Redemption Right with respect to 11,957 AAP Class A units, resulting in the cancellation of such AAP Class A units and the distribution of 11,957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860</Words>
  <CharactersWithSpaces>5264</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